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before="8"/>
        <w:rPr>
          <w:rFonts w:ascii="Times New Roman"/>
          <w:sz w:val="25"/>
        </w:rPr>
      </w:pPr>
    </w:p>
    <w:p>
      <w:pPr>
        <w:spacing w:before="32"/>
        <w:ind w:left="130" w:right="76"/>
        <w:jc w:val="center"/>
        <w:rPr>
          <w:rFonts w:ascii="宋体" w:eastAsia="宋体"/>
          <w:b/>
          <w:sz w:val="48"/>
        </w:rPr>
      </w:pPr>
      <w:r>
        <w:rPr>
          <w:rFonts w:hint="eastAsia" w:ascii="宋体" w:eastAsia="宋体"/>
          <w:b/>
          <w:sz w:val="48"/>
        </w:rPr>
        <w:t>水区中小学信息化建设水平优化提升项目</w:t>
      </w:r>
    </w:p>
    <w:p>
      <w:pPr>
        <w:pStyle w:val="12"/>
        <w:rPr>
          <w:b/>
          <w:sz w:val="48"/>
        </w:rPr>
      </w:pPr>
    </w:p>
    <w:p>
      <w:pPr>
        <w:pStyle w:val="12"/>
        <w:spacing w:before="1"/>
        <w:rPr>
          <w:b/>
          <w:sz w:val="70"/>
        </w:rPr>
      </w:pPr>
    </w:p>
    <w:p>
      <w:pPr>
        <w:tabs>
          <w:tab w:val="left" w:pos="1293"/>
          <w:tab w:val="left" w:pos="2589"/>
          <w:tab w:val="left" w:pos="3883"/>
        </w:tabs>
        <w:ind w:right="76"/>
        <w:jc w:val="center"/>
        <w:rPr>
          <w:rFonts w:ascii="宋体" w:eastAsia="宋体"/>
          <w:b/>
          <w:sz w:val="70"/>
        </w:rPr>
      </w:pPr>
      <w:r>
        <w:rPr>
          <w:rFonts w:hint="eastAsia" w:ascii="宋体" w:eastAsia="宋体"/>
          <w:b/>
          <w:sz w:val="70"/>
        </w:rPr>
        <w:t>招</w:t>
      </w:r>
      <w:r>
        <w:rPr>
          <w:rFonts w:hint="eastAsia" w:ascii="宋体" w:eastAsia="宋体"/>
          <w:b/>
          <w:sz w:val="70"/>
        </w:rPr>
        <w:tab/>
      </w:r>
      <w:r>
        <w:rPr>
          <w:rFonts w:hint="eastAsia" w:ascii="宋体" w:eastAsia="宋体"/>
          <w:b/>
          <w:sz w:val="70"/>
        </w:rPr>
        <w:t>标</w:t>
      </w:r>
      <w:r>
        <w:rPr>
          <w:rFonts w:hint="eastAsia" w:ascii="宋体" w:eastAsia="宋体"/>
          <w:b/>
          <w:sz w:val="70"/>
        </w:rPr>
        <w:tab/>
      </w:r>
      <w:r>
        <w:rPr>
          <w:rFonts w:hint="eastAsia" w:ascii="宋体" w:eastAsia="宋体"/>
          <w:b/>
          <w:sz w:val="70"/>
        </w:rPr>
        <w:t>文</w:t>
      </w:r>
      <w:r>
        <w:rPr>
          <w:rFonts w:hint="eastAsia" w:ascii="宋体" w:eastAsia="宋体"/>
          <w:b/>
          <w:sz w:val="70"/>
        </w:rPr>
        <w:tab/>
      </w:r>
      <w:r>
        <w:rPr>
          <w:rFonts w:hint="eastAsia" w:ascii="宋体" w:eastAsia="宋体"/>
          <w:b/>
          <w:sz w:val="70"/>
        </w:rPr>
        <w:t>件</w:t>
      </w:r>
    </w:p>
    <w:p>
      <w:pPr>
        <w:spacing w:before="139"/>
        <w:ind w:left="117" w:right="76"/>
        <w:jc w:val="center"/>
        <w:rPr>
          <w:rFonts w:ascii="宋体" w:eastAsia="宋体"/>
          <w:sz w:val="30"/>
        </w:rPr>
      </w:pPr>
      <w:r>
        <w:rPr>
          <w:rFonts w:hint="eastAsia" w:ascii="宋体" w:eastAsia="宋体"/>
          <w:sz w:val="30"/>
        </w:rPr>
        <w:t>采购编号：</w:t>
      </w:r>
      <w:r>
        <w:rPr>
          <w:rFonts w:ascii="宋体" w:eastAsia="宋体"/>
          <w:sz w:val="30"/>
        </w:rPr>
        <w:t>XJPCFW2020-042 XJPCFW2020-042</w:t>
      </w:r>
    </w:p>
    <w:p>
      <w:pPr>
        <w:pStyle w:val="12"/>
        <w:rPr>
          <w:sz w:val="20"/>
        </w:rPr>
      </w:pPr>
    </w:p>
    <w:p>
      <w:pPr>
        <w:pStyle w:val="12"/>
        <w:rPr>
          <w:sz w:val="20"/>
        </w:rPr>
      </w:pPr>
    </w:p>
    <w:p>
      <w:pPr>
        <w:pStyle w:val="12"/>
        <w:spacing w:before="1"/>
        <w:ind w:firstLine="1984" w:firstLineChars="827"/>
        <w:rPr>
          <w:sz w:val="18"/>
        </w:rPr>
      </w:pPr>
      <w:r>
        <w:rPr>
          <w:lang w:val="en-US" w:bidi="ar-SA"/>
        </w:rPr>
        <w:drawing>
          <wp:inline distT="0" distB="0" distL="0" distR="0">
            <wp:extent cx="3795395" cy="3243580"/>
            <wp:effectExtent l="19050" t="0" r="0" b="0"/>
            <wp:docPr id="2" name="图片 2" descr="C:\Users\Administrator\Desktop\5521cee2618bc9bd127782574420a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5521cee2618bc9bd127782574420a30.png"/>
                    <pic:cNvPicPr>
                      <a:picLocks noChangeAspect="1" noChangeArrowheads="1"/>
                    </pic:cNvPicPr>
                  </pic:nvPicPr>
                  <pic:blipFill>
                    <a:blip r:embed="rId17" cstate="print"/>
                    <a:srcRect/>
                    <a:stretch>
                      <a:fillRect/>
                    </a:stretch>
                  </pic:blipFill>
                  <pic:spPr>
                    <a:xfrm>
                      <a:off x="0" y="0"/>
                      <a:ext cx="3803021" cy="3250597"/>
                    </a:xfrm>
                    <a:prstGeom prst="rect">
                      <a:avLst/>
                    </a:prstGeom>
                    <a:noFill/>
                    <a:ln w="9525">
                      <a:noFill/>
                      <a:miter lim="800000"/>
                      <a:headEnd/>
                      <a:tailEnd/>
                    </a:ln>
                  </pic:spPr>
                </pic:pic>
              </a:graphicData>
            </a:graphic>
          </wp:inline>
        </w:drawing>
      </w:r>
    </w:p>
    <w:p>
      <w:pPr>
        <w:pStyle w:val="12"/>
        <w:rPr>
          <w:sz w:val="20"/>
        </w:rPr>
      </w:pPr>
    </w:p>
    <w:p>
      <w:pPr>
        <w:pStyle w:val="12"/>
        <w:rPr>
          <w:sz w:val="20"/>
        </w:rPr>
      </w:pPr>
    </w:p>
    <w:p>
      <w:pPr>
        <w:pStyle w:val="12"/>
        <w:rPr>
          <w:sz w:val="20"/>
        </w:rPr>
      </w:pPr>
    </w:p>
    <w:p>
      <w:pPr>
        <w:pStyle w:val="12"/>
      </w:pPr>
    </w:p>
    <w:p>
      <w:pPr>
        <w:tabs>
          <w:tab w:val="left" w:pos="1896"/>
          <w:tab w:val="left" w:pos="2698"/>
        </w:tabs>
        <w:spacing w:before="54"/>
        <w:ind w:left="1097"/>
        <w:rPr>
          <w:rFonts w:ascii="宋体" w:eastAsia="宋体"/>
          <w:sz w:val="32"/>
        </w:rPr>
      </w:pPr>
      <w:r>
        <w:rPr>
          <w:rFonts w:hint="eastAsia" w:ascii="宋体" w:eastAsia="宋体"/>
          <w:sz w:val="32"/>
        </w:rPr>
        <w:t>采</w:t>
      </w:r>
      <w:r>
        <w:rPr>
          <w:rFonts w:hint="eastAsia" w:ascii="宋体" w:eastAsia="宋体"/>
          <w:sz w:val="32"/>
        </w:rPr>
        <w:tab/>
      </w:r>
      <w:r>
        <w:rPr>
          <w:rFonts w:hint="eastAsia" w:ascii="宋体" w:eastAsia="宋体"/>
          <w:sz w:val="32"/>
        </w:rPr>
        <w:t>购</w:t>
      </w:r>
      <w:r>
        <w:rPr>
          <w:rFonts w:hint="eastAsia" w:ascii="宋体" w:eastAsia="宋体"/>
          <w:sz w:val="32"/>
        </w:rPr>
        <w:tab/>
      </w:r>
      <w:r>
        <w:rPr>
          <w:rFonts w:hint="eastAsia" w:ascii="宋体" w:eastAsia="宋体"/>
          <w:sz w:val="32"/>
        </w:rPr>
        <w:t>人：乌鲁木齐市水磨沟区教育局</w:t>
      </w:r>
    </w:p>
    <w:p>
      <w:pPr>
        <w:tabs>
          <w:tab w:val="left" w:pos="2700"/>
        </w:tabs>
        <w:spacing w:before="214" w:line="364" w:lineRule="auto"/>
        <w:ind w:left="1100" w:right="2644"/>
        <w:rPr>
          <w:rFonts w:ascii="宋体" w:eastAsia="宋体"/>
          <w:sz w:val="32"/>
        </w:rPr>
      </w:pPr>
      <w:r>
        <w:rPr>
          <w:rFonts w:hint="eastAsia" w:ascii="宋体" w:eastAsia="宋体"/>
          <w:sz w:val="32"/>
        </w:rPr>
        <w:t>采购代理机构：新疆谱诚项目管理咨询有限公司日</w:t>
      </w:r>
      <w:r>
        <w:rPr>
          <w:rFonts w:hint="eastAsia" w:ascii="宋体" w:eastAsia="宋体"/>
          <w:sz w:val="32"/>
        </w:rPr>
        <w:tab/>
      </w:r>
      <w:r>
        <w:rPr>
          <w:rFonts w:hint="eastAsia" w:ascii="宋体" w:eastAsia="宋体"/>
          <w:sz w:val="32"/>
        </w:rPr>
        <w:t>期：二〇二〇年十一月</w:t>
      </w:r>
    </w:p>
    <w:p>
      <w:pPr>
        <w:spacing w:line="364" w:lineRule="auto"/>
        <w:rPr>
          <w:rFonts w:ascii="宋体" w:eastAsia="宋体"/>
          <w:sz w:val="32"/>
        </w:rPr>
      </w:pPr>
    </w:p>
    <w:p>
      <w:pPr>
        <w:spacing w:line="364" w:lineRule="auto"/>
        <w:rPr>
          <w:rFonts w:ascii="宋体" w:eastAsia="宋体"/>
          <w:sz w:val="32"/>
        </w:rPr>
      </w:pPr>
    </w:p>
    <w:p>
      <w:pPr>
        <w:spacing w:line="364" w:lineRule="auto"/>
        <w:rPr>
          <w:rFonts w:ascii="宋体" w:eastAsia="宋体"/>
          <w:sz w:val="32"/>
        </w:rPr>
      </w:pPr>
    </w:p>
    <w:p>
      <w:pPr>
        <w:spacing w:line="364" w:lineRule="auto"/>
        <w:rPr>
          <w:rFonts w:ascii="宋体" w:eastAsia="宋体"/>
          <w:sz w:val="32"/>
        </w:rPr>
      </w:pPr>
    </w:p>
    <w:p>
      <w:pPr>
        <w:spacing w:line="364" w:lineRule="auto"/>
        <w:rPr>
          <w:rFonts w:ascii="宋体" w:eastAsia="宋体"/>
          <w:sz w:val="32"/>
        </w:rPr>
      </w:pPr>
    </w:p>
    <w:p>
      <w:pPr>
        <w:spacing w:line="364" w:lineRule="auto"/>
        <w:rPr>
          <w:rFonts w:ascii="宋体" w:eastAsia="宋体"/>
          <w:sz w:val="32"/>
        </w:rPr>
        <w:sectPr>
          <w:type w:val="continuous"/>
          <w:pgSz w:w="11910" w:h="16840"/>
          <w:pgMar w:top="1600" w:right="741" w:bottom="280" w:left="700" w:header="720" w:footer="720" w:gutter="0"/>
          <w:cols w:space="720" w:num="1"/>
        </w:sectPr>
      </w:pPr>
    </w:p>
    <w:p>
      <w:pPr>
        <w:tabs>
          <w:tab w:val="left" w:pos="8310"/>
        </w:tabs>
        <w:spacing w:before="57" w:after="21"/>
        <w:ind w:left="40" w:leftChars="18" w:firstLine="688" w:firstLineChars="344"/>
        <w:rPr>
          <w:rFonts w:ascii="宋体" w:eastAsia="宋体"/>
          <w:b/>
          <w:sz w:val="21"/>
        </w:rPr>
      </w:pPr>
      <w:r>
        <w:rPr>
          <w:rFonts w:hint="eastAsia" w:ascii="宋体" w:eastAsia="宋体"/>
          <w:sz w:val="20"/>
        </w:rPr>
        <w:t>水区中小学信息化建设水平优化提升项目</w:t>
      </w:r>
      <w:r>
        <w:rPr>
          <w:rFonts w:hint="eastAsia" w:ascii="宋体" w:eastAsia="宋体"/>
          <w:b/>
          <w:sz w:val="21"/>
        </w:rPr>
        <w:t xml:space="preserve">                                          </w:t>
      </w:r>
      <w:r>
        <w:rPr>
          <w:rFonts w:hint="eastAsia" w:ascii="宋体" w:eastAsia="宋体"/>
          <w:sz w:val="20"/>
        </w:rPr>
        <w:t>招标文件</w:t>
      </w:r>
    </w:p>
    <w:p>
      <w:pPr>
        <w:pStyle w:val="12"/>
        <w:spacing w:line="87" w:lineRule="exact"/>
        <w:ind w:left="689"/>
        <w:rPr>
          <w:sz w:val="8"/>
        </w:rPr>
      </w:pPr>
      <w:r>
        <w:rPr>
          <w:position w:val="-1"/>
          <w:sz w:val="8"/>
        </w:rPr>
        <w:pict>
          <v:group id="_x0000_s1044" o:spid="_x0000_s1044" o:spt="203" style="height:4.35pt;width:453.5pt;" coordsize="9070,87">
            <o:lock v:ext="edit"/>
            <v:line id="_x0000_s1046" o:spid="_x0000_s1046" o:spt="20" style="position:absolute;left:0;top:7;height:0;width:9070;" coordsize="21600,21600">
              <v:path arrowok="t"/>
              <v:fill focussize="0,0"/>
              <v:stroke weight="0.72pt"/>
              <v:imagedata o:title=""/>
              <o:lock v:ext="edit"/>
            </v:line>
            <v:line id="_x0000_s1045" o:spid="_x0000_s1045" o:spt="20" style="position:absolute;left:0;top:58;height:0;width:9070;" coordsize="21600,21600">
              <v:path arrowok="t"/>
              <v:fill focussize="0,0"/>
              <v:stroke weight="2.88pt"/>
              <v:imagedata o:title=""/>
              <o:lock v:ext="edit"/>
            </v:line>
            <w10:wrap type="none"/>
            <w10:anchorlock/>
          </v:group>
        </w:pict>
      </w:r>
    </w:p>
    <w:p>
      <w:pPr>
        <w:tabs>
          <w:tab w:val="left" w:pos="841"/>
        </w:tabs>
        <w:spacing w:before="112"/>
        <w:ind w:left="40"/>
        <w:jc w:val="center"/>
        <w:rPr>
          <w:rFonts w:ascii="宋体" w:eastAsia="宋体"/>
          <w:b/>
          <w:sz w:val="32"/>
        </w:rPr>
      </w:pPr>
      <w:r>
        <w:rPr>
          <w:rFonts w:hint="eastAsia" w:ascii="宋体" w:eastAsia="宋体"/>
          <w:b/>
          <w:sz w:val="32"/>
        </w:rPr>
        <w:t>目</w:t>
      </w:r>
      <w:r>
        <w:rPr>
          <w:rFonts w:hint="eastAsia" w:ascii="宋体" w:eastAsia="宋体"/>
          <w:b/>
          <w:sz w:val="32"/>
        </w:rPr>
        <w:tab/>
      </w:r>
      <w:r>
        <w:rPr>
          <w:rFonts w:hint="eastAsia" w:ascii="宋体" w:eastAsia="宋体"/>
          <w:b/>
          <w:sz w:val="32"/>
        </w:rPr>
        <w:t>录</w:t>
      </w:r>
    </w:p>
    <w:sdt>
      <w:sdtPr>
        <w:rPr>
          <w:rFonts w:ascii="微软雅黑" w:hAnsi="微软雅黑" w:eastAsia="微软雅黑" w:cs="微软雅黑"/>
          <w:b w:val="0"/>
          <w:bCs w:val="0"/>
          <w:color w:val="auto"/>
          <w:sz w:val="22"/>
          <w:szCs w:val="22"/>
          <w:lang w:val="zh-CN" w:bidi="zh-CN"/>
        </w:rPr>
        <w:id w:val="8012898"/>
        <w:docPartObj>
          <w:docPartGallery w:val="Table of Contents"/>
          <w:docPartUnique/>
        </w:docPartObj>
      </w:sdtPr>
      <w:sdtEndPr>
        <w:rPr>
          <w:rFonts w:ascii="微软雅黑" w:hAnsi="微软雅黑" w:eastAsia="微软雅黑" w:cs="微软雅黑"/>
          <w:b w:val="0"/>
          <w:bCs w:val="0"/>
          <w:color w:val="auto"/>
          <w:sz w:val="22"/>
          <w:szCs w:val="22"/>
          <w:lang w:val="zh-CN" w:bidi="zh-CN"/>
        </w:rPr>
      </w:sdtEndPr>
      <w:sdtContent>
        <w:p>
          <w:pPr>
            <w:pStyle w:val="35"/>
            <w:rPr>
              <w:color w:val="auto"/>
            </w:rPr>
          </w:pPr>
        </w:p>
        <w:p>
          <w:pPr>
            <w:pStyle w:val="18"/>
            <w:tabs>
              <w:tab w:val="right" w:leader="dot" w:pos="10460"/>
            </w:tabs>
            <w:ind w:left="440"/>
          </w:pPr>
          <w:r>
            <w:fldChar w:fldCharType="begin"/>
          </w:r>
          <w:r>
            <w:instrText xml:space="preserve"> TOC \o "1-3" \h \z \u </w:instrText>
          </w:r>
          <w:r>
            <w:fldChar w:fldCharType="separate"/>
          </w:r>
          <w:r>
            <w:fldChar w:fldCharType="begin"/>
          </w:r>
          <w:r>
            <w:instrText xml:space="preserve"> HYPERLINK \l "_Toc57242303" </w:instrText>
          </w:r>
          <w:r>
            <w:fldChar w:fldCharType="separate"/>
          </w:r>
          <w:r>
            <w:rPr>
              <w:rStyle w:val="23"/>
              <w:rFonts w:hint="eastAsia"/>
              <w:color w:val="auto"/>
            </w:rPr>
            <w:t>第一章</w:t>
          </w:r>
          <w:r>
            <w:rPr>
              <w:rStyle w:val="23"/>
              <w:color w:val="auto"/>
            </w:rPr>
            <w:t xml:space="preserve"> </w:t>
          </w:r>
          <w:r>
            <w:rPr>
              <w:rStyle w:val="23"/>
              <w:rFonts w:hint="eastAsia"/>
              <w:color w:val="auto"/>
            </w:rPr>
            <w:t>招标邀请</w:t>
          </w:r>
          <w:r>
            <w:tab/>
          </w:r>
          <w:r>
            <w:fldChar w:fldCharType="begin"/>
          </w:r>
          <w:r>
            <w:instrText xml:space="preserve"> PAGEREF _Toc57242303 \h </w:instrText>
          </w:r>
          <w:r>
            <w:fldChar w:fldCharType="separate"/>
          </w:r>
          <w:r>
            <w:t>1</w:t>
          </w:r>
          <w:r>
            <w:fldChar w:fldCharType="end"/>
          </w:r>
          <w:r>
            <w:fldChar w:fldCharType="end"/>
          </w:r>
        </w:p>
        <w:p>
          <w:pPr>
            <w:pStyle w:val="18"/>
            <w:tabs>
              <w:tab w:val="right" w:leader="dot" w:pos="10460"/>
            </w:tabs>
            <w:ind w:left="440"/>
          </w:pPr>
          <w:r>
            <w:fldChar w:fldCharType="begin"/>
          </w:r>
          <w:r>
            <w:instrText xml:space="preserve"> HYPERLINK \l "_Toc57242304" </w:instrText>
          </w:r>
          <w:r>
            <w:fldChar w:fldCharType="separate"/>
          </w:r>
          <w:r>
            <w:rPr>
              <w:rStyle w:val="23"/>
              <w:rFonts w:hint="eastAsia"/>
              <w:color w:val="auto"/>
            </w:rPr>
            <w:t>第二章</w:t>
          </w:r>
          <w:r>
            <w:rPr>
              <w:rStyle w:val="23"/>
              <w:color w:val="auto"/>
            </w:rPr>
            <w:t xml:space="preserve"> </w:t>
          </w:r>
          <w:r>
            <w:rPr>
              <w:rStyle w:val="23"/>
              <w:rFonts w:hint="eastAsia"/>
              <w:color w:val="auto"/>
            </w:rPr>
            <w:t>投标项目资料表</w:t>
          </w:r>
          <w:r>
            <w:tab/>
          </w:r>
          <w:r>
            <w:fldChar w:fldCharType="begin"/>
          </w:r>
          <w:r>
            <w:instrText xml:space="preserve"> PAGEREF _Toc57242304 \h </w:instrText>
          </w:r>
          <w:r>
            <w:fldChar w:fldCharType="separate"/>
          </w:r>
          <w:r>
            <w:t>4</w:t>
          </w:r>
          <w:r>
            <w:fldChar w:fldCharType="end"/>
          </w:r>
          <w:r>
            <w:fldChar w:fldCharType="end"/>
          </w:r>
        </w:p>
        <w:p>
          <w:pPr>
            <w:pStyle w:val="18"/>
            <w:tabs>
              <w:tab w:val="right" w:leader="dot" w:pos="10460"/>
            </w:tabs>
            <w:ind w:left="440"/>
          </w:pPr>
          <w:r>
            <w:fldChar w:fldCharType="begin"/>
          </w:r>
          <w:r>
            <w:instrText xml:space="preserve"> HYPERLINK \l "_Toc57242305" </w:instrText>
          </w:r>
          <w:r>
            <w:fldChar w:fldCharType="separate"/>
          </w:r>
          <w:r>
            <w:rPr>
              <w:rStyle w:val="23"/>
              <w:rFonts w:hint="eastAsia"/>
              <w:color w:val="auto"/>
            </w:rPr>
            <w:t>第三章</w:t>
          </w:r>
          <w:r>
            <w:rPr>
              <w:rStyle w:val="23"/>
              <w:color w:val="auto"/>
            </w:rPr>
            <w:t xml:space="preserve"> </w:t>
          </w:r>
          <w:r>
            <w:rPr>
              <w:rStyle w:val="23"/>
              <w:rFonts w:hint="eastAsia"/>
              <w:color w:val="auto"/>
            </w:rPr>
            <w:t>供应商须知</w:t>
          </w:r>
          <w:r>
            <w:tab/>
          </w:r>
          <w:r>
            <w:fldChar w:fldCharType="begin"/>
          </w:r>
          <w:r>
            <w:instrText xml:space="preserve"> PAGEREF _Toc57242305 \h </w:instrText>
          </w:r>
          <w:r>
            <w:fldChar w:fldCharType="separate"/>
          </w:r>
          <w:r>
            <w:t>10</w:t>
          </w:r>
          <w:r>
            <w:fldChar w:fldCharType="end"/>
          </w:r>
          <w:r>
            <w:fldChar w:fldCharType="end"/>
          </w:r>
        </w:p>
        <w:p>
          <w:pPr>
            <w:pStyle w:val="14"/>
            <w:tabs>
              <w:tab w:val="right" w:leader="dot" w:pos="10460"/>
            </w:tabs>
            <w:ind w:left="880"/>
          </w:pPr>
          <w:r>
            <w:fldChar w:fldCharType="begin"/>
          </w:r>
          <w:r>
            <w:instrText xml:space="preserve"> HYPERLINK \l "_Toc57242306" </w:instrText>
          </w:r>
          <w:r>
            <w:fldChar w:fldCharType="separate"/>
          </w:r>
          <w:r>
            <w:rPr>
              <w:rStyle w:val="23"/>
              <w:rFonts w:hint="eastAsia"/>
              <w:color w:val="auto"/>
            </w:rPr>
            <w:t>（一）总则</w:t>
          </w:r>
          <w:r>
            <w:tab/>
          </w:r>
          <w:r>
            <w:fldChar w:fldCharType="begin"/>
          </w:r>
          <w:r>
            <w:instrText xml:space="preserve"> PAGEREF _Toc57242306 \h </w:instrText>
          </w:r>
          <w:r>
            <w:fldChar w:fldCharType="separate"/>
          </w:r>
          <w:r>
            <w:t>10</w:t>
          </w:r>
          <w:r>
            <w:fldChar w:fldCharType="end"/>
          </w:r>
          <w:r>
            <w:fldChar w:fldCharType="end"/>
          </w:r>
        </w:p>
        <w:p>
          <w:pPr>
            <w:pStyle w:val="14"/>
            <w:tabs>
              <w:tab w:val="right" w:leader="dot" w:pos="10460"/>
            </w:tabs>
            <w:ind w:left="880"/>
          </w:pPr>
          <w:r>
            <w:fldChar w:fldCharType="begin"/>
          </w:r>
          <w:r>
            <w:instrText xml:space="preserve"> HYPERLINK \l "_Toc57242307" </w:instrText>
          </w:r>
          <w:r>
            <w:fldChar w:fldCharType="separate"/>
          </w:r>
          <w:r>
            <w:rPr>
              <w:rStyle w:val="23"/>
              <w:rFonts w:hint="eastAsia"/>
              <w:color w:val="auto"/>
            </w:rPr>
            <w:t>（二）招标文件</w:t>
          </w:r>
          <w:r>
            <w:tab/>
          </w:r>
          <w:r>
            <w:fldChar w:fldCharType="begin"/>
          </w:r>
          <w:r>
            <w:instrText xml:space="preserve"> PAGEREF _Toc57242307 \h </w:instrText>
          </w:r>
          <w:r>
            <w:fldChar w:fldCharType="separate"/>
          </w:r>
          <w:r>
            <w:t>10</w:t>
          </w:r>
          <w:r>
            <w:fldChar w:fldCharType="end"/>
          </w:r>
          <w:r>
            <w:fldChar w:fldCharType="end"/>
          </w:r>
        </w:p>
        <w:p>
          <w:pPr>
            <w:pStyle w:val="14"/>
            <w:tabs>
              <w:tab w:val="right" w:leader="dot" w:pos="10460"/>
            </w:tabs>
            <w:ind w:left="880"/>
          </w:pPr>
          <w:r>
            <w:fldChar w:fldCharType="begin"/>
          </w:r>
          <w:r>
            <w:instrText xml:space="preserve"> HYPERLINK \l "_Toc57242308" </w:instrText>
          </w:r>
          <w:r>
            <w:fldChar w:fldCharType="separate"/>
          </w:r>
          <w:r>
            <w:rPr>
              <w:rStyle w:val="23"/>
              <w:rFonts w:hint="eastAsia"/>
              <w:color w:val="auto"/>
            </w:rPr>
            <w:t>（三）投标文件的编制</w:t>
          </w:r>
          <w:r>
            <w:tab/>
          </w:r>
          <w:r>
            <w:fldChar w:fldCharType="begin"/>
          </w:r>
          <w:r>
            <w:instrText xml:space="preserve"> PAGEREF _Toc57242308 \h </w:instrText>
          </w:r>
          <w:r>
            <w:fldChar w:fldCharType="separate"/>
          </w:r>
          <w:r>
            <w:t>11</w:t>
          </w:r>
          <w:r>
            <w:fldChar w:fldCharType="end"/>
          </w:r>
          <w:r>
            <w:fldChar w:fldCharType="end"/>
          </w:r>
        </w:p>
        <w:p>
          <w:pPr>
            <w:pStyle w:val="14"/>
            <w:tabs>
              <w:tab w:val="right" w:leader="dot" w:pos="10460"/>
            </w:tabs>
            <w:ind w:left="880"/>
          </w:pPr>
          <w:r>
            <w:fldChar w:fldCharType="begin"/>
          </w:r>
          <w:r>
            <w:instrText xml:space="preserve"> HYPERLINK \l "_Toc57242309" </w:instrText>
          </w:r>
          <w:r>
            <w:fldChar w:fldCharType="separate"/>
          </w:r>
          <w:r>
            <w:rPr>
              <w:rStyle w:val="23"/>
              <w:rFonts w:hint="eastAsia"/>
              <w:color w:val="auto"/>
            </w:rPr>
            <w:t>（四）投标文件的提交</w:t>
          </w:r>
          <w:r>
            <w:tab/>
          </w:r>
          <w:r>
            <w:fldChar w:fldCharType="begin"/>
          </w:r>
          <w:r>
            <w:instrText xml:space="preserve"> PAGEREF _Toc57242309 \h </w:instrText>
          </w:r>
          <w:r>
            <w:fldChar w:fldCharType="separate"/>
          </w:r>
          <w:r>
            <w:t>13</w:t>
          </w:r>
          <w:r>
            <w:fldChar w:fldCharType="end"/>
          </w:r>
          <w:r>
            <w:fldChar w:fldCharType="end"/>
          </w:r>
        </w:p>
        <w:p>
          <w:pPr>
            <w:pStyle w:val="14"/>
            <w:tabs>
              <w:tab w:val="right" w:leader="dot" w:pos="10460"/>
            </w:tabs>
            <w:ind w:left="880"/>
          </w:pPr>
          <w:r>
            <w:fldChar w:fldCharType="begin"/>
          </w:r>
          <w:r>
            <w:instrText xml:space="preserve"> HYPERLINK \l "_Toc57242310" </w:instrText>
          </w:r>
          <w:r>
            <w:fldChar w:fldCharType="separate"/>
          </w:r>
          <w:r>
            <w:rPr>
              <w:rStyle w:val="23"/>
              <w:rFonts w:hint="eastAsia"/>
              <w:color w:val="auto"/>
            </w:rPr>
            <w:t>（五）开标</w:t>
          </w:r>
          <w:r>
            <w:tab/>
          </w:r>
          <w:r>
            <w:fldChar w:fldCharType="begin"/>
          </w:r>
          <w:r>
            <w:instrText xml:space="preserve"> PAGEREF _Toc57242310 \h </w:instrText>
          </w:r>
          <w:r>
            <w:fldChar w:fldCharType="separate"/>
          </w:r>
          <w:r>
            <w:t>14</w:t>
          </w:r>
          <w:r>
            <w:fldChar w:fldCharType="end"/>
          </w:r>
          <w:r>
            <w:fldChar w:fldCharType="end"/>
          </w:r>
        </w:p>
        <w:p>
          <w:pPr>
            <w:pStyle w:val="14"/>
            <w:tabs>
              <w:tab w:val="right" w:leader="dot" w:pos="10460"/>
            </w:tabs>
            <w:ind w:left="880"/>
          </w:pPr>
          <w:r>
            <w:fldChar w:fldCharType="begin"/>
          </w:r>
          <w:r>
            <w:instrText xml:space="preserve"> HYPERLINK \l "_Toc57242311" </w:instrText>
          </w:r>
          <w:r>
            <w:fldChar w:fldCharType="separate"/>
          </w:r>
          <w:r>
            <w:rPr>
              <w:rStyle w:val="23"/>
              <w:rFonts w:hint="eastAsia"/>
              <w:color w:val="auto"/>
            </w:rPr>
            <w:t>（六）评标、定标</w:t>
          </w:r>
          <w:r>
            <w:tab/>
          </w:r>
          <w:r>
            <w:fldChar w:fldCharType="begin"/>
          </w:r>
          <w:r>
            <w:instrText xml:space="preserve"> PAGEREF _Toc57242311 \h </w:instrText>
          </w:r>
          <w:r>
            <w:fldChar w:fldCharType="separate"/>
          </w:r>
          <w:r>
            <w:t>14</w:t>
          </w:r>
          <w:r>
            <w:fldChar w:fldCharType="end"/>
          </w:r>
          <w:r>
            <w:fldChar w:fldCharType="end"/>
          </w:r>
        </w:p>
        <w:p>
          <w:pPr>
            <w:pStyle w:val="14"/>
            <w:tabs>
              <w:tab w:val="right" w:leader="dot" w:pos="10460"/>
            </w:tabs>
            <w:ind w:left="880"/>
          </w:pPr>
          <w:r>
            <w:fldChar w:fldCharType="begin"/>
          </w:r>
          <w:r>
            <w:instrText xml:space="preserve"> HYPERLINK \l "_Toc57242312" </w:instrText>
          </w:r>
          <w:r>
            <w:fldChar w:fldCharType="separate"/>
          </w:r>
          <w:r>
            <w:rPr>
              <w:rStyle w:val="23"/>
              <w:rFonts w:hint="eastAsia"/>
              <w:color w:val="auto"/>
            </w:rPr>
            <w:t>（七）合同的授予</w:t>
          </w:r>
          <w:r>
            <w:tab/>
          </w:r>
          <w:r>
            <w:fldChar w:fldCharType="begin"/>
          </w:r>
          <w:r>
            <w:instrText xml:space="preserve"> PAGEREF _Toc57242312 \h </w:instrText>
          </w:r>
          <w:r>
            <w:fldChar w:fldCharType="separate"/>
          </w:r>
          <w:r>
            <w:t>17</w:t>
          </w:r>
          <w:r>
            <w:fldChar w:fldCharType="end"/>
          </w:r>
          <w:r>
            <w:fldChar w:fldCharType="end"/>
          </w:r>
        </w:p>
        <w:p>
          <w:pPr>
            <w:pStyle w:val="14"/>
            <w:tabs>
              <w:tab w:val="right" w:leader="dot" w:pos="10460"/>
            </w:tabs>
            <w:ind w:left="880"/>
          </w:pPr>
          <w:r>
            <w:fldChar w:fldCharType="begin"/>
          </w:r>
          <w:r>
            <w:instrText xml:space="preserve"> HYPERLINK \l "_Toc57242313" </w:instrText>
          </w:r>
          <w:r>
            <w:fldChar w:fldCharType="separate"/>
          </w:r>
          <w:r>
            <w:rPr>
              <w:rStyle w:val="23"/>
              <w:rFonts w:hint="eastAsia"/>
              <w:color w:val="auto"/>
            </w:rPr>
            <w:t>（八）其他</w:t>
          </w:r>
          <w:r>
            <w:tab/>
          </w:r>
          <w:r>
            <w:fldChar w:fldCharType="begin"/>
          </w:r>
          <w:r>
            <w:instrText xml:space="preserve"> PAGEREF _Toc57242313 \h </w:instrText>
          </w:r>
          <w:r>
            <w:fldChar w:fldCharType="separate"/>
          </w:r>
          <w:r>
            <w:t>18</w:t>
          </w:r>
          <w:r>
            <w:fldChar w:fldCharType="end"/>
          </w:r>
          <w:r>
            <w:fldChar w:fldCharType="end"/>
          </w:r>
        </w:p>
        <w:p>
          <w:pPr>
            <w:pStyle w:val="18"/>
            <w:tabs>
              <w:tab w:val="right" w:leader="dot" w:pos="10460"/>
            </w:tabs>
            <w:ind w:left="440"/>
            <w:rPr>
              <w:rStyle w:val="23"/>
              <w:color w:val="auto"/>
            </w:rPr>
          </w:pPr>
          <w:r>
            <w:fldChar w:fldCharType="begin"/>
          </w:r>
          <w:r>
            <w:instrText xml:space="preserve"> HYPERLINK \l "_Toc57242314" </w:instrText>
          </w:r>
          <w:r>
            <w:fldChar w:fldCharType="separate"/>
          </w:r>
          <w:r>
            <w:rPr>
              <w:rStyle w:val="23"/>
              <w:rFonts w:hint="eastAsia"/>
              <w:color w:val="auto"/>
            </w:rPr>
            <w:t>第四章</w:t>
          </w:r>
          <w:r>
            <w:rPr>
              <w:rStyle w:val="23"/>
              <w:color w:val="auto"/>
            </w:rPr>
            <w:t xml:space="preserve"> </w:t>
          </w:r>
          <w:r>
            <w:rPr>
              <w:rStyle w:val="23"/>
              <w:rFonts w:hint="eastAsia"/>
              <w:color w:val="auto"/>
            </w:rPr>
            <w:t>评标办法（综合评分法）</w:t>
          </w:r>
          <w:r>
            <w:tab/>
          </w:r>
          <w:r>
            <w:fldChar w:fldCharType="begin"/>
          </w:r>
          <w:r>
            <w:instrText xml:space="preserve"> PAGEREF _Toc57242314 \h </w:instrText>
          </w:r>
          <w:r>
            <w:fldChar w:fldCharType="separate"/>
          </w:r>
          <w:r>
            <w:t>19</w:t>
          </w:r>
          <w:r>
            <w:fldChar w:fldCharType="end"/>
          </w:r>
          <w:r>
            <w:fldChar w:fldCharType="end"/>
          </w:r>
        </w:p>
        <w:p>
          <w:pPr>
            <w:ind w:right="-20" w:rightChars="-9" w:firstLine="440" w:firstLineChars="200"/>
          </w:pPr>
          <w:r>
            <w:rPr>
              <w:rFonts w:hint="eastAsia"/>
            </w:rPr>
            <w:t>第五章</w:t>
          </w:r>
          <w:r>
            <w:t xml:space="preserve"> </w:t>
          </w:r>
          <w:r>
            <w:rPr>
              <w:rFonts w:hint="eastAsia"/>
            </w:rPr>
            <w:t xml:space="preserve">条款与格式 </w:t>
          </w:r>
          <w:r>
            <w:t>…………………………………………………………………………………………………………………</w:t>
          </w:r>
          <w:r>
            <w:rPr>
              <w:rFonts w:hint="eastAsia"/>
            </w:rPr>
            <w:t xml:space="preserve"> ..23 </w:t>
          </w:r>
        </w:p>
        <w:p>
          <w:pPr>
            <w:pStyle w:val="18"/>
            <w:tabs>
              <w:tab w:val="left" w:pos="1470"/>
              <w:tab w:val="right" w:leader="dot" w:pos="10460"/>
            </w:tabs>
            <w:ind w:left="440"/>
          </w:pPr>
          <w:r>
            <w:fldChar w:fldCharType="begin"/>
          </w:r>
          <w:r>
            <w:instrText xml:space="preserve"> HYPERLINK \l "_Toc57242315" </w:instrText>
          </w:r>
          <w:r>
            <w:fldChar w:fldCharType="separate"/>
          </w:r>
          <w:r>
            <w:rPr>
              <w:rStyle w:val="23"/>
              <w:rFonts w:hint="eastAsia"/>
              <w:color w:val="auto"/>
            </w:rPr>
            <w:t>第六章</w:t>
          </w:r>
          <w:r>
            <w:tab/>
          </w:r>
          <w:r>
            <w:rPr>
              <w:rStyle w:val="23"/>
              <w:rFonts w:hint="eastAsia"/>
              <w:color w:val="auto"/>
            </w:rPr>
            <w:t>采购需求书</w:t>
          </w:r>
          <w:r>
            <w:tab/>
          </w:r>
          <w:r>
            <w:fldChar w:fldCharType="begin"/>
          </w:r>
          <w:r>
            <w:instrText xml:space="preserve"> PAGEREF _Toc57242315 \h </w:instrText>
          </w:r>
          <w:r>
            <w:fldChar w:fldCharType="separate"/>
          </w:r>
          <w:r>
            <w:t>28</w:t>
          </w:r>
          <w:r>
            <w:fldChar w:fldCharType="end"/>
          </w:r>
          <w:r>
            <w:fldChar w:fldCharType="end"/>
          </w:r>
        </w:p>
        <w:p>
          <w:pPr>
            <w:pStyle w:val="18"/>
            <w:tabs>
              <w:tab w:val="right" w:leader="dot" w:pos="10460"/>
            </w:tabs>
            <w:ind w:left="440"/>
          </w:pPr>
          <w:r>
            <w:fldChar w:fldCharType="begin"/>
          </w:r>
          <w:r>
            <w:instrText xml:space="preserve"> HYPERLINK \l "_Toc57242316" </w:instrText>
          </w:r>
          <w:r>
            <w:fldChar w:fldCharType="separate"/>
          </w:r>
          <w:r>
            <w:rPr>
              <w:rStyle w:val="23"/>
              <w:rFonts w:hint="eastAsia"/>
              <w:color w:val="auto"/>
            </w:rPr>
            <w:t>第七章</w:t>
          </w:r>
          <w:r>
            <w:rPr>
              <w:rStyle w:val="23"/>
              <w:color w:val="auto"/>
            </w:rPr>
            <w:t xml:space="preserve"> </w:t>
          </w:r>
          <w:r>
            <w:rPr>
              <w:rStyle w:val="23"/>
              <w:rFonts w:hint="eastAsia"/>
              <w:color w:val="auto"/>
            </w:rPr>
            <w:t>投标文件格式</w:t>
          </w:r>
          <w:r>
            <w:tab/>
          </w:r>
          <w:r>
            <w:fldChar w:fldCharType="begin"/>
          </w:r>
          <w:r>
            <w:instrText xml:space="preserve"> PAGEREF _Toc57242316 \h </w:instrText>
          </w:r>
          <w:r>
            <w:fldChar w:fldCharType="separate"/>
          </w:r>
          <w:r>
            <w:t>50</w:t>
          </w:r>
          <w:r>
            <w:fldChar w:fldCharType="end"/>
          </w:r>
          <w:r>
            <w:fldChar w:fldCharType="end"/>
          </w:r>
        </w:p>
        <w:p>
          <w:r>
            <w:fldChar w:fldCharType="end"/>
          </w:r>
        </w:p>
      </w:sdtContent>
    </w:sdt>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spacing w:before="11"/>
        <w:rPr>
          <w:sz w:val="19"/>
        </w:rPr>
      </w:pPr>
      <w:r>
        <w:pict>
          <v:group id="_x0000_s1041" o:spid="_x0000_s1041" o:spt="203" style="position:absolute;left:0pt;margin-left:70.9pt;margin-top:14.7pt;height:4.35pt;width:453.5pt;mso-position-horizontal-relative:page;mso-wrap-distance-bottom:0pt;mso-wrap-distance-top:0pt;z-index:-251656192;mso-width-relative:page;mso-height-relative:page;" coordorigin="1418,294" coordsize="9070,87">
            <o:lock v:ext="edit"/>
            <v:line id="_x0000_s1043" o:spid="_x0000_s1043" o:spt="20" style="position:absolute;left:1418;top:323;height:0;width:9070;" coordsize="21600,21600">
              <v:path arrowok="t"/>
              <v:fill focussize="0,0"/>
              <v:stroke weight="2.88pt"/>
              <v:imagedata o:title=""/>
              <o:lock v:ext="edit"/>
            </v:line>
            <v:line id="_x0000_s1042" o:spid="_x0000_s1042" o:spt="20" style="position:absolute;left:1418;top:374;height:0;width:9070;" coordsize="21600,21600">
              <v:path arrowok="t"/>
              <v:fill focussize="0,0"/>
              <v:stroke weight="0.72pt"/>
              <v:imagedata o:title=""/>
              <o:lock v:ext="edit"/>
            </v:line>
            <w10:wrap type="topAndBottom"/>
          </v:group>
        </w:pict>
      </w:r>
    </w:p>
    <w:p>
      <w:pPr>
        <w:rPr>
          <w:sz w:val="19"/>
        </w:rPr>
        <w:sectPr>
          <w:footerReference r:id="rId3" w:type="default"/>
          <w:pgSz w:w="11910" w:h="16840"/>
          <w:pgMar w:top="1060" w:right="740" w:bottom="1240" w:left="700" w:header="0" w:footer="1044" w:gutter="0"/>
          <w:pgNumType w:start="0"/>
          <w:cols w:space="720" w:num="1"/>
        </w:sectPr>
      </w:pPr>
    </w:p>
    <w:p>
      <w:pPr>
        <w:pStyle w:val="27"/>
        <w:spacing w:before="22"/>
      </w:pPr>
      <w:bookmarkStart w:id="0" w:name="_Toc57242303"/>
      <w:r>
        <w:t>第一章 招标邀请</w:t>
      </w:r>
      <w:bookmarkEnd w:id="0"/>
    </w:p>
    <w:p>
      <w:pPr>
        <w:spacing w:before="241"/>
        <w:ind w:left="118" w:right="76"/>
        <w:jc w:val="center"/>
        <w:rPr>
          <w:rFonts w:hint="eastAsia" w:ascii="宋体" w:eastAsia="宋体"/>
          <w:b/>
          <w:sz w:val="30"/>
        </w:rPr>
      </w:pPr>
      <w:r>
        <w:rPr>
          <w:rFonts w:hint="eastAsia" w:ascii="宋体" w:eastAsia="宋体"/>
          <w:b/>
          <w:sz w:val="30"/>
        </w:rPr>
        <w:t>水区中小学信息化建设水平优化提升项目招标公告</w:t>
      </w:r>
    </w:p>
    <w:p>
      <w:pPr>
        <w:pStyle w:val="12"/>
        <w:rPr>
          <w:rFonts w:hint="eastAsia"/>
          <w:b/>
          <w:sz w:val="30"/>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项目概况</w:t>
      </w:r>
    </w:p>
    <w:p>
      <w:pPr>
        <w:spacing w:line="360" w:lineRule="auto"/>
        <w:rPr>
          <w:rFonts w:hint="eastAsia" w:ascii="宋体" w:hAnsi="宋体" w:eastAsia="宋体" w:cs="宋体"/>
          <w:sz w:val="24"/>
          <w:szCs w:val="24"/>
        </w:rPr>
      </w:pPr>
      <w:r>
        <w:rPr>
          <w:rFonts w:hint="eastAsia" w:ascii="宋体" w:hAnsi="宋体" w:eastAsia="宋体" w:cs="宋体"/>
          <w:sz w:val="24"/>
          <w:szCs w:val="24"/>
          <w:u w:val="single"/>
        </w:rPr>
        <w:t>水区中小学信息化建设水平优化提升项目</w:t>
      </w:r>
      <w:r>
        <w:rPr>
          <w:rFonts w:hint="eastAsia" w:ascii="宋体" w:hAnsi="宋体" w:eastAsia="宋体" w:cs="宋体"/>
          <w:sz w:val="24"/>
          <w:szCs w:val="24"/>
        </w:rPr>
        <w:t>的潜在投标人应在乌鲁木齐市水磨沟区龙盛街898号万科中央公园1栋1804室获取招标文件，并于2020年12月24日 11:00（北京时间）前递交投标文件。</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 xml:space="preserve">1、项目名称:水区中小学信息化建设水平优化提升项目 </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2、项目编号:XJPCFW2020-042</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 xml:space="preserve">3、项目联系人:王力、穆嘉文 </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4、项目联系电话:13999160776、13201305600</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 xml:space="preserve">5、采购方式: 公开招标 </w:t>
      </w:r>
    </w:p>
    <w:p>
      <w:pPr>
        <w:spacing w:line="360" w:lineRule="auto"/>
        <w:rPr>
          <w:rFonts w:hint="eastAsia" w:ascii="宋体" w:hAnsi="宋体" w:eastAsia="宋体" w:cs="宋体"/>
          <w:sz w:val="24"/>
          <w:szCs w:val="24"/>
        </w:rPr>
      </w:pPr>
      <w:r>
        <w:rPr>
          <w:rFonts w:hint="eastAsia" w:ascii="宋体" w:hAnsi="宋体" w:eastAsia="宋体" w:cs="宋体"/>
          <w:b/>
          <w:sz w:val="24"/>
          <w:szCs w:val="24"/>
        </w:rPr>
        <w:t>6、采购货物或服务情况:（具体要求详见招标文件）</w:t>
      </w:r>
      <w:r>
        <w:rPr>
          <w:rFonts w:hint="eastAsia" w:ascii="宋体" w:hAnsi="宋体" w:eastAsia="宋体" w:cs="宋体"/>
          <w:sz w:val="24"/>
          <w:szCs w:val="24"/>
        </w:rPr>
        <w:tab/>
      </w:r>
    </w:p>
    <w:p>
      <w:pPr>
        <w:spacing w:line="360" w:lineRule="auto"/>
        <w:rPr>
          <w:rFonts w:hint="eastAsia" w:ascii="宋体" w:hAnsi="宋体" w:eastAsia="宋体" w:cs="宋体"/>
          <w:sz w:val="24"/>
          <w:szCs w:val="24"/>
        </w:rPr>
      </w:pPr>
      <w:r>
        <w:rPr>
          <w:rFonts w:hint="eastAsia" w:ascii="宋体" w:hAnsi="宋体" w:eastAsia="宋体" w:cs="宋体"/>
          <w:sz w:val="24"/>
          <w:szCs w:val="24"/>
        </w:rPr>
        <w:t>（1）采购主要内容:</w:t>
      </w:r>
    </w:p>
    <w:p>
      <w:pPr>
        <w:spacing w:line="360" w:lineRule="auto"/>
        <w:rPr>
          <w:rFonts w:hint="eastAsia" w:ascii="宋体" w:hAnsi="宋体" w:eastAsia="宋体" w:cs="宋体"/>
          <w:sz w:val="24"/>
          <w:szCs w:val="24"/>
        </w:rPr>
      </w:pPr>
      <w:r>
        <w:rPr>
          <w:rFonts w:hint="eastAsia" w:ascii="宋体" w:hAnsi="宋体" w:eastAsia="宋体" w:cs="宋体"/>
          <w:sz w:val="24"/>
          <w:szCs w:val="24"/>
        </w:rPr>
        <w:t>多媒体教学系统（班班通）、组合黑板、高清数字展台、智能电子教鞭、云办公、精品互动录播系统、高清录播系统软件、高清摄像机等(详见采购文件)。</w:t>
      </w:r>
    </w:p>
    <w:p>
      <w:pPr>
        <w:spacing w:line="360" w:lineRule="auto"/>
        <w:rPr>
          <w:rFonts w:hint="eastAsia" w:ascii="宋体" w:hAnsi="宋体" w:eastAsia="宋体" w:cs="宋体"/>
          <w:sz w:val="24"/>
          <w:szCs w:val="24"/>
        </w:rPr>
      </w:pPr>
      <w:r>
        <w:rPr>
          <w:rFonts w:hint="eastAsia" w:ascii="宋体" w:hAnsi="宋体" w:eastAsia="宋体" w:cs="宋体"/>
          <w:sz w:val="24"/>
          <w:szCs w:val="24"/>
        </w:rPr>
        <w:t>（2）采购数量:1 批</w:t>
      </w:r>
    </w:p>
    <w:p>
      <w:pPr>
        <w:spacing w:line="360" w:lineRule="auto"/>
        <w:rPr>
          <w:rFonts w:hint="eastAsia" w:ascii="宋体" w:hAnsi="宋体" w:eastAsia="宋体" w:cs="宋体"/>
          <w:sz w:val="24"/>
          <w:szCs w:val="24"/>
        </w:rPr>
      </w:pPr>
      <w:r>
        <w:rPr>
          <w:rFonts w:hint="eastAsia" w:ascii="宋体" w:hAnsi="宋体" w:eastAsia="宋体" w:cs="宋体"/>
          <w:sz w:val="24"/>
          <w:szCs w:val="24"/>
        </w:rPr>
        <w:t>（3）采购预算:6870.3 万元（人民币）</w:t>
      </w:r>
    </w:p>
    <w:p>
      <w:pPr>
        <w:spacing w:line="360" w:lineRule="auto"/>
        <w:rPr>
          <w:rFonts w:hint="eastAsia" w:ascii="宋体" w:hAnsi="宋体" w:eastAsia="宋体" w:cs="宋体"/>
          <w:sz w:val="24"/>
          <w:szCs w:val="24"/>
        </w:rPr>
      </w:pPr>
      <w:r>
        <w:rPr>
          <w:rFonts w:hint="eastAsia" w:ascii="宋体" w:hAnsi="宋体" w:eastAsia="宋体" w:cs="宋体"/>
          <w:sz w:val="24"/>
          <w:szCs w:val="24"/>
        </w:rPr>
        <w:t>（4）最高限价:6870.3 万元（人民币）</w:t>
      </w:r>
    </w:p>
    <w:p>
      <w:pPr>
        <w:spacing w:line="360" w:lineRule="auto"/>
        <w:rPr>
          <w:rFonts w:hint="eastAsia" w:ascii="宋体" w:hAnsi="宋体" w:eastAsia="宋体" w:cs="宋体"/>
          <w:sz w:val="24"/>
          <w:szCs w:val="24"/>
        </w:rPr>
      </w:pPr>
      <w:r>
        <w:rPr>
          <w:rFonts w:hint="eastAsia" w:ascii="宋体" w:hAnsi="宋体" w:eastAsia="宋体" w:cs="宋体"/>
          <w:sz w:val="24"/>
          <w:szCs w:val="24"/>
        </w:rPr>
        <w:t>（5）交货时间或服务时间:签订合同后90个</w:t>
      </w:r>
      <w:r>
        <w:rPr>
          <w:rFonts w:hint="eastAsia" w:ascii="宋体" w:hAnsi="宋体" w:eastAsia="宋体" w:cs="宋体"/>
          <w:sz w:val="24"/>
          <w:szCs w:val="24"/>
          <w:lang w:val="en-US" w:eastAsia="zh-CN"/>
        </w:rPr>
        <w:t>工作日</w:t>
      </w:r>
      <w:r>
        <w:rPr>
          <w:rFonts w:hint="eastAsia" w:ascii="宋体" w:hAnsi="宋体" w:eastAsia="宋体" w:cs="宋体"/>
          <w:sz w:val="24"/>
          <w:szCs w:val="24"/>
        </w:rPr>
        <w:t xml:space="preserve">内完成本项目设备调试、试运行并完成验收使所有设备正常投入使用。 </w:t>
      </w:r>
    </w:p>
    <w:p>
      <w:pPr>
        <w:spacing w:line="360" w:lineRule="auto"/>
        <w:rPr>
          <w:rFonts w:hint="eastAsia" w:ascii="宋体" w:hAnsi="宋体" w:eastAsia="宋体" w:cs="宋体"/>
          <w:sz w:val="24"/>
          <w:szCs w:val="24"/>
        </w:rPr>
      </w:pPr>
      <w:r>
        <w:rPr>
          <w:rFonts w:hint="eastAsia" w:ascii="宋体" w:hAnsi="宋体" w:eastAsia="宋体" w:cs="宋体"/>
          <w:sz w:val="24"/>
          <w:szCs w:val="24"/>
        </w:rPr>
        <w:t>（6）交货地点或服务地点:采购人指定地点</w:t>
      </w:r>
    </w:p>
    <w:p>
      <w:pPr>
        <w:spacing w:line="360" w:lineRule="auto"/>
        <w:rPr>
          <w:rFonts w:hint="eastAsia" w:ascii="宋体" w:hAnsi="宋体" w:eastAsia="宋体" w:cs="宋体"/>
          <w:sz w:val="24"/>
          <w:szCs w:val="24"/>
        </w:rPr>
      </w:pPr>
      <w:r>
        <w:rPr>
          <w:rFonts w:hint="eastAsia" w:ascii="宋体" w:hAnsi="宋体" w:eastAsia="宋体" w:cs="宋体"/>
          <w:sz w:val="24"/>
          <w:szCs w:val="24"/>
        </w:rPr>
        <w:t>（7）其他事项（如样品提交、现场踏勘等）:详见《招标文件》</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7、投标供应商资格要求</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（1）一般资格要求</w:t>
      </w:r>
    </w:p>
    <w:p>
      <w:pPr>
        <w:spacing w:line="360" w:lineRule="auto"/>
        <w:rPr>
          <w:rFonts w:hint="eastAsia" w:ascii="宋体" w:hAnsi="宋体" w:eastAsia="宋体" w:cs="宋体"/>
          <w:sz w:val="24"/>
          <w:szCs w:val="24"/>
        </w:rPr>
      </w:pPr>
      <w:r>
        <w:rPr>
          <w:rFonts w:hint="eastAsia" w:ascii="宋体" w:hAnsi="宋体" w:eastAsia="宋体" w:cs="宋体"/>
          <w:sz w:val="24"/>
          <w:szCs w:val="24"/>
        </w:rPr>
        <w:t>1）符合《中华人民共和国政府采购法》第二十二条及《中华人民共和国政府采购法实施条例》第十七条之规定：①具有独立承担民事责任的能力【提供具有统一社会信用代码的营业执照（或事业单位法人登记证）（经营范围符合本次采购范围）】；②具有良好的商业信誉和健全的财务会计制度【提供2019年度第三方完整的财务审计报告（或不满一年的新公司提供基本开户银行出具的资信证明，资信证明开具日期为采购公告发布之日后）（注：审计报告应盖有会计师事务所单位公章和注册会计师的执业专用章，并附会计师事务所的营业执照及执业证书复印件）】；③具有履行合同所必需的设备和专业技术能力④有依法缴纳税收和社会保障资金的良好记录【提供2019年任意6个月内依法缴纳税收和社会保障资金的证明材料；（新成立的公司提供成立次月至投标截止时间前一个月依法缴纳税收和社会保障资金的证明材料；如依法免税或不需要缴纳社会保障资金的，提供相应证明材料】；⑤参加本次政府采购活动前三年内，在经营活动中没有重大违法记录及法律、行政法规规定的其他条件。</w:t>
      </w:r>
    </w:p>
    <w:p>
      <w:pPr>
        <w:spacing w:line="360" w:lineRule="auto"/>
        <w:rPr>
          <w:rFonts w:hint="eastAsia" w:ascii="宋体" w:hAnsi="宋体" w:eastAsia="宋体" w:cs="宋体"/>
          <w:b/>
          <w:sz w:val="24"/>
          <w:szCs w:val="24"/>
          <w:lang w:eastAsia="zh-CN"/>
        </w:rPr>
      </w:pPr>
      <w:r>
        <w:rPr>
          <w:rFonts w:hint="eastAsia" w:ascii="宋体" w:hAnsi="宋体" w:eastAsia="宋体" w:cs="宋体"/>
          <w:sz w:val="24"/>
          <w:szCs w:val="24"/>
        </w:rPr>
        <w:t>2）投标供应商未被“信用中国”（www.creditchina.gov.cn）和中国政府采购网（www.ccgp.gov.cn）网站上未被列入失信被执行人、重大税收违法案件当事人名单以及政府采购严重违法失信行为记录名单的网页打印件（查询时间必须在公告期内）。</w:t>
      </w:r>
      <w:r>
        <w:rPr>
          <w:rFonts w:hint="eastAsia" w:ascii="宋体" w:hAnsi="宋体" w:eastAsia="宋体" w:cs="宋体"/>
          <w:sz w:val="24"/>
          <w:szCs w:val="24"/>
        </w:rPr>
        <w:br w:type="textWrapping"/>
      </w:r>
      <w:r>
        <w:rPr>
          <w:rFonts w:hint="eastAsia" w:ascii="宋体" w:hAnsi="宋体" w:eastAsia="宋体" w:cs="宋体"/>
          <w:sz w:val="24"/>
          <w:szCs w:val="24"/>
        </w:rPr>
        <w:t>3）、近三年无因投标申请人违约或不恰当履约引起的合同终止、纠纷、争议、仲裁和公诉纪录，供应商必须提供无行贿犯罪记录证明（在中国裁判文书网（http://wenshu.court.gov.cn/）查询，查询时间必须在公告期内）。</w:t>
      </w:r>
      <w:r>
        <w:rPr>
          <w:rFonts w:hint="eastAsia" w:ascii="宋体" w:hAnsi="宋体" w:eastAsia="宋体" w:cs="宋体"/>
          <w:sz w:val="24"/>
          <w:szCs w:val="24"/>
        </w:rPr>
        <w:br w:type="textWrapping"/>
      </w:r>
      <w:r>
        <w:rPr>
          <w:rFonts w:hint="eastAsia" w:ascii="宋体" w:hAnsi="宋体" w:eastAsia="宋体" w:cs="宋体"/>
          <w:b/>
          <w:sz w:val="24"/>
          <w:szCs w:val="24"/>
        </w:rPr>
        <w:t>（2）落实政府采购政策需满足的资格要求</w:t>
      </w:r>
      <w:r>
        <w:rPr>
          <w:rFonts w:hint="eastAsia" w:ascii="宋体" w:hAnsi="宋体" w:eastAsia="宋体" w:cs="宋体"/>
          <w:b/>
          <w:sz w:val="24"/>
          <w:szCs w:val="24"/>
          <w:lang w:eastAsia="zh-CN"/>
        </w:rPr>
        <w:t>：</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《政府采购促进中小企业发展暂行办法》（财库〔2011〕181号）；《财政部、司法部关于政府采购支持监狱企业发展有关问题的通知》（财库〔2014〕68号）；《财政部 民政部 中国残疾人联合会关于促进残疾人就业政府采购政策的通知》财库〔2017〕141号。</w:t>
      </w:r>
    </w:p>
    <w:p>
      <w:pPr>
        <w:spacing w:line="360" w:lineRule="auto"/>
        <w:rPr>
          <w:rFonts w:hint="eastAsia" w:ascii="宋体" w:hAnsi="宋体" w:eastAsia="宋体" w:cs="宋体"/>
          <w:b/>
          <w:sz w:val="24"/>
          <w:szCs w:val="24"/>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3</w:t>
      </w:r>
      <w:r>
        <w:rPr>
          <w:rFonts w:hint="eastAsia" w:ascii="宋体" w:hAnsi="宋体" w:eastAsia="宋体" w:cs="宋体"/>
          <w:b/>
          <w:sz w:val="24"/>
          <w:szCs w:val="24"/>
          <w:lang w:eastAsia="zh-CN"/>
        </w:rPr>
        <w:t>）</w:t>
      </w:r>
      <w:r>
        <w:rPr>
          <w:rFonts w:hint="eastAsia" w:ascii="宋体" w:hAnsi="宋体" w:eastAsia="宋体" w:cs="宋体"/>
          <w:b/>
          <w:sz w:val="24"/>
          <w:szCs w:val="24"/>
        </w:rPr>
        <w:t>特殊资格要求</w:t>
      </w:r>
    </w:p>
    <w:p>
      <w:pPr>
        <w:spacing w:line="360" w:lineRule="auto"/>
        <w:rPr>
          <w:rFonts w:hint="eastAsia" w:ascii="宋体" w:hAnsi="宋体" w:eastAsia="宋体" w:cs="宋体"/>
          <w:sz w:val="24"/>
          <w:szCs w:val="24"/>
        </w:rPr>
      </w:pPr>
      <w:r>
        <w:rPr>
          <w:rFonts w:hint="eastAsia" w:ascii="宋体" w:hAnsi="宋体" w:eastAsia="宋体" w:cs="宋体"/>
          <w:sz w:val="24"/>
          <w:szCs w:val="24"/>
        </w:rPr>
        <w:t>1）单位负责人为同一人或者存在直接控股、管理关系的不同供应商，不得同时参加本采购项目投标；</w:t>
      </w:r>
    </w:p>
    <w:p>
      <w:pPr>
        <w:spacing w:line="360" w:lineRule="auto"/>
        <w:rPr>
          <w:rFonts w:hint="eastAsia" w:ascii="宋体" w:hAnsi="宋体" w:eastAsia="宋体" w:cs="宋体"/>
          <w:sz w:val="24"/>
          <w:szCs w:val="24"/>
        </w:rPr>
      </w:pPr>
      <w:r>
        <w:rPr>
          <w:rFonts w:hint="eastAsia" w:ascii="宋体" w:hAnsi="宋体" w:eastAsia="宋体" w:cs="宋体"/>
          <w:sz w:val="24"/>
          <w:szCs w:val="24"/>
        </w:rPr>
        <w:t>2）本项目不接受联合体投标；</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8、获取招标文件信息:</w:t>
      </w:r>
      <w:r>
        <w:rPr>
          <w:rFonts w:hint="eastAsia" w:ascii="宋体" w:hAnsi="宋体" w:eastAsia="宋体" w:cs="宋体"/>
          <w:b/>
          <w:sz w:val="24"/>
          <w:szCs w:val="24"/>
        </w:rPr>
        <w:tab/>
      </w:r>
    </w:p>
    <w:p>
      <w:pPr>
        <w:spacing w:line="360" w:lineRule="auto"/>
        <w:rPr>
          <w:rFonts w:hint="eastAsia" w:ascii="宋体" w:hAnsi="宋体" w:eastAsia="宋体" w:cs="宋体"/>
          <w:sz w:val="24"/>
          <w:szCs w:val="24"/>
        </w:rPr>
      </w:pPr>
      <w:r>
        <w:rPr>
          <w:rFonts w:hint="eastAsia" w:ascii="宋体" w:hAnsi="宋体" w:eastAsia="宋体" w:cs="宋体"/>
          <w:sz w:val="24"/>
          <w:szCs w:val="24"/>
        </w:rPr>
        <w:t>（1）购买招标文件时间:2020年12月04日 10时00分至2020年12月11日 19时00分（北京时间）</w:t>
      </w:r>
    </w:p>
    <w:p>
      <w:pPr>
        <w:spacing w:line="360" w:lineRule="auto"/>
        <w:rPr>
          <w:rFonts w:hint="eastAsia" w:ascii="宋体" w:hAnsi="宋体" w:eastAsia="宋体" w:cs="宋体"/>
          <w:sz w:val="24"/>
          <w:szCs w:val="24"/>
        </w:rPr>
      </w:pPr>
      <w:r>
        <w:rPr>
          <w:rFonts w:hint="eastAsia" w:ascii="宋体" w:hAnsi="宋体" w:eastAsia="宋体" w:cs="宋体"/>
          <w:sz w:val="24"/>
          <w:szCs w:val="24"/>
        </w:rPr>
        <w:t>（2）购买招标文件地点:乌鲁木齐市水磨沟区龙盛街万科中央公园1期1栋1804室</w:t>
      </w:r>
    </w:p>
    <w:p>
      <w:pPr>
        <w:spacing w:line="360" w:lineRule="auto"/>
        <w:rPr>
          <w:rFonts w:hint="eastAsia" w:ascii="宋体" w:hAnsi="宋体" w:eastAsia="宋体" w:cs="宋体"/>
          <w:sz w:val="24"/>
          <w:szCs w:val="24"/>
        </w:rPr>
      </w:pPr>
      <w:r>
        <w:rPr>
          <w:rFonts w:hint="eastAsia" w:ascii="宋体" w:hAnsi="宋体" w:eastAsia="宋体" w:cs="宋体"/>
          <w:sz w:val="24"/>
          <w:szCs w:val="24"/>
        </w:rPr>
        <w:t>（3）招标文件获取方式：现场购买</w:t>
      </w:r>
    </w:p>
    <w:p>
      <w:pPr>
        <w:spacing w:line="360" w:lineRule="auto"/>
        <w:rPr>
          <w:rFonts w:hint="eastAsia" w:ascii="宋体" w:hAnsi="宋体" w:eastAsia="宋体" w:cs="宋体"/>
          <w:sz w:val="24"/>
          <w:szCs w:val="24"/>
        </w:rPr>
      </w:pPr>
      <w:r>
        <w:rPr>
          <w:rFonts w:hint="eastAsia" w:ascii="宋体" w:hAnsi="宋体" w:eastAsia="宋体" w:cs="宋体"/>
          <w:sz w:val="24"/>
          <w:szCs w:val="24"/>
        </w:rPr>
        <w:t>（4）招标文件售价:200元人民币/份</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报名时请随身携带法定代表人授权委托书及被授权人的身份证原件、三证合一的《营业执照》原件、通过“信用中国”网站（www.creditchina.gov.cn）和中国政府采购网（www.ccgp.gov.cn）渠道查询的本单位信用记录的网页，以上所有资料提供原件及复印件加盖投标单位公章的复印件</w:t>
      </w:r>
      <w:r>
        <w:rPr>
          <w:rFonts w:hint="eastAsia" w:ascii="宋体" w:hAnsi="宋体" w:eastAsia="宋体" w:cs="宋体"/>
          <w:sz w:val="24"/>
          <w:szCs w:val="24"/>
          <w:lang w:val="en-US" w:eastAsia="zh-CN"/>
        </w:rPr>
        <w:t>三</w:t>
      </w:r>
      <w:r>
        <w:rPr>
          <w:rFonts w:hint="eastAsia" w:ascii="宋体" w:hAnsi="宋体" w:eastAsia="宋体" w:cs="宋体"/>
          <w:sz w:val="24"/>
          <w:szCs w:val="24"/>
          <w:lang w:eastAsia="zh-CN"/>
        </w:rPr>
        <w:t>套，资料不齐不予受理。</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 xml:space="preserve">9、投标截止时间（北京时间）:2020年12月24日 11时00分（北京时间（逾期递交的投标文件恕不接受） </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10、开标时间（北京时间）: 2020年12月24日 11时00分（北京时间）</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11、开标地点:乌鲁木齐市水磨沟区龙盛街万科中央公园1期1栋1801室</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12、采购人名称:乌鲁木齐市水磨沟区教育局</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 xml:space="preserve"> 联系地址:乌鲁木齐市水磨沟区温泉西路141号</w:t>
      </w:r>
    </w:p>
    <w:p>
      <w:pPr>
        <w:spacing w:line="360" w:lineRule="auto"/>
        <w:ind w:firstLine="120" w:firstLineChars="50"/>
        <w:rPr>
          <w:rFonts w:hint="eastAsia" w:ascii="宋体" w:hAnsi="宋体" w:eastAsia="宋体" w:cs="宋体"/>
          <w:b/>
          <w:sz w:val="24"/>
          <w:szCs w:val="24"/>
        </w:rPr>
      </w:pPr>
      <w:r>
        <w:rPr>
          <w:rFonts w:hint="eastAsia" w:ascii="宋体" w:hAnsi="宋体" w:eastAsia="宋体" w:cs="宋体"/>
          <w:b/>
          <w:sz w:val="24"/>
          <w:szCs w:val="24"/>
        </w:rPr>
        <w:t>项目联系人: 陈家高</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 xml:space="preserve"> 联系电话: 18997911839</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 xml:space="preserve">13、购项目需要落实的政府采购政策:已落实 </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 xml:space="preserve">14、购代理机构全称: 新疆谱诚项目管理咨询有限公司 </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 xml:space="preserve"> 联系地址: 乌鲁木齐市水磨沟区龙盛街万科中央公园1期1栋1801室</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 xml:space="preserve"> 项目联系人: 王力、穆嘉文</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 xml:space="preserve"> 联系电话:13999160776、13201305600</w:t>
      </w:r>
    </w:p>
    <w:p/>
    <w:p>
      <w:pPr>
        <w:rPr>
          <w:rFonts w:hint="eastAsia" w:eastAsia="微软雅黑"/>
          <w:lang w:val="en-US" w:eastAsia="zh-CN"/>
        </w:rPr>
        <w:sectPr>
          <w:headerReference r:id="rId4" w:type="default"/>
          <w:footerReference r:id="rId5" w:type="default"/>
          <w:pgSz w:w="11910" w:h="16840"/>
          <w:pgMar w:top="1440" w:right="1562" w:bottom="1440" w:left="1800" w:header="599" w:footer="826" w:gutter="0"/>
          <w:pgNumType w:start="1"/>
          <w:cols w:space="720" w:num="1"/>
          <w:docGrid w:linePitch="299" w:charSpace="0"/>
        </w:sectPr>
      </w:pPr>
      <w:bookmarkStart w:id="73" w:name="_GoBack"/>
      <w:bookmarkEnd w:id="73"/>
    </w:p>
    <w:p>
      <w:pPr>
        <w:pStyle w:val="27"/>
        <w:ind w:left="0" w:firstLine="3119" w:firstLineChars="863"/>
        <w:jc w:val="left"/>
      </w:pPr>
      <w:bookmarkStart w:id="1" w:name="_Toc57242304"/>
      <w:r>
        <w:t>第二章 投标项目资料表</w:t>
      </w:r>
      <w:bookmarkEnd w:id="1"/>
    </w:p>
    <w:p>
      <w:pPr>
        <w:pStyle w:val="12"/>
        <w:spacing w:before="239" w:line="364" w:lineRule="auto"/>
        <w:ind w:left="576" w:right="533" w:firstLine="480"/>
      </w:pPr>
      <w:r>
        <w:t>本表关于要采购的货物的具体资料是对供应商须知的具体补充和修改，如有矛盾，应以本资料表为准。</w:t>
      </w:r>
    </w:p>
    <w:tbl>
      <w:tblPr>
        <w:tblStyle w:val="24"/>
        <w:tblW w:w="0" w:type="auto"/>
        <w:tblInd w:w="67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28"/>
        <w:gridCol w:w="3508"/>
        <w:gridCol w:w="368"/>
        <w:gridCol w:w="421"/>
        <w:gridCol w:w="397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2" w:hRule="atLeast"/>
        </w:trPr>
        <w:tc>
          <w:tcPr>
            <w:tcW w:w="928" w:type="dxa"/>
            <w:tcBorders>
              <w:bottom w:val="single" w:color="000000" w:sz="6" w:space="0"/>
              <w:right w:val="single" w:color="000000" w:sz="6" w:space="0"/>
            </w:tcBorders>
          </w:tcPr>
          <w:p>
            <w:pPr>
              <w:pStyle w:val="30"/>
              <w:spacing w:before="81"/>
              <w:ind w:left="128" w:right="107"/>
              <w:jc w:val="center"/>
              <w:rPr>
                <w:rFonts w:ascii="宋体" w:eastAsia="宋体"/>
                <w:sz w:val="21"/>
              </w:rPr>
            </w:pPr>
            <w:r>
              <w:rPr>
                <w:rFonts w:hint="eastAsia" w:ascii="宋体" w:eastAsia="宋体"/>
                <w:sz w:val="21"/>
              </w:rPr>
              <w:t>条款号</w:t>
            </w:r>
          </w:p>
        </w:tc>
        <w:tc>
          <w:tcPr>
            <w:tcW w:w="3508" w:type="dxa"/>
            <w:tcBorders>
              <w:left w:val="single" w:color="000000" w:sz="6" w:space="0"/>
              <w:bottom w:val="single" w:color="000000" w:sz="6" w:space="0"/>
              <w:right w:val="nil"/>
            </w:tcBorders>
          </w:tcPr>
          <w:p>
            <w:pPr>
              <w:pStyle w:val="30"/>
              <w:rPr>
                <w:rFonts w:ascii="Times New Roman"/>
                <w:sz w:val="20"/>
              </w:rPr>
            </w:pPr>
          </w:p>
        </w:tc>
        <w:tc>
          <w:tcPr>
            <w:tcW w:w="368" w:type="dxa"/>
            <w:tcBorders>
              <w:left w:val="nil"/>
              <w:bottom w:val="single" w:color="000000" w:sz="6" w:space="0"/>
              <w:right w:val="nil"/>
            </w:tcBorders>
          </w:tcPr>
          <w:p>
            <w:pPr>
              <w:pStyle w:val="30"/>
              <w:spacing w:before="81"/>
              <w:ind w:left="115"/>
              <w:rPr>
                <w:rFonts w:ascii="宋体" w:eastAsia="宋体"/>
                <w:b/>
                <w:sz w:val="21"/>
              </w:rPr>
            </w:pPr>
            <w:r>
              <w:rPr>
                <w:rFonts w:hint="eastAsia" w:ascii="宋体" w:eastAsia="宋体"/>
                <w:b/>
                <w:w w:val="99"/>
                <w:sz w:val="21"/>
              </w:rPr>
              <w:t>内</w:t>
            </w:r>
          </w:p>
        </w:tc>
        <w:tc>
          <w:tcPr>
            <w:tcW w:w="421" w:type="dxa"/>
            <w:tcBorders>
              <w:left w:val="nil"/>
              <w:bottom w:val="single" w:color="000000" w:sz="6" w:space="0"/>
              <w:right w:val="nil"/>
            </w:tcBorders>
          </w:tcPr>
          <w:p>
            <w:pPr>
              <w:pStyle w:val="30"/>
              <w:rPr>
                <w:rFonts w:ascii="Times New Roman"/>
                <w:sz w:val="20"/>
              </w:rPr>
            </w:pPr>
          </w:p>
        </w:tc>
        <w:tc>
          <w:tcPr>
            <w:tcW w:w="3971" w:type="dxa"/>
            <w:tcBorders>
              <w:left w:val="nil"/>
              <w:bottom w:val="single" w:color="000000" w:sz="6" w:space="0"/>
            </w:tcBorders>
          </w:tcPr>
          <w:p>
            <w:pPr>
              <w:pStyle w:val="30"/>
              <w:spacing w:before="81"/>
              <w:ind w:left="168"/>
              <w:rPr>
                <w:rFonts w:ascii="宋体" w:eastAsia="宋体"/>
                <w:b/>
                <w:sz w:val="21"/>
              </w:rPr>
            </w:pPr>
            <w:r>
              <w:rPr>
                <w:rFonts w:hint="eastAsia" w:ascii="宋体" w:eastAsia="宋体"/>
                <w:b/>
                <w:w w:val="99"/>
                <w:sz w:val="21"/>
              </w:rPr>
              <w:t>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6" w:hRule="atLeast"/>
        </w:trPr>
        <w:tc>
          <w:tcPr>
            <w:tcW w:w="928" w:type="dxa"/>
            <w:tcBorders>
              <w:top w:val="single" w:color="000000" w:sz="6" w:space="0"/>
              <w:bottom w:val="single" w:color="000000" w:sz="6" w:space="0"/>
              <w:right w:val="nil"/>
            </w:tcBorders>
          </w:tcPr>
          <w:p>
            <w:pPr>
              <w:pStyle w:val="30"/>
              <w:rPr>
                <w:rFonts w:ascii="Times New Roman"/>
                <w:sz w:val="20"/>
              </w:rPr>
            </w:pPr>
          </w:p>
        </w:tc>
        <w:tc>
          <w:tcPr>
            <w:tcW w:w="3508" w:type="dxa"/>
            <w:tcBorders>
              <w:top w:val="single" w:color="000000" w:sz="6" w:space="0"/>
              <w:left w:val="nil"/>
              <w:bottom w:val="single" w:color="000000" w:sz="6" w:space="0"/>
              <w:right w:val="nil"/>
            </w:tcBorders>
          </w:tcPr>
          <w:p>
            <w:pPr>
              <w:pStyle w:val="30"/>
              <w:spacing w:before="67"/>
              <w:ind w:right="85"/>
              <w:jc w:val="right"/>
              <w:rPr>
                <w:rFonts w:ascii="宋体" w:eastAsia="宋体"/>
                <w:b/>
                <w:sz w:val="21"/>
              </w:rPr>
            </w:pPr>
            <w:r>
              <w:rPr>
                <w:rFonts w:hint="eastAsia" w:ascii="宋体" w:eastAsia="宋体"/>
                <w:b/>
                <w:w w:val="99"/>
                <w:sz w:val="21"/>
              </w:rPr>
              <w:t>说</w:t>
            </w:r>
          </w:p>
        </w:tc>
        <w:tc>
          <w:tcPr>
            <w:tcW w:w="368" w:type="dxa"/>
            <w:tcBorders>
              <w:top w:val="single" w:color="000000" w:sz="6" w:space="0"/>
              <w:left w:val="nil"/>
              <w:bottom w:val="single" w:color="000000" w:sz="6" w:space="0"/>
              <w:right w:val="nil"/>
            </w:tcBorders>
          </w:tcPr>
          <w:p>
            <w:pPr>
              <w:pStyle w:val="30"/>
              <w:rPr>
                <w:rFonts w:ascii="Times New Roman"/>
                <w:sz w:val="20"/>
              </w:rPr>
            </w:pPr>
          </w:p>
        </w:tc>
        <w:tc>
          <w:tcPr>
            <w:tcW w:w="421" w:type="dxa"/>
            <w:tcBorders>
              <w:top w:val="single" w:color="000000" w:sz="6" w:space="0"/>
              <w:left w:val="nil"/>
              <w:bottom w:val="single" w:color="000000" w:sz="6" w:space="0"/>
              <w:right w:val="nil"/>
            </w:tcBorders>
          </w:tcPr>
          <w:p>
            <w:pPr>
              <w:pStyle w:val="30"/>
              <w:spacing w:before="67"/>
              <w:ind w:left="73"/>
              <w:rPr>
                <w:rFonts w:ascii="宋体" w:eastAsia="宋体"/>
                <w:b/>
                <w:sz w:val="21"/>
              </w:rPr>
            </w:pPr>
            <w:r>
              <w:rPr>
                <w:rFonts w:hint="eastAsia" w:ascii="宋体" w:eastAsia="宋体"/>
                <w:b/>
                <w:w w:val="99"/>
                <w:sz w:val="21"/>
              </w:rPr>
              <w:t>明</w:t>
            </w:r>
          </w:p>
        </w:tc>
        <w:tc>
          <w:tcPr>
            <w:tcW w:w="3971" w:type="dxa"/>
            <w:tcBorders>
              <w:top w:val="single" w:color="000000" w:sz="6" w:space="0"/>
              <w:left w:val="nil"/>
              <w:bottom w:val="single" w:color="000000" w:sz="6" w:space="0"/>
            </w:tcBorders>
          </w:tcPr>
          <w:p>
            <w:pPr>
              <w:pStyle w:val="30"/>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4" w:hRule="atLeast"/>
        </w:trPr>
        <w:tc>
          <w:tcPr>
            <w:tcW w:w="928" w:type="dxa"/>
            <w:tcBorders>
              <w:top w:val="single" w:color="000000" w:sz="6" w:space="0"/>
              <w:bottom w:val="single" w:color="000000" w:sz="4" w:space="0"/>
              <w:right w:val="single" w:color="000000" w:sz="6" w:space="0"/>
            </w:tcBorders>
            <w:vAlign w:val="center"/>
          </w:tcPr>
          <w:p>
            <w:pPr>
              <w:pStyle w:val="30"/>
              <w:spacing w:before="37"/>
              <w:ind w:left="20"/>
              <w:jc w:val="center"/>
              <w:rPr>
                <w:rFonts w:ascii="宋体"/>
                <w:sz w:val="21"/>
              </w:rPr>
            </w:pPr>
            <w:r>
              <w:rPr>
                <w:rFonts w:ascii="宋体"/>
                <w:w w:val="99"/>
                <w:sz w:val="21"/>
              </w:rPr>
              <w:t>1</w:t>
            </w:r>
          </w:p>
        </w:tc>
        <w:tc>
          <w:tcPr>
            <w:tcW w:w="8268" w:type="dxa"/>
            <w:gridSpan w:val="4"/>
            <w:tcBorders>
              <w:top w:val="single" w:color="000000" w:sz="6" w:space="0"/>
              <w:left w:val="single" w:color="000000" w:sz="6" w:space="0"/>
              <w:bottom w:val="single" w:color="000000" w:sz="4" w:space="0"/>
            </w:tcBorders>
          </w:tcPr>
          <w:p>
            <w:pPr>
              <w:pStyle w:val="30"/>
              <w:spacing w:before="37"/>
              <w:ind w:left="35"/>
              <w:rPr>
                <w:rFonts w:ascii="宋体" w:eastAsia="宋体"/>
                <w:sz w:val="21"/>
              </w:rPr>
            </w:pPr>
            <w:r>
              <w:rPr>
                <w:rFonts w:hint="eastAsia" w:ascii="宋体" w:eastAsia="宋体"/>
                <w:sz w:val="21"/>
              </w:rPr>
              <w:t>采购人名称：乌鲁木齐市水磨沟区教育局</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16" w:hRule="atLeast"/>
        </w:trPr>
        <w:tc>
          <w:tcPr>
            <w:tcW w:w="928" w:type="dxa"/>
            <w:tcBorders>
              <w:top w:val="single" w:color="000000" w:sz="4" w:space="0"/>
              <w:bottom w:val="single" w:color="000000" w:sz="6" w:space="0"/>
              <w:right w:val="single" w:color="000000" w:sz="6" w:space="0"/>
            </w:tcBorders>
            <w:vAlign w:val="center"/>
          </w:tcPr>
          <w:p>
            <w:pPr>
              <w:pStyle w:val="30"/>
              <w:jc w:val="center"/>
              <w:rPr>
                <w:rFonts w:ascii="宋体"/>
                <w:sz w:val="16"/>
              </w:rPr>
            </w:pPr>
          </w:p>
          <w:p>
            <w:pPr>
              <w:pStyle w:val="30"/>
              <w:ind w:left="20"/>
              <w:jc w:val="center"/>
              <w:rPr>
                <w:rFonts w:ascii="宋体"/>
                <w:sz w:val="21"/>
              </w:rPr>
            </w:pPr>
            <w:r>
              <w:rPr>
                <w:rFonts w:ascii="宋体"/>
                <w:w w:val="99"/>
                <w:sz w:val="21"/>
              </w:rPr>
              <w:t>2</w:t>
            </w:r>
          </w:p>
        </w:tc>
        <w:tc>
          <w:tcPr>
            <w:tcW w:w="8268" w:type="dxa"/>
            <w:gridSpan w:val="4"/>
            <w:tcBorders>
              <w:top w:val="single" w:color="000000" w:sz="4" w:space="0"/>
              <w:left w:val="single" w:color="000000" w:sz="6" w:space="0"/>
              <w:bottom w:val="single" w:color="000000" w:sz="6" w:space="0"/>
            </w:tcBorders>
          </w:tcPr>
          <w:p>
            <w:pPr>
              <w:pStyle w:val="30"/>
              <w:spacing w:before="1"/>
              <w:ind w:left="35"/>
              <w:rPr>
                <w:rFonts w:ascii="宋体" w:eastAsia="宋体"/>
                <w:sz w:val="21"/>
              </w:rPr>
            </w:pPr>
            <w:r>
              <w:rPr>
                <w:rFonts w:hint="eastAsia" w:ascii="宋体" w:eastAsia="宋体"/>
                <w:sz w:val="21"/>
              </w:rPr>
              <w:t>项目名称：水区中小学信息化建设水平优化提升项目</w:t>
            </w:r>
          </w:p>
          <w:p>
            <w:pPr>
              <w:pStyle w:val="30"/>
              <w:spacing w:before="139"/>
              <w:ind w:left="35"/>
              <w:rPr>
                <w:rFonts w:ascii="宋体" w:eastAsia="宋体"/>
                <w:sz w:val="21"/>
              </w:rPr>
            </w:pPr>
            <w:r>
              <w:rPr>
                <w:rFonts w:hint="eastAsia" w:ascii="宋体" w:eastAsia="宋体"/>
                <w:sz w:val="21"/>
              </w:rPr>
              <w:t>采购编号：</w:t>
            </w:r>
            <w:r>
              <w:rPr>
                <w:rFonts w:ascii="宋体" w:eastAsia="宋体"/>
                <w:sz w:val="21"/>
              </w:rPr>
              <w:t>XJPCFW2020-042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17" w:hRule="atLeast"/>
        </w:trPr>
        <w:tc>
          <w:tcPr>
            <w:tcW w:w="928" w:type="dxa"/>
            <w:tcBorders>
              <w:top w:val="single" w:color="000000" w:sz="6" w:space="0"/>
              <w:bottom w:val="single" w:color="000000" w:sz="6" w:space="0"/>
              <w:right w:val="single" w:color="000000" w:sz="6" w:space="0"/>
            </w:tcBorders>
            <w:vAlign w:val="center"/>
          </w:tcPr>
          <w:p>
            <w:pPr>
              <w:pStyle w:val="30"/>
              <w:spacing w:before="1"/>
              <w:jc w:val="center"/>
              <w:rPr>
                <w:rFonts w:ascii="宋体"/>
                <w:sz w:val="16"/>
              </w:rPr>
            </w:pPr>
          </w:p>
          <w:p>
            <w:pPr>
              <w:pStyle w:val="30"/>
              <w:ind w:left="20"/>
              <w:jc w:val="center"/>
              <w:rPr>
                <w:rFonts w:ascii="宋体"/>
                <w:sz w:val="21"/>
              </w:rPr>
            </w:pPr>
            <w:r>
              <w:rPr>
                <w:rFonts w:ascii="宋体"/>
                <w:w w:val="99"/>
                <w:sz w:val="21"/>
              </w:rPr>
              <w:t>3</w:t>
            </w:r>
          </w:p>
        </w:tc>
        <w:tc>
          <w:tcPr>
            <w:tcW w:w="8268" w:type="dxa"/>
            <w:gridSpan w:val="4"/>
            <w:tcBorders>
              <w:top w:val="single" w:color="000000" w:sz="6" w:space="0"/>
              <w:left w:val="single" w:color="000000" w:sz="6" w:space="0"/>
              <w:bottom w:val="single" w:color="000000" w:sz="6" w:space="0"/>
            </w:tcBorders>
          </w:tcPr>
          <w:p>
            <w:pPr>
              <w:pStyle w:val="30"/>
              <w:spacing w:before="2"/>
              <w:ind w:left="35"/>
              <w:rPr>
                <w:rFonts w:ascii="宋体" w:eastAsia="宋体"/>
                <w:sz w:val="21"/>
              </w:rPr>
            </w:pPr>
            <w:r>
              <w:rPr>
                <w:rFonts w:hint="eastAsia" w:ascii="宋体" w:eastAsia="宋体"/>
                <w:sz w:val="21"/>
              </w:rPr>
              <w:t>本项目采购预算价为：</w:t>
            </w:r>
            <w:r>
              <w:rPr>
                <w:rFonts w:ascii="宋体" w:eastAsia="宋体"/>
                <w:sz w:val="21"/>
              </w:rPr>
              <w:t>68703</w:t>
            </w:r>
            <w:r>
              <w:rPr>
                <w:rFonts w:hint="eastAsia" w:ascii="宋体" w:eastAsia="宋体"/>
                <w:sz w:val="21"/>
              </w:rPr>
              <w:t>000.00</w:t>
            </w:r>
            <w:r>
              <w:rPr>
                <w:rFonts w:ascii="宋体" w:eastAsia="宋体"/>
                <w:sz w:val="21"/>
              </w:rPr>
              <w:t xml:space="preserve"> 元</w:t>
            </w:r>
          </w:p>
          <w:p>
            <w:pPr>
              <w:pStyle w:val="30"/>
              <w:spacing w:before="139"/>
              <w:ind w:left="35"/>
              <w:rPr>
                <w:rFonts w:ascii="宋体" w:eastAsia="宋体"/>
                <w:sz w:val="21"/>
              </w:rPr>
            </w:pPr>
            <w:r>
              <w:rPr>
                <w:rFonts w:hint="eastAsia" w:ascii="宋体" w:eastAsia="宋体"/>
                <w:sz w:val="21"/>
              </w:rPr>
              <w:t>供应商的投标报价不得超过采购预算否则予以废标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16" w:hRule="atLeast"/>
        </w:trPr>
        <w:tc>
          <w:tcPr>
            <w:tcW w:w="928" w:type="dxa"/>
            <w:tcBorders>
              <w:top w:val="single" w:color="000000" w:sz="6" w:space="0"/>
              <w:bottom w:val="single" w:color="000000" w:sz="6" w:space="0"/>
              <w:right w:val="single" w:color="000000" w:sz="6" w:space="0"/>
            </w:tcBorders>
            <w:vAlign w:val="center"/>
          </w:tcPr>
          <w:p>
            <w:pPr>
              <w:pStyle w:val="30"/>
              <w:jc w:val="center"/>
              <w:rPr>
                <w:rFonts w:ascii="宋体"/>
                <w:sz w:val="20"/>
              </w:rPr>
            </w:pPr>
          </w:p>
          <w:p>
            <w:pPr>
              <w:pStyle w:val="30"/>
              <w:spacing w:before="10"/>
              <w:jc w:val="center"/>
              <w:rPr>
                <w:rFonts w:ascii="宋体"/>
                <w:sz w:val="27"/>
              </w:rPr>
            </w:pPr>
          </w:p>
          <w:p>
            <w:pPr>
              <w:pStyle w:val="30"/>
              <w:ind w:left="20"/>
              <w:jc w:val="center"/>
              <w:rPr>
                <w:rFonts w:ascii="宋体"/>
                <w:sz w:val="21"/>
              </w:rPr>
            </w:pPr>
            <w:r>
              <w:rPr>
                <w:rFonts w:ascii="宋体"/>
                <w:w w:val="99"/>
                <w:sz w:val="21"/>
              </w:rPr>
              <w:t>4</w:t>
            </w:r>
          </w:p>
        </w:tc>
        <w:tc>
          <w:tcPr>
            <w:tcW w:w="8268" w:type="dxa"/>
            <w:gridSpan w:val="4"/>
            <w:tcBorders>
              <w:top w:val="single" w:color="000000" w:sz="6" w:space="0"/>
              <w:left w:val="single" w:color="000000" w:sz="6" w:space="0"/>
              <w:bottom w:val="single" w:color="000000" w:sz="6" w:space="0"/>
            </w:tcBorders>
          </w:tcPr>
          <w:p>
            <w:pPr>
              <w:pStyle w:val="30"/>
              <w:ind w:left="35"/>
              <w:rPr>
                <w:rFonts w:ascii="宋体" w:eastAsia="宋体"/>
                <w:sz w:val="21"/>
              </w:rPr>
            </w:pPr>
            <w:r>
              <w:rPr>
                <w:rFonts w:hint="eastAsia" w:ascii="宋体" w:eastAsia="宋体"/>
                <w:sz w:val="21"/>
              </w:rPr>
              <w:t>标段划分：本项目共 1 个标段</w:t>
            </w:r>
          </w:p>
          <w:p>
            <w:pPr>
              <w:pStyle w:val="30"/>
              <w:spacing w:before="139"/>
              <w:ind w:left="35"/>
              <w:rPr>
                <w:rFonts w:ascii="宋体" w:eastAsia="宋体"/>
                <w:spacing w:val="-8"/>
                <w:sz w:val="21"/>
              </w:rPr>
            </w:pPr>
            <w:r>
              <w:rPr>
                <w:rFonts w:hint="eastAsia" w:ascii="宋体" w:eastAsia="宋体"/>
                <w:spacing w:val="-4"/>
                <w:sz w:val="21"/>
              </w:rPr>
              <w:t>采购内容：</w:t>
            </w:r>
            <w:r>
              <w:rPr>
                <w:rFonts w:hint="eastAsia" w:ascii="宋体" w:eastAsia="宋体"/>
                <w:spacing w:val="-8"/>
                <w:sz w:val="21"/>
              </w:rPr>
              <w:t>具体参数详见采购清单</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16" w:hRule="atLeast"/>
        </w:trPr>
        <w:tc>
          <w:tcPr>
            <w:tcW w:w="928" w:type="dxa"/>
            <w:tcBorders>
              <w:top w:val="single" w:color="000000" w:sz="6" w:space="0"/>
              <w:bottom w:val="single" w:color="000000" w:sz="6" w:space="0"/>
              <w:right w:val="single" w:color="000000" w:sz="6" w:space="0"/>
            </w:tcBorders>
            <w:vAlign w:val="center"/>
          </w:tcPr>
          <w:p>
            <w:pPr>
              <w:pStyle w:val="30"/>
              <w:spacing w:before="12"/>
              <w:jc w:val="center"/>
              <w:rPr>
                <w:rFonts w:ascii="宋体"/>
                <w:sz w:val="15"/>
              </w:rPr>
            </w:pPr>
          </w:p>
          <w:p>
            <w:pPr>
              <w:pStyle w:val="30"/>
              <w:ind w:left="20"/>
              <w:jc w:val="center"/>
              <w:rPr>
                <w:rFonts w:ascii="宋体"/>
                <w:sz w:val="21"/>
              </w:rPr>
            </w:pPr>
            <w:r>
              <w:rPr>
                <w:rFonts w:ascii="宋体"/>
                <w:w w:val="99"/>
                <w:sz w:val="21"/>
              </w:rPr>
              <w:t>5</w:t>
            </w:r>
          </w:p>
        </w:tc>
        <w:tc>
          <w:tcPr>
            <w:tcW w:w="8268" w:type="dxa"/>
            <w:gridSpan w:val="4"/>
            <w:tcBorders>
              <w:top w:val="single" w:color="000000" w:sz="6" w:space="0"/>
              <w:left w:val="single" w:color="000000" w:sz="6" w:space="0"/>
              <w:bottom w:val="single" w:color="000000" w:sz="6" w:space="0"/>
            </w:tcBorders>
          </w:tcPr>
          <w:p>
            <w:pPr>
              <w:pStyle w:val="30"/>
              <w:ind w:left="35"/>
              <w:rPr>
                <w:rFonts w:ascii="宋体" w:eastAsia="宋体"/>
                <w:sz w:val="21"/>
              </w:rPr>
            </w:pPr>
            <w:r>
              <w:rPr>
                <w:rFonts w:hint="eastAsia" w:ascii="宋体" w:eastAsia="宋体"/>
                <w:sz w:val="21"/>
              </w:rPr>
              <w:t>本项目交货及安装期：合同签订后90个工作日内</w:t>
            </w:r>
          </w:p>
          <w:p>
            <w:pPr>
              <w:pStyle w:val="30"/>
              <w:spacing w:before="139"/>
              <w:ind w:left="35"/>
              <w:rPr>
                <w:rFonts w:ascii="宋体" w:eastAsia="宋体"/>
                <w:sz w:val="21"/>
              </w:rPr>
            </w:pPr>
            <w:r>
              <w:rPr>
                <w:rFonts w:hint="eastAsia" w:ascii="宋体" w:eastAsia="宋体"/>
                <w:sz w:val="21"/>
              </w:rPr>
              <w:t>本项目交货地点：采购人指定地点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17" w:hRule="atLeast"/>
        </w:trPr>
        <w:tc>
          <w:tcPr>
            <w:tcW w:w="928" w:type="dxa"/>
            <w:tcBorders>
              <w:top w:val="single" w:color="000000" w:sz="6" w:space="0"/>
              <w:bottom w:val="single" w:color="000000" w:sz="6" w:space="0"/>
              <w:right w:val="single" w:color="000000" w:sz="6" w:space="0"/>
            </w:tcBorders>
            <w:vAlign w:val="center"/>
          </w:tcPr>
          <w:p>
            <w:pPr>
              <w:pStyle w:val="30"/>
              <w:jc w:val="center"/>
              <w:rPr>
                <w:rFonts w:ascii="宋体"/>
                <w:sz w:val="16"/>
              </w:rPr>
            </w:pPr>
          </w:p>
          <w:p>
            <w:pPr>
              <w:pStyle w:val="30"/>
              <w:ind w:left="20"/>
              <w:jc w:val="center"/>
              <w:rPr>
                <w:rFonts w:ascii="宋体"/>
                <w:sz w:val="21"/>
              </w:rPr>
            </w:pPr>
            <w:r>
              <w:rPr>
                <w:rFonts w:ascii="宋体"/>
                <w:w w:val="99"/>
                <w:sz w:val="21"/>
              </w:rPr>
              <w:t>6</w:t>
            </w:r>
          </w:p>
        </w:tc>
        <w:tc>
          <w:tcPr>
            <w:tcW w:w="8268" w:type="dxa"/>
            <w:gridSpan w:val="4"/>
            <w:tcBorders>
              <w:top w:val="single" w:color="000000" w:sz="6" w:space="0"/>
              <w:left w:val="single" w:color="000000" w:sz="6" w:space="0"/>
              <w:bottom w:val="single" w:color="000000" w:sz="6" w:space="0"/>
            </w:tcBorders>
          </w:tcPr>
          <w:p>
            <w:pPr>
              <w:pStyle w:val="30"/>
              <w:spacing w:before="1"/>
              <w:ind w:left="35"/>
              <w:rPr>
                <w:rFonts w:ascii="宋体" w:eastAsia="宋体"/>
                <w:sz w:val="21"/>
              </w:rPr>
            </w:pPr>
            <w:r>
              <w:rPr>
                <w:rFonts w:hint="eastAsia" w:ascii="宋体" w:eastAsia="宋体"/>
                <w:sz w:val="21"/>
              </w:rPr>
              <w:t>质量要求：合格，满足采购人要求</w:t>
            </w:r>
          </w:p>
          <w:p>
            <w:pPr>
              <w:pStyle w:val="30"/>
              <w:spacing w:before="139"/>
              <w:ind w:left="35"/>
              <w:rPr>
                <w:rFonts w:ascii="宋体" w:eastAsia="宋体"/>
                <w:sz w:val="21"/>
              </w:rPr>
            </w:pPr>
            <w:r>
              <w:rPr>
                <w:rFonts w:hint="eastAsia" w:ascii="宋体" w:eastAsia="宋体"/>
                <w:sz w:val="21"/>
              </w:rPr>
              <w:t>验收标准：按国家行业标准验收</w:t>
            </w:r>
          </w:p>
          <w:p>
            <w:pPr>
              <w:widowControl/>
              <w:rPr>
                <w:rFonts w:ascii="宋体" w:eastAsia="宋体"/>
                <w:sz w:val="21"/>
              </w:rPr>
            </w:pPr>
            <w:r>
              <w:rPr>
                <w:rFonts w:hint="eastAsia" w:ascii="宋体" w:eastAsia="宋体"/>
                <w:sz w:val="21"/>
              </w:rPr>
              <w:t>付款方式：验收合格、达到质保要求后30日内付合同总额的33%；质保期满一年后无质量问题，进行二次验收，验收合格后30日内付合同总额的33%；质保期满二年后无质量问题，进行三次验收，验收合格后30日内付合同总额的31%；剩余3%在质保期满五年后一次性付清。每一次验收由招标人委托的第三方组织完成，完成相关检验后验收费用由中标人支付。</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trPr>
        <w:tc>
          <w:tcPr>
            <w:tcW w:w="928" w:type="dxa"/>
            <w:tcBorders>
              <w:top w:val="single" w:color="000000" w:sz="6" w:space="0"/>
              <w:right w:val="single" w:color="000000" w:sz="6" w:space="0"/>
            </w:tcBorders>
          </w:tcPr>
          <w:p>
            <w:pPr>
              <w:pStyle w:val="30"/>
              <w:rPr>
                <w:rFonts w:ascii="宋体"/>
                <w:sz w:val="20"/>
              </w:rPr>
            </w:pPr>
          </w:p>
          <w:p>
            <w:pPr>
              <w:pStyle w:val="30"/>
              <w:rPr>
                <w:rFonts w:ascii="宋体"/>
                <w:sz w:val="20"/>
              </w:rPr>
            </w:pPr>
          </w:p>
          <w:p>
            <w:pPr>
              <w:pStyle w:val="30"/>
              <w:rPr>
                <w:rFonts w:ascii="宋体"/>
                <w:sz w:val="20"/>
              </w:rPr>
            </w:pPr>
          </w:p>
          <w:p>
            <w:pPr>
              <w:pStyle w:val="30"/>
              <w:rPr>
                <w:rFonts w:ascii="宋体"/>
                <w:sz w:val="20"/>
              </w:rPr>
            </w:pPr>
          </w:p>
          <w:p>
            <w:pPr>
              <w:pStyle w:val="30"/>
              <w:rPr>
                <w:rFonts w:ascii="宋体"/>
                <w:sz w:val="20"/>
              </w:rPr>
            </w:pPr>
          </w:p>
          <w:p>
            <w:pPr>
              <w:pStyle w:val="30"/>
              <w:rPr>
                <w:rFonts w:ascii="宋体"/>
                <w:sz w:val="20"/>
              </w:rPr>
            </w:pPr>
          </w:p>
          <w:p>
            <w:pPr>
              <w:pStyle w:val="30"/>
              <w:rPr>
                <w:rFonts w:ascii="宋体"/>
                <w:sz w:val="20"/>
              </w:rPr>
            </w:pPr>
          </w:p>
          <w:p>
            <w:pPr>
              <w:pStyle w:val="30"/>
              <w:rPr>
                <w:rFonts w:ascii="宋体"/>
                <w:sz w:val="20"/>
              </w:rPr>
            </w:pPr>
          </w:p>
          <w:p>
            <w:pPr>
              <w:pStyle w:val="30"/>
              <w:rPr>
                <w:rFonts w:ascii="宋体"/>
                <w:sz w:val="20"/>
              </w:rPr>
            </w:pPr>
          </w:p>
          <w:p>
            <w:pPr>
              <w:pStyle w:val="30"/>
              <w:spacing w:before="136"/>
              <w:ind w:left="20"/>
              <w:jc w:val="center"/>
              <w:rPr>
                <w:rFonts w:ascii="宋体"/>
                <w:sz w:val="21"/>
              </w:rPr>
            </w:pPr>
            <w:r>
              <w:rPr>
                <w:rFonts w:ascii="宋体"/>
                <w:w w:val="99"/>
                <w:sz w:val="21"/>
              </w:rPr>
              <w:t>7</w:t>
            </w:r>
          </w:p>
        </w:tc>
        <w:tc>
          <w:tcPr>
            <w:tcW w:w="8268" w:type="dxa"/>
            <w:gridSpan w:val="4"/>
            <w:tcBorders>
              <w:top w:val="single" w:color="000000" w:sz="6" w:space="0"/>
              <w:left w:val="single" w:color="000000" w:sz="6" w:space="0"/>
            </w:tcBorders>
          </w:tcPr>
          <w:p>
            <w:pPr>
              <w:pStyle w:val="30"/>
              <w:spacing w:before="2"/>
              <w:ind w:left="35"/>
              <w:rPr>
                <w:rFonts w:ascii="宋体" w:eastAsia="宋体"/>
                <w:b/>
                <w:sz w:val="21"/>
                <w:lang w:val="en-US"/>
              </w:rPr>
            </w:pPr>
            <w:r>
              <w:rPr>
                <w:rFonts w:hint="eastAsia" w:ascii="宋体" w:eastAsia="宋体"/>
                <w:b/>
                <w:sz w:val="21"/>
                <w:lang w:val="en-US"/>
              </w:rPr>
              <w:t>（1）一般资格要求</w:t>
            </w:r>
          </w:p>
          <w:p>
            <w:pPr>
              <w:pStyle w:val="30"/>
              <w:spacing w:before="2"/>
              <w:ind w:left="35"/>
              <w:rPr>
                <w:rFonts w:ascii="宋体" w:eastAsia="宋体"/>
                <w:sz w:val="21"/>
                <w:lang w:val="en-US"/>
              </w:rPr>
            </w:pPr>
            <w:r>
              <w:rPr>
                <w:rFonts w:hint="eastAsia" w:ascii="宋体" w:eastAsia="宋体"/>
                <w:sz w:val="21"/>
                <w:lang w:val="en-US"/>
              </w:rPr>
              <w:t>1）符合《中华人民共和国政府采购法》第二十二条及《中华人民共和国政府采购法实施条例》第十七条之规定：</w:t>
            </w:r>
          </w:p>
          <w:p>
            <w:pPr>
              <w:pStyle w:val="30"/>
              <w:spacing w:before="2"/>
              <w:ind w:left="35"/>
              <w:rPr>
                <w:rFonts w:ascii="宋体" w:eastAsia="宋体"/>
                <w:sz w:val="21"/>
                <w:lang w:val="en-US"/>
              </w:rPr>
            </w:pPr>
            <w:r>
              <w:rPr>
                <w:rFonts w:hint="eastAsia" w:ascii="宋体" w:eastAsia="宋体"/>
                <w:sz w:val="21"/>
                <w:lang w:val="en-US"/>
              </w:rPr>
              <w:t>①具有独立承担民事责任的能力【提供具有统一社会信用代码的营业执照（或事业单位法人登记证）（经营范围符合本次采购范围）】；</w:t>
            </w:r>
          </w:p>
          <w:p>
            <w:pPr>
              <w:pStyle w:val="30"/>
              <w:spacing w:before="2"/>
              <w:ind w:left="35"/>
              <w:rPr>
                <w:rFonts w:ascii="宋体" w:eastAsia="宋体"/>
                <w:sz w:val="21"/>
                <w:lang w:val="en-US"/>
              </w:rPr>
            </w:pPr>
            <w:r>
              <w:rPr>
                <w:rFonts w:hint="eastAsia" w:ascii="宋体" w:eastAsia="宋体"/>
                <w:sz w:val="21"/>
                <w:lang w:val="en-US"/>
              </w:rPr>
              <w:t>②具有良好的商业信誉和健全的财务会计制度【提供2019年度第三方完整的财务审计报告（或不满一年的新公司提供基本开户银行出具的资信证明，资信证明开具日期为采购公告发布之日后）（注：审计报告应盖有会计师事务所单位公章和注册会计师的执业专用章，并附会计师事务所的营业执照及执业证书复印件）】；</w:t>
            </w:r>
          </w:p>
          <w:p>
            <w:pPr>
              <w:pStyle w:val="30"/>
              <w:spacing w:before="2"/>
              <w:ind w:left="35"/>
              <w:rPr>
                <w:rFonts w:ascii="宋体" w:eastAsia="宋体"/>
                <w:sz w:val="21"/>
                <w:lang w:val="en-US"/>
              </w:rPr>
            </w:pPr>
            <w:r>
              <w:rPr>
                <w:rFonts w:hint="eastAsia" w:ascii="宋体" w:eastAsia="宋体"/>
                <w:sz w:val="21"/>
                <w:lang w:val="en-US"/>
              </w:rPr>
              <w:t>③具有履行合同所必需的设备和专业技术能力</w:t>
            </w:r>
          </w:p>
          <w:p>
            <w:pPr>
              <w:pStyle w:val="30"/>
              <w:spacing w:before="2"/>
              <w:ind w:left="35"/>
              <w:rPr>
                <w:rFonts w:ascii="宋体" w:eastAsia="宋体"/>
                <w:sz w:val="21"/>
                <w:lang w:val="en-US"/>
              </w:rPr>
            </w:pPr>
            <w:r>
              <w:rPr>
                <w:rFonts w:hint="eastAsia" w:ascii="宋体" w:eastAsia="宋体"/>
                <w:sz w:val="21"/>
                <w:lang w:val="en-US"/>
              </w:rPr>
              <w:t>④有依法缴纳税收和社会保障资金的良好记录【提供2019年任意6个月内依法缴纳税收和社会保障资金的证明材料；（新成立的公司提供成立次月至投标截止时间前一个月依法缴纳税收和社会保障资金的证明材料；如依法免税或不需要缴纳社会保障资金的，提供相应证明材料】；</w:t>
            </w:r>
          </w:p>
          <w:p>
            <w:pPr>
              <w:pStyle w:val="30"/>
              <w:spacing w:before="2"/>
              <w:ind w:left="35"/>
              <w:rPr>
                <w:rFonts w:ascii="宋体" w:eastAsia="宋体"/>
                <w:sz w:val="21"/>
                <w:lang w:val="en-US"/>
              </w:rPr>
            </w:pPr>
            <w:r>
              <w:rPr>
                <w:rFonts w:hint="eastAsia" w:ascii="宋体" w:eastAsia="宋体"/>
                <w:sz w:val="21"/>
                <w:lang w:val="en-US"/>
              </w:rPr>
              <w:t>⑤参加本次政府采购活动前三年内，在经营活动中没有重大违法记录及法律、行政法规规定的其他条件。</w:t>
            </w:r>
          </w:p>
          <w:p>
            <w:pPr>
              <w:pStyle w:val="30"/>
              <w:spacing w:before="2"/>
              <w:ind w:left="35"/>
              <w:rPr>
                <w:rFonts w:ascii="宋体" w:eastAsia="宋体"/>
                <w:sz w:val="21"/>
                <w:lang w:val="en-US"/>
              </w:rPr>
            </w:pPr>
            <w:r>
              <w:rPr>
                <w:rFonts w:hint="eastAsia" w:ascii="宋体" w:eastAsia="宋体"/>
                <w:sz w:val="21"/>
                <w:lang w:val="en-US"/>
              </w:rPr>
              <w:t>2）投标供应商未被“信用中国”（www.creditchina.gov.cn）和中国政府采购网（www.ccgp.gov.cn）网站上未被列入失信被执行人、重大税收违法案件当事人名单以及政府采购严重违法失信行为记录名单的网页打印件（查询时间必须在公告期内）。</w:t>
            </w:r>
            <w:r>
              <w:rPr>
                <w:rFonts w:hint="eastAsia" w:ascii="宋体" w:eastAsia="宋体"/>
                <w:sz w:val="21"/>
                <w:lang w:val="en-US"/>
              </w:rPr>
              <w:br w:type="textWrapping"/>
            </w:r>
            <w:r>
              <w:rPr>
                <w:rFonts w:hint="eastAsia" w:ascii="宋体" w:eastAsia="宋体"/>
                <w:sz w:val="21"/>
                <w:lang w:val="en-US"/>
              </w:rPr>
              <w:t>3）、近三年无因投标申请人违约或不恰当履约引起的合同终止、纠纷、争议、仲裁和公诉纪录，供应商必须提供无行贿犯罪记录证明（在中国裁判文书网（http://wenshu.court.gov.cn/）查询，查询时间必须在公告期内）。</w:t>
            </w:r>
            <w:r>
              <w:rPr>
                <w:rFonts w:hint="eastAsia" w:ascii="宋体" w:eastAsia="宋体"/>
                <w:sz w:val="21"/>
                <w:lang w:val="en-US"/>
              </w:rPr>
              <w:br w:type="textWrapping"/>
            </w:r>
            <w:r>
              <w:rPr>
                <w:rFonts w:hint="eastAsia" w:ascii="宋体" w:eastAsia="宋体"/>
                <w:b/>
                <w:sz w:val="21"/>
                <w:lang w:val="en-US"/>
              </w:rPr>
              <w:t>（2）特殊资格要求</w:t>
            </w:r>
          </w:p>
          <w:p>
            <w:pPr>
              <w:pStyle w:val="30"/>
              <w:spacing w:before="2"/>
              <w:ind w:left="35"/>
              <w:rPr>
                <w:rFonts w:ascii="宋体" w:eastAsia="宋体"/>
                <w:sz w:val="21"/>
                <w:lang w:val="en-US"/>
              </w:rPr>
            </w:pPr>
            <w:r>
              <w:rPr>
                <w:rFonts w:hint="eastAsia" w:ascii="宋体" w:eastAsia="宋体"/>
                <w:sz w:val="21"/>
                <w:lang w:val="en-US"/>
              </w:rPr>
              <w:t>1）单位负责人为同一人或者存在直接控股、管理关系的不同供应商，不得同时参加本采购项目投标；</w:t>
            </w:r>
          </w:p>
          <w:p>
            <w:pPr>
              <w:pStyle w:val="30"/>
              <w:spacing w:before="2"/>
              <w:ind w:left="35"/>
              <w:rPr>
                <w:rFonts w:ascii="宋体" w:eastAsia="宋体"/>
                <w:sz w:val="21"/>
                <w:lang w:val="en-US"/>
              </w:rPr>
            </w:pPr>
            <w:r>
              <w:rPr>
                <w:rFonts w:hint="eastAsia" w:ascii="宋体" w:eastAsia="宋体"/>
                <w:sz w:val="21"/>
                <w:lang w:val="en-US"/>
              </w:rPr>
              <w:t>2）本项目不接受联合体投标；</w:t>
            </w:r>
          </w:p>
        </w:tc>
      </w:tr>
    </w:tbl>
    <w:p>
      <w:pPr>
        <w:spacing w:line="268" w:lineRule="exact"/>
        <w:rPr>
          <w:rFonts w:ascii="宋体" w:eastAsia="宋体"/>
          <w:sz w:val="21"/>
        </w:rPr>
        <w:sectPr>
          <w:pgSz w:w="11910" w:h="16840"/>
          <w:pgMar w:top="920" w:right="741" w:bottom="1020" w:left="700" w:header="599" w:footer="826" w:gutter="0"/>
          <w:cols w:space="720" w:num="1"/>
        </w:sectPr>
      </w:pPr>
    </w:p>
    <w:p>
      <w:pPr>
        <w:pStyle w:val="12"/>
        <w:rPr>
          <w:sz w:val="20"/>
        </w:rPr>
      </w:pPr>
    </w:p>
    <w:p>
      <w:pPr>
        <w:pStyle w:val="12"/>
        <w:rPr>
          <w:sz w:val="20"/>
        </w:rPr>
      </w:pPr>
      <w:r>
        <w:pict>
          <v:shape id="_x0000_s1040" o:spid="_x0000_s1040" o:spt="202" type="#_x0000_t202" style="position:absolute;left:0pt;margin-left:67.05pt;margin-top:68.05pt;height:611.9pt;width:462.05pt;mso-position-horizontal-relative:page;mso-position-vertical-relative:page;z-index:251661312;mso-width-relative:page;mso-height-relative:page;" filled="f" stroked="f" coordsize="21600,21600">
            <v:path/>
            <v:fill on="f" focussize="0,0"/>
            <v:stroke on="f" joinstyle="miter"/>
            <v:imagedata o:title=""/>
            <o:lock v:ext="edit"/>
            <v:textbox inset="0mm,0mm,0mm,0mm">
              <w:txbxContent>
                <w:tbl>
                  <w:tblPr>
                    <w:tblStyle w:val="24"/>
                    <w:tblW w:w="0" w:type="auto"/>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28"/>
                    <w:gridCol w:w="826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7" w:hRule="atLeast"/>
                    </w:trPr>
                    <w:tc>
                      <w:tcPr>
                        <w:tcW w:w="928" w:type="dxa"/>
                        <w:tcBorders>
                          <w:bottom w:val="single" w:color="000000" w:sz="6" w:space="0"/>
                          <w:right w:val="single" w:color="000000" w:sz="6" w:space="0"/>
                        </w:tcBorders>
                      </w:tcPr>
                      <w:p>
                        <w:pPr>
                          <w:pStyle w:val="30"/>
                          <w:spacing w:before="71"/>
                          <w:ind w:left="20"/>
                          <w:jc w:val="center"/>
                          <w:rPr>
                            <w:rFonts w:ascii="宋体"/>
                            <w:sz w:val="21"/>
                          </w:rPr>
                        </w:pPr>
                        <w:r>
                          <w:rPr>
                            <w:rFonts w:ascii="宋体"/>
                            <w:w w:val="99"/>
                            <w:sz w:val="21"/>
                          </w:rPr>
                          <w:t>8</w:t>
                        </w:r>
                      </w:p>
                    </w:tc>
                    <w:tc>
                      <w:tcPr>
                        <w:tcW w:w="8269" w:type="dxa"/>
                        <w:tcBorders>
                          <w:left w:val="single" w:color="000000" w:sz="6" w:space="0"/>
                          <w:bottom w:val="single" w:color="000000" w:sz="6" w:space="0"/>
                        </w:tcBorders>
                      </w:tcPr>
                      <w:p>
                        <w:pPr>
                          <w:pStyle w:val="30"/>
                          <w:spacing w:before="71"/>
                          <w:ind w:left="35"/>
                          <w:rPr>
                            <w:rFonts w:ascii="宋体" w:eastAsia="宋体"/>
                            <w:sz w:val="21"/>
                          </w:rPr>
                        </w:pPr>
                        <w:r>
                          <w:rPr>
                            <w:rFonts w:hint="eastAsia" w:ascii="宋体" w:eastAsia="宋体"/>
                            <w:sz w:val="21"/>
                          </w:rPr>
                          <w:t>投标语言：中文，供应商提供的外文资料应附有相应的中文译本</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34" w:hRule="atLeast"/>
                    </w:trPr>
                    <w:tc>
                      <w:tcPr>
                        <w:tcW w:w="928" w:type="dxa"/>
                        <w:tcBorders>
                          <w:top w:val="single" w:color="000000" w:sz="6" w:space="0"/>
                          <w:bottom w:val="single" w:color="000000" w:sz="6" w:space="0"/>
                          <w:right w:val="single" w:color="000000" w:sz="6" w:space="0"/>
                        </w:tcBorders>
                      </w:tcPr>
                      <w:p>
                        <w:pPr>
                          <w:pStyle w:val="30"/>
                          <w:rPr>
                            <w:rFonts w:ascii="宋体"/>
                            <w:sz w:val="20"/>
                          </w:rPr>
                        </w:pPr>
                      </w:p>
                      <w:p>
                        <w:pPr>
                          <w:pStyle w:val="30"/>
                          <w:spacing w:before="10"/>
                          <w:rPr>
                            <w:rFonts w:ascii="宋体"/>
                            <w:sz w:val="27"/>
                          </w:rPr>
                        </w:pPr>
                      </w:p>
                      <w:p>
                        <w:pPr>
                          <w:pStyle w:val="30"/>
                          <w:ind w:left="20"/>
                          <w:jc w:val="center"/>
                          <w:rPr>
                            <w:rFonts w:ascii="宋体"/>
                            <w:sz w:val="21"/>
                          </w:rPr>
                        </w:pPr>
                        <w:r>
                          <w:rPr>
                            <w:rFonts w:ascii="宋体"/>
                            <w:w w:val="99"/>
                            <w:sz w:val="21"/>
                          </w:rPr>
                          <w:t>9</w:t>
                        </w:r>
                      </w:p>
                    </w:tc>
                    <w:tc>
                      <w:tcPr>
                        <w:tcW w:w="8269" w:type="dxa"/>
                        <w:tcBorders>
                          <w:top w:val="single" w:color="000000" w:sz="6" w:space="0"/>
                          <w:left w:val="single" w:color="000000" w:sz="6" w:space="0"/>
                          <w:bottom w:val="single" w:color="000000" w:sz="6" w:space="0"/>
                        </w:tcBorders>
                      </w:tcPr>
                      <w:p>
                        <w:pPr>
                          <w:pStyle w:val="30"/>
                          <w:spacing w:line="364" w:lineRule="auto"/>
                          <w:ind w:left="35" w:right="-15"/>
                          <w:jc w:val="both"/>
                          <w:rPr>
                            <w:rFonts w:ascii="宋体" w:eastAsia="宋体"/>
                            <w:sz w:val="21"/>
                          </w:rPr>
                        </w:pPr>
                        <w:r>
                          <w:rPr>
                            <w:rFonts w:hint="eastAsia" w:ascii="宋体" w:eastAsia="宋体"/>
                            <w:sz w:val="21"/>
                          </w:rPr>
                          <w:t>根据《政府采购货物和服务招标投标管理办法》（</w:t>
                        </w:r>
                        <w:r>
                          <w:rPr>
                            <w:rFonts w:hint="eastAsia" w:ascii="宋体" w:eastAsia="宋体"/>
                            <w:spacing w:val="-11"/>
                            <w:sz w:val="21"/>
                          </w:rPr>
                          <w:t xml:space="preserve">财政部第 </w:t>
                        </w:r>
                        <w:r>
                          <w:rPr>
                            <w:rFonts w:hint="eastAsia" w:ascii="宋体" w:eastAsia="宋体"/>
                            <w:sz w:val="21"/>
                          </w:rPr>
                          <w:t>87</w:t>
                        </w:r>
                        <w:r>
                          <w:rPr>
                            <w:rFonts w:hint="eastAsia" w:ascii="宋体" w:eastAsia="宋体"/>
                            <w:spacing w:val="-17"/>
                            <w:sz w:val="21"/>
                          </w:rPr>
                          <w:t xml:space="preserve"> 号令</w:t>
                        </w:r>
                        <w:r>
                          <w:rPr>
                            <w:rFonts w:hint="eastAsia" w:ascii="宋体" w:eastAsia="宋体"/>
                            <w:sz w:val="21"/>
                          </w:rPr>
                          <w:t>）</w:t>
                        </w:r>
                        <w:r>
                          <w:rPr>
                            <w:rFonts w:hint="eastAsia" w:ascii="宋体" w:eastAsia="宋体"/>
                            <w:spacing w:val="-24"/>
                            <w:sz w:val="21"/>
                          </w:rPr>
                          <w:t xml:space="preserve">第 </w:t>
                        </w:r>
                        <w:r>
                          <w:rPr>
                            <w:rFonts w:hint="eastAsia" w:ascii="宋体" w:eastAsia="宋体"/>
                            <w:sz w:val="21"/>
                          </w:rPr>
                          <w:t>31</w:t>
                        </w:r>
                        <w:r>
                          <w:rPr>
                            <w:rFonts w:hint="eastAsia" w:ascii="宋体" w:eastAsia="宋体"/>
                            <w:spacing w:val="-9"/>
                            <w:sz w:val="21"/>
                          </w:rPr>
                          <w:t xml:space="preserve"> 条的规定，非单一产品采购项目且在招标文件中注明核心产品的，提供相同品牌产品且通过资格审查、符合性审查的不同供应商参加同一标段投标的，按一家供应商计算，评审后得分最高的同</w:t>
                        </w:r>
                        <w:r>
                          <w:rPr>
                            <w:rFonts w:hint="eastAsia" w:ascii="宋体" w:eastAsia="宋体"/>
                            <w:sz w:val="21"/>
                          </w:rPr>
                          <w:t>品牌供应商获得中标人推荐资格；评审得分相同的，以投标报价低者获得中标人推荐资格</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0" w:hRule="atLeast"/>
                    </w:trPr>
                    <w:tc>
                      <w:tcPr>
                        <w:tcW w:w="9197" w:type="dxa"/>
                        <w:gridSpan w:val="2"/>
                        <w:tcBorders>
                          <w:top w:val="single" w:color="000000" w:sz="6" w:space="0"/>
                          <w:bottom w:val="single" w:color="000000" w:sz="6" w:space="0"/>
                        </w:tcBorders>
                      </w:tcPr>
                      <w:p>
                        <w:pPr>
                          <w:pStyle w:val="30"/>
                          <w:tabs>
                            <w:tab w:val="left" w:pos="455"/>
                            <w:tab w:val="left" w:pos="877"/>
                            <w:tab w:val="left" w:pos="1297"/>
                            <w:tab w:val="left" w:pos="1720"/>
                            <w:tab w:val="left" w:pos="2142"/>
                            <w:tab w:val="left" w:pos="2562"/>
                          </w:tabs>
                          <w:spacing w:before="96"/>
                          <w:ind w:left="35"/>
                          <w:jc w:val="center"/>
                          <w:rPr>
                            <w:rFonts w:ascii="宋体" w:eastAsia="宋体"/>
                            <w:b/>
                            <w:sz w:val="21"/>
                          </w:rPr>
                        </w:pPr>
                        <w:r>
                          <w:rPr>
                            <w:rFonts w:hint="eastAsia" w:ascii="宋体" w:eastAsia="宋体"/>
                            <w:b/>
                            <w:sz w:val="21"/>
                          </w:rPr>
                          <w:t>投</w:t>
                        </w:r>
                        <w:r>
                          <w:rPr>
                            <w:rFonts w:hint="eastAsia" w:ascii="宋体" w:eastAsia="宋体"/>
                            <w:b/>
                            <w:sz w:val="21"/>
                          </w:rPr>
                          <w:tab/>
                        </w:r>
                        <w:r>
                          <w:rPr>
                            <w:rFonts w:hint="eastAsia" w:ascii="宋体" w:eastAsia="宋体"/>
                            <w:b/>
                            <w:sz w:val="21"/>
                          </w:rPr>
                          <w:t>标</w:t>
                        </w:r>
                        <w:r>
                          <w:rPr>
                            <w:rFonts w:hint="eastAsia" w:ascii="宋体" w:eastAsia="宋体"/>
                            <w:b/>
                            <w:sz w:val="21"/>
                          </w:rPr>
                          <w:tab/>
                        </w:r>
                        <w:r>
                          <w:rPr>
                            <w:rFonts w:hint="eastAsia" w:ascii="宋体" w:eastAsia="宋体"/>
                            <w:b/>
                            <w:sz w:val="21"/>
                          </w:rPr>
                          <w:t>报</w:t>
                        </w:r>
                        <w:r>
                          <w:rPr>
                            <w:rFonts w:hint="eastAsia" w:ascii="宋体" w:eastAsia="宋体"/>
                            <w:b/>
                            <w:sz w:val="21"/>
                          </w:rPr>
                          <w:tab/>
                        </w:r>
                        <w:r>
                          <w:rPr>
                            <w:rFonts w:hint="eastAsia" w:ascii="宋体" w:eastAsia="宋体"/>
                            <w:b/>
                            <w:sz w:val="21"/>
                          </w:rPr>
                          <w:t>价</w:t>
                        </w:r>
                        <w:r>
                          <w:rPr>
                            <w:rFonts w:hint="eastAsia" w:ascii="宋体" w:eastAsia="宋体"/>
                            <w:b/>
                            <w:sz w:val="21"/>
                          </w:rPr>
                          <w:tab/>
                        </w:r>
                        <w:r>
                          <w:rPr>
                            <w:rFonts w:hint="eastAsia" w:ascii="宋体" w:eastAsia="宋体"/>
                            <w:b/>
                            <w:sz w:val="21"/>
                          </w:rPr>
                          <w:t>和</w:t>
                        </w:r>
                        <w:r>
                          <w:rPr>
                            <w:rFonts w:hint="eastAsia" w:ascii="宋体" w:eastAsia="宋体"/>
                            <w:b/>
                            <w:sz w:val="21"/>
                          </w:rPr>
                          <w:tab/>
                        </w:r>
                        <w:r>
                          <w:rPr>
                            <w:rFonts w:hint="eastAsia" w:ascii="宋体" w:eastAsia="宋体"/>
                            <w:b/>
                            <w:sz w:val="21"/>
                          </w:rPr>
                          <w:t>货</w:t>
                        </w:r>
                        <w:r>
                          <w:rPr>
                            <w:rFonts w:hint="eastAsia" w:ascii="宋体" w:eastAsia="宋体"/>
                            <w:b/>
                            <w:sz w:val="21"/>
                          </w:rPr>
                          <w:tab/>
                        </w:r>
                        <w:r>
                          <w:rPr>
                            <w:rFonts w:hint="eastAsia" w:ascii="宋体" w:eastAsia="宋体"/>
                            <w:b/>
                            <w:sz w:val="21"/>
                          </w:rPr>
                          <w:t>币</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100" w:hRule="atLeast"/>
                    </w:trPr>
                    <w:tc>
                      <w:tcPr>
                        <w:tcW w:w="928" w:type="dxa"/>
                        <w:tcBorders>
                          <w:top w:val="single" w:color="000000" w:sz="6" w:space="0"/>
                          <w:bottom w:val="single" w:color="000000" w:sz="6" w:space="0"/>
                          <w:right w:val="single" w:color="000000" w:sz="6" w:space="0"/>
                        </w:tcBorders>
                      </w:tcPr>
                      <w:p>
                        <w:pPr>
                          <w:pStyle w:val="30"/>
                          <w:rPr>
                            <w:rFonts w:ascii="宋体"/>
                            <w:sz w:val="20"/>
                          </w:rPr>
                        </w:pPr>
                      </w:p>
                      <w:p>
                        <w:pPr>
                          <w:pStyle w:val="30"/>
                          <w:rPr>
                            <w:rFonts w:ascii="宋体"/>
                            <w:sz w:val="20"/>
                          </w:rPr>
                        </w:pPr>
                      </w:p>
                      <w:p>
                        <w:pPr>
                          <w:pStyle w:val="30"/>
                          <w:rPr>
                            <w:rFonts w:ascii="宋体"/>
                            <w:sz w:val="20"/>
                          </w:rPr>
                        </w:pPr>
                      </w:p>
                      <w:p>
                        <w:pPr>
                          <w:pStyle w:val="30"/>
                          <w:rPr>
                            <w:rFonts w:ascii="宋体"/>
                            <w:sz w:val="20"/>
                          </w:rPr>
                        </w:pPr>
                      </w:p>
                      <w:p>
                        <w:pPr>
                          <w:pStyle w:val="30"/>
                          <w:rPr>
                            <w:rFonts w:ascii="宋体"/>
                            <w:sz w:val="20"/>
                          </w:rPr>
                        </w:pPr>
                      </w:p>
                      <w:p>
                        <w:pPr>
                          <w:pStyle w:val="30"/>
                          <w:rPr>
                            <w:rFonts w:ascii="宋体"/>
                            <w:sz w:val="20"/>
                          </w:rPr>
                        </w:pPr>
                      </w:p>
                      <w:p>
                        <w:pPr>
                          <w:pStyle w:val="30"/>
                          <w:rPr>
                            <w:rFonts w:ascii="宋体"/>
                            <w:sz w:val="20"/>
                          </w:rPr>
                        </w:pPr>
                      </w:p>
                      <w:p>
                        <w:pPr>
                          <w:pStyle w:val="30"/>
                          <w:spacing w:before="140"/>
                          <w:ind w:left="128" w:right="93"/>
                          <w:jc w:val="center"/>
                          <w:rPr>
                            <w:rFonts w:ascii="宋体"/>
                            <w:sz w:val="21"/>
                          </w:rPr>
                        </w:pPr>
                        <w:r>
                          <w:rPr>
                            <w:rFonts w:ascii="宋体"/>
                            <w:sz w:val="21"/>
                          </w:rPr>
                          <w:t>10</w:t>
                        </w:r>
                      </w:p>
                    </w:tc>
                    <w:tc>
                      <w:tcPr>
                        <w:tcW w:w="8269" w:type="dxa"/>
                        <w:tcBorders>
                          <w:top w:val="single" w:color="000000" w:sz="6" w:space="0"/>
                          <w:left w:val="single" w:color="000000" w:sz="6" w:space="0"/>
                        </w:tcBorders>
                      </w:tcPr>
                      <w:p>
                        <w:pPr>
                          <w:pStyle w:val="30"/>
                          <w:spacing w:before="2" w:line="364" w:lineRule="auto"/>
                          <w:ind w:left="35" w:right="-15" w:firstLine="420"/>
                          <w:rPr>
                            <w:rFonts w:ascii="宋体" w:eastAsia="宋体"/>
                            <w:sz w:val="21"/>
                          </w:rPr>
                        </w:pPr>
                        <w:r>
                          <w:rPr>
                            <w:rFonts w:hint="eastAsia" w:ascii="宋体" w:eastAsia="宋体"/>
                            <w:sz w:val="21"/>
                          </w:rPr>
                          <w:t>投标报价为：目的地交货价，包括：产品和原厂服务的价格、全部的辅助材料费用、安装费用、备品备件及相关费用等</w:t>
                        </w:r>
                      </w:p>
                      <w:p>
                        <w:pPr>
                          <w:pStyle w:val="30"/>
                          <w:spacing w:line="364" w:lineRule="auto"/>
                          <w:ind w:left="35" w:firstLine="420"/>
                          <w:rPr>
                            <w:rFonts w:ascii="宋体" w:eastAsia="宋体"/>
                            <w:sz w:val="21"/>
                          </w:rPr>
                        </w:pPr>
                        <w:r>
                          <w:rPr>
                            <w:rFonts w:hint="eastAsia" w:ascii="宋体" w:eastAsia="宋体"/>
                            <w:sz w:val="21"/>
                          </w:rPr>
                          <w:t>相关费用（由中标人承担的费用）：包括运保费、伴随服务费、培训费、税金、装卸费、场地服务费和中标服务费等与本工程相关的全部费用。</w:t>
                        </w:r>
                      </w:p>
                      <w:p>
                        <w:pPr>
                          <w:pStyle w:val="30"/>
                          <w:spacing w:before="137"/>
                          <w:ind w:left="455"/>
                          <w:rPr>
                            <w:rFonts w:ascii="宋体" w:eastAsia="宋体"/>
                            <w:sz w:val="21"/>
                          </w:rPr>
                        </w:pPr>
                        <w:r>
                          <w:rPr>
                            <w:rFonts w:hint="eastAsia" w:ascii="宋体" w:eastAsia="宋体"/>
                            <w:sz w:val="21"/>
                          </w:rPr>
                          <w:t>中标服务费为：本项目代理服务费</w:t>
                        </w:r>
                        <w:r>
                          <w:rPr>
                            <w:rFonts w:hint="eastAsia" w:ascii="宋体" w:eastAsia="宋体"/>
                            <w:spacing w:val="-8"/>
                            <w:sz w:val="21"/>
                          </w:rPr>
                          <w:t>本项目中标服务费由中标单位支付。</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0" w:hRule="atLeast"/>
                    </w:trPr>
                    <w:tc>
                      <w:tcPr>
                        <w:tcW w:w="928" w:type="dxa"/>
                        <w:tcBorders>
                          <w:top w:val="single" w:color="000000" w:sz="6" w:space="0"/>
                          <w:bottom w:val="single" w:color="000000" w:sz="6" w:space="0"/>
                          <w:right w:val="single" w:color="000000" w:sz="6" w:space="0"/>
                        </w:tcBorders>
                      </w:tcPr>
                      <w:p>
                        <w:pPr>
                          <w:pStyle w:val="30"/>
                          <w:spacing w:before="95"/>
                          <w:ind w:left="127" w:right="107"/>
                          <w:jc w:val="center"/>
                          <w:rPr>
                            <w:rFonts w:ascii="宋体"/>
                            <w:sz w:val="21"/>
                          </w:rPr>
                        </w:pPr>
                        <w:r>
                          <w:rPr>
                            <w:rFonts w:ascii="宋体"/>
                            <w:sz w:val="21"/>
                          </w:rPr>
                          <w:t>11</w:t>
                        </w:r>
                      </w:p>
                    </w:tc>
                    <w:tc>
                      <w:tcPr>
                        <w:tcW w:w="8269" w:type="dxa"/>
                        <w:tcBorders>
                          <w:top w:val="single" w:color="000000" w:sz="6" w:space="0"/>
                          <w:left w:val="single" w:color="000000" w:sz="6" w:space="0"/>
                          <w:bottom w:val="single" w:color="000000" w:sz="6" w:space="0"/>
                        </w:tcBorders>
                      </w:tcPr>
                      <w:p>
                        <w:pPr>
                          <w:pStyle w:val="30"/>
                          <w:spacing w:before="95"/>
                          <w:ind w:left="35"/>
                          <w:rPr>
                            <w:rFonts w:ascii="宋体" w:eastAsia="宋体"/>
                            <w:sz w:val="21"/>
                          </w:rPr>
                        </w:pPr>
                        <w:r>
                          <w:rPr>
                            <w:rFonts w:hint="eastAsia" w:ascii="宋体" w:eastAsia="宋体"/>
                            <w:sz w:val="21"/>
                          </w:rPr>
                          <w:t>投标货币：人民币</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0" w:hRule="atLeast"/>
                    </w:trPr>
                    <w:tc>
                      <w:tcPr>
                        <w:tcW w:w="9197" w:type="dxa"/>
                        <w:gridSpan w:val="2"/>
                        <w:tcBorders>
                          <w:top w:val="single" w:color="000000" w:sz="6" w:space="0"/>
                          <w:bottom w:val="single" w:color="000000" w:sz="6" w:space="0"/>
                        </w:tcBorders>
                      </w:tcPr>
                      <w:p>
                        <w:pPr>
                          <w:pStyle w:val="30"/>
                          <w:spacing w:before="95"/>
                          <w:ind w:left="35"/>
                          <w:jc w:val="center"/>
                          <w:rPr>
                            <w:rFonts w:ascii="宋体" w:eastAsia="宋体"/>
                            <w:b/>
                            <w:sz w:val="21"/>
                          </w:rPr>
                        </w:pPr>
                        <w:r>
                          <w:rPr>
                            <w:rFonts w:hint="eastAsia" w:ascii="宋体" w:eastAsia="宋体"/>
                            <w:b/>
                            <w:sz w:val="21"/>
                          </w:rPr>
                          <w:t>投 标 书 的 编 制 和 递 交</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02" w:hRule="atLeast"/>
                    </w:trPr>
                    <w:tc>
                      <w:tcPr>
                        <w:tcW w:w="928" w:type="dxa"/>
                        <w:tcBorders>
                          <w:top w:val="single" w:color="000000" w:sz="6" w:space="0"/>
                          <w:bottom w:val="single" w:color="000000" w:sz="4" w:space="0"/>
                          <w:right w:val="single" w:color="000000" w:sz="6" w:space="0"/>
                        </w:tcBorders>
                      </w:tcPr>
                      <w:p>
                        <w:pPr>
                          <w:pStyle w:val="30"/>
                          <w:rPr>
                            <w:rFonts w:ascii="宋体"/>
                            <w:sz w:val="20"/>
                          </w:rPr>
                        </w:pPr>
                      </w:p>
                      <w:p>
                        <w:pPr>
                          <w:pStyle w:val="30"/>
                          <w:rPr>
                            <w:rFonts w:ascii="宋体"/>
                            <w:sz w:val="20"/>
                          </w:rPr>
                        </w:pPr>
                      </w:p>
                      <w:p>
                        <w:pPr>
                          <w:pStyle w:val="30"/>
                          <w:rPr>
                            <w:rFonts w:ascii="宋体"/>
                            <w:sz w:val="20"/>
                          </w:rPr>
                        </w:pPr>
                      </w:p>
                      <w:p>
                        <w:pPr>
                          <w:pStyle w:val="30"/>
                          <w:rPr>
                            <w:rFonts w:ascii="宋体"/>
                            <w:sz w:val="20"/>
                          </w:rPr>
                        </w:pPr>
                      </w:p>
                      <w:p>
                        <w:pPr>
                          <w:pStyle w:val="30"/>
                          <w:rPr>
                            <w:rFonts w:ascii="宋体"/>
                            <w:sz w:val="20"/>
                          </w:rPr>
                        </w:pPr>
                      </w:p>
                      <w:p>
                        <w:pPr>
                          <w:pStyle w:val="30"/>
                          <w:rPr>
                            <w:rFonts w:ascii="宋体"/>
                            <w:sz w:val="20"/>
                          </w:rPr>
                        </w:pPr>
                      </w:p>
                      <w:p>
                        <w:pPr>
                          <w:pStyle w:val="30"/>
                          <w:rPr>
                            <w:rFonts w:ascii="宋体"/>
                            <w:sz w:val="20"/>
                          </w:rPr>
                        </w:pPr>
                      </w:p>
                      <w:p>
                        <w:pPr>
                          <w:pStyle w:val="30"/>
                          <w:rPr>
                            <w:rFonts w:ascii="宋体"/>
                            <w:sz w:val="20"/>
                          </w:rPr>
                        </w:pPr>
                      </w:p>
                      <w:p>
                        <w:pPr>
                          <w:pStyle w:val="30"/>
                          <w:spacing w:before="4"/>
                          <w:rPr>
                            <w:rFonts w:ascii="宋体"/>
                            <w:sz w:val="15"/>
                          </w:rPr>
                        </w:pPr>
                      </w:p>
                      <w:p>
                        <w:pPr>
                          <w:pStyle w:val="30"/>
                          <w:spacing w:before="1"/>
                          <w:ind w:left="127" w:right="107"/>
                          <w:jc w:val="center"/>
                          <w:rPr>
                            <w:rFonts w:ascii="宋体"/>
                            <w:sz w:val="21"/>
                          </w:rPr>
                        </w:pPr>
                        <w:r>
                          <w:rPr>
                            <w:rFonts w:ascii="宋体"/>
                            <w:sz w:val="21"/>
                          </w:rPr>
                          <w:t>12</w:t>
                        </w:r>
                      </w:p>
                    </w:tc>
                    <w:tc>
                      <w:tcPr>
                        <w:tcW w:w="8269" w:type="dxa"/>
                        <w:tcBorders>
                          <w:top w:val="single" w:color="000000" w:sz="6" w:space="0"/>
                          <w:left w:val="single" w:color="000000" w:sz="6" w:space="0"/>
                          <w:bottom w:val="single" w:color="000000" w:sz="4" w:space="0"/>
                        </w:tcBorders>
                      </w:tcPr>
                      <w:p>
                        <w:pPr>
                          <w:pStyle w:val="30"/>
                          <w:ind w:left="35"/>
                          <w:rPr>
                            <w:rFonts w:ascii="宋体" w:eastAsia="宋体"/>
                            <w:sz w:val="21"/>
                          </w:rPr>
                        </w:pPr>
                        <w:r>
                          <w:rPr>
                            <w:rFonts w:hint="eastAsia" w:ascii="宋体" w:eastAsia="宋体"/>
                            <w:sz w:val="21"/>
                          </w:rPr>
                          <w:t>资格证明文件：</w:t>
                        </w:r>
                      </w:p>
                      <w:p>
                        <w:pPr>
                          <w:pStyle w:val="30"/>
                          <w:numPr>
                            <w:ilvl w:val="0"/>
                            <w:numId w:val="1"/>
                          </w:numPr>
                          <w:tabs>
                            <w:tab w:val="left" w:pos="352"/>
                          </w:tabs>
                          <w:spacing w:before="139"/>
                          <w:jc w:val="left"/>
                          <w:rPr>
                            <w:rFonts w:ascii="宋体" w:eastAsia="宋体"/>
                            <w:sz w:val="21"/>
                          </w:rPr>
                        </w:pPr>
                        <w:r>
                          <w:rPr>
                            <w:rFonts w:hint="eastAsia" w:ascii="宋体" w:eastAsia="宋体"/>
                            <w:sz w:val="21"/>
                          </w:rPr>
                          <w:t>供应商必须符合《中华人民共和国政府采购法》第二十二条规定的条件：</w:t>
                        </w:r>
                      </w:p>
                      <w:p>
                        <w:pPr>
                          <w:pStyle w:val="30"/>
                          <w:spacing w:before="139"/>
                          <w:ind w:left="35"/>
                          <w:rPr>
                            <w:rFonts w:ascii="宋体" w:eastAsia="宋体"/>
                            <w:sz w:val="21"/>
                          </w:rPr>
                        </w:pPr>
                        <w:r>
                          <w:rPr>
                            <w:rFonts w:hint="eastAsia" w:ascii="宋体" w:eastAsia="宋体"/>
                            <w:sz w:val="21"/>
                          </w:rPr>
                          <w:t>（一）具有独立承担民事责任的能力；</w:t>
                        </w:r>
                      </w:p>
                      <w:p>
                        <w:pPr>
                          <w:pStyle w:val="30"/>
                          <w:spacing w:before="139"/>
                          <w:ind w:left="35"/>
                          <w:rPr>
                            <w:rFonts w:ascii="宋体" w:eastAsia="宋体"/>
                            <w:sz w:val="21"/>
                          </w:rPr>
                        </w:pPr>
                        <w:r>
                          <w:rPr>
                            <w:rFonts w:hint="eastAsia" w:ascii="宋体" w:eastAsia="宋体"/>
                            <w:sz w:val="21"/>
                          </w:rPr>
                          <w:t>（二）具有良好的商业信誉和健全的财务会计制度；</w:t>
                        </w:r>
                      </w:p>
                      <w:p>
                        <w:pPr>
                          <w:pStyle w:val="30"/>
                          <w:spacing w:before="142"/>
                          <w:ind w:left="35"/>
                          <w:rPr>
                            <w:rFonts w:ascii="宋体" w:eastAsia="宋体"/>
                            <w:sz w:val="21"/>
                          </w:rPr>
                        </w:pPr>
                        <w:r>
                          <w:rPr>
                            <w:rFonts w:hint="eastAsia" w:ascii="宋体" w:eastAsia="宋体"/>
                            <w:sz w:val="21"/>
                          </w:rPr>
                          <w:t>（三）具有履行合同所必需的设备和专业技术能力；</w:t>
                        </w:r>
                      </w:p>
                      <w:p>
                        <w:pPr>
                          <w:pStyle w:val="30"/>
                          <w:spacing w:before="138"/>
                          <w:ind w:left="35"/>
                          <w:rPr>
                            <w:rFonts w:ascii="宋体" w:eastAsia="宋体"/>
                            <w:sz w:val="21"/>
                          </w:rPr>
                        </w:pPr>
                        <w:r>
                          <w:rPr>
                            <w:rFonts w:hint="eastAsia" w:ascii="宋体" w:eastAsia="宋体"/>
                            <w:sz w:val="21"/>
                          </w:rPr>
                          <w:t>（四）有依法缴纳税收和社会保障资金的良好记录；</w:t>
                        </w:r>
                      </w:p>
                      <w:p>
                        <w:pPr>
                          <w:pStyle w:val="30"/>
                          <w:spacing w:before="139"/>
                          <w:ind w:left="35"/>
                          <w:rPr>
                            <w:rFonts w:ascii="宋体" w:eastAsia="宋体"/>
                            <w:sz w:val="21"/>
                          </w:rPr>
                        </w:pPr>
                        <w:r>
                          <w:rPr>
                            <w:rFonts w:hint="eastAsia" w:ascii="宋体" w:eastAsia="宋体"/>
                            <w:sz w:val="21"/>
                          </w:rPr>
                          <w:t>（五）参加政府采购活动前三年内，在经营活动中没有重大违法记录；</w:t>
                        </w:r>
                      </w:p>
                      <w:p>
                        <w:pPr>
                          <w:pStyle w:val="30"/>
                          <w:spacing w:before="139"/>
                          <w:ind w:left="35"/>
                          <w:rPr>
                            <w:rFonts w:ascii="宋体" w:eastAsia="宋体"/>
                            <w:sz w:val="21"/>
                          </w:rPr>
                        </w:pPr>
                        <w:r>
                          <w:rPr>
                            <w:rFonts w:hint="eastAsia" w:ascii="宋体" w:eastAsia="宋体"/>
                            <w:sz w:val="21"/>
                          </w:rPr>
                          <w:t>（六）法律、行政法规规定的其他条件。</w:t>
                        </w:r>
                      </w:p>
                      <w:p>
                        <w:pPr>
                          <w:pStyle w:val="30"/>
                          <w:numPr>
                            <w:ilvl w:val="0"/>
                            <w:numId w:val="1"/>
                          </w:numPr>
                          <w:tabs>
                            <w:tab w:val="left" w:pos="247"/>
                          </w:tabs>
                          <w:spacing w:before="139" w:line="364" w:lineRule="auto"/>
                          <w:ind w:left="35" w:right="-15" w:firstLine="0"/>
                          <w:jc w:val="both"/>
                          <w:rPr>
                            <w:rFonts w:ascii="宋体" w:hAnsi="宋体" w:eastAsia="宋体"/>
                            <w:sz w:val="21"/>
                          </w:rPr>
                        </w:pPr>
                        <w:r>
                          <w:rPr>
                            <w:rFonts w:hint="eastAsia" w:ascii="宋体" w:hAnsi="宋体" w:eastAsia="宋体"/>
                            <w:sz w:val="21"/>
                          </w:rPr>
                          <w:t>被列入“信用中国”网站（</w:t>
                        </w:r>
                        <w:r>
                          <w:fldChar w:fldCharType="begin"/>
                        </w:r>
                        <w:r>
                          <w:instrText xml:space="preserve"> HYPERLINK "http://www.creditchina.gov.cn/" \h </w:instrText>
                        </w:r>
                        <w:r>
                          <w:fldChar w:fldCharType="separate"/>
                        </w:r>
                        <w:r>
                          <w:rPr>
                            <w:rFonts w:hint="eastAsia" w:ascii="宋体" w:hAnsi="宋体" w:eastAsia="宋体"/>
                            <w:sz w:val="21"/>
                          </w:rPr>
                          <w:t>www.creditchina.gov.cn</w:t>
                        </w:r>
                        <w:r>
                          <w:rPr>
                            <w:rFonts w:hint="eastAsia" w:ascii="宋体" w:hAnsi="宋体" w:eastAsia="宋体"/>
                            <w:sz w:val="21"/>
                          </w:rPr>
                          <w:fldChar w:fldCharType="end"/>
                        </w:r>
                        <w:r>
                          <w:rPr>
                            <w:rFonts w:hint="eastAsia" w:ascii="宋体" w:hAnsi="宋体" w:eastAsia="宋体"/>
                            <w:sz w:val="21"/>
                          </w:rPr>
                          <w:t>）的“失信被执行人”、“重大税</w:t>
                        </w:r>
                        <w:r>
                          <w:rPr>
                            <w:rFonts w:hint="eastAsia" w:ascii="宋体" w:hAnsi="宋体" w:eastAsia="宋体"/>
                            <w:spacing w:val="-5"/>
                            <w:sz w:val="21"/>
                          </w:rPr>
                          <w:t>收违法案件当事人名单”或“中国政府采购网”网站(</w:t>
                        </w:r>
                        <w:r>
                          <w:rPr>
                            <w:rFonts w:hint="eastAsia" w:ascii="宋体" w:hAnsi="宋体" w:eastAsia="宋体"/>
                            <w:sz w:val="21"/>
                          </w:rPr>
                          <w:t>www.ccgp.gov.cn</w:t>
                        </w:r>
                        <w:r>
                          <w:rPr>
                            <w:rFonts w:hint="eastAsia" w:ascii="宋体" w:hAnsi="宋体" w:eastAsia="宋体"/>
                            <w:spacing w:val="-5"/>
                            <w:sz w:val="21"/>
                          </w:rPr>
                          <w:t>)的“政府采购严重违法失信行为记录名单”及其他不符合《中华人民共和国政府采购法》第二十二条规定条</w:t>
                        </w:r>
                      </w:p>
                      <w:p>
                        <w:pPr>
                          <w:pStyle w:val="30"/>
                          <w:spacing w:line="269" w:lineRule="exact"/>
                          <w:ind w:left="35"/>
                          <w:rPr>
                            <w:rFonts w:ascii="宋体" w:eastAsia="宋体"/>
                            <w:sz w:val="21"/>
                          </w:rPr>
                        </w:pPr>
                        <w:r>
                          <w:rPr>
                            <w:rFonts w:hint="eastAsia" w:ascii="宋体" w:eastAsia="宋体"/>
                            <w:sz w:val="21"/>
                          </w:rPr>
                          <w:t>件的供应商，不得参与本次政府采购活动。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6" w:hRule="atLeast"/>
                    </w:trPr>
                    <w:tc>
                      <w:tcPr>
                        <w:tcW w:w="928" w:type="dxa"/>
                        <w:tcBorders>
                          <w:top w:val="single" w:color="000000" w:sz="4" w:space="0"/>
                          <w:right w:val="single" w:color="000000" w:sz="6" w:space="0"/>
                        </w:tcBorders>
                      </w:tcPr>
                      <w:p>
                        <w:pPr>
                          <w:pStyle w:val="30"/>
                          <w:spacing w:line="268" w:lineRule="exact"/>
                          <w:ind w:left="127" w:right="107"/>
                          <w:jc w:val="center"/>
                          <w:rPr>
                            <w:rFonts w:ascii="宋体"/>
                            <w:sz w:val="21"/>
                          </w:rPr>
                        </w:pPr>
                        <w:r>
                          <w:rPr>
                            <w:rFonts w:ascii="宋体"/>
                            <w:sz w:val="21"/>
                          </w:rPr>
                          <w:t>13</w:t>
                        </w:r>
                      </w:p>
                    </w:tc>
                    <w:tc>
                      <w:tcPr>
                        <w:tcW w:w="8269" w:type="dxa"/>
                        <w:tcBorders>
                          <w:top w:val="single" w:color="000000" w:sz="4" w:space="0"/>
                          <w:left w:val="single" w:color="000000" w:sz="6" w:space="0"/>
                          <w:bottom w:val="single" w:color="000000" w:sz="4" w:space="0"/>
                        </w:tcBorders>
                      </w:tcPr>
                      <w:p>
                        <w:pPr>
                          <w:pStyle w:val="30"/>
                          <w:spacing w:line="268" w:lineRule="exact"/>
                          <w:ind w:left="35"/>
                          <w:rPr>
                            <w:rFonts w:ascii="宋体" w:eastAsia="宋体"/>
                            <w:sz w:val="21"/>
                          </w:rPr>
                        </w:pPr>
                        <w:r>
                          <w:rPr>
                            <w:rFonts w:hint="eastAsia" w:ascii="宋体" w:eastAsia="宋体"/>
                            <w:sz w:val="21"/>
                          </w:rPr>
                          <w:t>货物技术文件：</w:t>
                        </w:r>
                      </w:p>
                    </w:tc>
                  </w:tr>
                </w:tbl>
                <w:p>
                  <w:pPr>
                    <w:pStyle w:val="12"/>
                  </w:pPr>
                </w:p>
              </w:txbxContent>
            </v:textbox>
          </v:shape>
        </w:pict>
      </w: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spacing w:before="12"/>
        <w:rPr>
          <w:sz w:val="15"/>
        </w:rPr>
      </w:pPr>
    </w:p>
    <w:p>
      <w:pPr>
        <w:ind w:right="536"/>
        <w:jc w:val="right"/>
        <w:rPr>
          <w:rFonts w:ascii="宋体" w:eastAsia="宋体"/>
          <w:sz w:val="21"/>
        </w:rPr>
      </w:pPr>
      <w:r>
        <w:rPr>
          <w:rFonts w:hint="eastAsia" w:ascii="宋体" w:eastAsia="宋体"/>
          <w:w w:val="99"/>
          <w:sz w:val="21"/>
        </w:rPr>
        <w:t>。</w:t>
      </w:r>
    </w:p>
    <w:p>
      <w:pPr>
        <w:jc w:val="right"/>
        <w:rPr>
          <w:rFonts w:ascii="宋体" w:eastAsia="宋体"/>
          <w:sz w:val="21"/>
        </w:rPr>
        <w:sectPr>
          <w:pgSz w:w="11910" w:h="16840"/>
          <w:pgMar w:top="920" w:right="741" w:bottom="1020" w:left="700" w:header="599" w:footer="826" w:gutter="0"/>
          <w:cols w:space="720" w:num="1"/>
        </w:sectPr>
      </w:pPr>
    </w:p>
    <w:p>
      <w:pPr>
        <w:pStyle w:val="12"/>
        <w:rPr>
          <w:sz w:val="20"/>
        </w:rPr>
      </w:pPr>
      <w:r>
        <w:pict>
          <v:shape id="_x0000_s1039" o:spid="_x0000_s1039" o:spt="202" type="#_x0000_t202" style="position:absolute;left:0pt;margin-left:67.05pt;margin-top:68.05pt;height:712.5pt;width:462.05pt;mso-position-horizontal-relative:page;mso-position-vertical-relative:page;z-index:251662336;mso-width-relative:page;mso-height-relative:page;" filled="f" stroked="f" coordsize="21600,21600">
            <v:path/>
            <v:fill on="f" focussize="0,0"/>
            <v:stroke on="f"/>
            <v:imagedata o:title=""/>
            <o:lock v:ext="edit" aspectratio="f"/>
            <v:textbox inset="0mm,0mm,0mm,0mm">
              <w:txbxContent>
                <w:tbl>
                  <w:tblPr>
                    <w:tblStyle w:val="24"/>
                    <w:tblW w:w="9204" w:type="dxa"/>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6"/>
                    <w:gridCol w:w="2575"/>
                    <w:gridCol w:w="1098"/>
                    <w:gridCol w:w="46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926" w:type="dxa"/>
                        <w:tcBorders>
                          <w:top w:val="single" w:color="auto" w:sz="4" w:space="0"/>
                          <w:left w:val="single" w:color="auto" w:sz="4" w:space="0"/>
                          <w:bottom w:val="single" w:color="auto" w:sz="4" w:space="0"/>
                          <w:right w:val="single" w:color="auto" w:sz="4" w:space="0"/>
                        </w:tcBorders>
                      </w:tcPr>
                      <w:p>
                        <w:pPr>
                          <w:pStyle w:val="30"/>
                          <w:rPr>
                            <w:rFonts w:ascii="Times New Roman"/>
                            <w:sz w:val="20"/>
                          </w:rPr>
                        </w:pPr>
                      </w:p>
                    </w:tc>
                    <w:tc>
                      <w:tcPr>
                        <w:tcW w:w="8278" w:type="dxa"/>
                        <w:gridSpan w:val="3"/>
                        <w:tcBorders>
                          <w:left w:val="single" w:color="auto" w:sz="4" w:space="0"/>
                          <w:right w:val="single" w:color="000000" w:sz="12" w:space="0"/>
                        </w:tcBorders>
                      </w:tcPr>
                      <w:p>
                        <w:pPr>
                          <w:pStyle w:val="30"/>
                          <w:spacing w:before="2"/>
                          <w:ind w:left="37"/>
                          <w:rPr>
                            <w:rFonts w:ascii="宋体" w:hAnsi="宋体" w:eastAsia="宋体"/>
                            <w:b/>
                            <w:sz w:val="21"/>
                          </w:rPr>
                        </w:pPr>
                        <w:r>
                          <w:rPr>
                            <w:rFonts w:hint="eastAsia" w:ascii="宋体" w:hAnsi="宋体" w:eastAsia="宋体"/>
                            <w:b/>
                            <w:sz w:val="21"/>
                          </w:rPr>
                          <w:t>详见第六章“采购需求书”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926" w:type="dxa"/>
                        <w:tcBorders>
                          <w:top w:val="single" w:color="auto" w:sz="4" w:space="0"/>
                          <w:left w:val="single" w:color="000000" w:sz="12" w:space="0"/>
                          <w:bottom w:val="single" w:color="000000" w:sz="6" w:space="0"/>
                          <w:right w:val="single" w:color="000000" w:sz="6" w:space="0"/>
                        </w:tcBorders>
                      </w:tcPr>
                      <w:p>
                        <w:pPr>
                          <w:pStyle w:val="30"/>
                          <w:spacing w:before="2"/>
                          <w:ind w:left="358"/>
                          <w:rPr>
                            <w:rFonts w:ascii="宋体"/>
                            <w:sz w:val="21"/>
                          </w:rPr>
                        </w:pPr>
                        <w:r>
                          <w:rPr>
                            <w:rFonts w:ascii="宋体"/>
                            <w:sz w:val="21"/>
                          </w:rPr>
                          <w:t>14</w:t>
                        </w:r>
                      </w:p>
                    </w:tc>
                    <w:tc>
                      <w:tcPr>
                        <w:tcW w:w="8278" w:type="dxa"/>
                        <w:gridSpan w:val="3"/>
                        <w:tcBorders>
                          <w:left w:val="single" w:color="000000" w:sz="6" w:space="0"/>
                          <w:bottom w:val="single" w:color="000000" w:sz="6" w:space="0"/>
                          <w:right w:val="single" w:color="000000" w:sz="12" w:space="0"/>
                        </w:tcBorders>
                      </w:tcPr>
                      <w:p>
                        <w:pPr>
                          <w:pStyle w:val="30"/>
                          <w:spacing w:before="2"/>
                          <w:ind w:left="37"/>
                          <w:rPr>
                            <w:rFonts w:ascii="宋体" w:eastAsia="宋体"/>
                            <w:sz w:val="21"/>
                          </w:rPr>
                        </w:pPr>
                        <w:r>
                          <w:rPr>
                            <w:rFonts w:hint="eastAsia" w:ascii="宋体" w:eastAsia="宋体"/>
                            <w:sz w:val="21"/>
                          </w:rPr>
                          <w:t>投标保证金金额：650000.00元</w:t>
                        </w:r>
                      </w:p>
                      <w:p>
                        <w:pPr>
                          <w:spacing w:line="320" w:lineRule="exact"/>
                          <w:ind w:left="-4" w:leftChars="-2" w:right="466" w:rightChars="212"/>
                          <w:jc w:val="both"/>
                          <w:rPr>
                            <w:rFonts w:ascii="宋体" w:eastAsia="宋体"/>
                            <w:sz w:val="21"/>
                          </w:rPr>
                        </w:pPr>
                        <w:r>
                          <w:rPr>
                            <w:rFonts w:hint="eastAsia" w:ascii="宋体" w:eastAsia="宋体"/>
                            <w:sz w:val="21"/>
                          </w:rPr>
                          <w:t>小写：650000.00元；     大写：陆拾伍万元整</w:t>
                        </w:r>
                      </w:p>
                      <w:p>
                        <w:pPr>
                          <w:spacing w:line="320" w:lineRule="exact"/>
                          <w:ind w:left="-4" w:leftChars="-2" w:right="466" w:rightChars="212"/>
                          <w:jc w:val="both"/>
                          <w:rPr>
                            <w:rFonts w:ascii="宋体" w:eastAsia="宋体"/>
                            <w:sz w:val="21"/>
                          </w:rPr>
                        </w:pPr>
                        <w:r>
                          <w:rPr>
                            <w:rFonts w:hint="eastAsia" w:ascii="宋体" w:eastAsia="宋体"/>
                            <w:sz w:val="21"/>
                          </w:rPr>
                          <w:t>户单位名称：新疆谱诚项目管理咨询有限公司</w:t>
                        </w:r>
                      </w:p>
                      <w:p>
                        <w:pPr>
                          <w:spacing w:line="320" w:lineRule="exact"/>
                          <w:ind w:left="-4" w:leftChars="-2" w:right="466" w:rightChars="212"/>
                          <w:jc w:val="both"/>
                          <w:rPr>
                            <w:rFonts w:ascii="宋体" w:eastAsia="宋体"/>
                            <w:sz w:val="21"/>
                          </w:rPr>
                        </w:pPr>
                        <w:r>
                          <w:rPr>
                            <w:rFonts w:hint="eastAsia" w:ascii="宋体" w:eastAsia="宋体"/>
                            <w:sz w:val="21"/>
                          </w:rPr>
                          <w:t>开户行：中国农业银行股份有限公司乌鲁木齐南门国际城支行</w:t>
                        </w:r>
                      </w:p>
                      <w:p>
                        <w:pPr>
                          <w:spacing w:line="320" w:lineRule="exact"/>
                          <w:ind w:left="-4" w:leftChars="-2" w:right="466" w:rightChars="212"/>
                          <w:jc w:val="both"/>
                          <w:rPr>
                            <w:rFonts w:ascii="宋体" w:eastAsia="宋体"/>
                            <w:sz w:val="21"/>
                          </w:rPr>
                        </w:pPr>
                        <w:r>
                          <w:rPr>
                            <w:rFonts w:hint="eastAsia" w:ascii="宋体" w:eastAsia="宋体"/>
                            <w:sz w:val="21"/>
                          </w:rPr>
                          <w:t>银行账号：30003101040002928</w:t>
                        </w:r>
                      </w:p>
                      <w:p>
                        <w:pPr>
                          <w:spacing w:line="320" w:lineRule="exact"/>
                          <w:ind w:left="-4" w:leftChars="-2" w:right="466" w:rightChars="212"/>
                          <w:jc w:val="both"/>
                          <w:rPr>
                            <w:rFonts w:ascii="宋体" w:eastAsia="宋体"/>
                            <w:sz w:val="21"/>
                          </w:rPr>
                        </w:pPr>
                        <w:r>
                          <w:rPr>
                            <w:rFonts w:hint="eastAsia" w:ascii="宋体" w:eastAsia="宋体"/>
                            <w:sz w:val="21"/>
                          </w:rPr>
                          <w:t>行    号：103881000316</w:t>
                        </w:r>
                      </w:p>
                      <w:p>
                        <w:pPr>
                          <w:spacing w:line="320" w:lineRule="exact"/>
                          <w:ind w:left="-4" w:leftChars="-2" w:right="466" w:rightChars="212"/>
                          <w:jc w:val="both"/>
                          <w:rPr>
                            <w:rFonts w:ascii="宋体" w:eastAsia="宋体"/>
                            <w:sz w:val="21"/>
                          </w:rPr>
                        </w:pPr>
                        <w:r>
                          <w:rPr>
                            <w:rFonts w:hint="eastAsia" w:ascii="宋体" w:eastAsia="宋体"/>
                            <w:sz w:val="21"/>
                          </w:rPr>
                          <w:t>投标保证金的缴纳形式：投标保证金于2020年12月17日11：00分（北京时间，以到账时间为准）之前从投标人基本账户以银行电汇或网银形式汇至新疆谱诚项目管理咨询有限公司账户，投标人提交投标保证金应充分考虑资金在途时间。若投标人未按照上述规定缴纳投标保证金,投标文件将被拒绝评审。</w:t>
                        </w:r>
                      </w:p>
                      <w:p>
                        <w:pPr>
                          <w:pStyle w:val="30"/>
                          <w:spacing w:before="2"/>
                          <w:ind w:left="37"/>
                          <w:rPr>
                            <w:rFonts w:ascii="宋体" w:eastAsia="宋体"/>
                            <w:sz w:val="21"/>
                          </w:rPr>
                        </w:pPr>
                        <w:r>
                          <w:rPr>
                            <w:rFonts w:hint="eastAsia" w:ascii="宋体" w:eastAsia="宋体"/>
                            <w:sz w:val="21"/>
                          </w:rPr>
                          <w:t>联系电话：0991-4694560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926" w:type="dxa"/>
                        <w:tcBorders>
                          <w:top w:val="single" w:color="000000" w:sz="6" w:space="0"/>
                          <w:left w:val="single" w:color="000000" w:sz="12" w:space="0"/>
                          <w:bottom w:val="single" w:color="000000" w:sz="6" w:space="0"/>
                          <w:right w:val="single" w:color="000000" w:sz="6" w:space="0"/>
                        </w:tcBorders>
                      </w:tcPr>
                      <w:p>
                        <w:pPr>
                          <w:pStyle w:val="30"/>
                          <w:spacing w:before="2"/>
                          <w:ind w:left="358"/>
                          <w:rPr>
                            <w:rFonts w:ascii="宋体"/>
                            <w:sz w:val="21"/>
                          </w:rPr>
                        </w:pPr>
                        <w:r>
                          <w:rPr>
                            <w:rFonts w:ascii="宋体"/>
                            <w:sz w:val="21"/>
                          </w:rPr>
                          <w:t>15</w:t>
                        </w:r>
                      </w:p>
                    </w:tc>
                    <w:tc>
                      <w:tcPr>
                        <w:tcW w:w="2575" w:type="dxa"/>
                        <w:tcBorders>
                          <w:top w:val="single" w:color="000000" w:sz="6" w:space="0"/>
                          <w:left w:val="single" w:color="000000" w:sz="6" w:space="0"/>
                          <w:bottom w:val="single" w:color="000000" w:sz="6" w:space="0"/>
                          <w:right w:val="nil"/>
                        </w:tcBorders>
                      </w:tcPr>
                      <w:p>
                        <w:pPr>
                          <w:pStyle w:val="30"/>
                          <w:spacing w:before="2"/>
                          <w:ind w:left="37"/>
                          <w:rPr>
                            <w:rFonts w:ascii="宋体" w:eastAsia="宋体"/>
                            <w:sz w:val="21"/>
                          </w:rPr>
                        </w:pPr>
                        <w:r>
                          <w:rPr>
                            <w:rFonts w:hint="eastAsia" w:ascii="宋体" w:eastAsia="宋体"/>
                            <w:sz w:val="21"/>
                          </w:rPr>
                          <w:t>投标有效期：从开标之日起</w:t>
                        </w:r>
                      </w:p>
                    </w:tc>
                    <w:tc>
                      <w:tcPr>
                        <w:tcW w:w="5703" w:type="dxa"/>
                        <w:gridSpan w:val="2"/>
                        <w:tcBorders>
                          <w:top w:val="single" w:color="000000" w:sz="6" w:space="0"/>
                          <w:left w:val="nil"/>
                          <w:bottom w:val="single" w:color="000000" w:sz="6" w:space="0"/>
                          <w:right w:val="single" w:color="000000" w:sz="12" w:space="0"/>
                        </w:tcBorders>
                      </w:tcPr>
                      <w:p>
                        <w:pPr>
                          <w:pStyle w:val="30"/>
                          <w:spacing w:before="2"/>
                          <w:ind w:left="42"/>
                          <w:rPr>
                            <w:rFonts w:ascii="宋体" w:eastAsia="宋体"/>
                            <w:sz w:val="21"/>
                          </w:rPr>
                        </w:pPr>
                        <w:r>
                          <w:rPr>
                            <w:rFonts w:hint="eastAsia" w:ascii="宋体" w:eastAsia="宋体"/>
                            <w:sz w:val="21"/>
                          </w:rPr>
                          <w:t>60 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0" w:hRule="atLeast"/>
                    </w:trPr>
                    <w:tc>
                      <w:tcPr>
                        <w:tcW w:w="926" w:type="dxa"/>
                        <w:tcBorders>
                          <w:top w:val="single" w:color="000000" w:sz="6" w:space="0"/>
                          <w:left w:val="single" w:color="000000" w:sz="12" w:space="0"/>
                          <w:bottom w:val="single" w:color="000000" w:sz="6" w:space="0"/>
                          <w:right w:val="single" w:color="000000" w:sz="6" w:space="0"/>
                        </w:tcBorders>
                      </w:tcPr>
                      <w:p>
                        <w:pPr>
                          <w:pStyle w:val="30"/>
                          <w:rPr>
                            <w:rFonts w:ascii="宋体"/>
                            <w:sz w:val="20"/>
                          </w:rPr>
                        </w:pPr>
                      </w:p>
                      <w:p>
                        <w:pPr>
                          <w:pStyle w:val="30"/>
                          <w:rPr>
                            <w:rFonts w:ascii="宋体"/>
                            <w:sz w:val="20"/>
                          </w:rPr>
                        </w:pPr>
                      </w:p>
                      <w:p>
                        <w:pPr>
                          <w:pStyle w:val="30"/>
                          <w:rPr>
                            <w:rFonts w:ascii="宋体"/>
                            <w:sz w:val="20"/>
                          </w:rPr>
                        </w:pPr>
                      </w:p>
                      <w:p>
                        <w:pPr>
                          <w:pStyle w:val="30"/>
                          <w:spacing w:before="8"/>
                          <w:rPr>
                            <w:rFonts w:ascii="宋体"/>
                            <w:sz w:val="19"/>
                          </w:rPr>
                        </w:pPr>
                      </w:p>
                      <w:p>
                        <w:pPr>
                          <w:pStyle w:val="30"/>
                          <w:ind w:left="358"/>
                          <w:rPr>
                            <w:rFonts w:ascii="宋体"/>
                            <w:sz w:val="21"/>
                          </w:rPr>
                        </w:pPr>
                        <w:r>
                          <w:rPr>
                            <w:rFonts w:ascii="宋体"/>
                            <w:sz w:val="21"/>
                          </w:rPr>
                          <w:t>16</w:t>
                        </w:r>
                      </w:p>
                    </w:tc>
                    <w:tc>
                      <w:tcPr>
                        <w:tcW w:w="8278" w:type="dxa"/>
                        <w:gridSpan w:val="3"/>
                        <w:tcBorders>
                          <w:top w:val="single" w:color="000000" w:sz="6" w:space="0"/>
                          <w:left w:val="single" w:color="000000" w:sz="6" w:space="0"/>
                          <w:bottom w:val="single" w:color="000000" w:sz="6" w:space="0"/>
                          <w:right w:val="single" w:color="000000" w:sz="12" w:space="0"/>
                        </w:tcBorders>
                      </w:tcPr>
                      <w:p>
                        <w:pPr>
                          <w:pStyle w:val="30"/>
                          <w:ind w:left="37"/>
                          <w:rPr>
                            <w:rFonts w:ascii="宋体" w:eastAsia="宋体"/>
                            <w:sz w:val="21"/>
                          </w:rPr>
                        </w:pPr>
                        <w:r>
                          <w:rPr>
                            <w:rFonts w:hint="eastAsia" w:ascii="宋体" w:eastAsia="宋体"/>
                            <w:sz w:val="21"/>
                          </w:rPr>
                          <w:t>1、投标文件递交：正本份数：壹份，副本份数：肆份。电子文档壹份。技术参数相应对照表壹份。开标一览表壹份</w:t>
                        </w:r>
                      </w:p>
                      <w:p>
                        <w:pPr>
                          <w:pStyle w:val="30"/>
                          <w:spacing w:before="139"/>
                          <w:ind w:left="37"/>
                          <w:rPr>
                            <w:rFonts w:ascii="宋体" w:eastAsia="宋体"/>
                            <w:sz w:val="21"/>
                          </w:rPr>
                        </w:pPr>
                        <w:r>
                          <w:rPr>
                            <w:rFonts w:hint="eastAsia" w:ascii="宋体" w:eastAsia="宋体"/>
                            <w:sz w:val="21"/>
                          </w:rPr>
                          <w:t>2、资格证明文件</w:t>
                        </w:r>
                        <w:r>
                          <w:rPr>
                            <w:rFonts w:hint="eastAsia" w:ascii="宋体" w:eastAsia="宋体"/>
                            <w:b/>
                            <w:sz w:val="21"/>
                          </w:rPr>
                          <w:t>（需单独装订）</w:t>
                        </w:r>
                        <w:r>
                          <w:rPr>
                            <w:rFonts w:hint="eastAsia" w:ascii="宋体" w:eastAsia="宋体"/>
                            <w:sz w:val="21"/>
                          </w:rPr>
                          <w:t>：正本份数：壹份，副本份数：肆份。</w:t>
                        </w:r>
                      </w:p>
                      <w:p>
                        <w:pPr>
                          <w:pStyle w:val="30"/>
                          <w:spacing w:before="139"/>
                          <w:ind w:left="37"/>
                          <w:rPr>
                            <w:rFonts w:ascii="宋体" w:eastAsia="宋体"/>
                            <w:sz w:val="21"/>
                          </w:rPr>
                        </w:pPr>
                        <w:r>
                          <w:rPr>
                            <w:rFonts w:hint="eastAsia" w:ascii="宋体" w:eastAsia="宋体"/>
                            <w:sz w:val="21"/>
                          </w:rPr>
                          <w:t>3、装订要求：</w:t>
                        </w:r>
                      </w:p>
                      <w:p>
                        <w:pPr>
                          <w:pStyle w:val="30"/>
                          <w:spacing w:before="139"/>
                          <w:ind w:left="37"/>
                          <w:rPr>
                            <w:rFonts w:ascii="宋体" w:hAnsi="宋体" w:eastAsia="宋体"/>
                            <w:sz w:val="21"/>
                          </w:rPr>
                        </w:pPr>
                        <w:r>
                          <w:rPr>
                            <w:rFonts w:hint="eastAsia" w:ascii="宋体" w:hAnsi="宋体" w:eastAsia="宋体"/>
                            <w:sz w:val="21"/>
                          </w:rPr>
                          <w:t>①胶装装订成册</w:t>
                        </w:r>
                      </w:p>
                      <w:p>
                        <w:pPr>
                          <w:pStyle w:val="30"/>
                          <w:spacing w:before="10" w:line="400" w:lineRule="atLeast"/>
                          <w:ind w:left="37"/>
                          <w:rPr>
                            <w:rFonts w:ascii="宋体" w:hAnsi="宋体" w:eastAsia="宋体"/>
                            <w:sz w:val="21"/>
                          </w:rPr>
                        </w:pPr>
                        <w:r>
                          <w:rPr>
                            <w:rFonts w:hint="eastAsia" w:ascii="宋体" w:hAnsi="宋体" w:eastAsia="宋体"/>
                            <w:sz w:val="21"/>
                          </w:rPr>
                          <w:t>②书脊写明：项目编号、项目名称、供应商名称、册数（横向，示例：如投标文件共有二册，则分别标注 1/2、2/2）、可以缩写，但意思需表达完整（本条不作为废标条款）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atLeast"/>
                    </w:trPr>
                    <w:tc>
                      <w:tcPr>
                        <w:tcW w:w="926" w:type="dxa"/>
                        <w:tcBorders>
                          <w:top w:val="single" w:color="000000" w:sz="6" w:space="0"/>
                          <w:left w:val="single" w:color="000000" w:sz="12" w:space="0"/>
                          <w:bottom w:val="single" w:color="000000" w:sz="6" w:space="0"/>
                          <w:right w:val="single" w:color="000000" w:sz="6" w:space="0"/>
                        </w:tcBorders>
                      </w:tcPr>
                      <w:p>
                        <w:pPr>
                          <w:pStyle w:val="30"/>
                          <w:rPr>
                            <w:rFonts w:ascii="宋体"/>
                            <w:sz w:val="20"/>
                          </w:rPr>
                        </w:pPr>
                      </w:p>
                      <w:p>
                        <w:pPr>
                          <w:pStyle w:val="30"/>
                          <w:spacing w:before="151"/>
                          <w:ind w:left="358"/>
                          <w:rPr>
                            <w:rFonts w:ascii="宋体"/>
                            <w:sz w:val="21"/>
                          </w:rPr>
                        </w:pPr>
                        <w:r>
                          <w:rPr>
                            <w:rFonts w:ascii="宋体"/>
                            <w:sz w:val="21"/>
                          </w:rPr>
                          <w:t>17</w:t>
                        </w:r>
                      </w:p>
                    </w:tc>
                    <w:tc>
                      <w:tcPr>
                        <w:tcW w:w="8278" w:type="dxa"/>
                        <w:gridSpan w:val="3"/>
                        <w:tcBorders>
                          <w:top w:val="single" w:color="000000" w:sz="6" w:space="0"/>
                          <w:left w:val="single" w:color="000000" w:sz="6" w:space="0"/>
                          <w:bottom w:val="single" w:color="000000" w:sz="6" w:space="0"/>
                          <w:right w:val="single" w:color="000000" w:sz="12" w:space="0"/>
                        </w:tcBorders>
                      </w:tcPr>
                      <w:p>
                        <w:pPr>
                          <w:pStyle w:val="30"/>
                          <w:spacing w:line="364" w:lineRule="auto"/>
                          <w:ind w:left="37" w:right="-15"/>
                          <w:rPr>
                            <w:rFonts w:ascii="宋体" w:eastAsia="宋体"/>
                            <w:sz w:val="21"/>
                          </w:rPr>
                        </w:pPr>
                        <w:r>
                          <w:rPr>
                            <w:rFonts w:hint="eastAsia" w:ascii="宋体" w:eastAsia="宋体"/>
                            <w:spacing w:val="-7"/>
                            <w:sz w:val="21"/>
                          </w:rPr>
                          <w:t>投标文件递交地点：乌鲁木齐市水磨沟区龙盛街万科中央公园1期1栋1801室</w:t>
                        </w:r>
                      </w:p>
                      <w:p>
                        <w:pPr>
                          <w:pStyle w:val="30"/>
                          <w:ind w:left="37"/>
                          <w:rPr>
                            <w:rFonts w:ascii="宋体" w:eastAsia="宋体"/>
                            <w:sz w:val="21"/>
                          </w:rPr>
                        </w:pPr>
                        <w:r>
                          <w:rPr>
                            <w:rFonts w:hint="eastAsia" w:ascii="宋体" w:eastAsia="宋体"/>
                            <w:sz w:val="21"/>
                          </w:rPr>
                          <w:t>投标文件递交截至时间：2020年12月17日 11时00分（北京时间）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926" w:type="dxa"/>
                        <w:tcBorders>
                          <w:top w:val="single" w:color="000000" w:sz="6" w:space="0"/>
                          <w:left w:val="single" w:color="000000" w:sz="12" w:space="0"/>
                          <w:bottom w:val="single" w:color="000000" w:sz="6" w:space="0"/>
                          <w:right w:val="single" w:color="000000" w:sz="6" w:space="0"/>
                        </w:tcBorders>
                      </w:tcPr>
                      <w:p>
                        <w:pPr>
                          <w:pStyle w:val="30"/>
                          <w:spacing w:before="11"/>
                          <w:rPr>
                            <w:rFonts w:ascii="宋体"/>
                            <w:sz w:val="15"/>
                          </w:rPr>
                        </w:pPr>
                      </w:p>
                      <w:p>
                        <w:pPr>
                          <w:pStyle w:val="30"/>
                          <w:spacing w:before="1"/>
                          <w:ind w:left="358"/>
                          <w:rPr>
                            <w:rFonts w:ascii="宋体"/>
                            <w:sz w:val="21"/>
                          </w:rPr>
                        </w:pPr>
                        <w:r>
                          <w:rPr>
                            <w:rFonts w:ascii="宋体"/>
                            <w:sz w:val="21"/>
                          </w:rPr>
                          <w:t>18</w:t>
                        </w:r>
                      </w:p>
                    </w:tc>
                    <w:tc>
                      <w:tcPr>
                        <w:tcW w:w="8278" w:type="dxa"/>
                        <w:gridSpan w:val="3"/>
                        <w:tcBorders>
                          <w:top w:val="single" w:color="000000" w:sz="6" w:space="0"/>
                          <w:left w:val="single" w:color="000000" w:sz="6" w:space="0"/>
                          <w:bottom w:val="single" w:color="000000" w:sz="6" w:space="0"/>
                          <w:right w:val="single" w:color="000000" w:sz="12" w:space="0"/>
                        </w:tcBorders>
                      </w:tcPr>
                      <w:p>
                        <w:pPr>
                          <w:pStyle w:val="30"/>
                          <w:ind w:left="37"/>
                          <w:rPr>
                            <w:rFonts w:ascii="宋体" w:eastAsia="宋体"/>
                            <w:sz w:val="21"/>
                          </w:rPr>
                        </w:pPr>
                        <w:r>
                          <w:rPr>
                            <w:rFonts w:hint="eastAsia" w:ascii="宋体" w:eastAsia="宋体"/>
                            <w:sz w:val="21"/>
                          </w:rPr>
                          <w:t>开标地址：同投标文件递交地点</w:t>
                        </w:r>
                      </w:p>
                      <w:p>
                        <w:pPr>
                          <w:pStyle w:val="30"/>
                          <w:spacing w:before="139"/>
                          <w:ind w:left="37"/>
                          <w:rPr>
                            <w:rFonts w:ascii="宋体" w:eastAsia="宋体"/>
                            <w:sz w:val="21"/>
                          </w:rPr>
                        </w:pPr>
                        <w:r>
                          <w:rPr>
                            <w:rFonts w:hint="eastAsia" w:ascii="宋体" w:eastAsia="宋体"/>
                            <w:sz w:val="21"/>
                          </w:rPr>
                          <w:t>开标时间：同投标文件递交截至时间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 w:hRule="atLeast"/>
                    </w:trPr>
                    <w:tc>
                      <w:tcPr>
                        <w:tcW w:w="926" w:type="dxa"/>
                        <w:tcBorders>
                          <w:top w:val="single" w:color="000000" w:sz="6" w:space="0"/>
                          <w:left w:val="single" w:color="000000" w:sz="12" w:space="0"/>
                          <w:bottom w:val="single" w:color="000000" w:sz="6" w:space="0"/>
                          <w:right w:val="nil"/>
                        </w:tcBorders>
                      </w:tcPr>
                      <w:p>
                        <w:pPr>
                          <w:pStyle w:val="30"/>
                          <w:rPr>
                            <w:rFonts w:ascii="Times New Roman"/>
                            <w:sz w:val="20"/>
                          </w:rPr>
                        </w:pPr>
                      </w:p>
                    </w:tc>
                    <w:tc>
                      <w:tcPr>
                        <w:tcW w:w="3673" w:type="dxa"/>
                        <w:gridSpan w:val="2"/>
                        <w:tcBorders>
                          <w:top w:val="single" w:color="000000" w:sz="6" w:space="0"/>
                          <w:left w:val="nil"/>
                          <w:bottom w:val="single" w:color="000000" w:sz="6" w:space="0"/>
                          <w:right w:val="nil"/>
                        </w:tcBorders>
                      </w:tcPr>
                      <w:p>
                        <w:pPr>
                          <w:pStyle w:val="30"/>
                          <w:spacing w:before="1"/>
                          <w:ind w:right="512"/>
                          <w:jc w:val="right"/>
                          <w:rPr>
                            <w:rFonts w:ascii="宋体" w:eastAsia="宋体"/>
                            <w:b/>
                            <w:sz w:val="21"/>
                          </w:rPr>
                        </w:pPr>
                        <w:r>
                          <w:rPr>
                            <w:rFonts w:hint="eastAsia" w:ascii="宋体" w:eastAsia="宋体"/>
                            <w:b/>
                            <w:w w:val="99"/>
                            <w:sz w:val="21"/>
                          </w:rPr>
                          <w:t>评</w:t>
                        </w:r>
                      </w:p>
                    </w:tc>
                    <w:tc>
                      <w:tcPr>
                        <w:tcW w:w="4605" w:type="dxa"/>
                        <w:tcBorders>
                          <w:top w:val="single" w:color="000000" w:sz="6" w:space="0"/>
                          <w:left w:val="nil"/>
                          <w:bottom w:val="single" w:color="000000" w:sz="6" w:space="0"/>
                          <w:right w:val="single" w:color="000000" w:sz="12" w:space="0"/>
                        </w:tcBorders>
                      </w:tcPr>
                      <w:p>
                        <w:pPr>
                          <w:pStyle w:val="30"/>
                          <w:spacing w:before="1"/>
                          <w:ind w:left="542"/>
                          <w:rPr>
                            <w:rFonts w:ascii="宋体" w:eastAsia="宋体"/>
                            <w:b/>
                            <w:sz w:val="21"/>
                          </w:rPr>
                        </w:pPr>
                        <w:r>
                          <w:rPr>
                            <w:rFonts w:hint="eastAsia" w:ascii="宋体" w:eastAsia="宋体"/>
                            <w:b/>
                            <w:w w:val="99"/>
                            <w:sz w:val="21"/>
                          </w:rPr>
                          <w:t>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926" w:type="dxa"/>
                        <w:tcBorders>
                          <w:top w:val="single" w:color="000000" w:sz="6" w:space="0"/>
                          <w:left w:val="single" w:color="000000" w:sz="12" w:space="0"/>
                          <w:right w:val="single" w:color="000000" w:sz="6" w:space="0"/>
                        </w:tcBorders>
                      </w:tcPr>
                      <w:p>
                        <w:pPr>
                          <w:pStyle w:val="30"/>
                          <w:spacing w:line="268" w:lineRule="exact"/>
                          <w:ind w:left="358"/>
                          <w:rPr>
                            <w:rFonts w:ascii="宋体"/>
                            <w:sz w:val="21"/>
                          </w:rPr>
                        </w:pPr>
                        <w:r>
                          <w:rPr>
                            <w:rFonts w:ascii="宋体"/>
                            <w:sz w:val="21"/>
                          </w:rPr>
                          <w:t>19</w:t>
                        </w:r>
                      </w:p>
                    </w:tc>
                    <w:tc>
                      <w:tcPr>
                        <w:tcW w:w="8278" w:type="dxa"/>
                        <w:gridSpan w:val="3"/>
                        <w:tcBorders>
                          <w:top w:val="single" w:color="000000" w:sz="6" w:space="0"/>
                          <w:left w:val="single" w:color="000000" w:sz="6" w:space="0"/>
                          <w:right w:val="single" w:color="000000" w:sz="12" w:space="0"/>
                        </w:tcBorders>
                      </w:tcPr>
                      <w:p>
                        <w:pPr>
                          <w:pStyle w:val="30"/>
                          <w:spacing w:line="268" w:lineRule="exact"/>
                          <w:ind w:left="37"/>
                          <w:rPr>
                            <w:rFonts w:ascii="宋体" w:eastAsia="宋体"/>
                            <w:sz w:val="21"/>
                          </w:rPr>
                        </w:pPr>
                        <w:r>
                          <w:rPr>
                            <w:rFonts w:hint="eastAsia" w:ascii="宋体" w:eastAsia="宋体"/>
                            <w:sz w:val="21"/>
                          </w:rPr>
                          <w:t>本次项目供应商中综合得分最高的供应商为中标人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926" w:type="dxa"/>
                        <w:tcBorders>
                          <w:left w:val="single" w:color="000000" w:sz="12" w:space="0"/>
                          <w:bottom w:val="single" w:color="000000" w:sz="6" w:space="0"/>
                          <w:right w:val="single" w:color="000000" w:sz="6" w:space="0"/>
                        </w:tcBorders>
                      </w:tcPr>
                      <w:p>
                        <w:pPr>
                          <w:pStyle w:val="30"/>
                          <w:spacing w:before="1"/>
                          <w:ind w:left="358"/>
                          <w:rPr>
                            <w:rFonts w:ascii="宋体"/>
                            <w:sz w:val="21"/>
                          </w:rPr>
                        </w:pPr>
                        <w:r>
                          <w:rPr>
                            <w:rFonts w:ascii="宋体"/>
                            <w:sz w:val="21"/>
                          </w:rPr>
                          <w:t>20</w:t>
                        </w:r>
                      </w:p>
                    </w:tc>
                    <w:tc>
                      <w:tcPr>
                        <w:tcW w:w="8278" w:type="dxa"/>
                        <w:gridSpan w:val="3"/>
                        <w:tcBorders>
                          <w:left w:val="single" w:color="000000" w:sz="6" w:space="0"/>
                          <w:bottom w:val="single" w:color="000000" w:sz="6" w:space="0"/>
                          <w:right w:val="single" w:color="000000" w:sz="12" w:space="0"/>
                        </w:tcBorders>
                      </w:tcPr>
                      <w:p>
                        <w:pPr>
                          <w:pStyle w:val="30"/>
                          <w:spacing w:before="1"/>
                          <w:ind w:left="37"/>
                          <w:rPr>
                            <w:rFonts w:ascii="宋体" w:eastAsia="宋体"/>
                            <w:sz w:val="21"/>
                          </w:rPr>
                        </w:pPr>
                        <w:r>
                          <w:rPr>
                            <w:rFonts w:hint="eastAsia" w:ascii="宋体" w:eastAsia="宋体"/>
                            <w:sz w:val="21"/>
                          </w:rPr>
                          <w:t>投标的评价：评标方法采用综合评分法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 w:hRule="atLeast"/>
                    </w:trPr>
                    <w:tc>
                      <w:tcPr>
                        <w:tcW w:w="9204" w:type="dxa"/>
                        <w:gridSpan w:val="4"/>
                        <w:tcBorders>
                          <w:top w:val="single" w:color="000000" w:sz="6" w:space="0"/>
                          <w:left w:val="single" w:color="000000" w:sz="12" w:space="0"/>
                          <w:bottom w:val="single" w:color="000000" w:sz="6" w:space="0"/>
                          <w:right w:val="single" w:color="000000" w:sz="12" w:space="0"/>
                        </w:tcBorders>
                      </w:tcPr>
                      <w:p>
                        <w:pPr>
                          <w:pStyle w:val="30"/>
                          <w:tabs>
                            <w:tab w:val="left" w:pos="454"/>
                            <w:tab w:val="left" w:pos="874"/>
                            <w:tab w:val="left" w:pos="1296"/>
                          </w:tabs>
                          <w:spacing w:line="269" w:lineRule="exact"/>
                          <w:ind w:left="31"/>
                          <w:jc w:val="center"/>
                          <w:rPr>
                            <w:rFonts w:ascii="宋体" w:eastAsia="宋体"/>
                            <w:b/>
                            <w:sz w:val="21"/>
                          </w:rPr>
                        </w:pPr>
                        <w:r>
                          <w:rPr>
                            <w:rFonts w:hint="eastAsia" w:ascii="宋体" w:eastAsia="宋体"/>
                            <w:b/>
                            <w:sz w:val="21"/>
                          </w:rPr>
                          <w:t>授</w:t>
                        </w:r>
                        <w:r>
                          <w:rPr>
                            <w:rFonts w:hint="eastAsia" w:ascii="宋体" w:eastAsia="宋体"/>
                            <w:b/>
                            <w:sz w:val="21"/>
                          </w:rPr>
                          <w:tab/>
                        </w:r>
                        <w:r>
                          <w:rPr>
                            <w:rFonts w:hint="eastAsia" w:ascii="宋体" w:eastAsia="宋体"/>
                            <w:b/>
                            <w:sz w:val="21"/>
                          </w:rPr>
                          <w:t>予</w:t>
                        </w:r>
                        <w:r>
                          <w:rPr>
                            <w:rFonts w:hint="eastAsia" w:ascii="宋体" w:eastAsia="宋体"/>
                            <w:b/>
                            <w:sz w:val="21"/>
                          </w:rPr>
                          <w:tab/>
                        </w:r>
                        <w:r>
                          <w:rPr>
                            <w:rFonts w:hint="eastAsia" w:ascii="宋体" w:eastAsia="宋体"/>
                            <w:b/>
                            <w:sz w:val="21"/>
                          </w:rPr>
                          <w:t>合</w:t>
                        </w:r>
                        <w:r>
                          <w:rPr>
                            <w:rFonts w:hint="eastAsia" w:ascii="宋体" w:eastAsia="宋体"/>
                            <w:b/>
                            <w:sz w:val="21"/>
                          </w:rPr>
                          <w:tab/>
                        </w:r>
                        <w:r>
                          <w:rPr>
                            <w:rFonts w:hint="eastAsia" w:ascii="宋体" w:eastAsia="宋体"/>
                            <w:b/>
                            <w:sz w:val="21"/>
                          </w:rPr>
                          <w:t>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926" w:type="dxa"/>
                        <w:tcBorders>
                          <w:top w:val="single" w:color="000000" w:sz="6" w:space="0"/>
                          <w:left w:val="single" w:color="000000" w:sz="12" w:space="0"/>
                          <w:bottom w:val="single" w:color="000000" w:sz="12" w:space="0"/>
                          <w:right w:val="single" w:color="000000" w:sz="6" w:space="0"/>
                        </w:tcBorders>
                      </w:tcPr>
                      <w:p>
                        <w:pPr>
                          <w:pStyle w:val="30"/>
                          <w:rPr>
                            <w:rFonts w:ascii="宋体"/>
                            <w:sz w:val="16"/>
                          </w:rPr>
                        </w:pPr>
                      </w:p>
                      <w:p>
                        <w:pPr>
                          <w:pStyle w:val="30"/>
                          <w:ind w:left="358"/>
                          <w:rPr>
                            <w:rFonts w:ascii="宋体"/>
                            <w:sz w:val="21"/>
                          </w:rPr>
                        </w:pPr>
                        <w:r>
                          <w:rPr>
                            <w:rFonts w:ascii="宋体"/>
                            <w:sz w:val="21"/>
                          </w:rPr>
                          <w:t>21</w:t>
                        </w:r>
                      </w:p>
                    </w:tc>
                    <w:tc>
                      <w:tcPr>
                        <w:tcW w:w="8278" w:type="dxa"/>
                        <w:gridSpan w:val="3"/>
                        <w:tcBorders>
                          <w:top w:val="single" w:color="000000" w:sz="6" w:space="0"/>
                          <w:left w:val="single" w:color="000000" w:sz="6" w:space="0"/>
                          <w:bottom w:val="single" w:color="000000" w:sz="12" w:space="0"/>
                          <w:right w:val="single" w:color="000000" w:sz="12" w:space="0"/>
                        </w:tcBorders>
                      </w:tcPr>
                      <w:p>
                        <w:pPr>
                          <w:pStyle w:val="30"/>
                          <w:spacing w:before="1"/>
                          <w:ind w:left="37"/>
                          <w:rPr>
                            <w:rFonts w:ascii="宋体" w:eastAsia="宋体"/>
                            <w:sz w:val="21"/>
                          </w:rPr>
                        </w:pPr>
                        <w:r>
                          <w:rPr>
                            <w:rFonts w:hint="eastAsia" w:ascii="宋体" w:eastAsia="宋体"/>
                            <w:sz w:val="21"/>
                          </w:rPr>
                          <w:t>合同授予标准：</w:t>
                        </w:r>
                      </w:p>
                      <w:p>
                        <w:pPr>
                          <w:pStyle w:val="30"/>
                          <w:spacing w:before="139"/>
                          <w:ind w:left="37"/>
                          <w:rPr>
                            <w:rFonts w:ascii="宋体" w:eastAsia="宋体"/>
                            <w:sz w:val="21"/>
                          </w:rPr>
                        </w:pPr>
                        <w:r>
                          <w:rPr>
                            <w:rFonts w:hint="eastAsia" w:ascii="宋体" w:eastAsia="宋体"/>
                            <w:sz w:val="21"/>
                          </w:rPr>
                          <w:t>合同授予被确定为实质上响应招标文件要求并有履行合同能力的综合得分最高的供应商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926" w:type="dxa"/>
                        <w:tcBorders>
                          <w:top w:val="single" w:color="000000" w:sz="12" w:space="0"/>
                          <w:left w:val="single" w:color="000000" w:sz="12" w:space="0"/>
                          <w:bottom w:val="single" w:color="000000" w:sz="12" w:space="0"/>
                          <w:right w:val="nil"/>
                        </w:tcBorders>
                      </w:tcPr>
                      <w:p>
                        <w:pPr>
                          <w:pStyle w:val="30"/>
                          <w:rPr>
                            <w:rFonts w:ascii="Times New Roman"/>
                            <w:sz w:val="20"/>
                          </w:rPr>
                        </w:pPr>
                      </w:p>
                    </w:tc>
                    <w:tc>
                      <w:tcPr>
                        <w:tcW w:w="3673" w:type="dxa"/>
                        <w:gridSpan w:val="2"/>
                        <w:tcBorders>
                          <w:top w:val="single" w:color="000000" w:sz="12" w:space="0"/>
                          <w:left w:val="nil"/>
                          <w:bottom w:val="single" w:color="000000" w:sz="12" w:space="0"/>
                          <w:right w:val="nil"/>
                        </w:tcBorders>
                      </w:tcPr>
                      <w:p>
                        <w:pPr>
                          <w:pStyle w:val="30"/>
                          <w:spacing w:before="2"/>
                          <w:ind w:right="563"/>
                          <w:jc w:val="right"/>
                          <w:rPr>
                            <w:rFonts w:ascii="宋体" w:eastAsia="宋体"/>
                            <w:b/>
                            <w:sz w:val="21"/>
                          </w:rPr>
                        </w:pPr>
                        <w:r>
                          <w:rPr>
                            <w:rFonts w:hint="eastAsia" w:ascii="宋体" w:eastAsia="宋体"/>
                            <w:b/>
                            <w:w w:val="99"/>
                            <w:sz w:val="21"/>
                          </w:rPr>
                          <w:t>其</w:t>
                        </w:r>
                      </w:p>
                    </w:tc>
                    <w:tc>
                      <w:tcPr>
                        <w:tcW w:w="4605" w:type="dxa"/>
                        <w:tcBorders>
                          <w:top w:val="single" w:color="000000" w:sz="12" w:space="0"/>
                          <w:left w:val="nil"/>
                          <w:bottom w:val="single" w:color="000000" w:sz="12" w:space="0"/>
                          <w:right w:val="single" w:color="000000" w:sz="12" w:space="0"/>
                        </w:tcBorders>
                      </w:tcPr>
                      <w:p>
                        <w:pPr>
                          <w:pStyle w:val="30"/>
                          <w:spacing w:before="2"/>
                          <w:ind w:left="595"/>
                          <w:rPr>
                            <w:rFonts w:ascii="宋体" w:eastAsia="宋体"/>
                            <w:b/>
                            <w:sz w:val="21"/>
                          </w:rPr>
                        </w:pPr>
                        <w:r>
                          <w:rPr>
                            <w:rFonts w:hint="eastAsia" w:ascii="宋体" w:eastAsia="宋体"/>
                            <w:b/>
                            <w:w w:val="99"/>
                            <w:sz w:val="21"/>
                          </w:rPr>
                          <w:t>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6" w:hRule="atLeast"/>
                    </w:trPr>
                    <w:tc>
                      <w:tcPr>
                        <w:tcW w:w="926" w:type="dxa"/>
                        <w:tcBorders>
                          <w:top w:val="single" w:color="000000" w:sz="12" w:space="0"/>
                          <w:left w:val="single" w:color="000000" w:sz="12" w:space="0"/>
                        </w:tcBorders>
                      </w:tcPr>
                      <w:p>
                        <w:pPr>
                          <w:pStyle w:val="30"/>
                          <w:rPr>
                            <w:rFonts w:ascii="宋体"/>
                            <w:sz w:val="20"/>
                          </w:rPr>
                        </w:pPr>
                      </w:p>
                      <w:p>
                        <w:pPr>
                          <w:pStyle w:val="30"/>
                          <w:rPr>
                            <w:rFonts w:ascii="宋体"/>
                            <w:sz w:val="20"/>
                          </w:rPr>
                        </w:pPr>
                      </w:p>
                      <w:p>
                        <w:pPr>
                          <w:pStyle w:val="30"/>
                          <w:rPr>
                            <w:rFonts w:ascii="宋体"/>
                            <w:sz w:val="20"/>
                          </w:rPr>
                        </w:pPr>
                      </w:p>
                      <w:p>
                        <w:pPr>
                          <w:pStyle w:val="30"/>
                          <w:rPr>
                            <w:rFonts w:ascii="宋体"/>
                            <w:sz w:val="20"/>
                          </w:rPr>
                        </w:pPr>
                      </w:p>
                      <w:p>
                        <w:pPr>
                          <w:pStyle w:val="30"/>
                          <w:rPr>
                            <w:rFonts w:ascii="宋体"/>
                            <w:sz w:val="20"/>
                          </w:rPr>
                        </w:pPr>
                      </w:p>
                      <w:p>
                        <w:pPr>
                          <w:pStyle w:val="30"/>
                          <w:rPr>
                            <w:rFonts w:ascii="宋体"/>
                            <w:sz w:val="20"/>
                          </w:rPr>
                        </w:pPr>
                      </w:p>
                      <w:p>
                        <w:pPr>
                          <w:pStyle w:val="30"/>
                          <w:rPr>
                            <w:rFonts w:ascii="宋体"/>
                            <w:sz w:val="20"/>
                          </w:rPr>
                        </w:pPr>
                      </w:p>
                      <w:p>
                        <w:pPr>
                          <w:pStyle w:val="30"/>
                          <w:rPr>
                            <w:rFonts w:ascii="宋体"/>
                            <w:sz w:val="20"/>
                          </w:rPr>
                        </w:pPr>
                      </w:p>
                      <w:p>
                        <w:pPr>
                          <w:pStyle w:val="30"/>
                          <w:rPr>
                            <w:rFonts w:ascii="宋体"/>
                            <w:sz w:val="20"/>
                          </w:rPr>
                        </w:pPr>
                      </w:p>
                      <w:p>
                        <w:pPr>
                          <w:pStyle w:val="30"/>
                          <w:spacing w:before="144"/>
                          <w:ind w:left="353"/>
                          <w:rPr>
                            <w:rFonts w:ascii="宋体"/>
                            <w:sz w:val="21"/>
                          </w:rPr>
                        </w:pPr>
                        <w:r>
                          <w:rPr>
                            <w:rFonts w:ascii="宋体"/>
                            <w:sz w:val="21"/>
                          </w:rPr>
                          <w:t>22</w:t>
                        </w:r>
                      </w:p>
                    </w:tc>
                    <w:tc>
                      <w:tcPr>
                        <w:tcW w:w="8278" w:type="dxa"/>
                        <w:gridSpan w:val="3"/>
                        <w:tcBorders>
                          <w:top w:val="single" w:color="000000" w:sz="12" w:space="0"/>
                          <w:right w:val="single" w:color="000000" w:sz="12" w:space="0"/>
                        </w:tcBorders>
                      </w:tcPr>
                      <w:p>
                        <w:pPr>
                          <w:pStyle w:val="30"/>
                          <w:spacing w:line="269" w:lineRule="exact"/>
                          <w:ind w:left="32"/>
                          <w:rPr>
                            <w:rFonts w:ascii="宋体" w:eastAsia="宋体"/>
                            <w:sz w:val="21"/>
                            <w:szCs w:val="21"/>
                          </w:rPr>
                        </w:pPr>
                        <w:r>
                          <w:rPr>
                            <w:rFonts w:hint="eastAsia" w:ascii="宋体" w:eastAsia="宋体"/>
                            <w:sz w:val="21"/>
                            <w:szCs w:val="21"/>
                          </w:rPr>
                          <w:t>政府采购相关政策：</w:t>
                        </w:r>
                      </w:p>
                      <w:p>
                        <w:pPr>
                          <w:widowControl/>
                          <w:shd w:val="clear" w:color="auto" w:fill="FFFFFF"/>
                          <w:spacing w:line="312" w:lineRule="auto"/>
                          <w:rPr>
                            <w:rFonts w:ascii="宋体" w:eastAsia="宋体"/>
                            <w:spacing w:val="-2"/>
                            <w:sz w:val="21"/>
                            <w:szCs w:val="21"/>
                          </w:rPr>
                        </w:pPr>
                        <w:r>
                          <w:rPr>
                            <w:rFonts w:hint="eastAsia" w:ascii="宋体" w:eastAsia="宋体"/>
                            <w:spacing w:val="-2"/>
                            <w:sz w:val="21"/>
                            <w:szCs w:val="21"/>
                          </w:rPr>
                          <w:t>A、</w:t>
                        </w:r>
                        <w:r>
                          <w:rPr>
                            <w:rFonts w:ascii="宋体" w:eastAsia="宋体"/>
                            <w:spacing w:val="-2"/>
                            <w:sz w:val="21"/>
                            <w:szCs w:val="21"/>
                          </w:rPr>
                          <w:t>《政府采购促进中小企业发展暂行办法》（财库〔2011〕181号）；《财政部、司法部关于政府采购支持监狱企业发展有关问题的通知》（财库〔2014〕68号）；《财政部 民政部 中国残疾人联合会关于促进残疾人就业政府采购政策的通知》财库〔2017〕141号。</w:t>
                        </w:r>
                        <w:r>
                          <w:rPr>
                            <w:rFonts w:hint="eastAsia" w:ascii="宋体" w:eastAsia="宋体"/>
                            <w:spacing w:val="-2"/>
                            <w:sz w:val="21"/>
                            <w:szCs w:val="21"/>
                          </w:rPr>
                          <w:t>本项目鼓励中小企业参与投标，中小企业划型标准以工信部联企业〔2011〕300 号《工业和信息化部、国家统计局、国家发展和改革委员会、财政部关于印发中小企业划型标准规定的通知》为依据。关于投标报价评分中给予小微企业优惠的说明：评审时给予小型或微型企业 6%的价格扣除，用扣除后的价格参与评审。供应商须提供中小企业声明函，否则不予认可（小型、微型企业提供中型企业</w:t>
                        </w:r>
                        <w:r>
                          <w:rPr>
                            <w:rFonts w:hint="eastAsia" w:ascii="宋体" w:eastAsia="宋体"/>
                            <w:sz w:val="21"/>
                            <w:szCs w:val="21"/>
                          </w:rPr>
                          <w:t>制造的货物的，视同为中型企业）,中小企业用评标报价参与评分大中型企业评标报价=投标报价</w:t>
                        </w:r>
                      </w:p>
                      <w:p>
                        <w:pPr>
                          <w:pStyle w:val="30"/>
                          <w:spacing w:line="265" w:lineRule="exact"/>
                          <w:ind w:left="32"/>
                          <w:rPr>
                            <w:rFonts w:ascii="宋体" w:eastAsia="宋体"/>
                            <w:sz w:val="15"/>
                            <w:szCs w:val="15"/>
                          </w:rPr>
                        </w:pPr>
                        <w:r>
                          <w:rPr>
                            <w:rFonts w:hint="eastAsia" w:ascii="宋体" w:eastAsia="宋体"/>
                            <w:sz w:val="21"/>
                            <w:szCs w:val="21"/>
                          </w:rPr>
                          <w:t>小型或微型企业评标报价=投标报价*（1-6%）</w:t>
                        </w:r>
                      </w:p>
                      <w:p>
                        <w:pPr>
                          <w:pStyle w:val="30"/>
                          <w:spacing w:before="140"/>
                          <w:ind w:left="32" w:right="-15"/>
                          <w:rPr>
                            <w:rFonts w:ascii="宋体" w:eastAsia="宋体"/>
                            <w:sz w:val="21"/>
                          </w:rPr>
                        </w:pPr>
                      </w:p>
                    </w:tc>
                  </w:tr>
                </w:tbl>
                <w:p>
                  <w:pPr>
                    <w:pStyle w:val="12"/>
                  </w:pPr>
                </w:p>
              </w:txbxContent>
            </v:textbox>
          </v:shape>
        </w:pict>
      </w:r>
    </w:p>
    <w:p>
      <w:pPr>
        <w:pStyle w:val="12"/>
        <w:rPr>
          <w:sz w:val="20"/>
        </w:rPr>
      </w:pPr>
    </w:p>
    <w:p>
      <w:pPr>
        <w:pStyle w:val="12"/>
        <w:rPr>
          <w:sz w:val="20"/>
        </w:rPr>
      </w:pPr>
    </w:p>
    <w:p>
      <w:pPr>
        <w:pStyle w:val="12"/>
        <w:rPr>
          <w:sz w:val="20"/>
        </w:rPr>
      </w:pPr>
    </w:p>
    <w:p>
      <w:pPr>
        <w:pStyle w:val="12"/>
        <w:rPr>
          <w:sz w:val="20"/>
        </w:rPr>
      </w:pPr>
    </w:p>
    <w:p>
      <w:pPr>
        <w:pStyle w:val="12"/>
        <w:spacing w:before="7"/>
        <w:rPr>
          <w:sz w:val="28"/>
        </w:rPr>
      </w:pPr>
    </w:p>
    <w:p>
      <w:pPr>
        <w:spacing w:before="69"/>
        <w:ind w:right="558"/>
        <w:jc w:val="right"/>
        <w:rPr>
          <w:rFonts w:ascii="宋体" w:eastAsia="宋体"/>
          <w:sz w:val="21"/>
        </w:rPr>
      </w:pPr>
      <w:r>
        <w:rPr>
          <w:rFonts w:hint="eastAsia" w:ascii="宋体" w:eastAsia="宋体"/>
          <w:w w:val="99"/>
          <w:sz w:val="21"/>
        </w:rPr>
        <w:t>。</w:t>
      </w: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jc w:val="right"/>
        <w:rPr>
          <w:rFonts w:ascii="宋体" w:eastAsia="宋体"/>
          <w:sz w:val="21"/>
        </w:rPr>
        <w:sectPr>
          <w:pgSz w:w="11910" w:h="16840"/>
          <w:pgMar w:top="920" w:right="3" w:bottom="1020" w:left="700" w:header="599" w:footer="826" w:gutter="0"/>
          <w:cols w:space="720" w:num="1"/>
        </w:sectPr>
      </w:pPr>
    </w:p>
    <w:p>
      <w:pPr>
        <w:pStyle w:val="12"/>
        <w:rPr>
          <w:sz w:val="20"/>
        </w:rPr>
      </w:pPr>
      <w:r>
        <w:pict>
          <v:shape id="_x0000_s1038" o:spid="_x0000_s1038" o:spt="202" type="#_x0000_t202" style="position:absolute;left:0pt;margin-left:67.05pt;margin-top:68.05pt;height:696.4pt;width:462.05pt;mso-position-horizontal-relative:page;mso-position-vertical-relative:page;z-index:251663360;mso-width-relative:page;mso-height-relative:page;" filled="f" stroked="f" coordsize="21600,21600">
            <v:path/>
            <v:fill on="f" focussize="0,0"/>
            <v:stroke on="f" joinstyle="miter"/>
            <v:imagedata o:title=""/>
            <o:lock v:ext="edit"/>
            <v:textbox inset="0mm,0mm,0mm,0mm">
              <w:txbxContent>
                <w:tbl>
                  <w:tblPr>
                    <w:tblStyle w:val="24"/>
                    <w:tblW w:w="0" w:type="auto"/>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20"/>
                    <w:gridCol w:w="827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888" w:hRule="atLeast"/>
                    </w:trPr>
                    <w:tc>
                      <w:tcPr>
                        <w:tcW w:w="920" w:type="dxa"/>
                        <w:tcBorders>
                          <w:bottom w:val="single" w:color="000000" w:sz="4" w:space="0"/>
                          <w:right w:val="single" w:color="000000" w:sz="4" w:space="0"/>
                        </w:tcBorders>
                      </w:tcPr>
                      <w:p>
                        <w:pPr>
                          <w:pStyle w:val="30"/>
                          <w:rPr>
                            <w:rFonts w:ascii="宋体" w:eastAsia="宋体"/>
                            <w:sz w:val="21"/>
                          </w:rPr>
                        </w:pPr>
                      </w:p>
                    </w:tc>
                    <w:tc>
                      <w:tcPr>
                        <w:tcW w:w="8277" w:type="dxa"/>
                        <w:tcBorders>
                          <w:left w:val="single" w:color="000000" w:sz="4" w:space="0"/>
                          <w:bottom w:val="single" w:color="000000" w:sz="4" w:space="0"/>
                        </w:tcBorders>
                      </w:tcPr>
                      <w:p>
                        <w:pPr>
                          <w:pStyle w:val="30"/>
                          <w:spacing w:before="1" w:line="364" w:lineRule="auto"/>
                          <w:ind w:left="38" w:right="27"/>
                          <w:jc w:val="both"/>
                          <w:rPr>
                            <w:rFonts w:ascii="宋体" w:eastAsia="宋体"/>
                            <w:sz w:val="21"/>
                          </w:rPr>
                        </w:pPr>
                        <w:r>
                          <w:rPr>
                            <w:rFonts w:hint="eastAsia" w:ascii="宋体" w:eastAsia="宋体"/>
                            <w:sz w:val="21"/>
                          </w:rPr>
                          <w:t>B、根据《财政部、司法部关于政府采购支持监狱企业发展有关问题的通知》（财库[2014]68号）规定，本项目支持监狱企业参与政府采购活动。监狱企业参加本项目投标时，须提供   由省级以上监狱管理局、戒毒管理局（含新疆生产建设兵团）出具的属于监狱企业的证明   文件，视同小型、微型企业，享受评审中价格扣除等政府采购促进中小企业发展的政府采   购政策，监狱企业属于小型、微型企业的，不重复享受政策。</w:t>
                        </w:r>
                      </w:p>
                      <w:p>
                        <w:pPr>
                          <w:pStyle w:val="30"/>
                          <w:spacing w:line="364" w:lineRule="auto"/>
                          <w:ind w:left="38" w:right="-29"/>
                          <w:rPr>
                            <w:rFonts w:ascii="宋体" w:eastAsia="宋体"/>
                            <w:sz w:val="21"/>
                          </w:rPr>
                        </w:pPr>
                        <w:r>
                          <w:rPr>
                            <w:rFonts w:hint="eastAsia" w:ascii="宋体" w:eastAsia="宋体"/>
                            <w:sz w:val="21"/>
                          </w:rPr>
                          <w:t>C、根据《关于促进残疾人就业政府采购政策的通知》（财库〔2017〕141 号）文件规定， 本项目支持残疾人福利性单位参与政府采购活动。符合条件的残疾人福利性单位参加本项目投标时，应当提供本通知规定的《残疾人福利性单位声明函》，并对声明的真实性负责视同小型、微型企业，享受评审中价格扣除等政府采购促进中小企业发展的政府采购政策残疾人福利性单位属于小型、微型企业的，不重复享受政策。</w:t>
                        </w:r>
                      </w:p>
                      <w:p>
                        <w:pPr>
                          <w:pStyle w:val="30"/>
                          <w:spacing w:line="364" w:lineRule="auto"/>
                          <w:ind w:left="38"/>
                          <w:rPr>
                            <w:rFonts w:ascii="宋体" w:eastAsia="宋体"/>
                            <w:sz w:val="21"/>
                          </w:rPr>
                        </w:pPr>
                        <w:r>
                          <w:rPr>
                            <w:rFonts w:hint="eastAsia" w:ascii="宋体" w:eastAsia="宋体"/>
                            <w:sz w:val="21"/>
                          </w:rPr>
                          <w:t>D、根据财库[2019]9 号《财政部、发展改革委、生态环境部、市场监管总局关于调整优化节能产品、环境标志产品政府采购执行机制的通知》、财库[2019]18 号《财政部、生态环境部关于印发环境标志产品政府采购品目清单的通知》、财库[2019]19 号《财政部、发展改革委关于印发节能产品政府采购品目清单的通知》文件规定，本项目如涉及到节能产品环境标志产品政府采购品目清单内的产品，将依据国家确定的认证机构出具的、处于有效期之内的节能产品、环境标志产品认证证书，对获得证书的产品实施优先采购或强制采购E、根据《政府采购进口产品管理办法》（财库[2007]119 号）规定，政府采购应当采购本国产品，不允许采购进口产品，确需采购进口产品的，实行审核管理。本办法所称进口产品是指通过中国海关报关验放进入中国境内且产自关境外的产品。根据《财政部办公厅关于政府采购进口产品管理有关问题的通知》（财办库[2008]248 号）规定，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设定为进口产品。</w:t>
                        </w:r>
                      </w:p>
                      <w:p>
                        <w:pPr>
                          <w:pStyle w:val="30"/>
                          <w:spacing w:line="364" w:lineRule="auto"/>
                          <w:ind w:left="38"/>
                          <w:rPr>
                            <w:rFonts w:ascii="宋体" w:eastAsia="宋体"/>
                            <w:sz w:val="21"/>
                          </w:rPr>
                        </w:pPr>
                        <w:r>
                          <w:rPr>
                            <w:rFonts w:hint="eastAsia" w:ascii="宋体" w:eastAsia="宋体"/>
                            <w:sz w:val="21"/>
                          </w:rPr>
                          <w:t>F、根据政府采购政策，本项目如涉及到自主创新首购产品，应当采购由财政部会同科技部   等部门制定的《政府采购自主创新产品目录》内的产品。</w:t>
                        </w:r>
                      </w:p>
                      <w:p>
                        <w:pPr>
                          <w:pStyle w:val="30"/>
                          <w:spacing w:line="364" w:lineRule="auto"/>
                          <w:ind w:left="38"/>
                          <w:jc w:val="both"/>
                          <w:rPr>
                            <w:rFonts w:ascii="宋体" w:eastAsia="宋体"/>
                            <w:sz w:val="21"/>
                          </w:rPr>
                        </w:pPr>
                        <w:r>
                          <w:rPr>
                            <w:rFonts w:hint="eastAsia" w:ascii="宋体" w:eastAsia="宋体"/>
                            <w:sz w:val="21"/>
                          </w:rPr>
                          <w:t>G、根据政府采购政策，本项目如涉及到无线局域网产品，应当优先采购《无线局域网认证产品政府采购清单》内的产品，如涉及到信息安全产品，应当采购经国家认证的信息安全产品。</w:t>
                        </w:r>
                      </w:p>
                      <w:p>
                        <w:pPr>
                          <w:pStyle w:val="30"/>
                          <w:spacing w:line="367" w:lineRule="auto"/>
                          <w:ind w:left="38"/>
                          <w:rPr>
                            <w:rFonts w:ascii="宋体" w:eastAsia="宋体"/>
                            <w:sz w:val="21"/>
                          </w:rPr>
                        </w:pPr>
                        <w:r>
                          <w:rPr>
                            <w:rFonts w:hint="eastAsia" w:ascii="宋体" w:eastAsia="宋体"/>
                            <w:sz w:val="21"/>
                          </w:rPr>
                          <w:t>H、根据政府采购政策，本项目如涉及到计算机办公设备产品，供应商所投产品必须是预装正版操作系统软件的计算机产品。</w:t>
                        </w:r>
                      </w:p>
                      <w:p>
                        <w:pPr>
                          <w:pStyle w:val="30"/>
                          <w:spacing w:line="364" w:lineRule="auto"/>
                          <w:ind w:left="38"/>
                          <w:jc w:val="both"/>
                          <w:rPr>
                            <w:rFonts w:ascii="宋体" w:eastAsia="宋体"/>
                            <w:sz w:val="21"/>
                          </w:rPr>
                        </w:pPr>
                        <w:r>
                          <w:rPr>
                            <w:rFonts w:hint="eastAsia" w:ascii="宋体" w:eastAsia="宋体"/>
                            <w:sz w:val="21"/>
                          </w:rPr>
                          <w:t>采购人、采购代理机构将通过“信用中国”网站（</w:t>
                        </w:r>
                        <w:r>
                          <w:fldChar w:fldCharType="begin"/>
                        </w:r>
                        <w:r>
                          <w:instrText xml:space="preserve"> HYPERLINK "http://www.creditchina.gov.cn/" \h </w:instrText>
                        </w:r>
                        <w:r>
                          <w:fldChar w:fldCharType="separate"/>
                        </w:r>
                        <w:r>
                          <w:rPr>
                            <w:rFonts w:hint="eastAsia" w:ascii="宋体" w:eastAsia="宋体"/>
                            <w:sz w:val="21"/>
                          </w:rPr>
                          <w:t>www.creditchina.gov.cn</w:t>
                        </w:r>
                        <w:r>
                          <w:rPr>
                            <w:rFonts w:hint="eastAsia" w:ascii="宋体" w:eastAsia="宋体"/>
                            <w:sz w:val="21"/>
                          </w:rPr>
                          <w:fldChar w:fldCharType="end"/>
                        </w:r>
                        <w:r>
                          <w:rPr>
                            <w:rFonts w:hint="eastAsia" w:ascii="宋体" w:eastAsia="宋体"/>
                            <w:sz w:val="21"/>
                          </w:rPr>
                          <w:t>）、中国政府采购网（</w:t>
                        </w:r>
                        <w:r>
                          <w:fldChar w:fldCharType="begin"/>
                        </w:r>
                        <w:r>
                          <w:instrText xml:space="preserve"> HYPERLINK "http://www.ccgp.gov.cn/" \h </w:instrText>
                        </w:r>
                        <w:r>
                          <w:fldChar w:fldCharType="separate"/>
                        </w:r>
                        <w:r>
                          <w:rPr>
                            <w:rFonts w:hint="eastAsia" w:ascii="宋体" w:eastAsia="宋体"/>
                            <w:sz w:val="21"/>
                          </w:rPr>
                          <w:t>www.ccgp.gov.cn</w:t>
                        </w:r>
                        <w:r>
                          <w:rPr>
                            <w:rFonts w:hint="eastAsia" w:ascii="宋体" w:eastAsia="宋体"/>
                            <w:sz w:val="21"/>
                          </w:rPr>
                          <w:fldChar w:fldCharType="end"/>
                        </w:r>
                        <w:r>
                          <w:rPr>
                            <w:rFonts w:hint="eastAsia" w:ascii="宋体" w:eastAsia="宋体"/>
                            <w:sz w:val="21"/>
                          </w:rPr>
                          <w:t>）查询供应商信用记录，信用信息查询的截止时点为投标截止时  间，被列入“信用中国”网站的“失信被执行人”和“重大税收违法案件当事人名单”、“中国政府采购”网站的“政府采购严重违法失信行为记录名单”的供应商，采购人、采</w:t>
                        </w:r>
                      </w:p>
                      <w:p>
                        <w:pPr>
                          <w:pStyle w:val="30"/>
                          <w:spacing w:line="268" w:lineRule="exact"/>
                          <w:ind w:left="38"/>
                          <w:rPr>
                            <w:rFonts w:ascii="宋体" w:eastAsia="宋体"/>
                            <w:sz w:val="21"/>
                          </w:rPr>
                        </w:pPr>
                        <w:r>
                          <w:rPr>
                            <w:rFonts w:hint="eastAsia" w:ascii="宋体" w:eastAsia="宋体"/>
                            <w:sz w:val="21"/>
                          </w:rPr>
                          <w:t>购代理机构拒绝其参与本项目投标，并将查询网页、内容进行截图，以作证据存档。</w:t>
                        </w:r>
                      </w:p>
                    </w:tc>
                  </w:tr>
                </w:tbl>
                <w:p>
                  <w:pPr>
                    <w:pStyle w:val="12"/>
                  </w:pPr>
                </w:p>
              </w:txbxContent>
            </v:textbox>
          </v:shape>
        </w:pict>
      </w: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spacing w:before="2"/>
        <w:rPr>
          <w:sz w:val="22"/>
        </w:rPr>
      </w:pPr>
    </w:p>
    <w:p>
      <w:pPr>
        <w:spacing w:before="70"/>
        <w:ind w:right="536"/>
        <w:jc w:val="right"/>
        <w:rPr>
          <w:rFonts w:ascii="宋体" w:eastAsia="宋体"/>
          <w:sz w:val="21"/>
        </w:rPr>
      </w:pPr>
      <w:r>
        <w:rPr>
          <w:rFonts w:hint="eastAsia" w:ascii="宋体" w:eastAsia="宋体"/>
          <w:w w:val="99"/>
          <w:sz w:val="21"/>
        </w:rPr>
        <w:t>，</w:t>
      </w:r>
    </w:p>
    <w:p>
      <w:pPr>
        <w:spacing w:before="139"/>
        <w:ind w:right="536"/>
        <w:jc w:val="right"/>
        <w:rPr>
          <w:rFonts w:ascii="宋体" w:eastAsia="宋体"/>
          <w:sz w:val="21"/>
        </w:rPr>
      </w:pPr>
      <w:r>
        <w:rPr>
          <w:rFonts w:hint="eastAsia" w:ascii="宋体" w:eastAsia="宋体"/>
          <w:w w:val="99"/>
          <w:sz w:val="21"/>
        </w:rPr>
        <w:t>，</w:t>
      </w: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spacing w:before="7"/>
        <w:rPr>
          <w:sz w:val="18"/>
        </w:rPr>
      </w:pPr>
    </w:p>
    <w:p>
      <w:pPr>
        <w:spacing w:before="1"/>
        <w:ind w:right="536"/>
        <w:jc w:val="right"/>
        <w:rPr>
          <w:rFonts w:ascii="宋体" w:eastAsia="宋体"/>
          <w:sz w:val="21"/>
        </w:rPr>
      </w:pPr>
      <w:r>
        <w:rPr>
          <w:rFonts w:hint="eastAsia" w:ascii="宋体" w:eastAsia="宋体"/>
          <w:w w:val="99"/>
          <w:sz w:val="21"/>
        </w:rPr>
        <w:t>、</w:t>
      </w:r>
    </w:p>
    <w:p>
      <w:pPr>
        <w:pStyle w:val="12"/>
        <w:rPr>
          <w:sz w:val="20"/>
        </w:rPr>
      </w:pPr>
    </w:p>
    <w:p>
      <w:pPr>
        <w:pStyle w:val="12"/>
        <w:spacing w:before="8"/>
        <w:rPr>
          <w:sz w:val="22"/>
        </w:rPr>
      </w:pPr>
    </w:p>
    <w:p>
      <w:pPr>
        <w:ind w:right="536"/>
        <w:jc w:val="right"/>
        <w:rPr>
          <w:rFonts w:ascii="宋体" w:eastAsia="宋体"/>
          <w:sz w:val="21"/>
        </w:rPr>
      </w:pPr>
      <w:r>
        <w:rPr>
          <w:rFonts w:hint="eastAsia" w:ascii="宋体" w:eastAsia="宋体"/>
          <w:w w:val="99"/>
          <w:sz w:val="21"/>
        </w:rPr>
        <w:t>。</w:t>
      </w:r>
    </w:p>
    <w:p>
      <w:pPr>
        <w:jc w:val="right"/>
        <w:rPr>
          <w:rFonts w:ascii="宋体" w:eastAsia="宋体"/>
          <w:sz w:val="21"/>
        </w:rPr>
        <w:sectPr>
          <w:pgSz w:w="11910" w:h="16840"/>
          <w:pgMar w:top="920" w:right="741" w:bottom="1020" w:left="700" w:header="599" w:footer="826" w:gutter="0"/>
          <w:cols w:space="720" w:num="1"/>
        </w:sectPr>
      </w:pPr>
    </w:p>
    <w:p>
      <w:pPr>
        <w:pStyle w:val="12"/>
        <w:rPr>
          <w:rFonts w:ascii="Times New Roman"/>
          <w:sz w:val="20"/>
        </w:rPr>
      </w:pPr>
    </w:p>
    <w:p>
      <w:pPr>
        <w:pStyle w:val="12"/>
        <w:spacing w:before="10"/>
        <w:rPr>
          <w:rFonts w:ascii="Times New Roman"/>
          <w:sz w:val="17"/>
        </w:rPr>
      </w:pPr>
      <w:bookmarkStart w:id="2" w:name="第三章_供应商须知"/>
      <w:bookmarkEnd w:id="2"/>
    </w:p>
    <w:tbl>
      <w:tblPr>
        <w:tblStyle w:val="24"/>
        <w:tblW w:w="0" w:type="auto"/>
        <w:tblInd w:w="67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20"/>
        <w:gridCol w:w="827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09" w:hRule="atLeast"/>
        </w:trPr>
        <w:tc>
          <w:tcPr>
            <w:tcW w:w="920" w:type="dxa"/>
            <w:tcBorders>
              <w:bottom w:val="single" w:color="000000" w:sz="4" w:space="0"/>
              <w:right w:val="single" w:color="000000" w:sz="4" w:space="0"/>
            </w:tcBorders>
          </w:tcPr>
          <w:p>
            <w:pPr>
              <w:pStyle w:val="30"/>
              <w:rPr>
                <w:rFonts w:ascii="Times New Roman"/>
                <w:sz w:val="20"/>
              </w:rPr>
            </w:pPr>
          </w:p>
        </w:tc>
        <w:tc>
          <w:tcPr>
            <w:tcW w:w="8277" w:type="dxa"/>
            <w:tcBorders>
              <w:left w:val="single" w:color="000000" w:sz="4" w:space="0"/>
              <w:bottom w:val="single" w:color="000000" w:sz="4" w:space="0"/>
            </w:tcBorders>
          </w:tcPr>
          <w:p>
            <w:pPr>
              <w:pStyle w:val="30"/>
              <w:spacing w:before="1"/>
              <w:ind w:left="38"/>
              <w:rPr>
                <w:rFonts w:ascii="宋体" w:eastAsia="宋体"/>
                <w:sz w:val="21"/>
              </w:rPr>
            </w:pPr>
            <w:r>
              <w:rPr>
                <w:rFonts w:hint="eastAsia" w:ascii="宋体" w:eastAsia="宋体"/>
                <w:sz w:val="21"/>
              </w:rPr>
              <w:t>J、其它未尽事宜，按国家有关法律、法规执行。</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920" w:type="dxa"/>
            <w:tcBorders>
              <w:top w:val="single" w:color="000000" w:sz="4" w:space="0"/>
              <w:bottom w:val="single" w:color="000000" w:sz="4" w:space="0"/>
              <w:right w:val="single" w:color="000000" w:sz="4" w:space="0"/>
            </w:tcBorders>
          </w:tcPr>
          <w:p>
            <w:pPr>
              <w:pStyle w:val="30"/>
              <w:spacing w:line="269" w:lineRule="exact"/>
              <w:ind w:left="333" w:right="317"/>
              <w:jc w:val="center"/>
              <w:rPr>
                <w:rFonts w:ascii="宋体"/>
                <w:sz w:val="21"/>
              </w:rPr>
            </w:pPr>
            <w:r>
              <w:rPr>
                <w:rFonts w:ascii="宋体"/>
                <w:sz w:val="21"/>
              </w:rPr>
              <w:t>23</w:t>
            </w:r>
          </w:p>
        </w:tc>
        <w:tc>
          <w:tcPr>
            <w:tcW w:w="8277" w:type="dxa"/>
            <w:tcBorders>
              <w:top w:val="single" w:color="000000" w:sz="4" w:space="0"/>
              <w:left w:val="single" w:color="000000" w:sz="4" w:space="0"/>
              <w:bottom w:val="single" w:color="000000" w:sz="4" w:space="0"/>
            </w:tcBorders>
          </w:tcPr>
          <w:p>
            <w:pPr>
              <w:pStyle w:val="30"/>
              <w:spacing w:line="269" w:lineRule="exact"/>
              <w:ind w:left="38"/>
              <w:rPr>
                <w:rFonts w:ascii="宋体" w:hAnsi="宋体" w:eastAsia="宋体"/>
                <w:sz w:val="21"/>
              </w:rPr>
            </w:pPr>
            <w:r>
              <w:rPr>
                <w:rFonts w:hint="eastAsia" w:ascii="宋体" w:hAnsi="宋体" w:eastAsia="宋体"/>
                <w:sz w:val="21"/>
              </w:rPr>
              <w:t>样品要求:详见第六章“采购需求书”(若无相关要求则不需提供样品)</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17" w:hRule="atLeast"/>
        </w:trPr>
        <w:tc>
          <w:tcPr>
            <w:tcW w:w="920" w:type="dxa"/>
            <w:tcBorders>
              <w:top w:val="single" w:color="000000" w:sz="4" w:space="0"/>
              <w:bottom w:val="single" w:color="000000" w:sz="4" w:space="0"/>
              <w:right w:val="single" w:color="000000" w:sz="4" w:space="0"/>
            </w:tcBorders>
          </w:tcPr>
          <w:p>
            <w:pPr>
              <w:pStyle w:val="30"/>
              <w:spacing w:before="10"/>
              <w:rPr>
                <w:rFonts w:ascii="Times New Roman"/>
                <w:sz w:val="17"/>
              </w:rPr>
            </w:pPr>
          </w:p>
          <w:p>
            <w:pPr>
              <w:pStyle w:val="30"/>
              <w:ind w:left="333" w:right="317"/>
              <w:jc w:val="center"/>
              <w:rPr>
                <w:rFonts w:ascii="宋体"/>
                <w:sz w:val="21"/>
              </w:rPr>
            </w:pPr>
            <w:r>
              <w:rPr>
                <w:rFonts w:ascii="宋体"/>
                <w:sz w:val="21"/>
              </w:rPr>
              <w:t>24</w:t>
            </w:r>
          </w:p>
        </w:tc>
        <w:tc>
          <w:tcPr>
            <w:tcW w:w="8277" w:type="dxa"/>
            <w:tcBorders>
              <w:top w:val="single" w:color="000000" w:sz="4" w:space="0"/>
              <w:left w:val="single" w:color="000000" w:sz="4" w:space="0"/>
              <w:bottom w:val="single" w:color="000000" w:sz="4" w:space="0"/>
            </w:tcBorders>
          </w:tcPr>
          <w:p>
            <w:pPr>
              <w:pStyle w:val="30"/>
              <w:spacing w:before="1"/>
              <w:ind w:left="38"/>
              <w:rPr>
                <w:rFonts w:ascii="宋体" w:hAnsi="宋体" w:eastAsia="宋体"/>
                <w:sz w:val="21"/>
              </w:rPr>
            </w:pPr>
            <w:r>
              <w:rPr>
                <w:rFonts w:hint="eastAsia" w:ascii="宋体" w:hAnsi="宋体" w:eastAsia="宋体"/>
                <w:sz w:val="21"/>
              </w:rPr>
              <w:t>本项目技术参数中如有型号、品牌标注的均为“相当于”，供应商所投产品相当于或优于</w:t>
            </w:r>
          </w:p>
          <w:p>
            <w:pPr>
              <w:pStyle w:val="30"/>
              <w:spacing w:before="139"/>
              <w:ind w:left="38"/>
              <w:rPr>
                <w:rFonts w:ascii="宋体" w:eastAsia="宋体"/>
                <w:sz w:val="21"/>
              </w:rPr>
            </w:pPr>
            <w:r>
              <w:rPr>
                <w:rFonts w:hint="eastAsia" w:ascii="宋体" w:eastAsia="宋体"/>
                <w:sz w:val="21"/>
              </w:rPr>
              <w:t>即可</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920" w:type="dxa"/>
            <w:tcBorders>
              <w:top w:val="single" w:color="000000" w:sz="4" w:space="0"/>
              <w:bottom w:val="single" w:color="000000" w:sz="4" w:space="0"/>
              <w:right w:val="single" w:color="000000" w:sz="4" w:space="0"/>
            </w:tcBorders>
          </w:tcPr>
          <w:p>
            <w:pPr>
              <w:pStyle w:val="30"/>
              <w:ind w:left="333" w:right="317"/>
              <w:jc w:val="center"/>
              <w:rPr>
                <w:rFonts w:ascii="宋体"/>
                <w:sz w:val="21"/>
              </w:rPr>
            </w:pPr>
            <w:r>
              <w:rPr>
                <w:rFonts w:ascii="宋体"/>
                <w:sz w:val="21"/>
              </w:rPr>
              <w:t>25</w:t>
            </w:r>
          </w:p>
        </w:tc>
        <w:tc>
          <w:tcPr>
            <w:tcW w:w="8277" w:type="dxa"/>
            <w:tcBorders>
              <w:top w:val="single" w:color="000000" w:sz="4" w:space="0"/>
              <w:left w:val="single" w:color="000000" w:sz="4" w:space="0"/>
              <w:bottom w:val="single" w:color="000000" w:sz="4" w:space="0"/>
            </w:tcBorders>
          </w:tcPr>
          <w:p>
            <w:pPr>
              <w:pStyle w:val="30"/>
              <w:ind w:left="38"/>
              <w:rPr>
                <w:rFonts w:ascii="宋体" w:eastAsia="宋体"/>
                <w:sz w:val="21"/>
              </w:rPr>
            </w:pPr>
            <w:r>
              <w:rPr>
                <w:rFonts w:hint="eastAsia" w:ascii="宋体" w:eastAsia="宋体"/>
                <w:sz w:val="21"/>
              </w:rPr>
              <w:t>供应商所提供的所有技术及商务证明材料需真实有效，若提供虚假文件将追究相关责任</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0" w:hRule="atLeast"/>
        </w:trPr>
        <w:tc>
          <w:tcPr>
            <w:tcW w:w="920" w:type="dxa"/>
            <w:tcBorders>
              <w:top w:val="single" w:color="000000" w:sz="4" w:space="0"/>
              <w:bottom w:val="single" w:color="000000" w:sz="4" w:space="0"/>
              <w:right w:val="single" w:color="000000" w:sz="4" w:space="0"/>
            </w:tcBorders>
          </w:tcPr>
          <w:p>
            <w:pPr>
              <w:pStyle w:val="30"/>
              <w:spacing w:before="1"/>
              <w:ind w:left="333" w:right="317"/>
              <w:jc w:val="center"/>
              <w:rPr>
                <w:rFonts w:ascii="宋体"/>
                <w:sz w:val="21"/>
              </w:rPr>
            </w:pPr>
            <w:r>
              <w:rPr>
                <w:rFonts w:ascii="宋体"/>
                <w:sz w:val="21"/>
              </w:rPr>
              <w:t>26</w:t>
            </w:r>
          </w:p>
        </w:tc>
        <w:tc>
          <w:tcPr>
            <w:tcW w:w="8277" w:type="dxa"/>
            <w:tcBorders>
              <w:top w:val="single" w:color="000000" w:sz="4" w:space="0"/>
              <w:left w:val="single" w:color="000000" w:sz="4" w:space="0"/>
              <w:bottom w:val="single" w:color="000000" w:sz="4" w:space="0"/>
            </w:tcBorders>
          </w:tcPr>
          <w:p>
            <w:pPr>
              <w:pStyle w:val="30"/>
              <w:spacing w:before="1"/>
              <w:ind w:left="38"/>
              <w:rPr>
                <w:rFonts w:ascii="宋体" w:eastAsia="宋体"/>
                <w:sz w:val="21"/>
              </w:rPr>
            </w:pPr>
            <w:r>
              <w:rPr>
                <w:rFonts w:hint="eastAsia" w:ascii="宋体" w:eastAsia="宋体"/>
                <w:sz w:val="21"/>
              </w:rPr>
              <w:t>质保期：1 年</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920" w:type="dxa"/>
            <w:tcBorders>
              <w:top w:val="single" w:color="000000" w:sz="4" w:space="0"/>
              <w:bottom w:val="single" w:color="000000" w:sz="4" w:space="0"/>
              <w:right w:val="single" w:color="000000" w:sz="4" w:space="0"/>
            </w:tcBorders>
          </w:tcPr>
          <w:p>
            <w:pPr>
              <w:pStyle w:val="30"/>
              <w:spacing w:before="1"/>
              <w:ind w:left="333" w:right="317"/>
              <w:jc w:val="center"/>
              <w:rPr>
                <w:rFonts w:ascii="宋体"/>
                <w:sz w:val="21"/>
              </w:rPr>
            </w:pPr>
            <w:r>
              <w:rPr>
                <w:rFonts w:ascii="宋体"/>
                <w:sz w:val="21"/>
              </w:rPr>
              <w:t>27</w:t>
            </w:r>
          </w:p>
        </w:tc>
        <w:tc>
          <w:tcPr>
            <w:tcW w:w="8277" w:type="dxa"/>
            <w:tcBorders>
              <w:top w:val="single" w:color="000000" w:sz="4" w:space="0"/>
              <w:left w:val="single" w:color="000000" w:sz="4" w:space="0"/>
              <w:bottom w:val="single" w:color="000000" w:sz="4" w:space="0"/>
            </w:tcBorders>
          </w:tcPr>
          <w:p>
            <w:pPr>
              <w:pStyle w:val="30"/>
              <w:spacing w:before="1"/>
              <w:ind w:left="38"/>
              <w:rPr>
                <w:rFonts w:ascii="宋体" w:eastAsia="宋体"/>
                <w:sz w:val="21"/>
              </w:rPr>
            </w:pPr>
            <w:r>
              <w:rPr>
                <w:rFonts w:hint="eastAsia" w:ascii="宋体" w:eastAsia="宋体"/>
                <w:sz w:val="21"/>
              </w:rPr>
              <w:t>招标文件的最终解释权归采购人或者代理机构新疆谱诚项目管理咨询有限公司</w:t>
            </w:r>
          </w:p>
        </w:tc>
      </w:tr>
    </w:tbl>
    <w:p>
      <w:pPr>
        <w:rPr>
          <w:rFonts w:ascii="宋体" w:eastAsia="宋体"/>
          <w:sz w:val="21"/>
        </w:rPr>
        <w:sectPr>
          <w:pgSz w:w="11910" w:h="16840"/>
          <w:pgMar w:top="920" w:right="741" w:bottom="1020" w:left="700" w:header="599" w:footer="826" w:gutter="0"/>
          <w:cols w:space="720" w:num="1"/>
        </w:sectPr>
      </w:pPr>
    </w:p>
    <w:p>
      <w:pPr>
        <w:pStyle w:val="12"/>
        <w:rPr>
          <w:rFonts w:ascii="Times New Roman"/>
          <w:sz w:val="20"/>
        </w:rPr>
      </w:pPr>
    </w:p>
    <w:p>
      <w:pPr>
        <w:pStyle w:val="27"/>
        <w:spacing w:before="206"/>
        <w:ind w:left="118"/>
      </w:pPr>
      <w:bookmarkStart w:id="3" w:name="_Toc57242305"/>
      <w:r>
        <w:t>第三章 供应商须知</w:t>
      </w:r>
      <w:bookmarkEnd w:id="3"/>
    </w:p>
    <w:p>
      <w:pPr>
        <w:pStyle w:val="12"/>
        <w:spacing w:before="12"/>
        <w:rPr>
          <w:b/>
          <w:sz w:val="38"/>
        </w:rPr>
      </w:pPr>
    </w:p>
    <w:p>
      <w:pPr>
        <w:pStyle w:val="28"/>
        <w:ind w:left="123" w:right="76"/>
        <w:jc w:val="center"/>
      </w:pPr>
      <w:bookmarkStart w:id="4" w:name="（一）总则"/>
      <w:bookmarkEnd w:id="4"/>
      <w:bookmarkStart w:id="5" w:name="_Toc57242306"/>
      <w:r>
        <w:t>（一）总则</w:t>
      </w:r>
      <w:bookmarkEnd w:id="5"/>
    </w:p>
    <w:p>
      <w:pPr>
        <w:pStyle w:val="12"/>
        <w:spacing w:before="10"/>
        <w:rPr>
          <w:b/>
          <w:sz w:val="32"/>
        </w:rPr>
      </w:pPr>
    </w:p>
    <w:p>
      <w:pPr>
        <w:pStyle w:val="29"/>
        <w:numPr>
          <w:ilvl w:val="0"/>
          <w:numId w:val="2"/>
        </w:numPr>
        <w:tabs>
          <w:tab w:val="left" w:pos="937"/>
        </w:tabs>
        <w:ind w:hanging="361"/>
        <w:rPr>
          <w:b/>
          <w:sz w:val="24"/>
        </w:rPr>
      </w:pPr>
      <w:r>
        <w:rPr>
          <w:b/>
          <w:sz w:val="24"/>
        </w:rPr>
        <w:t>适用范围</w:t>
      </w:r>
    </w:p>
    <w:p>
      <w:pPr>
        <w:pStyle w:val="29"/>
        <w:numPr>
          <w:ilvl w:val="1"/>
          <w:numId w:val="2"/>
        </w:numPr>
        <w:tabs>
          <w:tab w:val="left" w:pos="1296"/>
          <w:tab w:val="left" w:pos="1297"/>
        </w:tabs>
        <w:spacing w:before="160"/>
        <w:ind w:hanging="721"/>
        <w:rPr>
          <w:sz w:val="24"/>
        </w:rPr>
      </w:pPr>
      <w:r>
        <w:rPr>
          <w:sz w:val="24"/>
        </w:rPr>
        <w:t>本招标文件仅适用于政府采购公开招标的货物及伴随服务。</w:t>
      </w:r>
    </w:p>
    <w:p>
      <w:pPr>
        <w:pStyle w:val="29"/>
        <w:numPr>
          <w:ilvl w:val="0"/>
          <w:numId w:val="2"/>
        </w:numPr>
        <w:tabs>
          <w:tab w:val="left" w:pos="937"/>
        </w:tabs>
        <w:spacing w:before="158"/>
        <w:ind w:hanging="361"/>
        <w:rPr>
          <w:b/>
          <w:sz w:val="24"/>
        </w:rPr>
      </w:pPr>
      <w:r>
        <w:rPr>
          <w:b/>
          <w:sz w:val="24"/>
        </w:rPr>
        <w:t>定义</w:t>
      </w:r>
    </w:p>
    <w:p>
      <w:pPr>
        <w:pStyle w:val="29"/>
        <w:numPr>
          <w:ilvl w:val="1"/>
          <w:numId w:val="2"/>
        </w:numPr>
        <w:tabs>
          <w:tab w:val="left" w:pos="1296"/>
          <w:tab w:val="left" w:pos="1297"/>
        </w:tabs>
        <w:spacing w:before="161" w:line="362" w:lineRule="auto"/>
        <w:ind w:right="413"/>
        <w:rPr>
          <w:sz w:val="24"/>
        </w:rPr>
      </w:pPr>
      <w:r>
        <w:rPr>
          <w:spacing w:val="-2"/>
          <w:sz w:val="24"/>
        </w:rPr>
        <w:t>采购人:“投标项目资料表”中所述的、依法进行政府采购的国家机关、事业单位、</w:t>
      </w:r>
      <w:r>
        <w:rPr>
          <w:sz w:val="24"/>
        </w:rPr>
        <w:t>团体组织。</w:t>
      </w:r>
    </w:p>
    <w:p>
      <w:pPr>
        <w:pStyle w:val="29"/>
        <w:numPr>
          <w:ilvl w:val="1"/>
          <w:numId w:val="2"/>
        </w:numPr>
        <w:tabs>
          <w:tab w:val="left" w:pos="1296"/>
          <w:tab w:val="left" w:pos="1297"/>
        </w:tabs>
        <w:spacing w:before="5" w:line="362" w:lineRule="auto"/>
        <w:ind w:right="533"/>
        <w:rPr>
          <w:sz w:val="24"/>
        </w:rPr>
      </w:pPr>
      <w:r>
        <w:rPr>
          <w:spacing w:val="-3"/>
          <w:sz w:val="24"/>
        </w:rPr>
        <w:t>采购代理机构：通过政府采购备案，受采购人委托组织招标活动，在招标过程中负</w:t>
      </w:r>
      <w:r>
        <w:rPr>
          <w:sz w:val="24"/>
        </w:rPr>
        <w:t>有相应责任的社会中介组织。</w:t>
      </w:r>
    </w:p>
    <w:p>
      <w:pPr>
        <w:pStyle w:val="29"/>
        <w:numPr>
          <w:ilvl w:val="1"/>
          <w:numId w:val="2"/>
        </w:numPr>
        <w:tabs>
          <w:tab w:val="left" w:pos="1296"/>
          <w:tab w:val="left" w:pos="1297"/>
        </w:tabs>
        <w:spacing w:before="5"/>
        <w:ind w:hanging="721"/>
        <w:rPr>
          <w:sz w:val="24"/>
        </w:rPr>
      </w:pPr>
      <w:r>
        <w:rPr>
          <w:sz w:val="24"/>
        </w:rPr>
        <w:t>合格供应商：按照规定领取本项目招标文件并符合招标文件要求的供应商。</w:t>
      </w:r>
    </w:p>
    <w:p>
      <w:pPr>
        <w:pStyle w:val="29"/>
        <w:numPr>
          <w:ilvl w:val="1"/>
          <w:numId w:val="2"/>
        </w:numPr>
        <w:tabs>
          <w:tab w:val="left" w:pos="1296"/>
          <w:tab w:val="left" w:pos="1297"/>
        </w:tabs>
        <w:spacing w:before="160"/>
        <w:ind w:hanging="721"/>
        <w:rPr>
          <w:sz w:val="24"/>
        </w:rPr>
      </w:pPr>
      <w:r>
        <w:rPr>
          <w:sz w:val="24"/>
        </w:rPr>
        <w:t>中标人：接到并接受中标通知，最终被授予合同的供应商。</w:t>
      </w:r>
    </w:p>
    <w:p>
      <w:pPr>
        <w:pStyle w:val="29"/>
        <w:numPr>
          <w:ilvl w:val="1"/>
          <w:numId w:val="2"/>
        </w:numPr>
        <w:tabs>
          <w:tab w:val="left" w:pos="1296"/>
          <w:tab w:val="left" w:pos="1297"/>
        </w:tabs>
        <w:spacing w:before="158"/>
        <w:ind w:hanging="721"/>
        <w:rPr>
          <w:sz w:val="24"/>
        </w:rPr>
      </w:pPr>
      <w:r>
        <w:rPr>
          <w:sz w:val="24"/>
        </w:rPr>
        <w:t>投标文件：指供应商根据招标文件要求提交的所有文件。</w:t>
      </w:r>
    </w:p>
    <w:p>
      <w:pPr>
        <w:pStyle w:val="29"/>
        <w:numPr>
          <w:ilvl w:val="1"/>
          <w:numId w:val="2"/>
        </w:numPr>
        <w:tabs>
          <w:tab w:val="left" w:pos="1296"/>
          <w:tab w:val="left" w:pos="1297"/>
        </w:tabs>
        <w:spacing w:before="158" w:line="364" w:lineRule="auto"/>
        <w:ind w:right="533"/>
        <w:rPr>
          <w:sz w:val="24"/>
        </w:rPr>
      </w:pPr>
      <w:r>
        <w:rPr>
          <w:spacing w:val="-3"/>
          <w:sz w:val="24"/>
        </w:rPr>
        <w:t>供应商：指参加政府采购市场的合法供应主体，具体是指向采购人提供货物、工程</w:t>
      </w:r>
      <w:r>
        <w:rPr>
          <w:sz w:val="24"/>
        </w:rPr>
        <w:t>或者服务的法人、其他组织或者自然人。</w:t>
      </w:r>
    </w:p>
    <w:p>
      <w:pPr>
        <w:pStyle w:val="29"/>
        <w:numPr>
          <w:ilvl w:val="1"/>
          <w:numId w:val="2"/>
        </w:numPr>
        <w:tabs>
          <w:tab w:val="left" w:pos="1296"/>
          <w:tab w:val="left" w:pos="1297"/>
        </w:tabs>
        <w:spacing w:before="2" w:line="362" w:lineRule="auto"/>
        <w:ind w:right="413"/>
        <w:rPr>
          <w:sz w:val="24"/>
        </w:rPr>
      </w:pPr>
      <w:r>
        <w:rPr>
          <w:spacing w:val="-2"/>
          <w:sz w:val="24"/>
        </w:rPr>
        <w:t>货物：指除了咨询服务以外的所有的物品、设备、装置和</w:t>
      </w:r>
      <w:r>
        <w:rPr>
          <w:sz w:val="24"/>
        </w:rPr>
        <w:t>/</w:t>
      </w:r>
      <w:r>
        <w:rPr>
          <w:spacing w:val="-2"/>
          <w:sz w:val="24"/>
        </w:rPr>
        <w:t>或包括附件、备品备件、</w:t>
      </w:r>
      <w:r>
        <w:rPr>
          <w:sz w:val="24"/>
        </w:rPr>
        <w:t>图纸、技术文件、用于运输和安装的包装、培训、维修和其他类似服务的供应。</w:t>
      </w:r>
    </w:p>
    <w:p>
      <w:pPr>
        <w:pStyle w:val="29"/>
        <w:numPr>
          <w:ilvl w:val="0"/>
          <w:numId w:val="3"/>
        </w:numPr>
        <w:tabs>
          <w:tab w:val="left" w:pos="936"/>
          <w:tab w:val="left" w:pos="937"/>
        </w:tabs>
        <w:spacing w:before="5"/>
        <w:ind w:hanging="361"/>
        <w:rPr>
          <w:b/>
          <w:sz w:val="24"/>
        </w:rPr>
      </w:pPr>
      <w:r>
        <w:rPr>
          <w:b/>
          <w:sz w:val="24"/>
        </w:rPr>
        <w:t>投标费用</w:t>
      </w:r>
    </w:p>
    <w:p>
      <w:pPr>
        <w:pStyle w:val="29"/>
        <w:numPr>
          <w:ilvl w:val="1"/>
          <w:numId w:val="3"/>
        </w:numPr>
        <w:tabs>
          <w:tab w:val="left" w:pos="1296"/>
          <w:tab w:val="left" w:pos="1297"/>
        </w:tabs>
        <w:spacing w:before="158" w:line="364" w:lineRule="auto"/>
        <w:ind w:left="1296" w:right="527" w:hanging="720"/>
        <w:rPr>
          <w:sz w:val="24"/>
        </w:rPr>
      </w:pPr>
      <w:r>
        <w:rPr>
          <w:sz w:val="24"/>
        </w:rPr>
        <w:t>无论投标过程中的作法和结果如何,供应商应自行承担所有与准备和参加投标有关</w:t>
      </w:r>
      <w:r>
        <w:rPr>
          <w:spacing w:val="-1"/>
          <w:sz w:val="24"/>
        </w:rPr>
        <w:t>的全部费用，采购人和采购代理机构在任何情况下均无义务和责任承担上述费用。</w:t>
      </w:r>
    </w:p>
    <w:p>
      <w:pPr>
        <w:pStyle w:val="12"/>
        <w:spacing w:before="4"/>
        <w:rPr>
          <w:sz w:val="20"/>
        </w:rPr>
      </w:pPr>
    </w:p>
    <w:p>
      <w:pPr>
        <w:pStyle w:val="28"/>
        <w:ind w:left="123" w:right="76"/>
        <w:jc w:val="center"/>
      </w:pPr>
      <w:bookmarkStart w:id="6" w:name="（二）招标文件"/>
      <w:bookmarkEnd w:id="6"/>
      <w:bookmarkStart w:id="7" w:name="_Toc57242307"/>
      <w:r>
        <w:t>（二）招标文件</w:t>
      </w:r>
      <w:bookmarkEnd w:id="7"/>
    </w:p>
    <w:p>
      <w:pPr>
        <w:pStyle w:val="12"/>
        <w:spacing w:before="7"/>
        <w:rPr>
          <w:b/>
          <w:sz w:val="32"/>
        </w:rPr>
      </w:pPr>
    </w:p>
    <w:p>
      <w:pPr>
        <w:pStyle w:val="29"/>
        <w:numPr>
          <w:ilvl w:val="0"/>
          <w:numId w:val="3"/>
        </w:numPr>
        <w:tabs>
          <w:tab w:val="left" w:pos="936"/>
          <w:tab w:val="left" w:pos="937"/>
        </w:tabs>
        <w:ind w:hanging="361"/>
        <w:rPr>
          <w:b/>
          <w:sz w:val="24"/>
        </w:rPr>
      </w:pPr>
      <w:r>
        <w:rPr>
          <w:b/>
          <w:sz w:val="24"/>
        </w:rPr>
        <w:t>招标文件的构成</w:t>
      </w:r>
    </w:p>
    <w:p>
      <w:pPr>
        <w:pStyle w:val="29"/>
        <w:numPr>
          <w:ilvl w:val="1"/>
          <w:numId w:val="3"/>
        </w:numPr>
        <w:tabs>
          <w:tab w:val="left" w:pos="1296"/>
          <w:tab w:val="left" w:pos="1297"/>
        </w:tabs>
        <w:spacing w:before="161" w:line="362" w:lineRule="auto"/>
        <w:ind w:left="1296" w:right="1247" w:hanging="720"/>
        <w:rPr>
          <w:sz w:val="24"/>
        </w:rPr>
      </w:pPr>
      <w:r>
        <w:rPr>
          <w:spacing w:val="-1"/>
          <w:sz w:val="24"/>
        </w:rPr>
        <w:t>招标文件用以阐明本次招标的货物和服务要求、招标投标程序和合同条件。</w:t>
      </w:r>
      <w:r>
        <w:rPr>
          <w:sz w:val="24"/>
        </w:rPr>
        <w:t>招标文件由下述部分组成：</w:t>
      </w:r>
    </w:p>
    <w:p>
      <w:pPr>
        <w:spacing w:before="5"/>
        <w:ind w:left="1356"/>
        <w:rPr>
          <w:rFonts w:ascii="宋体" w:hAnsi="宋体" w:eastAsia="宋体"/>
          <w:b/>
          <w:sz w:val="24"/>
        </w:rPr>
      </w:pPr>
      <w:r>
        <w:rPr>
          <w:rFonts w:hint="eastAsia" w:ascii="宋体" w:hAnsi="宋体" w:eastAsia="宋体"/>
          <w:b/>
          <w:sz w:val="24"/>
        </w:rPr>
        <w:t>详见“招标文件目录”部分。</w:t>
      </w:r>
    </w:p>
    <w:p>
      <w:pPr>
        <w:pStyle w:val="29"/>
        <w:numPr>
          <w:ilvl w:val="1"/>
          <w:numId w:val="3"/>
        </w:numPr>
        <w:tabs>
          <w:tab w:val="left" w:pos="1297"/>
        </w:tabs>
        <w:spacing w:before="160" w:line="364" w:lineRule="auto"/>
        <w:ind w:left="1296" w:right="529" w:hanging="720"/>
        <w:jc w:val="both"/>
        <w:rPr>
          <w:sz w:val="24"/>
        </w:rPr>
      </w:pPr>
      <w:r>
        <w:rPr>
          <w:spacing w:val="-2"/>
          <w:sz w:val="24"/>
        </w:rPr>
        <w:t>供应商应仔细阅读招标文件中供应商须知、条款、格式和技术规范等所有事项，按</w:t>
      </w:r>
      <w:r>
        <w:rPr>
          <w:spacing w:val="-3"/>
          <w:sz w:val="24"/>
        </w:rPr>
        <w:t>招标文件的要求制作并提交投标文件，并保证所提供的全部资料的真实性，以使其</w:t>
      </w:r>
      <w:r>
        <w:rPr>
          <w:sz w:val="24"/>
        </w:rPr>
        <w:t>投标对招标文件做出实质性响应，否则，将承担其投标被拒绝的风险。</w:t>
      </w:r>
    </w:p>
    <w:p>
      <w:pPr>
        <w:spacing w:line="364" w:lineRule="auto"/>
        <w:jc w:val="both"/>
        <w:rPr>
          <w:sz w:val="24"/>
        </w:rPr>
        <w:sectPr>
          <w:footerReference r:id="rId6" w:type="default"/>
          <w:pgSz w:w="11910" w:h="16840"/>
          <w:pgMar w:top="920" w:right="741" w:bottom="1020" w:left="700" w:header="599" w:footer="826" w:gutter="0"/>
          <w:cols w:space="720" w:num="1"/>
        </w:sectPr>
      </w:pPr>
    </w:p>
    <w:p>
      <w:pPr>
        <w:pStyle w:val="12"/>
        <w:spacing w:before="11"/>
        <w:rPr>
          <w:sz w:val="28"/>
        </w:rPr>
      </w:pPr>
    </w:p>
    <w:p>
      <w:pPr>
        <w:pStyle w:val="29"/>
        <w:numPr>
          <w:ilvl w:val="1"/>
          <w:numId w:val="3"/>
        </w:numPr>
        <w:tabs>
          <w:tab w:val="left" w:pos="1297"/>
        </w:tabs>
        <w:spacing w:before="66" w:line="364" w:lineRule="auto"/>
        <w:ind w:left="1296" w:right="532" w:hanging="720"/>
        <w:jc w:val="both"/>
        <w:rPr>
          <w:sz w:val="24"/>
        </w:rPr>
      </w:pPr>
      <w:r>
        <w:rPr>
          <w:spacing w:val="3"/>
          <w:sz w:val="24"/>
        </w:rPr>
        <w:t>照抄或复印招标文件商务及技术要求的、未按规定签署的投标文件将导致不被接受。</w:t>
      </w:r>
    </w:p>
    <w:p>
      <w:pPr>
        <w:pStyle w:val="29"/>
        <w:numPr>
          <w:ilvl w:val="0"/>
          <w:numId w:val="3"/>
        </w:numPr>
        <w:tabs>
          <w:tab w:val="left" w:pos="937"/>
        </w:tabs>
        <w:spacing w:line="306" w:lineRule="exact"/>
        <w:ind w:hanging="361"/>
        <w:jc w:val="both"/>
        <w:rPr>
          <w:b/>
          <w:sz w:val="24"/>
        </w:rPr>
      </w:pPr>
      <w:r>
        <w:rPr>
          <w:b/>
          <w:sz w:val="24"/>
        </w:rPr>
        <w:t>招标文件的澄清</w:t>
      </w:r>
    </w:p>
    <w:p>
      <w:pPr>
        <w:pStyle w:val="29"/>
        <w:numPr>
          <w:ilvl w:val="1"/>
          <w:numId w:val="3"/>
        </w:numPr>
        <w:tabs>
          <w:tab w:val="left" w:pos="1297"/>
        </w:tabs>
        <w:spacing w:before="161"/>
        <w:ind w:left="1296" w:hanging="721"/>
        <w:jc w:val="both"/>
        <w:rPr>
          <w:sz w:val="24"/>
        </w:rPr>
      </w:pPr>
      <w:r>
        <w:rPr>
          <w:spacing w:val="-1"/>
          <w:sz w:val="24"/>
        </w:rPr>
        <w:t>任何对招标文件认为有需要澄清的疑问的潜在供应商，均自领取招标文件之日起七</w:t>
      </w:r>
    </w:p>
    <w:p>
      <w:pPr>
        <w:pStyle w:val="12"/>
        <w:spacing w:before="158" w:line="364" w:lineRule="auto"/>
        <w:ind w:left="1296" w:right="413"/>
        <w:jc w:val="both"/>
      </w:pPr>
      <w:r>
        <w:rPr>
          <w:spacing w:val="2"/>
        </w:rPr>
        <w:t>（7）</w:t>
      </w:r>
      <w:r>
        <w:t>个工作日，以书面方式</w:t>
      </w:r>
      <w:r>
        <w:rPr>
          <w:spacing w:val="4"/>
        </w:rPr>
        <w:t>（</w:t>
      </w:r>
      <w:r>
        <w:t>加盖公章且法人代表或其授权代表人签字的原件， 下同</w:t>
      </w:r>
      <w:r>
        <w:rPr>
          <w:spacing w:val="-3"/>
        </w:rPr>
        <w:t>）</w:t>
      </w:r>
      <w:r>
        <w:rPr>
          <w:spacing w:val="-1"/>
        </w:rPr>
        <w:t>通知到采购人和采购代理机构。采购人和采购代理机构对潜在供应商在规定</w:t>
      </w:r>
      <w:r>
        <w:rPr>
          <w:spacing w:val="-2"/>
        </w:rPr>
        <w:t>期限内提交的疑问将视情况以书面方式予以答复，同时有可能将不标明疑问来源的</w:t>
      </w:r>
      <w:r>
        <w:rPr>
          <w:spacing w:val="-3"/>
        </w:rPr>
        <w:t>书面答复函发至所有潜在供应商。在规定的时间内未提出疑问的，将被视为对招标</w:t>
      </w:r>
      <w:r>
        <w:rPr>
          <w:spacing w:val="-13"/>
        </w:rPr>
        <w:t>文件完全认可。开标后，采购人和采购代理机构不接受任何对招标文件内容的质疑。</w:t>
      </w:r>
    </w:p>
    <w:p>
      <w:pPr>
        <w:pStyle w:val="29"/>
        <w:numPr>
          <w:ilvl w:val="0"/>
          <w:numId w:val="3"/>
        </w:numPr>
        <w:tabs>
          <w:tab w:val="left" w:pos="937"/>
        </w:tabs>
        <w:spacing w:line="306" w:lineRule="exact"/>
        <w:ind w:hanging="361"/>
        <w:jc w:val="both"/>
        <w:rPr>
          <w:b/>
          <w:sz w:val="24"/>
        </w:rPr>
      </w:pPr>
      <w:r>
        <w:rPr>
          <w:b/>
          <w:sz w:val="24"/>
        </w:rPr>
        <w:t>招标文件的修改</w:t>
      </w:r>
    </w:p>
    <w:p>
      <w:pPr>
        <w:pStyle w:val="29"/>
        <w:numPr>
          <w:ilvl w:val="1"/>
          <w:numId w:val="3"/>
        </w:numPr>
        <w:tabs>
          <w:tab w:val="left" w:pos="1297"/>
        </w:tabs>
        <w:spacing w:before="158" w:line="364" w:lineRule="auto"/>
        <w:ind w:left="1296" w:right="533" w:hanging="720"/>
        <w:jc w:val="both"/>
        <w:rPr>
          <w:sz w:val="24"/>
        </w:rPr>
      </w:pPr>
      <w:r>
        <w:rPr>
          <w:spacing w:val="-1"/>
          <w:sz w:val="24"/>
        </w:rPr>
        <w:t>在投标截止日期十五</w:t>
      </w:r>
      <w:r>
        <w:rPr>
          <w:sz w:val="24"/>
        </w:rPr>
        <w:t>（15）</w:t>
      </w:r>
      <w:r>
        <w:rPr>
          <w:spacing w:val="-2"/>
          <w:sz w:val="24"/>
        </w:rPr>
        <w:t>日前，采购人和采购代理机构可主动或在解答供应商提</w:t>
      </w:r>
      <w:r>
        <w:rPr>
          <w:sz w:val="24"/>
        </w:rPr>
        <w:t>出的澄清问题时对招标文件进行修改。</w:t>
      </w:r>
    </w:p>
    <w:p>
      <w:pPr>
        <w:pStyle w:val="29"/>
        <w:numPr>
          <w:ilvl w:val="1"/>
          <w:numId w:val="3"/>
        </w:numPr>
        <w:tabs>
          <w:tab w:val="left" w:pos="1297"/>
        </w:tabs>
        <w:spacing w:before="1" w:line="364" w:lineRule="auto"/>
        <w:ind w:left="1296" w:right="532" w:hanging="720"/>
        <w:jc w:val="both"/>
        <w:rPr>
          <w:sz w:val="24"/>
        </w:rPr>
      </w:pPr>
      <w:r>
        <w:rPr>
          <w:spacing w:val="3"/>
          <w:sz w:val="24"/>
        </w:rPr>
        <w:t>以上修改或延长投标截止时间和开标时间的通知将在招标公告所述投标截止日期三</w:t>
      </w:r>
      <w:r>
        <w:rPr>
          <w:spacing w:val="2"/>
          <w:sz w:val="24"/>
        </w:rPr>
        <w:t>（3）</w:t>
      </w:r>
      <w:r>
        <w:rPr>
          <w:sz w:val="24"/>
        </w:rPr>
        <w:t>日前，以书面方式通知到所有已购买招标文件的潜在供应商，并构成招标文件的一部分，对所有供应商均具有约束力。</w:t>
      </w:r>
    </w:p>
    <w:p>
      <w:pPr>
        <w:pStyle w:val="29"/>
        <w:numPr>
          <w:ilvl w:val="1"/>
          <w:numId w:val="3"/>
        </w:numPr>
        <w:tabs>
          <w:tab w:val="left" w:pos="1297"/>
        </w:tabs>
        <w:spacing w:line="304" w:lineRule="exact"/>
        <w:ind w:left="1296" w:hanging="721"/>
        <w:jc w:val="both"/>
        <w:rPr>
          <w:sz w:val="24"/>
        </w:rPr>
      </w:pPr>
      <w:r>
        <w:rPr>
          <w:sz w:val="24"/>
        </w:rPr>
        <w:t>供应商在收到上述通知后，应立即向采购人和采购代理机构回函确认。</w:t>
      </w:r>
    </w:p>
    <w:p>
      <w:pPr>
        <w:pStyle w:val="29"/>
        <w:numPr>
          <w:ilvl w:val="1"/>
          <w:numId w:val="3"/>
        </w:numPr>
        <w:tabs>
          <w:tab w:val="left" w:pos="1297"/>
        </w:tabs>
        <w:spacing w:before="161" w:line="362" w:lineRule="auto"/>
        <w:ind w:left="1296" w:right="533" w:hanging="720"/>
        <w:jc w:val="both"/>
        <w:rPr>
          <w:sz w:val="24"/>
        </w:rPr>
      </w:pPr>
      <w:r>
        <w:rPr>
          <w:spacing w:val="-2"/>
          <w:sz w:val="24"/>
        </w:rPr>
        <w:t>为使供应商有充分的时间对招标文件的修改部分进行研究，采购人和采购代理机构</w:t>
      </w:r>
      <w:r>
        <w:rPr>
          <w:sz w:val="24"/>
        </w:rPr>
        <w:t>可适当延长投标截止期。</w:t>
      </w:r>
    </w:p>
    <w:p>
      <w:pPr>
        <w:pStyle w:val="12"/>
        <w:spacing w:before="7"/>
        <w:rPr>
          <w:sz w:val="20"/>
        </w:rPr>
      </w:pPr>
    </w:p>
    <w:p>
      <w:pPr>
        <w:pStyle w:val="28"/>
        <w:spacing w:before="1"/>
        <w:ind w:left="128" w:right="76"/>
        <w:jc w:val="center"/>
      </w:pPr>
      <w:bookmarkStart w:id="8" w:name="（三）投标文件的编制"/>
      <w:bookmarkEnd w:id="8"/>
      <w:bookmarkStart w:id="9" w:name="_Toc57242308"/>
      <w:r>
        <w:t>（三）投标文件的编制</w:t>
      </w:r>
      <w:bookmarkEnd w:id="9"/>
    </w:p>
    <w:p>
      <w:pPr>
        <w:pStyle w:val="12"/>
        <w:spacing w:before="9"/>
        <w:rPr>
          <w:b/>
          <w:sz w:val="32"/>
        </w:rPr>
      </w:pPr>
    </w:p>
    <w:p>
      <w:pPr>
        <w:pStyle w:val="29"/>
        <w:numPr>
          <w:ilvl w:val="0"/>
          <w:numId w:val="3"/>
        </w:numPr>
        <w:tabs>
          <w:tab w:val="left" w:pos="936"/>
          <w:tab w:val="left" w:pos="937"/>
        </w:tabs>
        <w:ind w:hanging="361"/>
        <w:rPr>
          <w:b/>
          <w:sz w:val="24"/>
        </w:rPr>
      </w:pPr>
      <w:r>
        <w:rPr>
          <w:b/>
          <w:sz w:val="24"/>
        </w:rPr>
        <w:t>投标的语言</w:t>
      </w:r>
    </w:p>
    <w:p>
      <w:pPr>
        <w:pStyle w:val="29"/>
        <w:numPr>
          <w:ilvl w:val="1"/>
          <w:numId w:val="3"/>
        </w:numPr>
        <w:tabs>
          <w:tab w:val="left" w:pos="1181"/>
          <w:tab w:val="left" w:pos="1182"/>
        </w:tabs>
        <w:spacing w:before="161" w:line="362" w:lineRule="auto"/>
        <w:ind w:left="1296" w:right="532" w:hanging="720"/>
        <w:rPr>
          <w:sz w:val="24"/>
        </w:rPr>
      </w:pPr>
      <w:r>
        <w:rPr>
          <w:sz w:val="24"/>
        </w:rPr>
        <w:t>投标文件以及供应商与采购人和采购代理机构就有关投标的所有往来函件均应使用中文。供应商提供的外文资料应附有相应的中文译本，并以中文译本为准。</w:t>
      </w:r>
    </w:p>
    <w:p>
      <w:pPr>
        <w:pStyle w:val="29"/>
        <w:numPr>
          <w:ilvl w:val="0"/>
          <w:numId w:val="3"/>
        </w:numPr>
        <w:tabs>
          <w:tab w:val="left" w:pos="936"/>
          <w:tab w:val="left" w:pos="937"/>
        </w:tabs>
        <w:spacing w:before="5"/>
        <w:ind w:hanging="361"/>
        <w:rPr>
          <w:b/>
          <w:sz w:val="24"/>
        </w:rPr>
      </w:pPr>
      <w:r>
        <w:rPr>
          <w:b/>
          <w:sz w:val="24"/>
        </w:rPr>
        <w:t>投标文件计量单位</w:t>
      </w:r>
    </w:p>
    <w:p>
      <w:pPr>
        <w:pStyle w:val="29"/>
        <w:numPr>
          <w:ilvl w:val="1"/>
          <w:numId w:val="3"/>
        </w:numPr>
        <w:tabs>
          <w:tab w:val="left" w:pos="1176"/>
          <w:tab w:val="left" w:pos="1177"/>
        </w:tabs>
        <w:spacing w:before="158"/>
        <w:ind w:left="1176" w:hanging="601"/>
        <w:rPr>
          <w:sz w:val="24"/>
        </w:rPr>
      </w:pPr>
      <w:r>
        <w:rPr>
          <w:sz w:val="24"/>
        </w:rPr>
        <w:t>除在招标文件的技术文件中另有规定外，计量单位均使用中国公制计量单位。</w:t>
      </w:r>
    </w:p>
    <w:p>
      <w:pPr>
        <w:pStyle w:val="29"/>
        <w:numPr>
          <w:ilvl w:val="0"/>
          <w:numId w:val="3"/>
        </w:numPr>
        <w:tabs>
          <w:tab w:val="left" w:pos="936"/>
          <w:tab w:val="left" w:pos="937"/>
        </w:tabs>
        <w:spacing w:before="160"/>
        <w:ind w:hanging="361"/>
        <w:rPr>
          <w:b/>
          <w:sz w:val="24"/>
        </w:rPr>
      </w:pPr>
      <w:r>
        <w:rPr>
          <w:b/>
          <w:sz w:val="24"/>
        </w:rPr>
        <w:t>投标文件的组成</w:t>
      </w:r>
    </w:p>
    <w:p>
      <w:pPr>
        <w:pStyle w:val="29"/>
        <w:numPr>
          <w:ilvl w:val="1"/>
          <w:numId w:val="3"/>
        </w:numPr>
        <w:tabs>
          <w:tab w:val="left" w:pos="1296"/>
          <w:tab w:val="left" w:pos="1297"/>
        </w:tabs>
        <w:spacing w:before="159"/>
        <w:ind w:left="1296" w:hanging="721"/>
        <w:rPr>
          <w:sz w:val="24"/>
        </w:rPr>
      </w:pPr>
      <w:r>
        <w:rPr>
          <w:sz w:val="24"/>
        </w:rPr>
        <w:t>投标文件包括下列部分：详见第七章投标文件格式。</w:t>
      </w:r>
    </w:p>
    <w:p>
      <w:pPr>
        <w:pStyle w:val="29"/>
        <w:numPr>
          <w:ilvl w:val="0"/>
          <w:numId w:val="3"/>
        </w:numPr>
        <w:tabs>
          <w:tab w:val="left" w:pos="1056"/>
          <w:tab w:val="left" w:pos="1057"/>
        </w:tabs>
        <w:spacing w:before="160"/>
        <w:ind w:left="1056" w:hanging="481"/>
        <w:rPr>
          <w:b/>
          <w:sz w:val="24"/>
        </w:rPr>
      </w:pPr>
      <w:r>
        <w:rPr>
          <w:b/>
          <w:sz w:val="24"/>
        </w:rPr>
        <w:t>投标格式</w:t>
      </w:r>
    </w:p>
    <w:p>
      <w:pPr>
        <w:pStyle w:val="29"/>
        <w:numPr>
          <w:ilvl w:val="1"/>
          <w:numId w:val="3"/>
        </w:numPr>
        <w:tabs>
          <w:tab w:val="left" w:pos="1296"/>
          <w:tab w:val="left" w:pos="1297"/>
        </w:tabs>
        <w:spacing w:before="158" w:line="364" w:lineRule="auto"/>
        <w:ind w:left="1313" w:right="533" w:hanging="737"/>
        <w:rPr>
          <w:sz w:val="24"/>
        </w:rPr>
      </w:pPr>
      <w:r>
        <w:rPr>
          <w:spacing w:val="-3"/>
          <w:sz w:val="24"/>
        </w:rPr>
        <w:t>供应商应按照招标文件中提供的格式完整地填写投标文件、开标一览表、投标报价</w:t>
      </w:r>
      <w:r>
        <w:rPr>
          <w:spacing w:val="-5"/>
          <w:sz w:val="24"/>
        </w:rPr>
        <w:t>表、技术规格偏差表，按招标文件提供的资格证明格式提交招标文件要求的资格证</w:t>
      </w:r>
    </w:p>
    <w:p>
      <w:pPr>
        <w:spacing w:line="364" w:lineRule="auto"/>
        <w:rPr>
          <w:sz w:val="24"/>
        </w:rPr>
        <w:sectPr>
          <w:pgSz w:w="11910" w:h="16840"/>
          <w:pgMar w:top="920" w:right="741" w:bottom="1020" w:left="700" w:header="599" w:footer="826" w:gutter="0"/>
          <w:cols w:space="720" w:num="1"/>
        </w:sectPr>
      </w:pPr>
    </w:p>
    <w:p>
      <w:pPr>
        <w:pStyle w:val="12"/>
        <w:spacing w:before="11"/>
        <w:rPr>
          <w:sz w:val="28"/>
        </w:rPr>
      </w:pPr>
    </w:p>
    <w:p>
      <w:pPr>
        <w:pStyle w:val="12"/>
        <w:spacing w:before="66"/>
        <w:ind w:left="1313"/>
      </w:pPr>
      <w:r>
        <w:t>明文件。</w:t>
      </w:r>
    </w:p>
    <w:p>
      <w:pPr>
        <w:pStyle w:val="29"/>
        <w:numPr>
          <w:ilvl w:val="0"/>
          <w:numId w:val="3"/>
        </w:numPr>
        <w:tabs>
          <w:tab w:val="left" w:pos="1057"/>
        </w:tabs>
        <w:spacing w:before="161"/>
        <w:ind w:left="1056" w:hanging="481"/>
        <w:jc w:val="both"/>
        <w:rPr>
          <w:b/>
          <w:sz w:val="24"/>
        </w:rPr>
      </w:pPr>
      <w:r>
        <w:rPr>
          <w:b/>
          <w:sz w:val="24"/>
        </w:rPr>
        <w:t>投标报价</w:t>
      </w:r>
    </w:p>
    <w:p>
      <w:pPr>
        <w:pStyle w:val="29"/>
        <w:numPr>
          <w:ilvl w:val="1"/>
          <w:numId w:val="3"/>
        </w:numPr>
        <w:tabs>
          <w:tab w:val="left" w:pos="1357"/>
        </w:tabs>
        <w:spacing w:before="158" w:line="364" w:lineRule="auto"/>
        <w:ind w:right="533"/>
        <w:jc w:val="both"/>
        <w:rPr>
          <w:sz w:val="24"/>
        </w:rPr>
      </w:pPr>
      <w:r>
        <w:rPr>
          <w:spacing w:val="-3"/>
          <w:sz w:val="24"/>
        </w:rPr>
        <w:t>供应商应按照招标文件提供的投标报价表格式填写提供各项货物及服务的单价、分</w:t>
      </w:r>
      <w:r>
        <w:rPr>
          <w:sz w:val="24"/>
        </w:rPr>
        <w:t>项总价和总投标价。如果单价、分项总价和总投标价之间有差异，评标以单价为准。供应商必须无条件接受以其所报单价为基准的价格调整，否则其投标文件将被拒绝。</w:t>
      </w:r>
    </w:p>
    <w:p>
      <w:pPr>
        <w:pStyle w:val="29"/>
        <w:numPr>
          <w:ilvl w:val="1"/>
          <w:numId w:val="3"/>
        </w:numPr>
        <w:tabs>
          <w:tab w:val="left" w:pos="1477"/>
        </w:tabs>
        <w:spacing w:line="362" w:lineRule="auto"/>
        <w:ind w:right="532"/>
        <w:jc w:val="both"/>
        <w:rPr>
          <w:sz w:val="24"/>
        </w:rPr>
      </w:pPr>
      <w:r>
        <w:rPr>
          <w:sz w:val="24"/>
        </w:rPr>
        <w:t>投标总报价应是采购人指定地点交货的包括交货前发生的各种运杂费、以及伴随的其它服务费总报价。</w:t>
      </w:r>
    </w:p>
    <w:p>
      <w:pPr>
        <w:pStyle w:val="29"/>
        <w:numPr>
          <w:ilvl w:val="1"/>
          <w:numId w:val="3"/>
        </w:numPr>
        <w:tabs>
          <w:tab w:val="left" w:pos="1477"/>
        </w:tabs>
        <w:spacing w:before="5" w:line="362" w:lineRule="auto"/>
        <w:ind w:right="532"/>
        <w:jc w:val="both"/>
        <w:rPr>
          <w:sz w:val="24"/>
        </w:rPr>
      </w:pPr>
      <w:r>
        <w:rPr>
          <w:sz w:val="24"/>
        </w:rPr>
        <w:t>供应商根据上述规定所作分项报价的目的只是为了评标时对投标文件进行比较的方便，但并不限制采购人订立合同的权力。</w:t>
      </w:r>
    </w:p>
    <w:p>
      <w:pPr>
        <w:pStyle w:val="29"/>
        <w:numPr>
          <w:ilvl w:val="1"/>
          <w:numId w:val="3"/>
        </w:numPr>
        <w:tabs>
          <w:tab w:val="left" w:pos="1477"/>
        </w:tabs>
        <w:spacing w:before="2" w:line="364" w:lineRule="auto"/>
        <w:ind w:right="532"/>
        <w:jc w:val="both"/>
        <w:rPr>
          <w:sz w:val="24"/>
        </w:rPr>
      </w:pPr>
      <w:r>
        <w:rPr>
          <w:sz w:val="24"/>
        </w:rPr>
        <w:t>投标报价应完全包括招标文件规定的货物和服务范围，不得任意分割或合并所规定的分项。</w:t>
      </w:r>
    </w:p>
    <w:p>
      <w:pPr>
        <w:pStyle w:val="29"/>
        <w:numPr>
          <w:ilvl w:val="1"/>
          <w:numId w:val="3"/>
        </w:numPr>
        <w:tabs>
          <w:tab w:val="left" w:pos="1477"/>
        </w:tabs>
        <w:spacing w:before="2" w:line="362" w:lineRule="auto"/>
        <w:ind w:right="532"/>
        <w:jc w:val="both"/>
        <w:rPr>
          <w:sz w:val="24"/>
        </w:rPr>
      </w:pPr>
      <w:r>
        <w:rPr>
          <w:sz w:val="24"/>
        </w:rPr>
        <w:t>供应商对每种货物和服务只允许有一个报价，采购人和采购代理机构不接受有任何选择性报价的投标。</w:t>
      </w:r>
    </w:p>
    <w:p>
      <w:pPr>
        <w:pStyle w:val="29"/>
        <w:numPr>
          <w:ilvl w:val="1"/>
          <w:numId w:val="3"/>
        </w:numPr>
        <w:tabs>
          <w:tab w:val="left" w:pos="1477"/>
        </w:tabs>
        <w:spacing w:before="5" w:line="364" w:lineRule="auto"/>
        <w:ind w:right="532"/>
        <w:jc w:val="both"/>
        <w:rPr>
          <w:sz w:val="24"/>
        </w:rPr>
      </w:pPr>
      <w:r>
        <w:rPr>
          <w:sz w:val="24"/>
        </w:rPr>
        <w:t>供应商不得以任何理由在开标后对投标报价予以修改，报价在投标有效期内是固定的，不因任何原因而改变。任何包含价格调整要求和条件的投标，将被视为非实质性响应投标而予以拒绝。最低投标报价并不意味着一定中标。</w:t>
      </w:r>
    </w:p>
    <w:p>
      <w:pPr>
        <w:pStyle w:val="29"/>
        <w:numPr>
          <w:ilvl w:val="0"/>
          <w:numId w:val="3"/>
        </w:numPr>
        <w:tabs>
          <w:tab w:val="left" w:pos="1057"/>
        </w:tabs>
        <w:spacing w:line="305" w:lineRule="exact"/>
        <w:ind w:left="1056" w:hanging="481"/>
        <w:jc w:val="both"/>
        <w:rPr>
          <w:b/>
          <w:sz w:val="24"/>
        </w:rPr>
      </w:pPr>
      <w:r>
        <w:rPr>
          <w:b/>
          <w:sz w:val="24"/>
        </w:rPr>
        <w:t>投标货币</w:t>
      </w:r>
    </w:p>
    <w:p>
      <w:pPr>
        <w:pStyle w:val="29"/>
        <w:numPr>
          <w:ilvl w:val="1"/>
          <w:numId w:val="3"/>
        </w:numPr>
        <w:tabs>
          <w:tab w:val="left" w:pos="1477"/>
        </w:tabs>
        <w:spacing w:before="160"/>
        <w:ind w:hanging="901"/>
        <w:jc w:val="both"/>
        <w:rPr>
          <w:sz w:val="24"/>
        </w:rPr>
      </w:pPr>
      <w:r>
        <w:rPr>
          <w:sz w:val="24"/>
        </w:rPr>
        <w:t>除非另有规定，供应商提供的所有货物和服务均应用人民币报价。</w:t>
      </w:r>
    </w:p>
    <w:p>
      <w:pPr>
        <w:pStyle w:val="29"/>
        <w:numPr>
          <w:ilvl w:val="0"/>
          <w:numId w:val="3"/>
        </w:numPr>
        <w:tabs>
          <w:tab w:val="left" w:pos="1057"/>
        </w:tabs>
        <w:spacing w:before="158"/>
        <w:ind w:left="1056" w:hanging="481"/>
        <w:jc w:val="both"/>
        <w:rPr>
          <w:b/>
          <w:sz w:val="24"/>
        </w:rPr>
      </w:pPr>
      <w:r>
        <w:rPr>
          <w:b/>
          <w:w w:val="95"/>
          <w:sz w:val="24"/>
        </w:rPr>
        <w:t>投标保证金</w:t>
      </w:r>
    </w:p>
    <w:p>
      <w:pPr>
        <w:pStyle w:val="12"/>
        <w:spacing w:before="161"/>
        <w:ind w:left="1419"/>
      </w:pPr>
      <w:r>
        <w:t>无</w:t>
      </w:r>
    </w:p>
    <w:p>
      <w:pPr>
        <w:pStyle w:val="29"/>
        <w:numPr>
          <w:ilvl w:val="0"/>
          <w:numId w:val="3"/>
        </w:numPr>
        <w:tabs>
          <w:tab w:val="left" w:pos="1057"/>
        </w:tabs>
        <w:spacing w:before="122"/>
        <w:ind w:left="1056" w:hanging="481"/>
        <w:jc w:val="both"/>
        <w:rPr>
          <w:b/>
          <w:sz w:val="24"/>
        </w:rPr>
      </w:pPr>
      <w:r>
        <w:rPr>
          <w:b/>
          <w:w w:val="95"/>
          <w:sz w:val="24"/>
        </w:rPr>
        <w:t>投标有效期</w:t>
      </w:r>
    </w:p>
    <w:p>
      <w:pPr>
        <w:pStyle w:val="29"/>
        <w:numPr>
          <w:ilvl w:val="1"/>
          <w:numId w:val="3"/>
        </w:numPr>
        <w:tabs>
          <w:tab w:val="left" w:pos="1477"/>
        </w:tabs>
        <w:spacing w:before="160" w:line="364" w:lineRule="auto"/>
        <w:ind w:right="532"/>
        <w:jc w:val="both"/>
        <w:rPr>
          <w:sz w:val="24"/>
        </w:rPr>
      </w:pPr>
      <w:r>
        <w:rPr>
          <w:sz w:val="24"/>
        </w:rPr>
        <w:t>投标文件应自投标规定的开标之日起，在“投标项目资料表”规定的时间内保持有效。投标有效期不足的投标将被视为非实质性响应，并予以拒绝。</w:t>
      </w:r>
    </w:p>
    <w:p>
      <w:pPr>
        <w:pStyle w:val="29"/>
        <w:numPr>
          <w:ilvl w:val="1"/>
          <w:numId w:val="3"/>
        </w:numPr>
        <w:tabs>
          <w:tab w:val="left" w:pos="1477"/>
        </w:tabs>
        <w:spacing w:line="364" w:lineRule="auto"/>
        <w:ind w:right="532"/>
        <w:jc w:val="both"/>
        <w:rPr>
          <w:sz w:val="24"/>
        </w:rPr>
      </w:pPr>
      <w:r>
        <w:rPr>
          <w:sz w:val="24"/>
        </w:rPr>
        <w:t>在特殊情况下，在原投标有效期截止之前，采购人和采购代理机构可要求供应商延长其投标有效期。这种要求与答复均应以书面形式提交。供应商可以拒绝这种要求，但其投标在原投标有效期期满后将不再有效。同意延期的供应商将不会被要求和允许修正其投标。</w:t>
      </w:r>
    </w:p>
    <w:p>
      <w:pPr>
        <w:pStyle w:val="29"/>
        <w:numPr>
          <w:ilvl w:val="0"/>
          <w:numId w:val="3"/>
        </w:numPr>
        <w:tabs>
          <w:tab w:val="left" w:pos="1057"/>
        </w:tabs>
        <w:spacing w:line="364" w:lineRule="auto"/>
        <w:ind w:left="1296" w:right="500" w:hanging="720"/>
        <w:jc w:val="both"/>
        <w:rPr>
          <w:b/>
          <w:sz w:val="24"/>
        </w:rPr>
      </w:pPr>
      <w:r>
        <w:rPr>
          <w:b/>
          <w:spacing w:val="-5"/>
          <w:sz w:val="24"/>
        </w:rPr>
        <w:t>质保期：本项目质保期规定详见投标项目资料表，若技术参数规定高于投标项目资料表中要求的，从其技术参数要求。</w:t>
      </w:r>
    </w:p>
    <w:p>
      <w:pPr>
        <w:spacing w:line="364" w:lineRule="auto"/>
        <w:jc w:val="both"/>
        <w:rPr>
          <w:sz w:val="24"/>
        </w:rPr>
        <w:sectPr>
          <w:pgSz w:w="11910" w:h="16840"/>
          <w:pgMar w:top="920" w:right="741" w:bottom="1020" w:left="700" w:header="599" w:footer="826" w:gutter="0"/>
          <w:cols w:space="720" w:num="1"/>
        </w:sectPr>
      </w:pPr>
    </w:p>
    <w:p>
      <w:pPr>
        <w:pStyle w:val="12"/>
        <w:spacing w:before="11"/>
        <w:rPr>
          <w:b/>
          <w:sz w:val="28"/>
        </w:rPr>
      </w:pPr>
    </w:p>
    <w:p>
      <w:pPr>
        <w:pStyle w:val="29"/>
        <w:numPr>
          <w:ilvl w:val="0"/>
          <w:numId w:val="3"/>
        </w:numPr>
        <w:tabs>
          <w:tab w:val="left" w:pos="937"/>
        </w:tabs>
        <w:spacing w:before="66"/>
        <w:ind w:hanging="361"/>
        <w:jc w:val="both"/>
        <w:rPr>
          <w:b/>
          <w:sz w:val="24"/>
        </w:rPr>
      </w:pPr>
      <w:r>
        <w:rPr>
          <w:b/>
          <w:sz w:val="24"/>
        </w:rPr>
        <w:t>投标文件的式样和文件签署</w:t>
      </w:r>
    </w:p>
    <w:p>
      <w:pPr>
        <w:pStyle w:val="29"/>
        <w:numPr>
          <w:ilvl w:val="1"/>
          <w:numId w:val="3"/>
        </w:numPr>
        <w:tabs>
          <w:tab w:val="left" w:pos="1477"/>
        </w:tabs>
        <w:spacing w:before="161" w:line="364" w:lineRule="auto"/>
        <w:ind w:right="517"/>
        <w:jc w:val="both"/>
        <w:rPr>
          <w:sz w:val="24"/>
        </w:rPr>
      </w:pPr>
      <w:r>
        <w:rPr>
          <w:sz w:val="24"/>
        </w:rPr>
        <w:t>供应商应准备一份投标文件正本和“投标项目资料表”规定数目的副本，每套投标文件应清楚地标明“正本”或“副本”。副本应与正本内容一致，若副本与正本存在文字或表述的不符之处，以正本为准</w:t>
      </w:r>
      <w:r>
        <w:rPr>
          <w:b/>
          <w:sz w:val="24"/>
        </w:rPr>
        <w:t>（资格证明文件需单独装订，份数详见“投标项目资料表”规定数目）</w:t>
      </w:r>
      <w:r>
        <w:rPr>
          <w:sz w:val="24"/>
        </w:rPr>
        <w:t>。</w:t>
      </w:r>
    </w:p>
    <w:p>
      <w:pPr>
        <w:pStyle w:val="29"/>
        <w:numPr>
          <w:ilvl w:val="1"/>
          <w:numId w:val="3"/>
        </w:numPr>
        <w:tabs>
          <w:tab w:val="left" w:pos="1477"/>
        </w:tabs>
        <w:spacing w:line="364" w:lineRule="auto"/>
        <w:ind w:right="532"/>
        <w:jc w:val="both"/>
        <w:rPr>
          <w:sz w:val="24"/>
        </w:rPr>
      </w:pPr>
      <w:r>
        <w:rPr>
          <w:sz w:val="24"/>
        </w:rPr>
        <w:t>投标文件及所有文件必须是打印件或手写件，并由供应商或经正式授权的代表签字或盖章，授权代表必须将以书面形式出具的“法定代表人授权书”附在投标文件正本中。投标文件副本可为正本完整的复印件。</w:t>
      </w:r>
    </w:p>
    <w:p>
      <w:pPr>
        <w:pStyle w:val="29"/>
        <w:numPr>
          <w:ilvl w:val="1"/>
          <w:numId w:val="3"/>
        </w:numPr>
        <w:tabs>
          <w:tab w:val="left" w:pos="1477"/>
        </w:tabs>
        <w:spacing w:line="362" w:lineRule="auto"/>
        <w:ind w:right="532"/>
        <w:jc w:val="both"/>
        <w:rPr>
          <w:sz w:val="24"/>
        </w:rPr>
      </w:pPr>
      <w:r>
        <w:rPr>
          <w:sz w:val="24"/>
        </w:rPr>
        <w:t>任何行间插字、涂改和增删，必须由供应商签字人用姓或首字母在旁边签字或加盖公章后有效。</w:t>
      </w:r>
    </w:p>
    <w:p>
      <w:pPr>
        <w:pStyle w:val="12"/>
        <w:spacing w:before="5"/>
        <w:rPr>
          <w:sz w:val="20"/>
        </w:rPr>
      </w:pPr>
    </w:p>
    <w:p>
      <w:pPr>
        <w:pStyle w:val="28"/>
        <w:ind w:left="128" w:right="76"/>
        <w:jc w:val="center"/>
      </w:pPr>
      <w:bookmarkStart w:id="10" w:name="（四）投标文件的提交"/>
      <w:bookmarkEnd w:id="10"/>
      <w:bookmarkStart w:id="11" w:name="_Toc57242309"/>
      <w:r>
        <w:t>（四）投标文件的提交</w:t>
      </w:r>
      <w:bookmarkEnd w:id="11"/>
    </w:p>
    <w:p>
      <w:pPr>
        <w:pStyle w:val="12"/>
        <w:spacing w:before="9"/>
        <w:rPr>
          <w:b/>
          <w:sz w:val="32"/>
        </w:rPr>
      </w:pPr>
    </w:p>
    <w:p>
      <w:pPr>
        <w:pStyle w:val="29"/>
        <w:numPr>
          <w:ilvl w:val="0"/>
          <w:numId w:val="3"/>
        </w:numPr>
        <w:tabs>
          <w:tab w:val="left" w:pos="1056"/>
          <w:tab w:val="left" w:pos="1057"/>
        </w:tabs>
        <w:ind w:left="1056" w:hanging="481"/>
        <w:rPr>
          <w:b/>
          <w:sz w:val="24"/>
        </w:rPr>
      </w:pPr>
      <w:r>
        <w:rPr>
          <w:b/>
          <w:sz w:val="24"/>
        </w:rPr>
        <w:t>投标文件的密封和标记</w:t>
      </w:r>
    </w:p>
    <w:p>
      <w:pPr>
        <w:pStyle w:val="29"/>
        <w:numPr>
          <w:ilvl w:val="1"/>
          <w:numId w:val="3"/>
        </w:numPr>
        <w:tabs>
          <w:tab w:val="left" w:pos="1476"/>
          <w:tab w:val="left" w:pos="1477"/>
        </w:tabs>
        <w:spacing w:before="159" w:line="364" w:lineRule="auto"/>
        <w:ind w:right="413"/>
        <w:rPr>
          <w:sz w:val="24"/>
        </w:rPr>
      </w:pPr>
      <w:r>
        <w:rPr>
          <w:sz w:val="24"/>
        </w:rPr>
        <w:t xml:space="preserve">为便于开标和唱标，供应商应将“开标一览表”在投标文件之外另行制作一份， </w:t>
      </w:r>
      <w:r>
        <w:rPr>
          <w:spacing w:val="-8"/>
          <w:sz w:val="24"/>
        </w:rPr>
        <w:t>单独密封，并在单独密封袋上标明“开标一览表、供应商名称”字样并加盖公章。</w:t>
      </w:r>
      <w:r>
        <w:rPr>
          <w:sz w:val="24"/>
        </w:rPr>
        <w:t>如果投标文件中的报价与“开标一览表”报价之间有差异，以“开标一览表”中</w:t>
      </w:r>
      <w:r>
        <w:rPr>
          <w:spacing w:val="-9"/>
          <w:sz w:val="24"/>
        </w:rPr>
        <w:t>的报价为准，供应商应接受评标所进行的修正，并承担一切不利于供应商的后果。</w:t>
      </w:r>
    </w:p>
    <w:p>
      <w:pPr>
        <w:pStyle w:val="29"/>
        <w:numPr>
          <w:ilvl w:val="1"/>
          <w:numId w:val="3"/>
        </w:numPr>
        <w:tabs>
          <w:tab w:val="left" w:pos="1477"/>
        </w:tabs>
        <w:spacing w:line="362" w:lineRule="auto"/>
        <w:ind w:right="500"/>
        <w:jc w:val="both"/>
        <w:rPr>
          <w:b/>
          <w:sz w:val="24"/>
        </w:rPr>
      </w:pPr>
      <w:r>
        <w:rPr>
          <w:b/>
          <w:sz w:val="24"/>
        </w:rPr>
        <w:t>供应商应将投标文件正本、副本和电子版装在密封袋中，并在密封袋上标明“正</w:t>
      </w:r>
      <w:r>
        <w:rPr>
          <w:b/>
          <w:spacing w:val="2"/>
          <w:w w:val="95"/>
          <w:sz w:val="24"/>
        </w:rPr>
        <w:t xml:space="preserve">本”、“副本”或“电子版”字样，并在封签处加盖公章。可一起密封或分开  </w:t>
      </w:r>
      <w:r>
        <w:rPr>
          <w:b/>
          <w:spacing w:val="2"/>
          <w:sz w:val="24"/>
        </w:rPr>
        <w:t>密封。</w:t>
      </w:r>
    </w:p>
    <w:p>
      <w:pPr>
        <w:pStyle w:val="29"/>
        <w:numPr>
          <w:ilvl w:val="1"/>
          <w:numId w:val="3"/>
        </w:numPr>
        <w:tabs>
          <w:tab w:val="left" w:pos="1477"/>
        </w:tabs>
        <w:spacing w:before="6"/>
        <w:ind w:hanging="901"/>
        <w:jc w:val="both"/>
        <w:rPr>
          <w:sz w:val="24"/>
        </w:rPr>
      </w:pPr>
      <w:r>
        <w:rPr>
          <w:sz w:val="24"/>
        </w:rPr>
        <w:t>密封袋上均应：</w:t>
      </w:r>
    </w:p>
    <w:p>
      <w:pPr>
        <w:pStyle w:val="29"/>
        <w:tabs>
          <w:tab w:val="left" w:pos="1477"/>
        </w:tabs>
        <w:spacing w:before="160"/>
        <w:ind w:firstLine="0"/>
        <w:jc w:val="both"/>
        <w:rPr>
          <w:sz w:val="24"/>
        </w:rPr>
      </w:pPr>
      <w:r>
        <w:rPr>
          <w:spacing w:val="-24"/>
          <w:sz w:val="24"/>
        </w:rPr>
        <w:t>注明“投标项目资料表”中载明的项目名称、采购编号及类似于“在</w:t>
      </w:r>
      <w:r>
        <w:rPr>
          <w:sz w:val="24"/>
        </w:rPr>
        <w:t xml:space="preserve"> 年 月 日</w:t>
      </w:r>
      <w:r>
        <w:rPr>
          <w:rFonts w:ascii="Times New Roman" w:hAnsi="Times New Roman" w:eastAsia="Times New Roman"/>
          <w:u w:val="single"/>
        </w:rPr>
        <w:t xml:space="preserve"> </w:t>
      </w:r>
      <w:r>
        <w:rPr>
          <w:rFonts w:ascii="Times New Roman" w:hAnsi="Times New Roman" w:eastAsia="Times New Roman"/>
          <w:u w:val="single"/>
        </w:rPr>
        <w:tab/>
      </w:r>
      <w:r>
        <w:t>时之前</w:t>
      </w:r>
    </w:p>
    <w:p>
      <w:pPr>
        <w:pStyle w:val="29"/>
        <w:tabs>
          <w:tab w:val="left" w:pos="1477"/>
        </w:tabs>
        <w:spacing w:before="160"/>
        <w:ind w:firstLine="0"/>
        <w:jc w:val="both"/>
        <w:rPr>
          <w:sz w:val="24"/>
        </w:rPr>
      </w:pPr>
      <w:r>
        <w:t>不得启封”字样。</w:t>
      </w:r>
    </w:p>
    <w:p>
      <w:pPr>
        <w:pStyle w:val="29"/>
        <w:tabs>
          <w:tab w:val="left" w:pos="1477"/>
        </w:tabs>
        <w:spacing w:before="161"/>
        <w:ind w:firstLine="0"/>
        <w:jc w:val="both"/>
        <w:rPr>
          <w:sz w:val="24"/>
        </w:rPr>
      </w:pPr>
      <w:r>
        <w:rPr>
          <w:sz w:val="24"/>
        </w:rPr>
        <w:t>写明供应商的名称和地址。</w:t>
      </w:r>
    </w:p>
    <w:p>
      <w:pPr>
        <w:pStyle w:val="29"/>
        <w:numPr>
          <w:ilvl w:val="1"/>
          <w:numId w:val="3"/>
        </w:numPr>
        <w:tabs>
          <w:tab w:val="left" w:pos="1477"/>
        </w:tabs>
        <w:spacing w:before="158" w:line="364" w:lineRule="auto"/>
        <w:ind w:right="533"/>
        <w:jc w:val="both"/>
        <w:rPr>
          <w:sz w:val="24"/>
        </w:rPr>
      </w:pPr>
      <w:r>
        <w:rPr>
          <w:spacing w:val="-7"/>
          <w:sz w:val="24"/>
        </w:rPr>
        <w:t xml:space="preserve">如果密封袋上未按 </w:t>
      </w:r>
      <w:r>
        <w:rPr>
          <w:sz w:val="24"/>
        </w:rPr>
        <w:t>16.2</w:t>
      </w:r>
      <w:r>
        <w:rPr>
          <w:spacing w:val="-34"/>
          <w:sz w:val="24"/>
        </w:rPr>
        <w:t>、</w:t>
      </w:r>
      <w:r>
        <w:rPr>
          <w:sz w:val="24"/>
        </w:rPr>
        <w:t>16.3</w:t>
      </w:r>
      <w:r>
        <w:rPr>
          <w:spacing w:val="-12"/>
          <w:sz w:val="24"/>
        </w:rPr>
        <w:t xml:space="preserve"> 要求密封和加写标记，采购人和采购代理机构对误</w:t>
      </w:r>
      <w:r>
        <w:rPr>
          <w:sz w:val="24"/>
        </w:rPr>
        <w:t>投或过早启封概不负责。采购代理机构拒收未密封的投标文件。对拆标后未装订成册的投标文件，供应商应承担可能被拒绝的风险。</w:t>
      </w:r>
    </w:p>
    <w:p>
      <w:pPr>
        <w:pStyle w:val="29"/>
        <w:numPr>
          <w:ilvl w:val="1"/>
          <w:numId w:val="3"/>
        </w:numPr>
        <w:tabs>
          <w:tab w:val="left" w:pos="1477"/>
        </w:tabs>
        <w:spacing w:line="364" w:lineRule="auto"/>
        <w:ind w:right="532"/>
        <w:jc w:val="both"/>
        <w:rPr>
          <w:sz w:val="24"/>
        </w:rPr>
      </w:pPr>
      <w:r>
        <w:rPr>
          <w:sz w:val="24"/>
        </w:rPr>
        <w:t>供应商应清楚招标文件必须直接从采购代理机构购买获得，未经购买仅根据复制的招标文件编制的投标文件，或供应商名称与购买招标文件时登记的名称不一致的投标文件，均将被拒收。</w:t>
      </w:r>
    </w:p>
    <w:p>
      <w:pPr>
        <w:spacing w:line="364" w:lineRule="auto"/>
        <w:jc w:val="both"/>
        <w:rPr>
          <w:sz w:val="24"/>
        </w:rPr>
        <w:sectPr>
          <w:pgSz w:w="11910" w:h="16840"/>
          <w:pgMar w:top="920" w:right="741" w:bottom="1020" w:left="700" w:header="599" w:footer="826" w:gutter="0"/>
          <w:cols w:space="720" w:num="1"/>
        </w:sectPr>
      </w:pPr>
    </w:p>
    <w:p>
      <w:pPr>
        <w:pStyle w:val="12"/>
        <w:spacing w:before="11"/>
        <w:rPr>
          <w:sz w:val="28"/>
        </w:rPr>
      </w:pPr>
    </w:p>
    <w:p>
      <w:pPr>
        <w:pStyle w:val="29"/>
        <w:numPr>
          <w:ilvl w:val="0"/>
          <w:numId w:val="3"/>
        </w:numPr>
        <w:tabs>
          <w:tab w:val="left" w:pos="1057"/>
        </w:tabs>
        <w:spacing w:before="66"/>
        <w:ind w:left="1056" w:hanging="481"/>
        <w:jc w:val="both"/>
        <w:rPr>
          <w:b/>
          <w:sz w:val="24"/>
        </w:rPr>
      </w:pPr>
      <w:r>
        <w:rPr>
          <w:b/>
          <w:sz w:val="24"/>
        </w:rPr>
        <w:t>投标截止期</w:t>
      </w:r>
    </w:p>
    <w:p>
      <w:pPr>
        <w:pStyle w:val="29"/>
        <w:numPr>
          <w:ilvl w:val="1"/>
          <w:numId w:val="3"/>
        </w:numPr>
        <w:tabs>
          <w:tab w:val="left" w:pos="1477"/>
        </w:tabs>
        <w:spacing w:before="161" w:line="362" w:lineRule="auto"/>
        <w:ind w:right="532"/>
        <w:jc w:val="both"/>
        <w:rPr>
          <w:sz w:val="24"/>
        </w:rPr>
      </w:pPr>
      <w:r>
        <w:rPr>
          <w:sz w:val="24"/>
        </w:rPr>
        <w:t>供应商应在不迟于“投标项目资料表”中规定的截止日期和时间将投标文件按照“投标项目资料表”中载明的地址递交至采购代理机构。</w:t>
      </w:r>
    </w:p>
    <w:p>
      <w:pPr>
        <w:pStyle w:val="29"/>
        <w:numPr>
          <w:ilvl w:val="1"/>
          <w:numId w:val="3"/>
        </w:numPr>
        <w:tabs>
          <w:tab w:val="left" w:pos="1477"/>
        </w:tabs>
        <w:spacing w:before="5" w:line="364" w:lineRule="auto"/>
        <w:ind w:right="532"/>
        <w:jc w:val="both"/>
        <w:rPr>
          <w:sz w:val="24"/>
        </w:rPr>
      </w:pPr>
      <w:r>
        <w:rPr>
          <w:spacing w:val="-3"/>
          <w:sz w:val="24"/>
        </w:rPr>
        <w:t xml:space="preserve">采购人和采购代理机构可以按第 </w:t>
      </w:r>
      <w:r>
        <w:rPr>
          <w:sz w:val="24"/>
        </w:rPr>
        <w:t>6</w:t>
      </w:r>
      <w:r>
        <w:rPr>
          <w:spacing w:val="-6"/>
          <w:sz w:val="24"/>
        </w:rPr>
        <w:t xml:space="preserve"> 条规定，通过修改招标文件自行决定酌情延长投标截止期限。在此情况下，采购人、采购代理机构和供应商受投标截止期制约的所有权利和义务均应延长至新的截止日期。</w:t>
      </w:r>
    </w:p>
    <w:p>
      <w:pPr>
        <w:pStyle w:val="29"/>
        <w:numPr>
          <w:ilvl w:val="0"/>
          <w:numId w:val="3"/>
        </w:numPr>
        <w:tabs>
          <w:tab w:val="left" w:pos="1057"/>
        </w:tabs>
        <w:spacing w:line="307" w:lineRule="exact"/>
        <w:ind w:left="1056" w:hanging="481"/>
        <w:jc w:val="both"/>
        <w:rPr>
          <w:b/>
          <w:sz w:val="24"/>
        </w:rPr>
      </w:pPr>
      <w:r>
        <w:rPr>
          <w:b/>
          <w:sz w:val="24"/>
        </w:rPr>
        <w:t>迟交的投标文件</w:t>
      </w:r>
    </w:p>
    <w:p>
      <w:pPr>
        <w:pStyle w:val="29"/>
        <w:numPr>
          <w:ilvl w:val="1"/>
          <w:numId w:val="3"/>
        </w:numPr>
        <w:tabs>
          <w:tab w:val="left" w:pos="1477"/>
        </w:tabs>
        <w:spacing w:before="158"/>
        <w:ind w:hanging="901"/>
        <w:jc w:val="both"/>
        <w:rPr>
          <w:sz w:val="24"/>
        </w:rPr>
      </w:pPr>
      <w:r>
        <w:rPr>
          <w:spacing w:val="-5"/>
          <w:sz w:val="24"/>
        </w:rPr>
        <w:t xml:space="preserve">采购代理机构将拒绝接收在第 </w:t>
      </w:r>
      <w:r>
        <w:rPr>
          <w:sz w:val="24"/>
        </w:rPr>
        <w:t>17</w:t>
      </w:r>
      <w:r>
        <w:rPr>
          <w:spacing w:val="-8"/>
          <w:sz w:val="24"/>
        </w:rPr>
        <w:t xml:space="preserve"> 条规定的投标截止期后递交的任何投标文件。</w:t>
      </w:r>
    </w:p>
    <w:p>
      <w:pPr>
        <w:pStyle w:val="29"/>
        <w:numPr>
          <w:ilvl w:val="0"/>
          <w:numId w:val="3"/>
        </w:numPr>
        <w:tabs>
          <w:tab w:val="left" w:pos="1056"/>
          <w:tab w:val="left" w:pos="1057"/>
        </w:tabs>
        <w:spacing w:before="160"/>
        <w:ind w:left="1056" w:hanging="481"/>
        <w:rPr>
          <w:b/>
          <w:sz w:val="24"/>
        </w:rPr>
      </w:pPr>
      <w:r>
        <w:rPr>
          <w:b/>
          <w:sz w:val="24"/>
        </w:rPr>
        <w:t>投标文件的修改和撤回</w:t>
      </w:r>
    </w:p>
    <w:p>
      <w:pPr>
        <w:pStyle w:val="29"/>
        <w:numPr>
          <w:ilvl w:val="1"/>
          <w:numId w:val="3"/>
        </w:numPr>
        <w:tabs>
          <w:tab w:val="left" w:pos="1476"/>
          <w:tab w:val="left" w:pos="1477"/>
        </w:tabs>
        <w:spacing w:before="158" w:line="362" w:lineRule="auto"/>
        <w:ind w:right="532"/>
        <w:rPr>
          <w:sz w:val="24"/>
        </w:rPr>
      </w:pPr>
      <w:r>
        <w:rPr>
          <w:sz w:val="24"/>
        </w:rPr>
        <w:t>供应商在递交投标文件后，在投标截止时间之前可以修改或撤回其投标文件，但供应商必须在投标截止时间之前将修改或撤回的书面通知递交至采购代理机构。</w:t>
      </w:r>
    </w:p>
    <w:p>
      <w:pPr>
        <w:pStyle w:val="29"/>
        <w:numPr>
          <w:ilvl w:val="1"/>
          <w:numId w:val="3"/>
        </w:numPr>
        <w:tabs>
          <w:tab w:val="left" w:pos="1476"/>
          <w:tab w:val="left" w:pos="1477"/>
        </w:tabs>
        <w:spacing w:before="5"/>
        <w:ind w:hanging="901"/>
        <w:rPr>
          <w:sz w:val="24"/>
        </w:rPr>
      </w:pPr>
      <w:r>
        <w:rPr>
          <w:spacing w:val="-4"/>
          <w:sz w:val="24"/>
        </w:rPr>
        <w:t xml:space="preserve">供应商的修改或撤回通知书应按第 </w:t>
      </w:r>
      <w:r>
        <w:rPr>
          <w:sz w:val="24"/>
        </w:rPr>
        <w:t>16</w:t>
      </w:r>
      <w:r>
        <w:rPr>
          <w:spacing w:val="-8"/>
          <w:sz w:val="24"/>
        </w:rPr>
        <w:t xml:space="preserve"> 条规定编制、密封、标记和递交。</w:t>
      </w:r>
    </w:p>
    <w:p>
      <w:pPr>
        <w:pStyle w:val="29"/>
        <w:numPr>
          <w:ilvl w:val="1"/>
          <w:numId w:val="3"/>
        </w:numPr>
        <w:tabs>
          <w:tab w:val="left" w:pos="1476"/>
          <w:tab w:val="left" w:pos="1477"/>
        </w:tabs>
        <w:spacing w:before="161"/>
        <w:ind w:hanging="901"/>
        <w:rPr>
          <w:sz w:val="24"/>
        </w:rPr>
      </w:pPr>
      <w:r>
        <w:rPr>
          <w:sz w:val="24"/>
        </w:rPr>
        <w:t>在投标截止期之后，供应商不得对其投标做任何修改。</w:t>
      </w:r>
    </w:p>
    <w:p>
      <w:pPr>
        <w:pStyle w:val="29"/>
        <w:numPr>
          <w:ilvl w:val="1"/>
          <w:numId w:val="3"/>
        </w:numPr>
        <w:tabs>
          <w:tab w:val="left" w:pos="1476"/>
          <w:tab w:val="left" w:pos="1477"/>
        </w:tabs>
        <w:spacing w:before="158" w:line="364" w:lineRule="auto"/>
        <w:ind w:right="532"/>
        <w:rPr>
          <w:sz w:val="24"/>
        </w:rPr>
      </w:pPr>
      <w:r>
        <w:rPr>
          <w:sz w:val="24"/>
        </w:rPr>
        <w:t>从投标截止期至供应商在投标文件中载明的投标有效期满期间，供应商不得撤回其投标。</w:t>
      </w:r>
    </w:p>
    <w:p>
      <w:pPr>
        <w:pStyle w:val="12"/>
        <w:spacing w:before="4"/>
        <w:rPr>
          <w:sz w:val="20"/>
        </w:rPr>
      </w:pPr>
    </w:p>
    <w:p>
      <w:pPr>
        <w:pStyle w:val="28"/>
        <w:ind w:left="123" w:right="76"/>
        <w:jc w:val="center"/>
      </w:pPr>
      <w:bookmarkStart w:id="12" w:name="（五）开标"/>
      <w:bookmarkEnd w:id="12"/>
      <w:bookmarkStart w:id="13" w:name="_Toc57242310"/>
      <w:r>
        <w:t>（五）开标</w:t>
      </w:r>
      <w:bookmarkEnd w:id="13"/>
    </w:p>
    <w:p>
      <w:pPr>
        <w:pStyle w:val="12"/>
        <w:spacing w:before="10"/>
        <w:rPr>
          <w:b/>
          <w:sz w:val="32"/>
        </w:rPr>
      </w:pPr>
    </w:p>
    <w:p>
      <w:pPr>
        <w:pStyle w:val="29"/>
        <w:numPr>
          <w:ilvl w:val="0"/>
          <w:numId w:val="3"/>
        </w:numPr>
        <w:tabs>
          <w:tab w:val="left" w:pos="1056"/>
          <w:tab w:val="left" w:pos="1057"/>
        </w:tabs>
        <w:ind w:left="1056" w:hanging="481"/>
        <w:rPr>
          <w:b/>
          <w:sz w:val="24"/>
        </w:rPr>
      </w:pPr>
      <w:r>
        <w:rPr>
          <w:b/>
          <w:sz w:val="24"/>
        </w:rPr>
        <w:t>开标</w:t>
      </w:r>
    </w:p>
    <w:p>
      <w:pPr>
        <w:pStyle w:val="29"/>
        <w:numPr>
          <w:ilvl w:val="1"/>
          <w:numId w:val="3"/>
        </w:numPr>
        <w:tabs>
          <w:tab w:val="left" w:pos="1476"/>
          <w:tab w:val="left" w:pos="1477"/>
        </w:tabs>
        <w:spacing w:before="158" w:line="362" w:lineRule="auto"/>
        <w:ind w:right="534"/>
        <w:rPr>
          <w:sz w:val="24"/>
        </w:rPr>
      </w:pPr>
      <w:r>
        <w:rPr>
          <w:sz w:val="24"/>
        </w:rPr>
        <w:t>采购代理机构在“投标项目资料表”中规定的日期、时间和地点组织公开开标。开标时所有供应商可派代表参加。</w:t>
      </w:r>
    </w:p>
    <w:p>
      <w:pPr>
        <w:pStyle w:val="29"/>
        <w:numPr>
          <w:ilvl w:val="1"/>
          <w:numId w:val="3"/>
        </w:numPr>
        <w:tabs>
          <w:tab w:val="left" w:pos="1476"/>
          <w:tab w:val="left" w:pos="1477"/>
        </w:tabs>
        <w:spacing w:before="5" w:line="364" w:lineRule="auto"/>
        <w:ind w:right="409"/>
        <w:rPr>
          <w:sz w:val="24"/>
        </w:rPr>
      </w:pPr>
      <w:r>
        <w:rPr>
          <w:spacing w:val="-8"/>
          <w:sz w:val="24"/>
        </w:rPr>
        <w:t>开标时，采购代理机构当众宣读供应商名称、修改和撤回投标的通知、投标价格、</w:t>
      </w:r>
      <w:r>
        <w:rPr>
          <w:sz w:val="24"/>
        </w:rPr>
        <w:t>折扣声明以及采购人和采购代理机构认为必要的内容。</w:t>
      </w:r>
    </w:p>
    <w:p>
      <w:pPr>
        <w:pStyle w:val="29"/>
        <w:numPr>
          <w:ilvl w:val="1"/>
          <w:numId w:val="3"/>
        </w:numPr>
        <w:tabs>
          <w:tab w:val="left" w:pos="1476"/>
          <w:tab w:val="left" w:pos="1477"/>
        </w:tabs>
        <w:spacing w:line="364" w:lineRule="auto"/>
        <w:ind w:right="533"/>
        <w:rPr>
          <w:sz w:val="24"/>
        </w:rPr>
      </w:pPr>
      <w:r>
        <w:rPr>
          <w:spacing w:val="-3"/>
          <w:sz w:val="24"/>
        </w:rPr>
        <w:t>在开标时没有启封和读出的投标文件</w:t>
      </w:r>
      <w:r>
        <w:rPr>
          <w:sz w:val="24"/>
        </w:rPr>
        <w:t>（</w:t>
      </w:r>
      <w:r>
        <w:rPr>
          <w:spacing w:val="-10"/>
          <w:sz w:val="24"/>
        </w:rPr>
        <w:t xml:space="preserve">包括按照第 </w:t>
      </w:r>
      <w:r>
        <w:rPr>
          <w:sz w:val="24"/>
        </w:rPr>
        <w:t>19</w:t>
      </w:r>
      <w:r>
        <w:rPr>
          <w:spacing w:val="-8"/>
          <w:sz w:val="24"/>
        </w:rPr>
        <w:t xml:space="preserve"> 条递交的修改书</w:t>
      </w:r>
      <w:r>
        <w:rPr>
          <w:spacing w:val="-32"/>
          <w:sz w:val="24"/>
        </w:rPr>
        <w:t>）</w:t>
      </w:r>
      <w:r>
        <w:rPr>
          <w:spacing w:val="-5"/>
          <w:sz w:val="24"/>
        </w:rPr>
        <w:t>将原封退</w:t>
      </w:r>
      <w:r>
        <w:rPr>
          <w:sz w:val="24"/>
        </w:rPr>
        <w:t>回供应商。</w:t>
      </w:r>
    </w:p>
    <w:p>
      <w:pPr>
        <w:pStyle w:val="29"/>
        <w:numPr>
          <w:ilvl w:val="1"/>
          <w:numId w:val="3"/>
        </w:numPr>
        <w:tabs>
          <w:tab w:val="left" w:pos="1476"/>
          <w:tab w:val="left" w:pos="1477"/>
        </w:tabs>
        <w:spacing w:line="306" w:lineRule="exact"/>
        <w:ind w:hanging="901"/>
        <w:rPr>
          <w:sz w:val="24"/>
        </w:rPr>
      </w:pPr>
      <w:r>
        <w:rPr>
          <w:sz w:val="24"/>
        </w:rPr>
        <w:t>采购代理机构将对开标情况做详细记录。</w:t>
      </w:r>
    </w:p>
    <w:p>
      <w:pPr>
        <w:pStyle w:val="12"/>
        <w:spacing w:before="8"/>
        <w:rPr>
          <w:sz w:val="32"/>
        </w:rPr>
      </w:pPr>
    </w:p>
    <w:p>
      <w:pPr>
        <w:pStyle w:val="28"/>
        <w:ind w:left="125" w:right="76"/>
        <w:jc w:val="center"/>
      </w:pPr>
      <w:bookmarkStart w:id="14" w:name="（六）评标、定标"/>
      <w:bookmarkEnd w:id="14"/>
      <w:bookmarkStart w:id="15" w:name="_Toc57242311"/>
      <w:r>
        <w:t>（六）评标、定标</w:t>
      </w:r>
      <w:bookmarkEnd w:id="15"/>
    </w:p>
    <w:p>
      <w:pPr>
        <w:pStyle w:val="12"/>
        <w:rPr>
          <w:b/>
        </w:rPr>
      </w:pPr>
    </w:p>
    <w:p>
      <w:pPr>
        <w:pStyle w:val="12"/>
        <w:rPr>
          <w:b/>
        </w:rPr>
      </w:pPr>
    </w:p>
    <w:p>
      <w:pPr>
        <w:pStyle w:val="12"/>
        <w:spacing w:before="1"/>
        <w:rPr>
          <w:b/>
          <w:sz w:val="21"/>
        </w:rPr>
      </w:pPr>
    </w:p>
    <w:p>
      <w:pPr>
        <w:pStyle w:val="29"/>
        <w:numPr>
          <w:ilvl w:val="0"/>
          <w:numId w:val="3"/>
        </w:numPr>
        <w:tabs>
          <w:tab w:val="left" w:pos="1056"/>
          <w:tab w:val="left" w:pos="1057"/>
        </w:tabs>
        <w:spacing w:before="1"/>
        <w:ind w:left="1056" w:hanging="481"/>
        <w:rPr>
          <w:b/>
          <w:sz w:val="24"/>
        </w:rPr>
      </w:pPr>
      <w:r>
        <w:rPr>
          <w:b/>
          <w:sz w:val="24"/>
        </w:rPr>
        <w:t>评标工作</w:t>
      </w:r>
    </w:p>
    <w:p>
      <w:pPr>
        <w:pStyle w:val="29"/>
        <w:numPr>
          <w:ilvl w:val="1"/>
          <w:numId w:val="3"/>
        </w:numPr>
        <w:tabs>
          <w:tab w:val="left" w:pos="1476"/>
          <w:tab w:val="left" w:pos="1477"/>
        </w:tabs>
        <w:spacing w:before="160"/>
        <w:ind w:hanging="901"/>
        <w:rPr>
          <w:sz w:val="24"/>
        </w:rPr>
      </w:pPr>
      <w:r>
        <w:rPr>
          <w:sz w:val="24"/>
        </w:rPr>
        <w:t>评标工作由评标委员会（下称评委会）主持对所有供应商的投标文件进行评审，</w:t>
      </w:r>
    </w:p>
    <w:p>
      <w:pPr>
        <w:rPr>
          <w:sz w:val="24"/>
        </w:rPr>
        <w:sectPr>
          <w:pgSz w:w="11910" w:h="16840"/>
          <w:pgMar w:top="920" w:right="741" w:bottom="1020" w:left="700" w:header="599" w:footer="826" w:gutter="0"/>
          <w:cols w:space="720" w:num="1"/>
        </w:sectPr>
      </w:pPr>
    </w:p>
    <w:p>
      <w:pPr>
        <w:pStyle w:val="12"/>
        <w:spacing w:before="11"/>
        <w:rPr>
          <w:sz w:val="28"/>
        </w:rPr>
      </w:pPr>
    </w:p>
    <w:p>
      <w:pPr>
        <w:pStyle w:val="12"/>
        <w:spacing w:before="66"/>
        <w:ind w:left="1476"/>
        <w:jc w:val="both"/>
      </w:pPr>
      <w:r>
        <w:t>并按综合评分由高到低的顺序推荐出 3 名中标候选人。</w:t>
      </w:r>
    </w:p>
    <w:p>
      <w:pPr>
        <w:pStyle w:val="29"/>
        <w:numPr>
          <w:ilvl w:val="1"/>
          <w:numId w:val="3"/>
        </w:numPr>
        <w:tabs>
          <w:tab w:val="left" w:pos="1477"/>
        </w:tabs>
        <w:spacing w:before="161" w:line="364" w:lineRule="auto"/>
        <w:ind w:right="532"/>
        <w:jc w:val="both"/>
        <w:rPr>
          <w:sz w:val="24"/>
        </w:rPr>
      </w:pPr>
      <w:r>
        <w:rPr>
          <w:spacing w:val="-4"/>
          <w:sz w:val="24"/>
        </w:rPr>
        <w:t>评标委员会成员由采购人代表</w:t>
      </w:r>
      <w:r>
        <w:rPr>
          <w:rFonts w:hint="eastAsia"/>
          <w:sz w:val="24"/>
        </w:rPr>
        <w:t>2</w:t>
      </w:r>
      <w:r>
        <w:rPr>
          <w:spacing w:val="-11"/>
          <w:sz w:val="24"/>
        </w:rPr>
        <w:t>人和经济、技术等方面的专家</w:t>
      </w:r>
      <w:r>
        <w:rPr>
          <w:rFonts w:hint="eastAsia"/>
          <w:sz w:val="24"/>
        </w:rPr>
        <w:t>5</w:t>
      </w:r>
      <w:r>
        <w:rPr>
          <w:spacing w:val="-27"/>
          <w:sz w:val="24"/>
        </w:rPr>
        <w:t xml:space="preserve">人共 </w:t>
      </w:r>
      <w:r>
        <w:rPr>
          <w:rFonts w:hint="eastAsia"/>
          <w:sz w:val="24"/>
        </w:rPr>
        <w:t>7</w:t>
      </w:r>
      <w:r>
        <w:rPr>
          <w:spacing w:val="-12"/>
          <w:sz w:val="24"/>
        </w:rPr>
        <w:t xml:space="preserve"> 人组成， 其中除采购人代表以外的外聘专家不少于三分之二，并按政府采购制度的规定从财政部门的政府采购专家库中随机抽取。</w:t>
      </w:r>
    </w:p>
    <w:p>
      <w:pPr>
        <w:pStyle w:val="29"/>
        <w:numPr>
          <w:ilvl w:val="0"/>
          <w:numId w:val="3"/>
        </w:numPr>
        <w:tabs>
          <w:tab w:val="left" w:pos="1057"/>
        </w:tabs>
        <w:spacing w:line="305" w:lineRule="exact"/>
        <w:ind w:left="1056" w:hanging="481"/>
        <w:jc w:val="both"/>
        <w:rPr>
          <w:b/>
          <w:sz w:val="24"/>
        </w:rPr>
      </w:pPr>
      <w:r>
        <w:rPr>
          <w:b/>
          <w:sz w:val="24"/>
        </w:rPr>
        <w:t>投标文件的澄清</w:t>
      </w:r>
    </w:p>
    <w:p>
      <w:pPr>
        <w:pStyle w:val="29"/>
        <w:numPr>
          <w:ilvl w:val="1"/>
          <w:numId w:val="3"/>
        </w:numPr>
        <w:tabs>
          <w:tab w:val="left" w:pos="1477"/>
        </w:tabs>
        <w:spacing w:before="160" w:line="364" w:lineRule="auto"/>
        <w:ind w:right="532"/>
        <w:jc w:val="both"/>
        <w:rPr>
          <w:sz w:val="24"/>
        </w:rPr>
      </w:pPr>
      <w:r>
        <w:rPr>
          <w:sz w:val="24"/>
        </w:rPr>
        <w:t>为了有助于对投标文件进行审查、评估和比较，评委会有权向供应商质疑，请供应商澄清其投标内容。供应商有责任按照采购代理机构通知的时间、地点、方式由供应商或其授权代表进行答疑和澄清。</w:t>
      </w:r>
    </w:p>
    <w:p>
      <w:pPr>
        <w:pStyle w:val="29"/>
        <w:numPr>
          <w:ilvl w:val="1"/>
          <w:numId w:val="3"/>
        </w:numPr>
        <w:tabs>
          <w:tab w:val="left" w:pos="1477"/>
        </w:tabs>
        <w:spacing w:line="307" w:lineRule="exact"/>
        <w:ind w:hanging="901"/>
        <w:jc w:val="both"/>
        <w:rPr>
          <w:sz w:val="24"/>
        </w:rPr>
      </w:pPr>
      <w:r>
        <w:rPr>
          <w:sz w:val="24"/>
        </w:rPr>
        <w:t>重要澄清的答复应是书面的，并由供应商法定代表人或其委托代理人签字。</w:t>
      </w:r>
    </w:p>
    <w:p>
      <w:pPr>
        <w:pStyle w:val="29"/>
        <w:numPr>
          <w:ilvl w:val="1"/>
          <w:numId w:val="3"/>
        </w:numPr>
        <w:tabs>
          <w:tab w:val="left" w:pos="1477"/>
        </w:tabs>
        <w:spacing w:before="158"/>
        <w:ind w:hanging="901"/>
        <w:jc w:val="both"/>
        <w:rPr>
          <w:sz w:val="24"/>
        </w:rPr>
      </w:pPr>
      <w:r>
        <w:rPr>
          <w:sz w:val="24"/>
        </w:rPr>
        <w:t>供应商的澄清文件是投标文件的组成部分，并取代投标文件中被澄清的部分。</w:t>
      </w:r>
    </w:p>
    <w:p>
      <w:pPr>
        <w:pStyle w:val="29"/>
        <w:numPr>
          <w:ilvl w:val="1"/>
          <w:numId w:val="3"/>
        </w:numPr>
        <w:tabs>
          <w:tab w:val="left" w:pos="1477"/>
        </w:tabs>
        <w:spacing w:before="159"/>
        <w:ind w:hanging="901"/>
        <w:jc w:val="both"/>
        <w:rPr>
          <w:sz w:val="24"/>
        </w:rPr>
      </w:pPr>
      <w:r>
        <w:rPr>
          <w:sz w:val="24"/>
        </w:rPr>
        <w:t>投标文件的澄清不得对投标内容进行实质性修改。</w:t>
      </w:r>
    </w:p>
    <w:p>
      <w:pPr>
        <w:pStyle w:val="29"/>
        <w:numPr>
          <w:ilvl w:val="0"/>
          <w:numId w:val="4"/>
        </w:numPr>
        <w:tabs>
          <w:tab w:val="left" w:pos="1057"/>
        </w:tabs>
        <w:spacing w:before="160"/>
        <w:ind w:hanging="481"/>
        <w:jc w:val="both"/>
        <w:rPr>
          <w:b/>
          <w:sz w:val="24"/>
        </w:rPr>
      </w:pPr>
      <w:r>
        <w:rPr>
          <w:b/>
          <w:sz w:val="24"/>
        </w:rPr>
        <w:t>投标文件的初审</w:t>
      </w:r>
    </w:p>
    <w:p>
      <w:pPr>
        <w:pStyle w:val="29"/>
        <w:numPr>
          <w:ilvl w:val="1"/>
          <w:numId w:val="4"/>
        </w:numPr>
        <w:tabs>
          <w:tab w:val="left" w:pos="1477"/>
        </w:tabs>
        <w:spacing w:before="161" w:line="362" w:lineRule="auto"/>
        <w:ind w:right="532"/>
        <w:jc w:val="both"/>
        <w:rPr>
          <w:sz w:val="24"/>
        </w:rPr>
      </w:pPr>
      <w:r>
        <w:rPr>
          <w:sz w:val="24"/>
        </w:rPr>
        <w:t>评委会将审查投标文件是否完整、总体编排是否有序、文件签署是否合格、有无计算上的错误等。</w:t>
      </w:r>
    </w:p>
    <w:p>
      <w:pPr>
        <w:pStyle w:val="29"/>
        <w:numPr>
          <w:ilvl w:val="1"/>
          <w:numId w:val="4"/>
        </w:numPr>
        <w:tabs>
          <w:tab w:val="left" w:pos="1477"/>
        </w:tabs>
        <w:spacing w:before="4" w:line="364" w:lineRule="auto"/>
        <w:ind w:right="532"/>
        <w:jc w:val="both"/>
        <w:rPr>
          <w:sz w:val="24"/>
        </w:rPr>
      </w:pPr>
      <w:r>
        <w:rPr>
          <w:sz w:val="24"/>
        </w:rPr>
        <w:t>算术错误将按以下方法更正：若单价计算的结果与总价不一致，以单价为准修改总价；若文字表示的数值与数字表示的数值不一致，以文字表示的数值为准。若供应商不接受对其错误的更正，其投标将被拒绝。</w:t>
      </w:r>
    </w:p>
    <w:p>
      <w:pPr>
        <w:pStyle w:val="29"/>
        <w:numPr>
          <w:ilvl w:val="1"/>
          <w:numId w:val="4"/>
        </w:numPr>
        <w:tabs>
          <w:tab w:val="left" w:pos="1477"/>
        </w:tabs>
        <w:spacing w:line="364" w:lineRule="auto"/>
        <w:ind w:right="532"/>
        <w:jc w:val="both"/>
        <w:rPr>
          <w:sz w:val="24"/>
        </w:rPr>
      </w:pPr>
      <w:r>
        <w:rPr>
          <w:sz w:val="24"/>
        </w:rPr>
        <w:t>允许修正投标文件中不构成重大偏离的、微小的、非正规的、不一致或不规则的地方。</w:t>
      </w:r>
    </w:p>
    <w:p>
      <w:pPr>
        <w:pStyle w:val="29"/>
        <w:numPr>
          <w:ilvl w:val="1"/>
          <w:numId w:val="4"/>
        </w:numPr>
        <w:tabs>
          <w:tab w:val="left" w:pos="1477"/>
        </w:tabs>
        <w:spacing w:line="364" w:lineRule="auto"/>
        <w:ind w:right="532"/>
        <w:jc w:val="both"/>
        <w:rPr>
          <w:sz w:val="24"/>
        </w:rPr>
      </w:pPr>
      <w:r>
        <w:rPr>
          <w:sz w:val="24"/>
        </w:rPr>
        <w:t>在对投标文件进行详细评估之前，评委会将确定每一投标是否对招标文件的要求做出了实质性的响应，而没有重大偏离。实质性响应的投标是指投标符合招标文件的所有条款、条件和规定且没有重大偏离和保留。重大偏离和保留是指对招标文件规定的范围、质量和性能产生重大或不可接受的偏差，或限制了采购代理机构、采购人的权力和供应商的义务的规定，而纠正这些偏离将影响到任何提交实质性响应投标的供应商的公平竞争地位。</w:t>
      </w:r>
    </w:p>
    <w:p>
      <w:pPr>
        <w:pStyle w:val="29"/>
        <w:numPr>
          <w:ilvl w:val="1"/>
          <w:numId w:val="4"/>
        </w:numPr>
        <w:tabs>
          <w:tab w:val="left" w:pos="1477"/>
        </w:tabs>
        <w:spacing w:line="304" w:lineRule="exact"/>
        <w:ind w:hanging="901"/>
        <w:jc w:val="both"/>
        <w:rPr>
          <w:sz w:val="24"/>
        </w:rPr>
      </w:pPr>
      <w:r>
        <w:rPr>
          <w:sz w:val="24"/>
        </w:rPr>
        <w:t>评委会判断投标文件的响应性仅基于投标文件本身内容而不靠外部证据。</w:t>
      </w:r>
    </w:p>
    <w:p>
      <w:pPr>
        <w:pStyle w:val="29"/>
        <w:numPr>
          <w:ilvl w:val="1"/>
          <w:numId w:val="4"/>
        </w:numPr>
        <w:tabs>
          <w:tab w:val="left" w:pos="1477"/>
        </w:tabs>
        <w:spacing w:before="157"/>
        <w:ind w:hanging="901"/>
        <w:jc w:val="both"/>
        <w:rPr>
          <w:sz w:val="24"/>
        </w:rPr>
      </w:pPr>
      <w:r>
        <w:rPr>
          <w:sz w:val="24"/>
        </w:rPr>
        <w:t>投标报价超出采购人预算的投标将会被拒绝。</w:t>
      </w:r>
    </w:p>
    <w:p>
      <w:pPr>
        <w:pStyle w:val="29"/>
        <w:numPr>
          <w:ilvl w:val="1"/>
          <w:numId w:val="4"/>
        </w:numPr>
        <w:tabs>
          <w:tab w:val="left" w:pos="1477"/>
        </w:tabs>
        <w:spacing w:before="160" w:line="364" w:lineRule="auto"/>
        <w:ind w:right="533"/>
        <w:jc w:val="both"/>
        <w:rPr>
          <w:sz w:val="24"/>
        </w:rPr>
      </w:pPr>
      <w:r>
        <w:rPr>
          <w:sz w:val="24"/>
        </w:rPr>
        <w:t>初步评审分为资格性审查和符合性审查。资格性审查确定供应商是否具备相应资格，如递交的资格证明文件不全的，视为没有通过资格性审查，不在进行下一步</w:t>
      </w:r>
      <w:r>
        <w:rPr>
          <w:spacing w:val="-6"/>
          <w:sz w:val="24"/>
        </w:rPr>
        <w:t>评审。依据《政府采购货物和服务招投标管理办法》</w:t>
      </w:r>
      <w:r>
        <w:rPr>
          <w:spacing w:val="-3"/>
          <w:sz w:val="24"/>
        </w:rPr>
        <w:t>（</w:t>
      </w:r>
      <w:r>
        <w:rPr>
          <w:spacing w:val="-10"/>
          <w:sz w:val="24"/>
        </w:rPr>
        <w:t xml:space="preserve">财政部令第 </w:t>
      </w:r>
      <w:r>
        <w:rPr>
          <w:sz w:val="24"/>
        </w:rPr>
        <w:t>87</w:t>
      </w:r>
      <w:r>
        <w:rPr>
          <w:spacing w:val="-30"/>
          <w:sz w:val="24"/>
        </w:rPr>
        <w:t xml:space="preserve"> 号</w:t>
      </w:r>
      <w:r>
        <w:rPr>
          <w:spacing w:val="-12"/>
          <w:sz w:val="24"/>
        </w:rPr>
        <w:t>）</w:t>
      </w:r>
      <w:r>
        <w:rPr>
          <w:spacing w:val="-6"/>
          <w:sz w:val="24"/>
        </w:rPr>
        <w:t>第四十</w:t>
      </w:r>
    </w:p>
    <w:p>
      <w:pPr>
        <w:spacing w:line="364" w:lineRule="auto"/>
        <w:jc w:val="both"/>
        <w:rPr>
          <w:sz w:val="24"/>
        </w:rPr>
        <w:sectPr>
          <w:pgSz w:w="11910" w:h="16840"/>
          <w:pgMar w:top="920" w:right="741" w:bottom="1020" w:left="700" w:header="599" w:footer="826" w:gutter="0"/>
          <w:cols w:space="720" w:num="1"/>
        </w:sectPr>
      </w:pPr>
    </w:p>
    <w:p>
      <w:pPr>
        <w:pStyle w:val="12"/>
        <w:spacing w:before="11"/>
        <w:rPr>
          <w:sz w:val="28"/>
        </w:rPr>
      </w:pPr>
    </w:p>
    <w:p>
      <w:pPr>
        <w:pStyle w:val="12"/>
        <w:spacing w:before="66"/>
        <w:ind w:left="1476"/>
      </w:pPr>
      <w:r>
        <w:t>四条规定本项目资格审查由采购人或者采购代理机构进行审查负责。</w:t>
      </w:r>
    </w:p>
    <w:p>
      <w:pPr>
        <w:pStyle w:val="29"/>
        <w:numPr>
          <w:ilvl w:val="1"/>
          <w:numId w:val="4"/>
        </w:numPr>
        <w:tabs>
          <w:tab w:val="left" w:pos="1476"/>
          <w:tab w:val="left" w:pos="1477"/>
        </w:tabs>
        <w:spacing w:before="161" w:line="362" w:lineRule="auto"/>
        <w:ind w:right="532"/>
        <w:rPr>
          <w:sz w:val="24"/>
        </w:rPr>
      </w:pPr>
      <w:r>
        <w:rPr>
          <w:sz w:val="24"/>
        </w:rPr>
        <w:t>实质上没有响应招标文件要求的投标将被拒绝，供应商不得通过修正或撤消不符之处而使其投标成为实质上响应投标。</w:t>
      </w:r>
    </w:p>
    <w:p>
      <w:pPr>
        <w:pStyle w:val="29"/>
        <w:numPr>
          <w:ilvl w:val="1"/>
          <w:numId w:val="4"/>
        </w:numPr>
        <w:tabs>
          <w:tab w:val="left" w:pos="1476"/>
          <w:tab w:val="left" w:pos="1477"/>
        </w:tabs>
        <w:spacing w:before="5"/>
        <w:ind w:hanging="901"/>
        <w:rPr>
          <w:sz w:val="24"/>
        </w:rPr>
      </w:pPr>
      <w:r>
        <w:rPr>
          <w:sz w:val="24"/>
        </w:rPr>
        <w:t>评标中有下列情形之一的，其投标将会被拒绝：</w:t>
      </w:r>
    </w:p>
    <w:p>
      <w:pPr>
        <w:pStyle w:val="29"/>
        <w:numPr>
          <w:ilvl w:val="2"/>
          <w:numId w:val="4"/>
        </w:numPr>
        <w:tabs>
          <w:tab w:val="left" w:pos="1478"/>
        </w:tabs>
        <w:spacing w:before="158" w:line="364" w:lineRule="auto"/>
        <w:ind w:right="3467" w:firstLine="0"/>
        <w:rPr>
          <w:sz w:val="24"/>
        </w:rPr>
      </w:pPr>
      <w:r>
        <w:rPr>
          <w:spacing w:val="-1"/>
          <w:sz w:val="24"/>
        </w:rPr>
        <w:t xml:space="preserve">投标函和投标一览表未按投标文件要求签字或盖章； </w:t>
      </w:r>
      <w:r>
        <w:rPr>
          <w:sz w:val="24"/>
        </w:rPr>
        <w:t>(2)投标有效期不足的；</w:t>
      </w:r>
    </w:p>
    <w:p>
      <w:pPr>
        <w:pStyle w:val="29"/>
        <w:numPr>
          <w:ilvl w:val="0"/>
          <w:numId w:val="5"/>
        </w:numPr>
        <w:tabs>
          <w:tab w:val="left" w:pos="1478"/>
        </w:tabs>
        <w:spacing w:before="1"/>
        <w:ind w:hanging="362"/>
        <w:rPr>
          <w:sz w:val="24"/>
        </w:rPr>
      </w:pPr>
      <w:r>
        <w:rPr>
          <w:sz w:val="24"/>
        </w:rPr>
        <w:t>投标报价超过采购预算的；</w:t>
      </w:r>
    </w:p>
    <w:p>
      <w:pPr>
        <w:pStyle w:val="29"/>
        <w:numPr>
          <w:ilvl w:val="0"/>
          <w:numId w:val="5"/>
        </w:numPr>
        <w:tabs>
          <w:tab w:val="left" w:pos="1478"/>
        </w:tabs>
        <w:spacing w:before="158"/>
        <w:ind w:hanging="362"/>
        <w:rPr>
          <w:sz w:val="24"/>
        </w:rPr>
      </w:pPr>
      <w:r>
        <w:rPr>
          <w:sz w:val="24"/>
        </w:rPr>
        <w:t>投标文件附有采购人不能接受的条件；</w:t>
      </w:r>
    </w:p>
    <w:p>
      <w:pPr>
        <w:pStyle w:val="29"/>
        <w:numPr>
          <w:ilvl w:val="0"/>
          <w:numId w:val="5"/>
        </w:numPr>
        <w:tabs>
          <w:tab w:val="left" w:pos="1478"/>
        </w:tabs>
        <w:spacing w:before="161"/>
        <w:ind w:hanging="362"/>
        <w:rPr>
          <w:sz w:val="24"/>
        </w:rPr>
      </w:pPr>
      <w:r>
        <w:rPr>
          <w:sz w:val="24"/>
        </w:rPr>
        <w:t>不符合招标文件中规定的其他实质性要求。</w:t>
      </w:r>
    </w:p>
    <w:p>
      <w:pPr>
        <w:pStyle w:val="29"/>
        <w:numPr>
          <w:ilvl w:val="0"/>
          <w:numId w:val="4"/>
        </w:numPr>
        <w:tabs>
          <w:tab w:val="left" w:pos="1056"/>
          <w:tab w:val="left" w:pos="1057"/>
        </w:tabs>
        <w:spacing w:before="158"/>
        <w:ind w:hanging="481"/>
        <w:jc w:val="left"/>
        <w:rPr>
          <w:b/>
          <w:sz w:val="24"/>
        </w:rPr>
      </w:pPr>
      <w:r>
        <w:rPr>
          <w:b/>
          <w:sz w:val="24"/>
        </w:rPr>
        <w:t>投标的评价</w:t>
      </w:r>
    </w:p>
    <w:p>
      <w:pPr>
        <w:pStyle w:val="29"/>
        <w:numPr>
          <w:ilvl w:val="1"/>
          <w:numId w:val="4"/>
        </w:numPr>
        <w:tabs>
          <w:tab w:val="left" w:pos="1476"/>
          <w:tab w:val="left" w:pos="1477"/>
        </w:tabs>
        <w:spacing w:before="158"/>
        <w:ind w:hanging="901"/>
        <w:rPr>
          <w:sz w:val="24"/>
        </w:rPr>
      </w:pPr>
      <w:r>
        <w:rPr>
          <w:sz w:val="24"/>
        </w:rPr>
        <w:t>评委会只对已判定为实质性响应的投标文件进行评价和比较。</w:t>
      </w:r>
    </w:p>
    <w:p>
      <w:pPr>
        <w:pStyle w:val="29"/>
        <w:numPr>
          <w:ilvl w:val="1"/>
          <w:numId w:val="4"/>
        </w:numPr>
        <w:tabs>
          <w:tab w:val="left" w:pos="1476"/>
          <w:tab w:val="left" w:pos="1477"/>
        </w:tabs>
        <w:spacing w:before="160" w:line="364" w:lineRule="auto"/>
        <w:ind w:right="532"/>
        <w:rPr>
          <w:sz w:val="24"/>
        </w:rPr>
      </w:pPr>
      <w:r>
        <w:rPr>
          <w:sz w:val="24"/>
        </w:rPr>
        <w:t>计算评标总价时，以货物到达采购人指定的目的地交货价为标准，其中已包含各种税费、运费及保险费、运杂费、以及伴随的其它服务费。</w:t>
      </w:r>
    </w:p>
    <w:p>
      <w:pPr>
        <w:pStyle w:val="29"/>
        <w:numPr>
          <w:ilvl w:val="1"/>
          <w:numId w:val="4"/>
        </w:numPr>
        <w:tabs>
          <w:tab w:val="left" w:pos="1476"/>
          <w:tab w:val="left" w:pos="1477"/>
        </w:tabs>
        <w:spacing w:line="364" w:lineRule="auto"/>
        <w:ind w:right="529"/>
        <w:rPr>
          <w:sz w:val="24"/>
        </w:rPr>
      </w:pPr>
      <w:r>
        <w:rPr>
          <w:spacing w:val="-12"/>
          <w:sz w:val="24"/>
        </w:rPr>
        <w:t xml:space="preserve">评委会在评标时，除根据第 </w:t>
      </w:r>
      <w:r>
        <w:rPr>
          <w:sz w:val="24"/>
        </w:rPr>
        <w:t>11</w:t>
      </w:r>
      <w:r>
        <w:rPr>
          <w:spacing w:val="-15"/>
          <w:sz w:val="24"/>
        </w:rPr>
        <w:t xml:space="preserve"> 条的规定考虑供应商的报价外，还将考虑量化 “投</w:t>
      </w:r>
      <w:r>
        <w:rPr>
          <w:sz w:val="24"/>
        </w:rPr>
        <w:t>标项目资料表”和技术规格中规定的其它评标因素。</w:t>
      </w:r>
    </w:p>
    <w:p>
      <w:pPr>
        <w:pStyle w:val="29"/>
        <w:numPr>
          <w:ilvl w:val="0"/>
          <w:numId w:val="4"/>
        </w:numPr>
        <w:tabs>
          <w:tab w:val="left" w:pos="1056"/>
          <w:tab w:val="left" w:pos="1057"/>
        </w:tabs>
        <w:spacing w:line="306" w:lineRule="exact"/>
        <w:ind w:hanging="481"/>
        <w:jc w:val="left"/>
        <w:rPr>
          <w:b/>
          <w:sz w:val="24"/>
        </w:rPr>
      </w:pPr>
      <w:r>
        <w:rPr>
          <w:b/>
          <w:sz w:val="24"/>
        </w:rPr>
        <w:t>综合评分法的确定</w:t>
      </w:r>
    </w:p>
    <w:p>
      <w:pPr>
        <w:pStyle w:val="29"/>
        <w:numPr>
          <w:ilvl w:val="1"/>
          <w:numId w:val="4"/>
        </w:numPr>
        <w:tabs>
          <w:tab w:val="left" w:pos="1476"/>
          <w:tab w:val="left" w:pos="1477"/>
        </w:tabs>
        <w:spacing w:before="160"/>
        <w:ind w:hanging="901"/>
        <w:rPr>
          <w:sz w:val="24"/>
        </w:rPr>
      </w:pPr>
      <w:r>
        <w:rPr>
          <w:sz w:val="24"/>
        </w:rPr>
        <w:t>综合评分法，详见招标文件第四章。</w:t>
      </w:r>
    </w:p>
    <w:p>
      <w:pPr>
        <w:pStyle w:val="29"/>
        <w:numPr>
          <w:ilvl w:val="0"/>
          <w:numId w:val="4"/>
        </w:numPr>
        <w:tabs>
          <w:tab w:val="left" w:pos="1056"/>
          <w:tab w:val="left" w:pos="1057"/>
        </w:tabs>
        <w:spacing w:before="158"/>
        <w:ind w:hanging="481"/>
        <w:jc w:val="left"/>
        <w:rPr>
          <w:b/>
          <w:sz w:val="24"/>
        </w:rPr>
      </w:pPr>
      <w:r>
        <w:rPr>
          <w:b/>
          <w:sz w:val="24"/>
        </w:rPr>
        <w:t>资格后审</w:t>
      </w:r>
    </w:p>
    <w:p>
      <w:pPr>
        <w:pStyle w:val="29"/>
        <w:numPr>
          <w:ilvl w:val="1"/>
          <w:numId w:val="4"/>
        </w:numPr>
        <w:tabs>
          <w:tab w:val="left" w:pos="1476"/>
          <w:tab w:val="left" w:pos="1477"/>
        </w:tabs>
        <w:spacing w:before="160"/>
        <w:ind w:hanging="901"/>
        <w:rPr>
          <w:sz w:val="24"/>
        </w:rPr>
      </w:pPr>
      <w:r>
        <w:rPr>
          <w:sz w:val="24"/>
        </w:rPr>
        <w:t>适用。</w:t>
      </w:r>
    </w:p>
    <w:p>
      <w:pPr>
        <w:pStyle w:val="29"/>
        <w:numPr>
          <w:ilvl w:val="0"/>
          <w:numId w:val="4"/>
        </w:numPr>
        <w:tabs>
          <w:tab w:val="left" w:pos="1056"/>
          <w:tab w:val="left" w:pos="1057"/>
        </w:tabs>
        <w:spacing w:before="158"/>
        <w:ind w:hanging="481"/>
        <w:jc w:val="left"/>
        <w:rPr>
          <w:b/>
          <w:sz w:val="24"/>
        </w:rPr>
      </w:pPr>
      <w:r>
        <w:rPr>
          <w:b/>
          <w:sz w:val="24"/>
        </w:rPr>
        <w:t>保密及其它注意事项</w:t>
      </w:r>
    </w:p>
    <w:p>
      <w:pPr>
        <w:pStyle w:val="29"/>
        <w:numPr>
          <w:ilvl w:val="1"/>
          <w:numId w:val="4"/>
        </w:numPr>
        <w:tabs>
          <w:tab w:val="left" w:pos="1476"/>
          <w:tab w:val="left" w:pos="1477"/>
        </w:tabs>
        <w:spacing w:before="161"/>
        <w:ind w:hanging="901"/>
        <w:rPr>
          <w:sz w:val="24"/>
        </w:rPr>
      </w:pPr>
      <w:r>
        <w:rPr>
          <w:sz w:val="24"/>
        </w:rPr>
        <w:t>评标是招标工作的重要环节，评标工作在评委会内独立进行。</w:t>
      </w:r>
    </w:p>
    <w:p>
      <w:pPr>
        <w:pStyle w:val="29"/>
        <w:numPr>
          <w:ilvl w:val="1"/>
          <w:numId w:val="4"/>
        </w:numPr>
        <w:tabs>
          <w:tab w:val="left" w:pos="1476"/>
          <w:tab w:val="left" w:pos="1477"/>
        </w:tabs>
        <w:spacing w:before="158"/>
        <w:ind w:hanging="901"/>
        <w:rPr>
          <w:sz w:val="24"/>
        </w:rPr>
      </w:pPr>
      <w:r>
        <w:rPr>
          <w:sz w:val="24"/>
        </w:rPr>
        <w:t>评委会将遵照规定的评标方法，公正、平等地对待所有供应商。</w:t>
      </w:r>
    </w:p>
    <w:p>
      <w:pPr>
        <w:pStyle w:val="29"/>
        <w:numPr>
          <w:ilvl w:val="1"/>
          <w:numId w:val="4"/>
        </w:numPr>
        <w:tabs>
          <w:tab w:val="left" w:pos="1476"/>
          <w:tab w:val="left" w:pos="1477"/>
        </w:tabs>
        <w:spacing w:before="160" w:line="364" w:lineRule="auto"/>
        <w:ind w:right="532"/>
        <w:rPr>
          <w:sz w:val="24"/>
        </w:rPr>
      </w:pPr>
      <w:r>
        <w:rPr>
          <w:sz w:val="24"/>
        </w:rPr>
        <w:t>在开标、评标期间，供应商不得向评委询问评标情况，不得进行旨在影响评标结果的活动。否则，其投标可能被拒绝。</w:t>
      </w:r>
    </w:p>
    <w:p>
      <w:pPr>
        <w:pStyle w:val="29"/>
        <w:numPr>
          <w:ilvl w:val="1"/>
          <w:numId w:val="4"/>
        </w:numPr>
        <w:tabs>
          <w:tab w:val="left" w:pos="1476"/>
          <w:tab w:val="left" w:pos="1477"/>
        </w:tabs>
        <w:spacing w:line="362" w:lineRule="auto"/>
        <w:ind w:right="532"/>
        <w:rPr>
          <w:sz w:val="24"/>
        </w:rPr>
      </w:pPr>
      <w:r>
        <w:rPr>
          <w:sz w:val="24"/>
        </w:rPr>
        <w:t>为保证评标的公正性，开标后直至授予供应商合同，评委不得与供应商私下交换意见。</w:t>
      </w:r>
    </w:p>
    <w:p>
      <w:pPr>
        <w:pStyle w:val="29"/>
        <w:numPr>
          <w:ilvl w:val="1"/>
          <w:numId w:val="4"/>
        </w:numPr>
        <w:tabs>
          <w:tab w:val="left" w:pos="1476"/>
          <w:tab w:val="left" w:pos="1477"/>
        </w:tabs>
        <w:spacing w:before="4" w:line="364" w:lineRule="auto"/>
        <w:ind w:right="532"/>
        <w:rPr>
          <w:sz w:val="24"/>
        </w:rPr>
      </w:pPr>
      <w:r>
        <w:rPr>
          <w:sz w:val="24"/>
        </w:rPr>
        <w:t>在评标工作结束后，凡与评标情况有接触的任何人不得擅自将评标情况扩散出评标人员之外。</w:t>
      </w:r>
    </w:p>
    <w:p>
      <w:pPr>
        <w:pStyle w:val="29"/>
        <w:numPr>
          <w:ilvl w:val="1"/>
          <w:numId w:val="4"/>
        </w:numPr>
        <w:tabs>
          <w:tab w:val="left" w:pos="1476"/>
          <w:tab w:val="left" w:pos="1477"/>
        </w:tabs>
        <w:spacing w:line="306" w:lineRule="exact"/>
        <w:ind w:hanging="901"/>
        <w:rPr>
          <w:sz w:val="24"/>
        </w:rPr>
      </w:pPr>
      <w:r>
        <w:rPr>
          <w:sz w:val="24"/>
        </w:rPr>
        <w:t>评委会和采购代理机构不退还投标文件。</w:t>
      </w:r>
    </w:p>
    <w:p>
      <w:pPr>
        <w:spacing w:line="306" w:lineRule="exact"/>
        <w:rPr>
          <w:sz w:val="24"/>
        </w:rPr>
        <w:sectPr>
          <w:pgSz w:w="11910" w:h="16840"/>
          <w:pgMar w:top="920" w:right="741" w:bottom="1020" w:left="700" w:header="599" w:footer="826" w:gutter="0"/>
          <w:cols w:space="720" w:num="1"/>
        </w:sectPr>
      </w:pPr>
    </w:p>
    <w:p>
      <w:pPr>
        <w:pStyle w:val="12"/>
        <w:spacing w:before="11"/>
        <w:rPr>
          <w:sz w:val="28"/>
        </w:rPr>
      </w:pPr>
    </w:p>
    <w:p>
      <w:pPr>
        <w:pStyle w:val="28"/>
        <w:spacing w:before="66"/>
        <w:ind w:left="125" w:right="76"/>
        <w:jc w:val="center"/>
      </w:pPr>
      <w:bookmarkStart w:id="16" w:name="（七）合同的授予"/>
      <w:bookmarkEnd w:id="16"/>
      <w:bookmarkStart w:id="17" w:name="_Toc57242312"/>
      <w:r>
        <w:t>（七）合同的授予</w:t>
      </w:r>
      <w:bookmarkEnd w:id="17"/>
    </w:p>
    <w:p>
      <w:pPr>
        <w:pStyle w:val="12"/>
        <w:spacing w:before="10"/>
        <w:rPr>
          <w:b/>
          <w:sz w:val="32"/>
        </w:rPr>
      </w:pPr>
    </w:p>
    <w:p>
      <w:pPr>
        <w:pStyle w:val="29"/>
        <w:numPr>
          <w:ilvl w:val="0"/>
          <w:numId w:val="4"/>
        </w:numPr>
        <w:tabs>
          <w:tab w:val="left" w:pos="1056"/>
          <w:tab w:val="left" w:pos="1057"/>
        </w:tabs>
        <w:ind w:hanging="481"/>
        <w:jc w:val="left"/>
        <w:rPr>
          <w:b/>
          <w:sz w:val="24"/>
        </w:rPr>
      </w:pPr>
      <w:r>
        <w:rPr>
          <w:b/>
          <w:sz w:val="24"/>
        </w:rPr>
        <w:t>合同授予标准</w:t>
      </w:r>
    </w:p>
    <w:p>
      <w:pPr>
        <w:pStyle w:val="29"/>
        <w:numPr>
          <w:ilvl w:val="1"/>
          <w:numId w:val="4"/>
        </w:numPr>
        <w:tabs>
          <w:tab w:val="left" w:pos="1476"/>
          <w:tab w:val="left" w:pos="1477"/>
        </w:tabs>
        <w:spacing w:before="161" w:line="362" w:lineRule="auto"/>
        <w:ind w:right="533"/>
        <w:rPr>
          <w:sz w:val="24"/>
        </w:rPr>
      </w:pPr>
      <w:r>
        <w:rPr>
          <w:spacing w:val="-20"/>
          <w:sz w:val="24"/>
        </w:rPr>
        <w:t xml:space="preserve">除第 </w:t>
      </w:r>
      <w:r>
        <w:rPr>
          <w:sz w:val="24"/>
        </w:rPr>
        <w:t>31</w:t>
      </w:r>
      <w:r>
        <w:rPr>
          <w:spacing w:val="-13"/>
          <w:sz w:val="24"/>
        </w:rPr>
        <w:t xml:space="preserve"> 条的规定之外，采购人和采购代理机构将把合同授予被确定为实质上响应</w:t>
      </w:r>
      <w:r>
        <w:rPr>
          <w:sz w:val="24"/>
        </w:rPr>
        <w:t>招标文件要求并有履行合同能力的评分最高的供应商。</w:t>
      </w:r>
    </w:p>
    <w:p>
      <w:pPr>
        <w:pStyle w:val="29"/>
        <w:numPr>
          <w:ilvl w:val="0"/>
          <w:numId w:val="4"/>
        </w:numPr>
        <w:tabs>
          <w:tab w:val="left" w:pos="1056"/>
          <w:tab w:val="left" w:pos="1057"/>
        </w:tabs>
        <w:spacing w:before="5"/>
        <w:ind w:hanging="481"/>
        <w:jc w:val="left"/>
        <w:rPr>
          <w:b/>
          <w:sz w:val="24"/>
        </w:rPr>
      </w:pPr>
      <w:r>
        <w:rPr>
          <w:b/>
          <w:sz w:val="24"/>
        </w:rPr>
        <w:t>授标时更改采购货物和服务数量的权力</w:t>
      </w:r>
    </w:p>
    <w:p>
      <w:pPr>
        <w:pStyle w:val="29"/>
        <w:numPr>
          <w:ilvl w:val="1"/>
          <w:numId w:val="4"/>
        </w:numPr>
        <w:tabs>
          <w:tab w:val="left" w:pos="1477"/>
        </w:tabs>
        <w:spacing w:before="158" w:line="364" w:lineRule="auto"/>
        <w:ind w:right="532"/>
        <w:jc w:val="both"/>
        <w:rPr>
          <w:sz w:val="24"/>
        </w:rPr>
      </w:pPr>
      <w:r>
        <w:rPr>
          <w:sz w:val="24"/>
        </w:rPr>
        <w:t>采购人和采购代理机构在授予合同时有权在“投标项目资料表”规定的范围内， 对招标文件规定的设备和服务的数量予以增加或减少，但不得对货物、单价或其它的条款和条件做任何改变。</w:t>
      </w:r>
    </w:p>
    <w:p>
      <w:pPr>
        <w:pStyle w:val="29"/>
        <w:numPr>
          <w:ilvl w:val="0"/>
          <w:numId w:val="4"/>
        </w:numPr>
        <w:tabs>
          <w:tab w:val="left" w:pos="1057"/>
        </w:tabs>
        <w:spacing w:line="307" w:lineRule="exact"/>
        <w:ind w:hanging="481"/>
        <w:jc w:val="both"/>
        <w:rPr>
          <w:b/>
          <w:sz w:val="24"/>
        </w:rPr>
      </w:pPr>
      <w:r>
        <w:rPr>
          <w:b/>
          <w:sz w:val="24"/>
        </w:rPr>
        <w:t>评标结果的公告</w:t>
      </w:r>
    </w:p>
    <w:p>
      <w:pPr>
        <w:pStyle w:val="12"/>
        <w:spacing w:before="12"/>
        <w:rPr>
          <w:b/>
          <w:sz w:val="20"/>
        </w:rPr>
      </w:pPr>
    </w:p>
    <w:p>
      <w:pPr>
        <w:pStyle w:val="29"/>
        <w:numPr>
          <w:ilvl w:val="1"/>
          <w:numId w:val="4"/>
        </w:numPr>
        <w:tabs>
          <w:tab w:val="left" w:pos="1477"/>
        </w:tabs>
        <w:spacing w:line="343" w:lineRule="auto"/>
        <w:ind w:right="533"/>
        <w:jc w:val="both"/>
        <w:rPr>
          <w:sz w:val="24"/>
        </w:rPr>
      </w:pPr>
      <w:r>
        <w:rPr>
          <w:spacing w:val="-2"/>
          <w:sz w:val="24"/>
        </w:rPr>
        <w:t>采购代理机构应当在评标结束后二</w:t>
      </w:r>
      <w:r>
        <w:rPr>
          <w:spacing w:val="-8"/>
          <w:sz w:val="24"/>
        </w:rPr>
        <w:t>（2）</w:t>
      </w:r>
      <w:r>
        <w:rPr>
          <w:spacing w:val="-3"/>
          <w:sz w:val="24"/>
        </w:rPr>
        <w:t>个工作日内将评标报告送采购人。采购人</w:t>
      </w:r>
      <w:r>
        <w:rPr>
          <w:spacing w:val="-2"/>
          <w:sz w:val="24"/>
        </w:rPr>
        <w:t>应当在收到评标报告后五</w:t>
      </w:r>
      <w:r>
        <w:rPr>
          <w:spacing w:val="-8"/>
          <w:sz w:val="24"/>
        </w:rPr>
        <w:t>（5）</w:t>
      </w:r>
      <w:r>
        <w:rPr>
          <w:spacing w:val="-5"/>
          <w:sz w:val="24"/>
        </w:rPr>
        <w:t>个工作日内，按照评标报告中推荐的中标候选供应</w:t>
      </w:r>
      <w:r>
        <w:rPr>
          <w:sz w:val="24"/>
        </w:rPr>
        <w:t>商顺序确定中标人。</w:t>
      </w:r>
    </w:p>
    <w:p>
      <w:pPr>
        <w:pStyle w:val="29"/>
        <w:numPr>
          <w:ilvl w:val="1"/>
          <w:numId w:val="4"/>
        </w:numPr>
        <w:tabs>
          <w:tab w:val="left" w:pos="1477"/>
        </w:tabs>
        <w:spacing w:before="1" w:line="343" w:lineRule="auto"/>
        <w:ind w:right="533"/>
        <w:jc w:val="both"/>
        <w:rPr>
          <w:sz w:val="24"/>
        </w:rPr>
      </w:pPr>
      <w:r>
        <w:rPr>
          <w:spacing w:val="-2"/>
          <w:sz w:val="24"/>
        </w:rPr>
        <w:t>自采购人按规定确定中标供应商之日起二</w:t>
      </w:r>
      <w:r>
        <w:rPr>
          <w:spacing w:val="-8"/>
          <w:sz w:val="24"/>
        </w:rPr>
        <w:t>（2）</w:t>
      </w:r>
      <w:r>
        <w:rPr>
          <w:spacing w:val="-5"/>
          <w:sz w:val="24"/>
        </w:rPr>
        <w:t>个工作日内，采购代理机构应将中</w:t>
      </w:r>
      <w:r>
        <w:rPr>
          <w:sz w:val="24"/>
        </w:rPr>
        <w:t>标结果以中标公告形式在政府采购管理部门指定的媒体上予以发布，同时向中标供应商发出中标通知书。</w:t>
      </w:r>
    </w:p>
    <w:p>
      <w:pPr>
        <w:pStyle w:val="29"/>
        <w:numPr>
          <w:ilvl w:val="1"/>
          <w:numId w:val="4"/>
        </w:numPr>
        <w:tabs>
          <w:tab w:val="left" w:pos="1477"/>
        </w:tabs>
        <w:spacing w:line="343" w:lineRule="auto"/>
        <w:ind w:right="533"/>
        <w:jc w:val="both"/>
        <w:rPr>
          <w:sz w:val="24"/>
        </w:rPr>
      </w:pPr>
      <w:r>
        <w:rPr>
          <w:spacing w:val="-3"/>
          <w:sz w:val="24"/>
        </w:rPr>
        <w:t>各有关当事人对中标结果有异议的，可以在中标公告发布之日起七</w:t>
      </w:r>
      <w:r>
        <w:rPr>
          <w:spacing w:val="-8"/>
          <w:sz w:val="24"/>
        </w:rPr>
        <w:t>（7）</w:t>
      </w:r>
      <w:r>
        <w:rPr>
          <w:spacing w:val="-5"/>
          <w:sz w:val="24"/>
        </w:rPr>
        <w:t>个工作日</w:t>
      </w:r>
      <w:r>
        <w:rPr>
          <w:spacing w:val="2"/>
          <w:sz w:val="24"/>
        </w:rPr>
        <w:t>内，以书面形式同时向采购人和采购代理机构提出质疑(加盖单位公章且法人签</w:t>
      </w:r>
      <w:r>
        <w:rPr>
          <w:spacing w:val="-6"/>
          <w:sz w:val="24"/>
        </w:rPr>
        <w:t>字)，由法定代表人或其授权代表携带企业营业执照复印件</w:t>
      </w:r>
      <w:r>
        <w:rPr>
          <w:spacing w:val="-3"/>
          <w:sz w:val="24"/>
        </w:rPr>
        <w:t>（</w:t>
      </w:r>
      <w:r>
        <w:rPr>
          <w:sz w:val="24"/>
        </w:rPr>
        <w:t>加盖公章</w:t>
      </w:r>
      <w:r>
        <w:rPr>
          <w:spacing w:val="-24"/>
          <w:sz w:val="24"/>
        </w:rPr>
        <w:t>）</w:t>
      </w:r>
      <w:r>
        <w:rPr>
          <w:spacing w:val="-4"/>
          <w:sz w:val="24"/>
        </w:rPr>
        <w:t>及本人身</w:t>
      </w:r>
      <w:r>
        <w:rPr>
          <w:sz w:val="24"/>
        </w:rPr>
        <w:t>份证件（原件）一并提交（邮寄、传真件不予受理），并以质疑函接收日期作为受理时间。逾期提交或未按照要求提交的质疑函将不予受理。</w:t>
      </w:r>
    </w:p>
    <w:p>
      <w:pPr>
        <w:pStyle w:val="29"/>
        <w:numPr>
          <w:ilvl w:val="0"/>
          <w:numId w:val="4"/>
        </w:numPr>
        <w:tabs>
          <w:tab w:val="left" w:pos="1057"/>
        </w:tabs>
        <w:spacing w:before="3"/>
        <w:ind w:hanging="481"/>
        <w:jc w:val="both"/>
        <w:rPr>
          <w:b/>
          <w:sz w:val="24"/>
        </w:rPr>
      </w:pPr>
      <w:r>
        <w:rPr>
          <w:b/>
          <w:sz w:val="24"/>
        </w:rPr>
        <w:t>接受和拒绝任何或所有投标的权力</w:t>
      </w:r>
    </w:p>
    <w:p>
      <w:pPr>
        <w:pStyle w:val="29"/>
        <w:numPr>
          <w:ilvl w:val="1"/>
          <w:numId w:val="4"/>
        </w:numPr>
        <w:tabs>
          <w:tab w:val="left" w:pos="1476"/>
          <w:tab w:val="left" w:pos="1477"/>
        </w:tabs>
        <w:spacing w:before="131" w:line="343" w:lineRule="auto"/>
        <w:ind w:right="413"/>
        <w:rPr>
          <w:sz w:val="24"/>
        </w:rPr>
      </w:pPr>
      <w:r>
        <w:rPr>
          <w:sz w:val="24"/>
        </w:rPr>
        <w:t>如出现重大变故，采购任务取消情况，采购人和采购代理机构保留因此原因在授</w:t>
      </w:r>
      <w:r>
        <w:rPr>
          <w:spacing w:val="-5"/>
          <w:sz w:val="24"/>
        </w:rPr>
        <w:t xml:space="preserve">标之前任何时候接受或拒绝任何投标、以及宣布招标无效或拒绝所有投标的权力， </w:t>
      </w:r>
      <w:r>
        <w:rPr>
          <w:sz w:val="24"/>
        </w:rPr>
        <w:t>对受影响的供应商不承担任何责任。</w:t>
      </w:r>
    </w:p>
    <w:p>
      <w:pPr>
        <w:pStyle w:val="29"/>
        <w:numPr>
          <w:ilvl w:val="0"/>
          <w:numId w:val="4"/>
        </w:numPr>
        <w:tabs>
          <w:tab w:val="left" w:pos="1056"/>
          <w:tab w:val="left" w:pos="1057"/>
        </w:tabs>
        <w:spacing w:before="1"/>
        <w:ind w:hanging="481"/>
        <w:jc w:val="left"/>
        <w:rPr>
          <w:b/>
          <w:sz w:val="24"/>
        </w:rPr>
      </w:pPr>
      <w:r>
        <w:rPr>
          <w:b/>
          <w:sz w:val="24"/>
        </w:rPr>
        <w:t>中标通知书</w:t>
      </w:r>
    </w:p>
    <w:p>
      <w:pPr>
        <w:pStyle w:val="29"/>
        <w:numPr>
          <w:ilvl w:val="1"/>
          <w:numId w:val="4"/>
        </w:numPr>
        <w:tabs>
          <w:tab w:val="left" w:pos="1476"/>
          <w:tab w:val="left" w:pos="1477"/>
        </w:tabs>
        <w:spacing w:before="134"/>
        <w:ind w:hanging="901"/>
        <w:rPr>
          <w:sz w:val="24"/>
        </w:rPr>
      </w:pPr>
      <w:r>
        <w:rPr>
          <w:sz w:val="24"/>
        </w:rPr>
        <w:t>在投标有效期满之前，采购代理机构将以书面形式通知中标人中标。</w:t>
      </w:r>
    </w:p>
    <w:p>
      <w:pPr>
        <w:pStyle w:val="29"/>
        <w:numPr>
          <w:ilvl w:val="1"/>
          <w:numId w:val="4"/>
        </w:numPr>
        <w:tabs>
          <w:tab w:val="left" w:pos="1476"/>
          <w:tab w:val="left" w:pos="1477"/>
        </w:tabs>
        <w:spacing w:before="132"/>
        <w:ind w:hanging="901"/>
        <w:rPr>
          <w:sz w:val="24"/>
        </w:rPr>
      </w:pPr>
      <w:r>
        <w:rPr>
          <w:sz w:val="24"/>
        </w:rPr>
        <w:t>中标通知书将作为进行合同谈判和签订合同的依据。</w:t>
      </w:r>
    </w:p>
    <w:p>
      <w:pPr>
        <w:pStyle w:val="29"/>
        <w:numPr>
          <w:ilvl w:val="0"/>
          <w:numId w:val="4"/>
        </w:numPr>
        <w:tabs>
          <w:tab w:val="left" w:pos="1056"/>
          <w:tab w:val="left" w:pos="1057"/>
        </w:tabs>
        <w:spacing w:before="132"/>
        <w:ind w:hanging="481"/>
        <w:jc w:val="left"/>
        <w:rPr>
          <w:b/>
          <w:sz w:val="24"/>
        </w:rPr>
      </w:pPr>
      <w:r>
        <w:rPr>
          <w:b/>
          <w:sz w:val="24"/>
        </w:rPr>
        <w:t>签订合同</w:t>
      </w:r>
    </w:p>
    <w:p>
      <w:pPr>
        <w:pStyle w:val="29"/>
        <w:numPr>
          <w:ilvl w:val="1"/>
          <w:numId w:val="4"/>
        </w:numPr>
        <w:tabs>
          <w:tab w:val="left" w:pos="1476"/>
          <w:tab w:val="left" w:pos="1477"/>
        </w:tabs>
        <w:spacing w:before="134"/>
        <w:ind w:hanging="901"/>
        <w:rPr>
          <w:sz w:val="24"/>
        </w:rPr>
      </w:pPr>
      <w:r>
        <w:rPr>
          <w:sz w:val="24"/>
        </w:rPr>
        <w:t>中标人应按中标通知书指定的时间、地点，与采购人进行合同谈判。</w:t>
      </w:r>
    </w:p>
    <w:p>
      <w:pPr>
        <w:pStyle w:val="29"/>
        <w:numPr>
          <w:ilvl w:val="1"/>
          <w:numId w:val="4"/>
        </w:numPr>
        <w:tabs>
          <w:tab w:val="left" w:pos="1476"/>
          <w:tab w:val="left" w:pos="1477"/>
        </w:tabs>
        <w:spacing w:before="131"/>
        <w:ind w:hanging="901"/>
        <w:rPr>
          <w:sz w:val="24"/>
        </w:rPr>
      </w:pPr>
      <w:r>
        <w:rPr>
          <w:sz w:val="24"/>
        </w:rPr>
        <w:t>招标文件、中标人的投标文件和澄清文件等，均应作为签约的合同文本的基础。</w:t>
      </w:r>
    </w:p>
    <w:p>
      <w:pPr>
        <w:rPr>
          <w:sz w:val="24"/>
        </w:rPr>
        <w:sectPr>
          <w:pgSz w:w="11910" w:h="16840"/>
          <w:pgMar w:top="920" w:right="741" w:bottom="1020" w:left="700" w:header="599" w:footer="826" w:gutter="0"/>
          <w:cols w:space="720" w:num="1"/>
        </w:sectPr>
      </w:pPr>
    </w:p>
    <w:p>
      <w:pPr>
        <w:pStyle w:val="12"/>
        <w:rPr>
          <w:sz w:val="20"/>
        </w:rPr>
      </w:pPr>
    </w:p>
    <w:p>
      <w:pPr>
        <w:pStyle w:val="12"/>
        <w:spacing w:before="8"/>
        <w:rPr>
          <w:sz w:val="17"/>
        </w:rPr>
      </w:pPr>
    </w:p>
    <w:p>
      <w:pPr>
        <w:pStyle w:val="29"/>
        <w:numPr>
          <w:ilvl w:val="1"/>
          <w:numId w:val="4"/>
        </w:numPr>
        <w:tabs>
          <w:tab w:val="left" w:pos="1477"/>
        </w:tabs>
        <w:spacing w:before="67" w:line="343" w:lineRule="auto"/>
        <w:ind w:right="532"/>
        <w:jc w:val="both"/>
        <w:rPr>
          <w:sz w:val="24"/>
        </w:rPr>
      </w:pPr>
      <w:r>
        <w:rPr>
          <w:sz w:val="24"/>
        </w:rPr>
        <w:t>如采购人或中标人拒签合同，则由政府采购管理部门依据政府采购法规制度的规定对违约方做出行政处罚。</w:t>
      </w:r>
    </w:p>
    <w:p>
      <w:pPr>
        <w:pStyle w:val="29"/>
        <w:numPr>
          <w:ilvl w:val="1"/>
          <w:numId w:val="4"/>
        </w:numPr>
        <w:tabs>
          <w:tab w:val="left" w:pos="1477"/>
        </w:tabs>
        <w:spacing w:line="343" w:lineRule="auto"/>
        <w:ind w:right="532"/>
        <w:jc w:val="both"/>
        <w:rPr>
          <w:sz w:val="24"/>
        </w:rPr>
      </w:pPr>
      <w:r>
        <w:rPr>
          <w:sz w:val="24"/>
        </w:rPr>
        <w:t>排名第一的中标候选人放弃中标、因不可抗力或者自身原因不能履行政府采购合同、不按照招标文件要求提交履约保证金，或者被查实存在影响中标结果的违法行为等情形，不符合中标条件的，采购人和采购代理机构可以按照评标委员会提出的中标候选人名单排序依次确定其他中标候选人为中标人，也可以重新招标。</w:t>
      </w:r>
    </w:p>
    <w:p>
      <w:pPr>
        <w:pStyle w:val="29"/>
        <w:numPr>
          <w:ilvl w:val="0"/>
          <w:numId w:val="4"/>
        </w:numPr>
        <w:tabs>
          <w:tab w:val="left" w:pos="1057"/>
        </w:tabs>
        <w:spacing w:before="1"/>
        <w:ind w:hanging="481"/>
        <w:jc w:val="both"/>
        <w:rPr>
          <w:b/>
          <w:sz w:val="24"/>
        </w:rPr>
      </w:pPr>
      <w:r>
        <w:rPr>
          <w:b/>
          <w:sz w:val="24"/>
        </w:rPr>
        <w:t>履约保证金</w:t>
      </w:r>
    </w:p>
    <w:p>
      <w:pPr>
        <w:pStyle w:val="29"/>
        <w:numPr>
          <w:ilvl w:val="1"/>
          <w:numId w:val="4"/>
        </w:numPr>
        <w:tabs>
          <w:tab w:val="left" w:pos="1476"/>
          <w:tab w:val="left" w:pos="1477"/>
        </w:tabs>
        <w:spacing w:before="132" w:line="343" w:lineRule="auto"/>
        <w:ind w:right="413"/>
        <w:rPr>
          <w:sz w:val="24"/>
        </w:rPr>
      </w:pPr>
      <w:r>
        <w:rPr>
          <w:spacing w:val="-5"/>
          <w:sz w:val="24"/>
        </w:rPr>
        <w:t>中标人应按照招标文件或合同条款的规定，采用招标文件中提供的履约保函格式、</w:t>
      </w:r>
      <w:r>
        <w:rPr>
          <w:spacing w:val="6"/>
          <w:sz w:val="24"/>
        </w:rPr>
        <w:t>政府采购履约担保函格式或采购人可以接受的其他形式向采购人提交履约保证金。</w:t>
      </w:r>
    </w:p>
    <w:p>
      <w:pPr>
        <w:pStyle w:val="28"/>
        <w:spacing w:before="150"/>
        <w:ind w:left="4654"/>
      </w:pPr>
      <w:bookmarkStart w:id="18" w:name="（八）其他"/>
      <w:bookmarkEnd w:id="18"/>
      <w:bookmarkStart w:id="19" w:name="_Toc57242313"/>
      <w:r>
        <w:t>（八）其他</w:t>
      </w:r>
      <w:bookmarkEnd w:id="19"/>
    </w:p>
    <w:p>
      <w:pPr>
        <w:pStyle w:val="12"/>
        <w:rPr>
          <w:b/>
        </w:rPr>
      </w:pPr>
    </w:p>
    <w:p>
      <w:pPr>
        <w:pStyle w:val="12"/>
        <w:spacing w:before="1"/>
        <w:rPr>
          <w:b/>
          <w:sz w:val="21"/>
        </w:rPr>
      </w:pPr>
    </w:p>
    <w:p>
      <w:pPr>
        <w:pStyle w:val="29"/>
        <w:numPr>
          <w:ilvl w:val="0"/>
          <w:numId w:val="4"/>
        </w:numPr>
        <w:tabs>
          <w:tab w:val="left" w:pos="1206"/>
        </w:tabs>
        <w:ind w:left="1205" w:hanging="303"/>
        <w:jc w:val="left"/>
        <w:rPr>
          <w:b/>
          <w:sz w:val="24"/>
        </w:rPr>
      </w:pPr>
      <w:r>
        <w:rPr>
          <w:b/>
          <w:sz w:val="24"/>
        </w:rPr>
        <w:t>本招标文件由采购人或代理机构（新疆谱诚项目管理咨询有限公司）负责解释。</w:t>
      </w:r>
    </w:p>
    <w:p>
      <w:pPr>
        <w:rPr>
          <w:sz w:val="24"/>
        </w:rPr>
        <w:sectPr>
          <w:pgSz w:w="11910" w:h="16840"/>
          <w:pgMar w:top="920" w:right="741" w:bottom="1020" w:left="700" w:header="599" w:footer="826" w:gutter="0"/>
          <w:cols w:space="720" w:num="1"/>
        </w:sectPr>
      </w:pPr>
    </w:p>
    <w:p>
      <w:pPr>
        <w:pStyle w:val="12"/>
        <w:rPr>
          <w:b/>
          <w:sz w:val="20"/>
        </w:rPr>
      </w:pPr>
    </w:p>
    <w:p>
      <w:pPr>
        <w:pStyle w:val="27"/>
        <w:spacing w:before="218"/>
        <w:ind w:left="121"/>
      </w:pPr>
      <w:bookmarkStart w:id="20" w:name="_Toc57242314"/>
      <w:r>
        <w:t>第四章 评标办法（综合评分法）</w:t>
      </w:r>
      <w:bookmarkEnd w:id="20"/>
    </w:p>
    <w:p>
      <w:pPr>
        <w:spacing w:before="121" w:after="20"/>
        <w:ind w:left="958" w:right="76"/>
        <w:jc w:val="center"/>
        <w:rPr>
          <w:rFonts w:ascii="宋体" w:eastAsia="宋体"/>
          <w:b/>
          <w:sz w:val="28"/>
        </w:rPr>
      </w:pPr>
      <w:bookmarkStart w:id="21" w:name="评标办法前附表"/>
      <w:bookmarkEnd w:id="21"/>
      <w:r>
        <w:rPr>
          <w:rFonts w:hint="eastAsia" w:ascii="宋体" w:eastAsia="宋体"/>
          <w:b/>
          <w:sz w:val="28"/>
        </w:rPr>
        <w:t>评标办法前附表</w:t>
      </w:r>
    </w:p>
    <w:tbl>
      <w:tblPr>
        <w:tblStyle w:val="24"/>
        <w:tblW w:w="1063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7"/>
        <w:gridCol w:w="1134"/>
        <w:gridCol w:w="993"/>
        <w:gridCol w:w="992"/>
        <w:gridCol w:w="69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567" w:type="dxa"/>
          </w:tcPr>
          <w:p>
            <w:pPr>
              <w:pStyle w:val="30"/>
              <w:spacing w:before="127"/>
              <w:ind w:firstLine="105" w:firstLineChars="50"/>
              <w:jc w:val="center"/>
              <w:rPr>
                <w:rFonts w:ascii="宋体" w:eastAsia="宋体"/>
                <w:b/>
                <w:sz w:val="21"/>
              </w:rPr>
            </w:pPr>
            <w:r>
              <w:rPr>
                <w:rFonts w:hint="eastAsia" w:ascii="宋体" w:eastAsia="宋体"/>
                <w:b/>
                <w:sz w:val="21"/>
              </w:rPr>
              <w:t>序号</w:t>
            </w:r>
          </w:p>
        </w:tc>
        <w:tc>
          <w:tcPr>
            <w:tcW w:w="3119" w:type="dxa"/>
            <w:gridSpan w:val="3"/>
          </w:tcPr>
          <w:p>
            <w:pPr>
              <w:pStyle w:val="30"/>
              <w:spacing w:before="127"/>
              <w:ind w:left="533"/>
              <w:jc w:val="center"/>
              <w:rPr>
                <w:rFonts w:ascii="宋体" w:eastAsia="宋体"/>
                <w:b/>
                <w:sz w:val="21"/>
              </w:rPr>
            </w:pPr>
            <w:r>
              <w:rPr>
                <w:rFonts w:hint="eastAsia" w:ascii="宋体" w:eastAsia="宋体"/>
                <w:b/>
                <w:sz w:val="21"/>
              </w:rPr>
              <w:t>条款内容</w:t>
            </w:r>
          </w:p>
        </w:tc>
        <w:tc>
          <w:tcPr>
            <w:tcW w:w="6946" w:type="dxa"/>
          </w:tcPr>
          <w:p>
            <w:pPr>
              <w:pStyle w:val="30"/>
              <w:spacing w:before="127"/>
              <w:ind w:left="2659" w:right="2648"/>
              <w:jc w:val="center"/>
              <w:rPr>
                <w:rFonts w:ascii="宋体" w:eastAsia="宋体"/>
                <w:b/>
                <w:sz w:val="21"/>
              </w:rPr>
            </w:pPr>
            <w:r>
              <w:rPr>
                <w:rFonts w:hint="eastAsia" w:ascii="宋体" w:eastAsia="宋体"/>
                <w:b/>
                <w:sz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567" w:type="dxa"/>
          </w:tcPr>
          <w:p>
            <w:pPr>
              <w:pStyle w:val="30"/>
              <w:rPr>
                <w:rFonts w:ascii="宋体"/>
                <w:b/>
                <w:sz w:val="20"/>
              </w:rPr>
            </w:pPr>
          </w:p>
          <w:p>
            <w:pPr>
              <w:pStyle w:val="30"/>
              <w:spacing w:before="152"/>
              <w:ind w:right="575" w:firstLine="315" w:firstLineChars="150"/>
              <w:rPr>
                <w:rFonts w:ascii="宋体"/>
                <w:sz w:val="21"/>
              </w:rPr>
            </w:pPr>
          </w:p>
        </w:tc>
        <w:tc>
          <w:tcPr>
            <w:tcW w:w="3119" w:type="dxa"/>
            <w:gridSpan w:val="3"/>
          </w:tcPr>
          <w:p>
            <w:pPr>
              <w:pStyle w:val="30"/>
              <w:spacing w:before="12"/>
              <w:rPr>
                <w:rFonts w:ascii="宋体"/>
                <w:b/>
                <w:sz w:val="15"/>
              </w:rPr>
            </w:pPr>
          </w:p>
          <w:p>
            <w:pPr>
              <w:pStyle w:val="30"/>
              <w:ind w:left="248" w:right="240"/>
              <w:rPr>
                <w:rFonts w:ascii="宋体" w:eastAsia="宋体"/>
                <w:sz w:val="21"/>
              </w:rPr>
            </w:pPr>
            <w:r>
              <w:rPr>
                <w:rFonts w:hint="eastAsia" w:ascii="宋体" w:eastAsia="宋体"/>
                <w:sz w:val="21"/>
              </w:rPr>
              <w:t>分值组成（总分100分）</w:t>
            </w:r>
          </w:p>
        </w:tc>
        <w:tc>
          <w:tcPr>
            <w:tcW w:w="6946" w:type="dxa"/>
          </w:tcPr>
          <w:p>
            <w:pPr>
              <w:pStyle w:val="30"/>
              <w:spacing w:line="276" w:lineRule="auto"/>
              <w:ind w:left="107" w:right="4402"/>
              <w:rPr>
                <w:rFonts w:ascii="宋体" w:eastAsia="宋体"/>
                <w:spacing w:val="-14"/>
                <w:sz w:val="21"/>
              </w:rPr>
            </w:pPr>
            <w:r>
              <w:rPr>
                <w:rFonts w:hint="eastAsia" w:ascii="宋体" w:eastAsia="宋体"/>
                <w:sz w:val="21"/>
              </w:rPr>
              <w:t>价格部分：</w:t>
            </w:r>
            <w:r>
              <w:rPr>
                <w:rFonts w:hint="eastAsia" w:ascii="宋体" w:eastAsia="宋体"/>
                <w:spacing w:val="-4"/>
                <w:sz w:val="21"/>
                <w:u w:val="single"/>
              </w:rPr>
              <w:t xml:space="preserve"> </w:t>
            </w:r>
            <w:r>
              <w:rPr>
                <w:rFonts w:hint="eastAsia" w:ascii="宋体" w:eastAsia="宋体"/>
                <w:sz w:val="21"/>
                <w:u w:val="single"/>
              </w:rPr>
              <w:t>30</w:t>
            </w:r>
            <w:r>
              <w:rPr>
                <w:rFonts w:hint="eastAsia" w:ascii="宋体" w:eastAsia="宋体"/>
                <w:spacing w:val="1"/>
                <w:sz w:val="21"/>
                <w:u w:val="single"/>
              </w:rPr>
              <w:t xml:space="preserve"> </w:t>
            </w:r>
            <w:r>
              <w:rPr>
                <w:rFonts w:hint="eastAsia" w:ascii="宋体" w:eastAsia="宋体"/>
                <w:spacing w:val="-14"/>
                <w:sz w:val="21"/>
              </w:rPr>
              <w:t>分</w:t>
            </w:r>
          </w:p>
          <w:p>
            <w:pPr>
              <w:pStyle w:val="30"/>
              <w:spacing w:line="276" w:lineRule="auto"/>
              <w:ind w:left="107" w:right="4402"/>
              <w:rPr>
                <w:rFonts w:ascii="宋体" w:eastAsia="宋体"/>
                <w:sz w:val="21"/>
              </w:rPr>
            </w:pPr>
            <w:r>
              <w:rPr>
                <w:rFonts w:hint="eastAsia" w:ascii="宋体" w:eastAsia="宋体"/>
                <w:sz w:val="21"/>
              </w:rPr>
              <w:t xml:space="preserve">商务部分： </w:t>
            </w:r>
            <w:r>
              <w:rPr>
                <w:rFonts w:hint="eastAsia" w:ascii="宋体" w:eastAsia="宋体"/>
                <w:sz w:val="21"/>
                <w:u w:val="single"/>
              </w:rPr>
              <w:t>14分</w:t>
            </w:r>
          </w:p>
          <w:p>
            <w:pPr>
              <w:pStyle w:val="30"/>
              <w:spacing w:line="276" w:lineRule="auto"/>
              <w:ind w:left="107" w:right="4402"/>
              <w:rPr>
                <w:rFonts w:ascii="宋体" w:eastAsia="宋体"/>
                <w:spacing w:val="1"/>
                <w:sz w:val="21"/>
                <w:u w:val="single"/>
              </w:rPr>
            </w:pPr>
            <w:r>
              <w:rPr>
                <w:rFonts w:hint="eastAsia" w:ascii="宋体" w:eastAsia="宋体"/>
                <w:sz w:val="21"/>
              </w:rPr>
              <w:t xml:space="preserve">技术部分： </w:t>
            </w:r>
            <w:r>
              <w:rPr>
                <w:rFonts w:hint="eastAsia" w:ascii="宋体" w:eastAsia="宋体"/>
                <w:sz w:val="21"/>
                <w:u w:val="single"/>
              </w:rPr>
              <w:t>40</w:t>
            </w:r>
            <w:r>
              <w:rPr>
                <w:rFonts w:hint="eastAsia" w:ascii="宋体" w:eastAsia="宋体"/>
                <w:spacing w:val="1"/>
                <w:sz w:val="21"/>
                <w:u w:val="single"/>
              </w:rPr>
              <w:t>分</w:t>
            </w:r>
          </w:p>
          <w:p>
            <w:pPr>
              <w:pStyle w:val="30"/>
              <w:spacing w:line="276" w:lineRule="auto"/>
              <w:ind w:left="107" w:right="4402"/>
              <w:rPr>
                <w:rFonts w:ascii="宋体" w:eastAsia="宋体"/>
                <w:sz w:val="21"/>
              </w:rPr>
            </w:pPr>
            <w:r>
              <w:rPr>
                <w:rFonts w:hint="eastAsia" w:ascii="宋体" w:eastAsia="宋体"/>
                <w:spacing w:val="1"/>
                <w:sz w:val="21"/>
              </w:rPr>
              <w:t>产品演示：</w:t>
            </w:r>
            <w:r>
              <w:rPr>
                <w:rFonts w:hint="eastAsia" w:ascii="宋体" w:eastAsia="宋体"/>
                <w:spacing w:val="1"/>
                <w:sz w:val="21"/>
                <w:u w:val="single"/>
              </w:rPr>
              <w:t xml:space="preserve"> 16分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1" w:hRule="atLeast"/>
        </w:trPr>
        <w:tc>
          <w:tcPr>
            <w:tcW w:w="567" w:type="dxa"/>
          </w:tcPr>
          <w:p>
            <w:pPr>
              <w:pStyle w:val="30"/>
              <w:rPr>
                <w:rFonts w:ascii="宋体"/>
                <w:b/>
                <w:sz w:val="20"/>
              </w:rPr>
            </w:pPr>
          </w:p>
          <w:p>
            <w:pPr>
              <w:pStyle w:val="30"/>
              <w:rPr>
                <w:rFonts w:ascii="宋体"/>
                <w:b/>
                <w:sz w:val="20"/>
              </w:rPr>
            </w:pPr>
          </w:p>
          <w:p>
            <w:pPr>
              <w:pStyle w:val="30"/>
              <w:rPr>
                <w:rFonts w:ascii="宋体"/>
                <w:b/>
                <w:sz w:val="20"/>
              </w:rPr>
            </w:pPr>
          </w:p>
          <w:p>
            <w:pPr>
              <w:pStyle w:val="30"/>
              <w:rPr>
                <w:rFonts w:ascii="宋体"/>
                <w:b/>
                <w:sz w:val="20"/>
              </w:rPr>
            </w:pPr>
          </w:p>
          <w:p>
            <w:pPr>
              <w:pStyle w:val="30"/>
              <w:rPr>
                <w:rFonts w:ascii="宋体"/>
                <w:b/>
                <w:sz w:val="20"/>
              </w:rPr>
            </w:pPr>
          </w:p>
          <w:p>
            <w:pPr>
              <w:pStyle w:val="30"/>
              <w:rPr>
                <w:rFonts w:ascii="宋体"/>
                <w:b/>
                <w:sz w:val="20"/>
              </w:rPr>
            </w:pPr>
          </w:p>
          <w:p>
            <w:pPr>
              <w:pStyle w:val="30"/>
              <w:rPr>
                <w:rFonts w:ascii="宋体"/>
                <w:b/>
                <w:sz w:val="20"/>
              </w:rPr>
            </w:pPr>
          </w:p>
          <w:p>
            <w:pPr>
              <w:pStyle w:val="30"/>
              <w:spacing w:before="139"/>
              <w:ind w:left="98" w:right="90"/>
              <w:jc w:val="center"/>
              <w:rPr>
                <w:rFonts w:ascii="宋体"/>
                <w:sz w:val="21"/>
              </w:rPr>
            </w:pPr>
            <w:r>
              <w:rPr>
                <w:rFonts w:hint="eastAsia" w:ascii="宋体"/>
                <w:sz w:val="21"/>
              </w:rPr>
              <w:t>1</w:t>
            </w:r>
          </w:p>
        </w:tc>
        <w:tc>
          <w:tcPr>
            <w:tcW w:w="1134" w:type="dxa"/>
            <w:vAlign w:val="center"/>
          </w:tcPr>
          <w:p>
            <w:pPr>
              <w:pStyle w:val="30"/>
              <w:jc w:val="center"/>
              <w:rPr>
                <w:rFonts w:ascii="宋体"/>
                <w:b/>
                <w:sz w:val="20"/>
              </w:rPr>
            </w:pPr>
            <w:r>
              <w:rPr>
                <w:rFonts w:hint="eastAsia" w:ascii="宋体" w:eastAsia="宋体"/>
                <w:sz w:val="21"/>
              </w:rPr>
              <w:t>价格</w:t>
            </w:r>
          </w:p>
        </w:tc>
        <w:tc>
          <w:tcPr>
            <w:tcW w:w="1985" w:type="dxa"/>
            <w:gridSpan w:val="2"/>
          </w:tcPr>
          <w:p>
            <w:pPr>
              <w:pStyle w:val="30"/>
              <w:rPr>
                <w:rFonts w:ascii="宋体"/>
                <w:b/>
                <w:sz w:val="20"/>
              </w:rPr>
            </w:pPr>
          </w:p>
          <w:p>
            <w:pPr>
              <w:pStyle w:val="30"/>
              <w:rPr>
                <w:rFonts w:ascii="宋体"/>
                <w:b/>
                <w:sz w:val="20"/>
              </w:rPr>
            </w:pPr>
          </w:p>
          <w:p>
            <w:pPr>
              <w:pStyle w:val="30"/>
              <w:rPr>
                <w:rFonts w:ascii="宋体"/>
                <w:b/>
                <w:sz w:val="20"/>
              </w:rPr>
            </w:pPr>
          </w:p>
          <w:p>
            <w:pPr>
              <w:pStyle w:val="30"/>
              <w:rPr>
                <w:rFonts w:ascii="宋体"/>
                <w:b/>
                <w:sz w:val="20"/>
              </w:rPr>
            </w:pPr>
          </w:p>
          <w:p>
            <w:pPr>
              <w:pStyle w:val="30"/>
              <w:rPr>
                <w:rFonts w:ascii="宋体"/>
                <w:b/>
                <w:sz w:val="20"/>
              </w:rPr>
            </w:pPr>
          </w:p>
          <w:p>
            <w:pPr>
              <w:pStyle w:val="30"/>
              <w:rPr>
                <w:rFonts w:ascii="宋体"/>
                <w:b/>
                <w:sz w:val="20"/>
              </w:rPr>
            </w:pPr>
          </w:p>
          <w:p>
            <w:pPr>
              <w:pStyle w:val="30"/>
              <w:rPr>
                <w:rFonts w:ascii="宋体"/>
                <w:b/>
                <w:sz w:val="20"/>
              </w:rPr>
            </w:pPr>
          </w:p>
          <w:p>
            <w:pPr>
              <w:pStyle w:val="30"/>
              <w:spacing w:before="6"/>
              <w:rPr>
                <w:rFonts w:ascii="宋体"/>
                <w:b/>
                <w:sz w:val="27"/>
              </w:rPr>
            </w:pPr>
          </w:p>
          <w:p>
            <w:pPr>
              <w:pStyle w:val="30"/>
              <w:ind w:left="701"/>
              <w:rPr>
                <w:rFonts w:ascii="宋体" w:eastAsia="宋体"/>
                <w:sz w:val="21"/>
              </w:rPr>
            </w:pPr>
          </w:p>
          <w:p>
            <w:pPr>
              <w:pStyle w:val="30"/>
              <w:ind w:left="701"/>
              <w:rPr>
                <w:rFonts w:ascii="宋体" w:eastAsia="宋体"/>
                <w:sz w:val="21"/>
              </w:rPr>
            </w:pPr>
          </w:p>
          <w:p>
            <w:pPr>
              <w:pStyle w:val="30"/>
              <w:rPr>
                <w:rFonts w:ascii="宋体" w:eastAsia="宋体"/>
                <w:sz w:val="21"/>
              </w:rPr>
            </w:pPr>
            <w:r>
              <w:rPr>
                <w:rFonts w:hint="eastAsia" w:ascii="宋体" w:eastAsia="宋体"/>
                <w:sz w:val="21"/>
              </w:rPr>
              <w:t>价格部分(30分)</w:t>
            </w:r>
          </w:p>
        </w:tc>
        <w:tc>
          <w:tcPr>
            <w:tcW w:w="6946" w:type="dxa"/>
          </w:tcPr>
          <w:p>
            <w:pPr>
              <w:pStyle w:val="30"/>
              <w:spacing w:before="163" w:line="338" w:lineRule="auto"/>
              <w:ind w:left="107" w:right="96"/>
              <w:rPr>
                <w:rFonts w:ascii="宋体" w:hAnsi="宋体" w:eastAsia="宋体"/>
                <w:sz w:val="21"/>
              </w:rPr>
            </w:pPr>
            <w:r>
              <w:rPr>
                <w:rFonts w:hint="eastAsia" w:ascii="宋体" w:hAnsi="宋体" w:eastAsia="宋体"/>
                <w:sz w:val="21"/>
              </w:rPr>
              <w:t>满足招标文件要求且评标报价最低的有效供应商的评标报价为评标基准价</w:t>
            </w:r>
          </w:p>
          <w:p>
            <w:pPr>
              <w:pStyle w:val="30"/>
              <w:spacing w:line="269" w:lineRule="exact"/>
              <w:ind w:left="107"/>
              <w:rPr>
                <w:rFonts w:ascii="宋体" w:hAnsi="宋体" w:eastAsia="宋体"/>
                <w:sz w:val="21"/>
              </w:rPr>
            </w:pPr>
            <w:r>
              <w:rPr>
                <w:rFonts w:hint="eastAsia" w:ascii="宋体" w:hAnsi="宋体" w:eastAsia="宋体"/>
                <w:sz w:val="21"/>
              </w:rPr>
              <w:t>计算方法如下：</w:t>
            </w:r>
          </w:p>
          <w:p>
            <w:pPr>
              <w:pStyle w:val="30"/>
              <w:spacing w:before="113"/>
              <w:ind w:left="107"/>
              <w:rPr>
                <w:rFonts w:ascii="宋体" w:eastAsia="宋体"/>
                <w:sz w:val="21"/>
              </w:rPr>
            </w:pPr>
            <w:r>
              <w:rPr>
                <w:rFonts w:hint="eastAsia" w:ascii="宋体" w:eastAsia="宋体"/>
                <w:sz w:val="21"/>
              </w:rPr>
              <w:t>评标基准值=有效供应商的最低评标报价</w:t>
            </w:r>
          </w:p>
          <w:p>
            <w:pPr>
              <w:pStyle w:val="30"/>
              <w:spacing w:before="110"/>
              <w:ind w:left="107"/>
              <w:rPr>
                <w:rFonts w:ascii="宋体" w:hAnsi="宋体" w:eastAsia="宋体"/>
                <w:sz w:val="21"/>
              </w:rPr>
            </w:pPr>
            <w:r>
              <w:rPr>
                <w:rFonts w:hint="eastAsia" w:ascii="宋体" w:hAnsi="宋体" w:eastAsia="宋体"/>
                <w:sz w:val="21"/>
              </w:rPr>
              <w:t>投标报价得分=评标基准值/评标报价×30 分</w:t>
            </w:r>
          </w:p>
          <w:p>
            <w:pPr>
              <w:pStyle w:val="30"/>
              <w:spacing w:before="110"/>
              <w:ind w:left="107"/>
              <w:rPr>
                <w:rFonts w:ascii="宋体" w:hAnsi="宋体" w:eastAsia="宋体"/>
                <w:sz w:val="21"/>
              </w:rPr>
            </w:pPr>
            <w:r>
              <w:rPr>
                <w:rFonts w:hint="eastAsia" w:ascii="宋体" w:eastAsia="宋体"/>
                <w:spacing w:val="-9"/>
                <w:sz w:val="21"/>
              </w:rPr>
              <w:t>依据《政府采购货物和服务招投标管理办法》</w:t>
            </w:r>
            <w:r>
              <w:rPr>
                <w:rFonts w:hint="eastAsia" w:ascii="宋体" w:eastAsia="宋体"/>
                <w:sz w:val="21"/>
              </w:rPr>
              <w:t>（</w:t>
            </w:r>
            <w:r>
              <w:rPr>
                <w:rFonts w:hint="eastAsia" w:ascii="宋体" w:eastAsia="宋体"/>
                <w:spacing w:val="-10"/>
                <w:sz w:val="21"/>
              </w:rPr>
              <w:t xml:space="preserve">财政部令第 </w:t>
            </w:r>
            <w:r>
              <w:rPr>
                <w:rFonts w:hint="eastAsia" w:ascii="宋体" w:eastAsia="宋体"/>
                <w:sz w:val="21"/>
              </w:rPr>
              <w:t>87</w:t>
            </w:r>
            <w:r>
              <w:rPr>
                <w:rFonts w:hint="eastAsia" w:ascii="宋体" w:eastAsia="宋体"/>
                <w:spacing w:val="-31"/>
                <w:sz w:val="21"/>
              </w:rPr>
              <w:t xml:space="preserve"> 号</w:t>
            </w:r>
            <w:r>
              <w:rPr>
                <w:rFonts w:hint="eastAsia" w:ascii="宋体" w:eastAsia="宋体"/>
                <w:sz w:val="21"/>
              </w:rPr>
              <w:t xml:space="preserve">） </w:t>
            </w:r>
            <w:r>
              <w:rPr>
                <w:rFonts w:hint="eastAsia" w:ascii="宋体" w:eastAsia="宋体"/>
                <w:spacing w:val="-11"/>
                <w:sz w:val="21"/>
              </w:rPr>
              <w:t>第六十条规定，若某供应商的评标报价低于其他有效供应商评标报</w:t>
            </w:r>
            <w:r>
              <w:rPr>
                <w:rFonts w:hint="eastAsia" w:ascii="宋体" w:eastAsia="宋体"/>
                <w:spacing w:val="-18"/>
                <w:sz w:val="21"/>
              </w:rPr>
              <w:t xml:space="preserve">价算数平均值的 </w:t>
            </w:r>
            <w:r>
              <w:rPr>
                <w:rFonts w:hint="eastAsia" w:ascii="宋体" w:eastAsia="宋体"/>
                <w:sz w:val="21"/>
              </w:rPr>
              <w:t xml:space="preserve">20%，有可能影响产品质量或者不能诚信履约的， </w:t>
            </w:r>
            <w:r>
              <w:rPr>
                <w:rFonts w:hint="eastAsia" w:ascii="宋体" w:eastAsia="宋体"/>
                <w:spacing w:val="3"/>
                <w:sz w:val="21"/>
              </w:rPr>
              <w:t>评标</w:t>
            </w:r>
            <w:r>
              <w:rPr>
                <w:rFonts w:hint="eastAsia" w:ascii="宋体" w:hAnsi="宋体" w:eastAsia="宋体"/>
                <w:sz w:val="21"/>
              </w:rPr>
              <w:t>委员会有权要求该供应商在评标现场对其报价的合理性作出书面说明，并提供相关证明材料，否则作为无效投标处理。</w:t>
            </w:r>
          </w:p>
          <w:p>
            <w:pPr>
              <w:pStyle w:val="30"/>
              <w:spacing w:before="110"/>
              <w:ind w:left="107"/>
              <w:rPr>
                <w:rFonts w:ascii="宋体" w:hAnsi="宋体" w:eastAsia="宋体"/>
                <w:sz w:val="21"/>
              </w:rPr>
            </w:pPr>
            <w:r>
              <w:rPr>
                <w:rFonts w:hint="eastAsia" w:ascii="宋体" w:hAnsi="宋体" w:eastAsia="宋体"/>
                <w:sz w:val="21"/>
              </w:rPr>
              <w:t>注：有效供应商是指实质上响应招标文件要求并通过实质性审核未被废标的所有供应商。注</w:t>
            </w:r>
            <w:r>
              <w:rPr>
                <w:rFonts w:ascii="宋体" w:hAnsi="宋体" w:eastAsia="宋体"/>
                <w:sz w:val="21"/>
              </w:rPr>
              <w:t>:根据《政府采购促进中小企业发展暂行办法》（财库[2011]181号）、《政府采购支持监狱企业发展有关问题的通知》（财库〔2014〕68号）和《三部门联合发布关于促进残疾人就业政府采购政策的通知》（财库〔2017〕141号）的规定，对小、微型、监狱企业或残疾人福利性单位产品的价格给予10%的价格扣除，用扣除后的价格参与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567" w:type="dxa"/>
            <w:vMerge w:val="restart"/>
            <w:vAlign w:val="center"/>
          </w:tcPr>
          <w:p>
            <w:pPr>
              <w:pStyle w:val="30"/>
              <w:jc w:val="center"/>
              <w:rPr>
                <w:rFonts w:ascii="宋体"/>
                <w:b/>
                <w:sz w:val="20"/>
              </w:rPr>
            </w:pPr>
            <w:r>
              <w:rPr>
                <w:rFonts w:hint="eastAsia" w:ascii="宋体"/>
                <w:b/>
                <w:sz w:val="20"/>
              </w:rPr>
              <w:t>2</w:t>
            </w:r>
          </w:p>
          <w:p>
            <w:pPr>
              <w:pStyle w:val="30"/>
              <w:jc w:val="center"/>
              <w:rPr>
                <w:rFonts w:ascii="宋体"/>
                <w:b/>
                <w:sz w:val="20"/>
              </w:rPr>
            </w:pPr>
          </w:p>
          <w:p>
            <w:pPr>
              <w:pStyle w:val="30"/>
              <w:jc w:val="center"/>
              <w:rPr>
                <w:rFonts w:ascii="宋体"/>
                <w:b/>
                <w:sz w:val="20"/>
              </w:rPr>
            </w:pPr>
          </w:p>
        </w:tc>
        <w:tc>
          <w:tcPr>
            <w:tcW w:w="1134" w:type="dxa"/>
            <w:vMerge w:val="restart"/>
            <w:vAlign w:val="center"/>
          </w:tcPr>
          <w:p>
            <w:pPr>
              <w:pStyle w:val="30"/>
              <w:jc w:val="center"/>
              <w:rPr>
                <w:rFonts w:ascii="宋体" w:eastAsia="宋体"/>
                <w:sz w:val="21"/>
              </w:rPr>
            </w:pPr>
            <w:r>
              <w:rPr>
                <w:rFonts w:hint="eastAsia" w:ascii="宋体" w:eastAsia="宋体"/>
                <w:sz w:val="21"/>
              </w:rPr>
              <w:t>技术部分</w:t>
            </w:r>
          </w:p>
        </w:tc>
        <w:tc>
          <w:tcPr>
            <w:tcW w:w="993" w:type="dxa"/>
            <w:vMerge w:val="restart"/>
            <w:vAlign w:val="center"/>
          </w:tcPr>
          <w:p>
            <w:pPr>
              <w:pStyle w:val="30"/>
              <w:jc w:val="center"/>
              <w:rPr>
                <w:rFonts w:ascii="宋体" w:eastAsia="宋体"/>
                <w:sz w:val="21"/>
              </w:rPr>
            </w:pPr>
            <w:r>
              <w:rPr>
                <w:rFonts w:hint="eastAsia" w:ascii="宋体" w:eastAsia="宋体"/>
                <w:sz w:val="21"/>
              </w:rPr>
              <w:t>技术参数响应（投标时需携带技术参数相应对照表，单独封装提供。）</w:t>
            </w:r>
          </w:p>
        </w:tc>
        <w:tc>
          <w:tcPr>
            <w:tcW w:w="992" w:type="dxa"/>
            <w:vMerge w:val="restart"/>
            <w:vAlign w:val="center"/>
          </w:tcPr>
          <w:p>
            <w:pPr>
              <w:pStyle w:val="30"/>
              <w:jc w:val="center"/>
              <w:rPr>
                <w:rFonts w:ascii="宋体" w:eastAsia="宋体"/>
                <w:sz w:val="21"/>
              </w:rPr>
            </w:pPr>
            <w:r>
              <w:rPr>
                <w:rFonts w:hint="eastAsia" w:ascii="宋体" w:eastAsia="宋体"/>
                <w:sz w:val="21"/>
              </w:rPr>
              <w:t>40分</w:t>
            </w:r>
          </w:p>
        </w:tc>
        <w:tc>
          <w:tcPr>
            <w:tcW w:w="6946" w:type="dxa"/>
            <w:vAlign w:val="center"/>
          </w:tcPr>
          <w:p>
            <w:pPr>
              <w:pStyle w:val="30"/>
              <w:tabs>
                <w:tab w:val="left" w:pos="425"/>
              </w:tabs>
              <w:spacing w:before="2"/>
              <w:jc w:val="both"/>
              <w:rPr>
                <w:rFonts w:ascii="宋体" w:eastAsia="宋体"/>
                <w:sz w:val="21"/>
              </w:rPr>
            </w:pPr>
            <w:r>
              <w:rPr>
                <w:rFonts w:hint="eastAsia" w:ascii="宋体" w:eastAsia="宋体"/>
                <w:sz w:val="21"/>
              </w:rPr>
              <w:t>带“★”的指标项皆为必须满足项，否则技术响应不得分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567" w:type="dxa"/>
            <w:vMerge w:val="continue"/>
            <w:vAlign w:val="center"/>
          </w:tcPr>
          <w:p>
            <w:pPr>
              <w:pStyle w:val="30"/>
              <w:jc w:val="center"/>
              <w:rPr>
                <w:rFonts w:ascii="宋体"/>
                <w:b/>
                <w:sz w:val="20"/>
              </w:rPr>
            </w:pPr>
          </w:p>
        </w:tc>
        <w:tc>
          <w:tcPr>
            <w:tcW w:w="1134" w:type="dxa"/>
            <w:vMerge w:val="continue"/>
          </w:tcPr>
          <w:p>
            <w:pPr>
              <w:pStyle w:val="30"/>
              <w:jc w:val="center"/>
              <w:rPr>
                <w:rFonts w:ascii="宋体" w:eastAsia="宋体"/>
                <w:sz w:val="21"/>
              </w:rPr>
            </w:pPr>
          </w:p>
        </w:tc>
        <w:tc>
          <w:tcPr>
            <w:tcW w:w="993" w:type="dxa"/>
            <w:vMerge w:val="continue"/>
            <w:vAlign w:val="center"/>
          </w:tcPr>
          <w:p>
            <w:pPr>
              <w:pStyle w:val="30"/>
              <w:jc w:val="center"/>
              <w:rPr>
                <w:rFonts w:ascii="宋体" w:eastAsia="宋体"/>
                <w:sz w:val="21"/>
              </w:rPr>
            </w:pPr>
          </w:p>
        </w:tc>
        <w:tc>
          <w:tcPr>
            <w:tcW w:w="992" w:type="dxa"/>
            <w:vMerge w:val="continue"/>
            <w:vAlign w:val="center"/>
          </w:tcPr>
          <w:p>
            <w:pPr>
              <w:pStyle w:val="30"/>
              <w:jc w:val="center"/>
              <w:rPr>
                <w:rFonts w:ascii="宋体" w:eastAsia="宋体"/>
                <w:sz w:val="21"/>
              </w:rPr>
            </w:pPr>
          </w:p>
        </w:tc>
        <w:tc>
          <w:tcPr>
            <w:tcW w:w="6946" w:type="dxa"/>
            <w:vAlign w:val="center"/>
          </w:tcPr>
          <w:p>
            <w:pPr>
              <w:pStyle w:val="30"/>
              <w:tabs>
                <w:tab w:val="left" w:pos="425"/>
              </w:tabs>
              <w:spacing w:before="2"/>
              <w:jc w:val="both"/>
              <w:rPr>
                <w:rFonts w:ascii="宋体" w:eastAsia="宋体"/>
                <w:sz w:val="21"/>
              </w:rPr>
            </w:pPr>
            <w:r>
              <w:rPr>
                <w:rFonts w:hint="eastAsia" w:ascii="宋体" w:eastAsia="宋体"/>
                <w:sz w:val="21"/>
              </w:rPr>
              <w:t>投标人所投投标产品的技术参数完全满足招标文件中标注“▲”技术参数要求的得</w:t>
            </w:r>
            <w:r>
              <w:rPr>
                <w:rFonts w:ascii="宋体" w:eastAsia="宋体"/>
                <w:sz w:val="21"/>
              </w:rPr>
              <w:t>40分；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atLeast"/>
        </w:trPr>
        <w:tc>
          <w:tcPr>
            <w:tcW w:w="567" w:type="dxa"/>
            <w:vMerge w:val="continue"/>
            <w:vAlign w:val="center"/>
          </w:tcPr>
          <w:p>
            <w:pPr>
              <w:pStyle w:val="30"/>
              <w:jc w:val="center"/>
              <w:rPr>
                <w:rFonts w:ascii="宋体"/>
                <w:b/>
                <w:sz w:val="20"/>
              </w:rPr>
            </w:pPr>
          </w:p>
        </w:tc>
        <w:tc>
          <w:tcPr>
            <w:tcW w:w="1134" w:type="dxa"/>
            <w:vMerge w:val="continue"/>
          </w:tcPr>
          <w:p>
            <w:pPr>
              <w:pStyle w:val="30"/>
              <w:jc w:val="center"/>
              <w:rPr>
                <w:rFonts w:ascii="宋体" w:eastAsia="宋体"/>
                <w:sz w:val="21"/>
              </w:rPr>
            </w:pPr>
          </w:p>
        </w:tc>
        <w:tc>
          <w:tcPr>
            <w:tcW w:w="993" w:type="dxa"/>
            <w:vMerge w:val="continue"/>
            <w:vAlign w:val="center"/>
          </w:tcPr>
          <w:p>
            <w:pPr>
              <w:pStyle w:val="30"/>
              <w:jc w:val="center"/>
              <w:rPr>
                <w:rFonts w:ascii="宋体" w:eastAsia="宋体"/>
                <w:sz w:val="21"/>
              </w:rPr>
            </w:pPr>
          </w:p>
        </w:tc>
        <w:tc>
          <w:tcPr>
            <w:tcW w:w="992" w:type="dxa"/>
            <w:vMerge w:val="continue"/>
            <w:vAlign w:val="center"/>
          </w:tcPr>
          <w:p>
            <w:pPr>
              <w:pStyle w:val="30"/>
              <w:jc w:val="center"/>
              <w:rPr>
                <w:rFonts w:ascii="宋体" w:eastAsia="宋体"/>
                <w:sz w:val="21"/>
              </w:rPr>
            </w:pPr>
          </w:p>
        </w:tc>
        <w:tc>
          <w:tcPr>
            <w:tcW w:w="6946" w:type="dxa"/>
            <w:vAlign w:val="center"/>
          </w:tcPr>
          <w:p>
            <w:pPr>
              <w:pStyle w:val="30"/>
              <w:tabs>
                <w:tab w:val="left" w:pos="425"/>
              </w:tabs>
              <w:spacing w:before="2"/>
              <w:jc w:val="both"/>
              <w:rPr>
                <w:rFonts w:ascii="宋体" w:eastAsia="宋体"/>
                <w:sz w:val="21"/>
              </w:rPr>
            </w:pPr>
            <w:r>
              <w:rPr>
                <w:rFonts w:hint="eastAsia" w:ascii="宋体" w:eastAsia="宋体"/>
                <w:sz w:val="21"/>
              </w:rPr>
              <w:t>投标人投标产品技术参数不满足招标文件要求的，则在</w:t>
            </w:r>
            <w:r>
              <w:rPr>
                <w:rFonts w:ascii="宋体" w:eastAsia="宋体"/>
                <w:sz w:val="21"/>
              </w:rPr>
              <w:t>40分的基础上，按以下原则扣分，扣完为止：</w:t>
            </w:r>
            <w:r>
              <w:rPr>
                <w:rFonts w:hint="eastAsia" w:ascii="宋体" w:eastAsia="宋体"/>
                <w:sz w:val="21"/>
              </w:rPr>
              <w:t>每有一项不满足招标文件中标注“▲”的技术参数条款要求的扣</w:t>
            </w:r>
            <w:r>
              <w:rPr>
                <w:rFonts w:ascii="宋体" w:eastAsia="宋体"/>
                <w:sz w:val="21"/>
              </w:rPr>
              <w:t>3分，直至扣完本项分数为止。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7" w:hRule="atLeast"/>
        </w:trPr>
        <w:tc>
          <w:tcPr>
            <w:tcW w:w="567" w:type="dxa"/>
            <w:vMerge w:val="continue"/>
            <w:vAlign w:val="center"/>
          </w:tcPr>
          <w:p>
            <w:pPr>
              <w:pStyle w:val="30"/>
              <w:jc w:val="center"/>
              <w:rPr>
                <w:rFonts w:ascii="宋体"/>
                <w:b/>
                <w:sz w:val="20"/>
              </w:rPr>
            </w:pPr>
          </w:p>
        </w:tc>
        <w:tc>
          <w:tcPr>
            <w:tcW w:w="1134" w:type="dxa"/>
            <w:vMerge w:val="continue"/>
          </w:tcPr>
          <w:p>
            <w:pPr>
              <w:pStyle w:val="30"/>
              <w:jc w:val="center"/>
              <w:rPr>
                <w:rFonts w:ascii="宋体" w:eastAsia="宋体"/>
                <w:sz w:val="21"/>
              </w:rPr>
            </w:pPr>
          </w:p>
        </w:tc>
        <w:tc>
          <w:tcPr>
            <w:tcW w:w="993" w:type="dxa"/>
            <w:vMerge w:val="continue"/>
            <w:vAlign w:val="center"/>
          </w:tcPr>
          <w:p>
            <w:pPr>
              <w:pStyle w:val="30"/>
              <w:jc w:val="center"/>
              <w:rPr>
                <w:rFonts w:ascii="宋体" w:eastAsia="宋体"/>
                <w:sz w:val="21"/>
              </w:rPr>
            </w:pPr>
          </w:p>
        </w:tc>
        <w:tc>
          <w:tcPr>
            <w:tcW w:w="992" w:type="dxa"/>
            <w:vMerge w:val="continue"/>
            <w:vAlign w:val="center"/>
          </w:tcPr>
          <w:p>
            <w:pPr>
              <w:pStyle w:val="30"/>
              <w:jc w:val="center"/>
              <w:rPr>
                <w:rFonts w:ascii="宋体" w:eastAsia="宋体"/>
                <w:sz w:val="21"/>
              </w:rPr>
            </w:pPr>
          </w:p>
        </w:tc>
        <w:tc>
          <w:tcPr>
            <w:tcW w:w="6946" w:type="dxa"/>
            <w:vAlign w:val="center"/>
          </w:tcPr>
          <w:p>
            <w:pPr>
              <w:pStyle w:val="30"/>
              <w:tabs>
                <w:tab w:val="left" w:pos="425"/>
              </w:tabs>
              <w:spacing w:before="2"/>
              <w:jc w:val="both"/>
              <w:rPr>
                <w:rFonts w:ascii="宋体" w:eastAsia="宋体"/>
                <w:sz w:val="21"/>
              </w:rPr>
            </w:pPr>
            <w:r>
              <w:rPr>
                <w:rFonts w:hint="eastAsia" w:ascii="宋体" w:eastAsia="宋体"/>
                <w:sz w:val="21"/>
              </w:rPr>
              <w:t>针对“▲”条款的技术响应，投标人需提供技术支撑材料（如产品检测报告或向社会公开的产品彩页或厂家技术参数证明等并加盖厂商公章（鲜章）），但如果招标文件技术参数要求中的“▲”技术条款对技术支撑材料有要求，应按要求提供，否则对技术参数条款将视为不满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567" w:type="dxa"/>
            <w:vMerge w:val="continue"/>
            <w:vAlign w:val="center"/>
          </w:tcPr>
          <w:p>
            <w:pPr>
              <w:pStyle w:val="30"/>
              <w:jc w:val="center"/>
              <w:rPr>
                <w:rFonts w:ascii="宋体"/>
                <w:b/>
                <w:sz w:val="20"/>
              </w:rPr>
            </w:pPr>
          </w:p>
        </w:tc>
        <w:tc>
          <w:tcPr>
            <w:tcW w:w="1134" w:type="dxa"/>
            <w:vMerge w:val="continue"/>
          </w:tcPr>
          <w:p>
            <w:pPr>
              <w:pStyle w:val="30"/>
              <w:jc w:val="center"/>
              <w:rPr>
                <w:rFonts w:ascii="宋体" w:eastAsia="宋体"/>
                <w:sz w:val="21"/>
              </w:rPr>
            </w:pPr>
          </w:p>
        </w:tc>
        <w:tc>
          <w:tcPr>
            <w:tcW w:w="993" w:type="dxa"/>
            <w:vAlign w:val="center"/>
          </w:tcPr>
          <w:p>
            <w:pPr>
              <w:pStyle w:val="30"/>
              <w:jc w:val="center"/>
              <w:rPr>
                <w:rFonts w:ascii="宋体" w:eastAsia="宋体"/>
                <w:sz w:val="21"/>
              </w:rPr>
            </w:pPr>
            <w:r>
              <w:rPr>
                <w:rFonts w:hint="eastAsia" w:ascii="宋体" w:eastAsia="宋体"/>
                <w:sz w:val="21"/>
              </w:rPr>
              <w:t>主要产品</w:t>
            </w:r>
            <w:r>
              <w:rPr>
                <w:rFonts w:hint="eastAsia" w:ascii="宋体" w:eastAsia="宋体"/>
                <w:sz w:val="21"/>
                <w:lang w:val="en-US" w:eastAsia="zh-CN"/>
              </w:rPr>
              <w:t>功能</w:t>
            </w:r>
            <w:r>
              <w:rPr>
                <w:rFonts w:hint="eastAsia" w:ascii="宋体" w:eastAsia="宋体"/>
                <w:sz w:val="21"/>
              </w:rPr>
              <w:t>演示</w:t>
            </w:r>
          </w:p>
        </w:tc>
        <w:tc>
          <w:tcPr>
            <w:tcW w:w="992" w:type="dxa"/>
            <w:vAlign w:val="center"/>
          </w:tcPr>
          <w:p>
            <w:pPr>
              <w:pStyle w:val="30"/>
              <w:jc w:val="center"/>
              <w:rPr>
                <w:rFonts w:ascii="宋体" w:eastAsia="宋体"/>
                <w:sz w:val="21"/>
              </w:rPr>
            </w:pPr>
            <w:r>
              <w:rPr>
                <w:rFonts w:hint="eastAsia" w:ascii="宋体" w:eastAsia="宋体"/>
                <w:sz w:val="21"/>
              </w:rPr>
              <w:t>16分</w:t>
            </w:r>
          </w:p>
        </w:tc>
        <w:tc>
          <w:tcPr>
            <w:tcW w:w="6946" w:type="dxa"/>
            <w:vAlign w:val="center"/>
          </w:tcPr>
          <w:p>
            <w:pPr>
              <w:pStyle w:val="30"/>
              <w:tabs>
                <w:tab w:val="left" w:pos="425"/>
              </w:tabs>
              <w:spacing w:before="2"/>
              <w:rPr>
                <w:rFonts w:ascii="宋体" w:eastAsia="宋体"/>
                <w:sz w:val="21"/>
                <w:lang w:val="en-US"/>
              </w:rPr>
            </w:pPr>
            <w:r>
              <w:rPr>
                <w:rFonts w:hint="eastAsia" w:ascii="宋体" w:eastAsia="宋体"/>
                <w:sz w:val="21"/>
                <w:lang w:val="en-US"/>
              </w:rPr>
              <w:t>"学生云桌面：</w:t>
            </w:r>
          </w:p>
          <w:p>
            <w:pPr>
              <w:pStyle w:val="30"/>
              <w:tabs>
                <w:tab w:val="left" w:pos="425"/>
              </w:tabs>
              <w:spacing w:before="2"/>
              <w:rPr>
                <w:rFonts w:ascii="宋体" w:eastAsia="宋体"/>
                <w:sz w:val="21"/>
                <w:lang w:val="en-US"/>
              </w:rPr>
            </w:pPr>
            <w:r>
              <w:rPr>
                <w:rFonts w:hint="eastAsia" w:ascii="宋体" w:eastAsia="宋体"/>
                <w:sz w:val="21"/>
                <w:lang w:val="en-US"/>
              </w:rPr>
              <w:t>1，教师端可随时启用学生之间进行个别语音通话，无论学生是否进入了桌面都可以通过语音和其他学生进行一对一交流，同时学生也可以看到通话时间，教师端可看到学生通话状态，投标单位需在现场进行完整功能演示，演示功能完整得2分，否则不得分；"</w:t>
            </w:r>
          </w:p>
          <w:p>
            <w:pPr>
              <w:pStyle w:val="30"/>
              <w:tabs>
                <w:tab w:val="left" w:pos="425"/>
              </w:tabs>
              <w:spacing w:before="2"/>
              <w:rPr>
                <w:rFonts w:ascii="宋体" w:eastAsia="宋体"/>
                <w:sz w:val="21"/>
                <w:lang w:val="en-US"/>
              </w:rPr>
            </w:pPr>
            <w:r>
              <w:rPr>
                <w:rFonts w:hint="eastAsia" w:ascii="宋体" w:eastAsia="宋体"/>
                <w:sz w:val="21"/>
                <w:lang w:val="en-US"/>
              </w:rPr>
              <w:t>2，老师可以选择多个教室组合进行统一上课。上课后，多个教室的学生被教师端集中管理，统一连接指定的学生桌面，老师可以查看各个教室学生的桌面情况。并实现跨教室的屏幕广播，远程协助等功能。下课后，教室里的终端又恢复受控于各个教室所属的教师端。投标单位需在现场进行完整功能演示，演示功能完整得2分，否则不得分；</w:t>
            </w:r>
          </w:p>
          <w:p>
            <w:pPr>
              <w:pStyle w:val="30"/>
              <w:tabs>
                <w:tab w:val="left" w:pos="425"/>
              </w:tabs>
              <w:spacing w:before="2"/>
              <w:rPr>
                <w:rFonts w:ascii="宋体" w:eastAsia="宋体"/>
                <w:sz w:val="21"/>
                <w:lang w:val="en-US"/>
              </w:rPr>
            </w:pPr>
            <w:r>
              <w:rPr>
                <w:rFonts w:hint="eastAsia" w:ascii="宋体" w:eastAsia="宋体"/>
                <w:sz w:val="21"/>
                <w:lang w:val="en-US"/>
              </w:rPr>
              <w:t>3，教师端可新建画板，绘制白板，并共享给学生观看。可邀请学生一起绘制白板。教师绘制的白板，可选择让每个学生独立个人绘制，并且可让该学生的个人绘制共享给其他学生观看，投标单位需在现场进行完整功能演示，演示功能完整得2分，否则不得分；</w:t>
            </w:r>
          </w:p>
          <w:p>
            <w:pPr>
              <w:pStyle w:val="30"/>
              <w:tabs>
                <w:tab w:val="left" w:pos="425"/>
              </w:tabs>
              <w:spacing w:before="2"/>
              <w:rPr>
                <w:rFonts w:ascii="宋体" w:eastAsia="宋体"/>
                <w:sz w:val="21"/>
                <w:lang w:val="en-US"/>
              </w:rPr>
            </w:pPr>
            <w:r>
              <w:rPr>
                <w:rFonts w:hint="eastAsia" w:ascii="宋体" w:eastAsia="宋体"/>
                <w:sz w:val="21"/>
                <w:lang w:val="en-US"/>
              </w:rPr>
              <w:t>录播、人工智能分析</w:t>
            </w:r>
          </w:p>
          <w:p>
            <w:pPr>
              <w:pStyle w:val="30"/>
              <w:tabs>
                <w:tab w:val="left" w:pos="425"/>
              </w:tabs>
              <w:spacing w:before="2"/>
              <w:rPr>
                <w:rFonts w:ascii="宋体" w:eastAsia="宋体"/>
                <w:sz w:val="21"/>
                <w:lang w:val="en-US"/>
              </w:rPr>
            </w:pPr>
            <w:r>
              <w:rPr>
                <w:rFonts w:hint="eastAsia" w:ascii="宋体" w:eastAsia="宋体"/>
                <w:sz w:val="21"/>
                <w:lang w:val="en-US"/>
              </w:rPr>
              <w:t>1、演示查看教师每节课的课堂实录、按照教学行为分析数据生成的教学行为时序图，点击行为打点记录可自动定位到课堂实录的特定时刻。投标单位需在现场进行完整功能演示，演示功能完整得2分，否则不得分；</w:t>
            </w:r>
          </w:p>
          <w:p>
            <w:pPr>
              <w:pStyle w:val="30"/>
              <w:tabs>
                <w:tab w:val="left" w:pos="425"/>
              </w:tabs>
              <w:spacing w:before="2"/>
              <w:rPr>
                <w:rFonts w:ascii="宋体" w:eastAsia="宋体"/>
                <w:sz w:val="21"/>
                <w:lang w:val="en-US"/>
              </w:rPr>
            </w:pPr>
            <w:r>
              <w:rPr>
                <w:rFonts w:hint="eastAsia" w:ascii="宋体" w:eastAsia="宋体"/>
                <w:sz w:val="21"/>
                <w:lang w:val="en-US"/>
              </w:rPr>
              <w:t>2、演示查看教师每节课中按照教学行为分析数据生成的所有学生个体的课堂行为分布情况。投标单位需在现场进行完整功能演示，演示功能完整得2分，否则不得分；</w:t>
            </w:r>
          </w:p>
          <w:p>
            <w:pPr>
              <w:pStyle w:val="30"/>
              <w:tabs>
                <w:tab w:val="left" w:pos="425"/>
              </w:tabs>
              <w:spacing w:before="2"/>
              <w:rPr>
                <w:rFonts w:ascii="宋体" w:eastAsia="宋体"/>
                <w:sz w:val="21"/>
                <w:lang w:val="en-US"/>
              </w:rPr>
            </w:pPr>
            <w:r>
              <w:rPr>
                <w:rFonts w:hint="eastAsia" w:ascii="宋体" w:eastAsia="宋体"/>
                <w:sz w:val="21"/>
                <w:lang w:val="en-US"/>
              </w:rPr>
              <w:t>3、演示按照时间维度，查看全班学生和个体学生的课堂注意力趋势数据。投标单位需在现场进行完整功能演示，演示功能完整得2分，否则不得分；</w:t>
            </w:r>
          </w:p>
          <w:p>
            <w:pPr>
              <w:pStyle w:val="30"/>
              <w:tabs>
                <w:tab w:val="left" w:pos="425"/>
              </w:tabs>
              <w:spacing w:before="2"/>
              <w:rPr>
                <w:rFonts w:ascii="宋体" w:eastAsia="宋体"/>
                <w:sz w:val="21"/>
                <w:lang w:val="en-US"/>
              </w:rPr>
            </w:pPr>
            <w:r>
              <w:rPr>
                <w:rFonts w:hint="eastAsia" w:ascii="宋体" w:eastAsia="宋体"/>
                <w:sz w:val="21"/>
                <w:lang w:val="en-US"/>
              </w:rPr>
              <w:t>4、演示查看教师的课堂观察分析报告，报告支持在线预览和导出。投标单位需在现场进行完整功能演示，演示功能完整得2分，否则不得分；</w:t>
            </w:r>
          </w:p>
          <w:p>
            <w:pPr>
              <w:pStyle w:val="30"/>
              <w:tabs>
                <w:tab w:val="left" w:pos="425"/>
              </w:tabs>
              <w:spacing w:before="2"/>
              <w:rPr>
                <w:rFonts w:ascii="宋体" w:eastAsia="宋体"/>
                <w:sz w:val="21"/>
                <w:lang w:val="en-US"/>
              </w:rPr>
            </w:pPr>
            <w:r>
              <w:rPr>
                <w:rFonts w:hint="eastAsia" w:ascii="宋体" w:eastAsia="宋体"/>
                <w:sz w:val="21"/>
                <w:lang w:val="en-US"/>
              </w:rPr>
              <w:t>5、演示任选两位教师的授课情况进行同课异构对比分析，对授课过程中的行为数据，S-T和授课类型的对比分。投标单位需在现场进行完整功能演示，演示功能完整得2分，否则不得分；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567" w:type="dxa"/>
            <w:vMerge w:val="restart"/>
            <w:vAlign w:val="center"/>
          </w:tcPr>
          <w:p>
            <w:pPr>
              <w:pStyle w:val="30"/>
              <w:jc w:val="center"/>
              <w:rPr>
                <w:rFonts w:ascii="宋体"/>
                <w:b/>
                <w:sz w:val="20"/>
              </w:rPr>
            </w:pPr>
          </w:p>
          <w:p>
            <w:pPr>
              <w:pStyle w:val="30"/>
              <w:jc w:val="center"/>
              <w:rPr>
                <w:rFonts w:ascii="宋体"/>
                <w:b/>
                <w:sz w:val="20"/>
              </w:rPr>
            </w:pPr>
          </w:p>
          <w:p>
            <w:pPr>
              <w:pStyle w:val="30"/>
              <w:jc w:val="center"/>
              <w:rPr>
                <w:rFonts w:ascii="宋体"/>
                <w:b/>
                <w:sz w:val="20"/>
              </w:rPr>
            </w:pPr>
          </w:p>
          <w:p>
            <w:pPr>
              <w:pStyle w:val="30"/>
              <w:spacing w:before="139"/>
              <w:ind w:left="98" w:right="90"/>
              <w:jc w:val="center"/>
              <w:rPr>
                <w:rFonts w:ascii="宋体"/>
                <w:sz w:val="21"/>
              </w:rPr>
            </w:pPr>
            <w:r>
              <w:rPr>
                <w:rFonts w:hint="eastAsia" w:ascii="宋体"/>
                <w:sz w:val="21"/>
              </w:rPr>
              <w:t>3</w:t>
            </w:r>
          </w:p>
        </w:tc>
        <w:tc>
          <w:tcPr>
            <w:tcW w:w="1134" w:type="dxa"/>
            <w:vMerge w:val="restart"/>
            <w:vAlign w:val="center"/>
          </w:tcPr>
          <w:p>
            <w:pPr>
              <w:pStyle w:val="30"/>
              <w:jc w:val="center"/>
              <w:rPr>
                <w:rFonts w:ascii="宋体"/>
                <w:b/>
                <w:sz w:val="20"/>
              </w:rPr>
            </w:pPr>
            <w:r>
              <w:rPr>
                <w:rFonts w:hint="eastAsia" w:ascii="宋体" w:eastAsia="宋体"/>
                <w:sz w:val="21"/>
              </w:rPr>
              <w:t>商务部分</w:t>
            </w:r>
          </w:p>
        </w:tc>
        <w:tc>
          <w:tcPr>
            <w:tcW w:w="993" w:type="dxa"/>
            <w:vMerge w:val="restart"/>
            <w:vAlign w:val="center"/>
          </w:tcPr>
          <w:p>
            <w:pPr>
              <w:pStyle w:val="30"/>
              <w:jc w:val="center"/>
              <w:rPr>
                <w:rFonts w:ascii="宋体"/>
                <w:b/>
                <w:sz w:val="20"/>
              </w:rPr>
            </w:pPr>
          </w:p>
          <w:p>
            <w:pPr>
              <w:pStyle w:val="30"/>
              <w:spacing w:before="1" w:line="364" w:lineRule="auto"/>
              <w:ind w:right="108"/>
              <w:rPr>
                <w:rFonts w:ascii="宋体" w:eastAsia="宋体"/>
                <w:sz w:val="21"/>
              </w:rPr>
            </w:pPr>
            <w:r>
              <w:rPr>
                <w:rFonts w:hint="eastAsia" w:ascii="宋体" w:eastAsia="宋体"/>
                <w:sz w:val="21"/>
              </w:rPr>
              <w:t>(14 分)</w:t>
            </w:r>
          </w:p>
        </w:tc>
        <w:tc>
          <w:tcPr>
            <w:tcW w:w="992" w:type="dxa"/>
            <w:vAlign w:val="center"/>
          </w:tcPr>
          <w:p>
            <w:pPr>
              <w:pStyle w:val="30"/>
              <w:rPr>
                <w:rFonts w:ascii="宋体" w:hAnsi="宋体" w:eastAsia="宋体"/>
                <w:sz w:val="21"/>
              </w:rPr>
            </w:pPr>
            <w:r>
              <w:rPr>
                <w:rFonts w:hint="eastAsia" w:ascii="宋体" w:hAnsi="宋体" w:eastAsia="宋体"/>
                <w:sz w:val="21"/>
              </w:rPr>
              <w:t>业绩2分</w:t>
            </w:r>
          </w:p>
        </w:tc>
        <w:tc>
          <w:tcPr>
            <w:tcW w:w="6946" w:type="dxa"/>
          </w:tcPr>
          <w:p>
            <w:pPr>
              <w:pStyle w:val="30"/>
              <w:tabs>
                <w:tab w:val="left" w:pos="425"/>
              </w:tabs>
              <w:spacing w:before="2"/>
              <w:jc w:val="both"/>
              <w:rPr>
                <w:rFonts w:ascii="宋体" w:eastAsia="宋体"/>
                <w:sz w:val="21"/>
              </w:rPr>
            </w:pPr>
            <w:r>
              <w:rPr>
                <w:rFonts w:hint="eastAsia" w:ascii="宋体" w:eastAsia="宋体"/>
                <w:sz w:val="21"/>
              </w:rPr>
              <w:t>近三年（</w:t>
            </w:r>
            <w:r>
              <w:rPr>
                <w:rFonts w:ascii="宋体" w:eastAsia="宋体"/>
                <w:sz w:val="21"/>
              </w:rPr>
              <w:t>2017年1月1日至今以来投标企业实施的同类项目案例（合同金额大于3000万），每提供一个案例得1分，最高得2分。（以提供的合同为准，复印件加盖公章）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trPr>
        <w:tc>
          <w:tcPr>
            <w:tcW w:w="567" w:type="dxa"/>
            <w:vMerge w:val="continue"/>
          </w:tcPr>
          <w:p>
            <w:pPr>
              <w:pStyle w:val="30"/>
              <w:rPr>
                <w:rFonts w:ascii="宋体"/>
                <w:b/>
                <w:sz w:val="20"/>
              </w:rPr>
            </w:pPr>
          </w:p>
        </w:tc>
        <w:tc>
          <w:tcPr>
            <w:tcW w:w="1134" w:type="dxa"/>
            <w:vMerge w:val="continue"/>
          </w:tcPr>
          <w:p>
            <w:pPr>
              <w:pStyle w:val="30"/>
              <w:rPr>
                <w:rFonts w:ascii="宋体"/>
                <w:b/>
                <w:sz w:val="20"/>
              </w:rPr>
            </w:pPr>
          </w:p>
        </w:tc>
        <w:tc>
          <w:tcPr>
            <w:tcW w:w="993" w:type="dxa"/>
            <w:vMerge w:val="continue"/>
          </w:tcPr>
          <w:p>
            <w:pPr>
              <w:pStyle w:val="30"/>
              <w:rPr>
                <w:rFonts w:ascii="宋体"/>
                <w:b/>
                <w:sz w:val="20"/>
              </w:rPr>
            </w:pPr>
          </w:p>
        </w:tc>
        <w:tc>
          <w:tcPr>
            <w:tcW w:w="992" w:type="dxa"/>
            <w:vAlign w:val="center"/>
          </w:tcPr>
          <w:p>
            <w:pPr>
              <w:pStyle w:val="30"/>
              <w:jc w:val="center"/>
              <w:rPr>
                <w:rFonts w:ascii="宋体" w:hAnsi="宋体" w:eastAsia="宋体"/>
                <w:sz w:val="21"/>
              </w:rPr>
            </w:pPr>
          </w:p>
          <w:p>
            <w:pPr>
              <w:rPr>
                <w:rFonts w:ascii="宋体" w:hAnsi="宋体" w:eastAsia="宋体"/>
                <w:sz w:val="21"/>
              </w:rPr>
            </w:pPr>
            <w:r>
              <w:rPr>
                <w:rFonts w:hint="eastAsia" w:ascii="宋体" w:hAnsi="宋体" w:eastAsia="宋体"/>
                <w:sz w:val="21"/>
              </w:rPr>
              <w:t>售后服务体系5分</w:t>
            </w:r>
          </w:p>
        </w:tc>
        <w:tc>
          <w:tcPr>
            <w:tcW w:w="6946" w:type="dxa"/>
          </w:tcPr>
          <w:p>
            <w:pPr>
              <w:pStyle w:val="30"/>
              <w:tabs>
                <w:tab w:val="left" w:pos="425"/>
              </w:tabs>
              <w:spacing w:before="2"/>
              <w:jc w:val="both"/>
              <w:rPr>
                <w:rFonts w:ascii="宋体" w:eastAsia="宋体"/>
                <w:sz w:val="21"/>
              </w:rPr>
            </w:pPr>
            <w:r>
              <w:rPr>
                <w:rFonts w:hint="eastAsia" w:ascii="宋体" w:eastAsia="宋体"/>
                <w:sz w:val="21"/>
              </w:rPr>
              <w:t>对投标人提供的售后服务方案（内容包括售后响应时间、售后服务流程、售后支撑团队、售后巡检、本地化售后服务能力、培训措施等）进行评分，售后服务方案内容完整、具体、切实可行的得</w:t>
            </w:r>
            <w:r>
              <w:rPr>
                <w:rFonts w:ascii="宋体" w:eastAsia="宋体"/>
                <w:sz w:val="21"/>
              </w:rPr>
              <w:t>3分，所投方案有一项不满足的扣0.5分，扣完为止。</w:t>
            </w:r>
          </w:p>
          <w:p>
            <w:pPr>
              <w:pStyle w:val="30"/>
              <w:tabs>
                <w:tab w:val="left" w:pos="425"/>
              </w:tabs>
              <w:spacing w:before="2"/>
              <w:jc w:val="both"/>
              <w:rPr>
                <w:rFonts w:ascii="宋体" w:eastAsia="宋体"/>
                <w:sz w:val="21"/>
              </w:rPr>
            </w:pPr>
            <w:r>
              <w:rPr>
                <w:rFonts w:hint="eastAsia" w:ascii="宋体" w:eastAsia="宋体"/>
                <w:sz w:val="21"/>
              </w:rPr>
              <w:t>自验收通过之日起，中标供应商提供所投产品和服务原厂商</w:t>
            </w:r>
            <w:r>
              <w:rPr>
                <w:rFonts w:ascii="宋体" w:eastAsia="宋体"/>
                <w:sz w:val="21"/>
              </w:rPr>
              <w:t>3年免费质保；每延长1年的质保加1分，最多加2分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trPr>
        <w:tc>
          <w:tcPr>
            <w:tcW w:w="567" w:type="dxa"/>
            <w:vMerge w:val="continue"/>
          </w:tcPr>
          <w:p>
            <w:pPr>
              <w:pStyle w:val="30"/>
              <w:rPr>
                <w:rFonts w:ascii="宋体"/>
                <w:b/>
                <w:sz w:val="20"/>
              </w:rPr>
            </w:pPr>
          </w:p>
        </w:tc>
        <w:tc>
          <w:tcPr>
            <w:tcW w:w="1134" w:type="dxa"/>
            <w:vMerge w:val="continue"/>
          </w:tcPr>
          <w:p>
            <w:pPr>
              <w:pStyle w:val="30"/>
              <w:rPr>
                <w:rFonts w:ascii="宋体"/>
                <w:b/>
                <w:sz w:val="20"/>
              </w:rPr>
            </w:pPr>
          </w:p>
        </w:tc>
        <w:tc>
          <w:tcPr>
            <w:tcW w:w="993" w:type="dxa"/>
            <w:vMerge w:val="continue"/>
          </w:tcPr>
          <w:p>
            <w:pPr>
              <w:pStyle w:val="30"/>
              <w:rPr>
                <w:rFonts w:ascii="宋体"/>
                <w:b/>
                <w:sz w:val="20"/>
              </w:rPr>
            </w:pPr>
          </w:p>
        </w:tc>
        <w:tc>
          <w:tcPr>
            <w:tcW w:w="992" w:type="dxa"/>
            <w:vAlign w:val="center"/>
          </w:tcPr>
          <w:p>
            <w:pPr>
              <w:pStyle w:val="30"/>
              <w:rPr>
                <w:rFonts w:ascii="宋体" w:hAnsi="宋体" w:eastAsia="宋体"/>
                <w:sz w:val="21"/>
              </w:rPr>
            </w:pPr>
            <w:r>
              <w:rPr>
                <w:rFonts w:hint="eastAsia" w:ascii="宋体" w:hAnsi="宋体" w:eastAsia="宋体"/>
                <w:sz w:val="21"/>
              </w:rPr>
              <w:t>教师信息技术应用能力提升培训5分</w:t>
            </w:r>
          </w:p>
        </w:tc>
        <w:tc>
          <w:tcPr>
            <w:tcW w:w="6946" w:type="dxa"/>
          </w:tcPr>
          <w:p>
            <w:pPr>
              <w:pStyle w:val="30"/>
              <w:tabs>
                <w:tab w:val="left" w:pos="425"/>
              </w:tabs>
              <w:spacing w:before="2"/>
              <w:jc w:val="both"/>
              <w:rPr>
                <w:rFonts w:ascii="宋体" w:eastAsia="宋体"/>
                <w:sz w:val="21"/>
              </w:rPr>
            </w:pPr>
            <w:r>
              <w:rPr>
                <w:rFonts w:hint="eastAsia" w:ascii="宋体" w:eastAsia="宋体"/>
                <w:sz w:val="21"/>
              </w:rPr>
              <w:t>提供三年的区域教师信息技能培训方案，</w:t>
            </w:r>
            <w:r>
              <w:rPr>
                <w:rFonts w:ascii="宋体" w:eastAsia="宋体"/>
                <w:sz w:val="21"/>
              </w:rPr>
              <w:t>0-5 分</w:t>
            </w:r>
          </w:p>
          <w:p>
            <w:pPr>
              <w:pStyle w:val="30"/>
              <w:tabs>
                <w:tab w:val="left" w:pos="425"/>
              </w:tabs>
              <w:spacing w:before="2"/>
              <w:jc w:val="both"/>
              <w:rPr>
                <w:rFonts w:ascii="宋体" w:eastAsia="宋体"/>
                <w:sz w:val="21"/>
              </w:rPr>
            </w:pPr>
            <w:r>
              <w:rPr>
                <w:rFonts w:hint="eastAsia" w:ascii="宋体" w:eastAsia="宋体"/>
                <w:sz w:val="21"/>
              </w:rPr>
              <w:t>培训方案详实合理且充分为甲方考虑，并有明确的预期培训成果得</w:t>
            </w:r>
            <w:r>
              <w:rPr>
                <w:rFonts w:ascii="宋体" w:eastAsia="宋体"/>
                <w:sz w:val="21"/>
              </w:rPr>
              <w:t xml:space="preserve"> 5 分；</w:t>
            </w:r>
          </w:p>
          <w:p>
            <w:pPr>
              <w:pStyle w:val="30"/>
              <w:tabs>
                <w:tab w:val="left" w:pos="425"/>
              </w:tabs>
              <w:spacing w:before="2"/>
              <w:jc w:val="both"/>
              <w:rPr>
                <w:rFonts w:ascii="宋体" w:eastAsia="宋体"/>
                <w:sz w:val="21"/>
              </w:rPr>
            </w:pPr>
            <w:r>
              <w:rPr>
                <w:rFonts w:hint="eastAsia" w:ascii="宋体" w:eastAsia="宋体"/>
                <w:sz w:val="21"/>
              </w:rPr>
              <w:t>培训方案详实合理且充分为甲方考虑，但没有有明确的预期培训成果得</w:t>
            </w:r>
            <w:r>
              <w:rPr>
                <w:rFonts w:ascii="宋体" w:eastAsia="宋体"/>
                <w:sz w:val="21"/>
              </w:rPr>
              <w:t xml:space="preserve"> 4 分</w:t>
            </w:r>
          </w:p>
          <w:p>
            <w:pPr>
              <w:pStyle w:val="30"/>
              <w:tabs>
                <w:tab w:val="left" w:pos="425"/>
              </w:tabs>
              <w:spacing w:before="2"/>
              <w:jc w:val="both"/>
              <w:rPr>
                <w:rFonts w:ascii="宋体" w:eastAsia="宋体"/>
                <w:sz w:val="21"/>
              </w:rPr>
            </w:pPr>
            <w:r>
              <w:rPr>
                <w:rFonts w:hint="eastAsia" w:ascii="宋体" w:eastAsia="宋体"/>
                <w:sz w:val="21"/>
              </w:rPr>
              <w:t>方案简单合理，但未从甲方角度出发得</w:t>
            </w:r>
            <w:r>
              <w:rPr>
                <w:rFonts w:ascii="宋体" w:eastAsia="宋体"/>
                <w:sz w:val="21"/>
              </w:rPr>
              <w:t xml:space="preserve"> 2 分；</w:t>
            </w:r>
          </w:p>
          <w:p>
            <w:pPr>
              <w:pStyle w:val="30"/>
              <w:tabs>
                <w:tab w:val="left" w:pos="425"/>
              </w:tabs>
              <w:spacing w:before="2"/>
              <w:jc w:val="both"/>
              <w:rPr>
                <w:rFonts w:ascii="宋体" w:eastAsia="宋体"/>
                <w:sz w:val="21"/>
              </w:rPr>
            </w:pPr>
            <w:r>
              <w:rPr>
                <w:rFonts w:hint="eastAsia" w:ascii="宋体" w:eastAsia="宋体"/>
                <w:sz w:val="21"/>
              </w:rPr>
              <w:t>方案有瑕疵的得</w:t>
            </w:r>
            <w:r>
              <w:rPr>
                <w:rFonts w:ascii="宋体" w:eastAsia="宋体"/>
                <w:sz w:val="21"/>
              </w:rPr>
              <w:t xml:space="preserve"> 1分，未提供不得分。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trPr>
        <w:tc>
          <w:tcPr>
            <w:tcW w:w="567" w:type="dxa"/>
            <w:vMerge w:val="continue"/>
          </w:tcPr>
          <w:p>
            <w:pPr>
              <w:pStyle w:val="30"/>
              <w:rPr>
                <w:rFonts w:ascii="宋体"/>
                <w:b/>
                <w:sz w:val="20"/>
              </w:rPr>
            </w:pPr>
          </w:p>
        </w:tc>
        <w:tc>
          <w:tcPr>
            <w:tcW w:w="1134" w:type="dxa"/>
            <w:vMerge w:val="continue"/>
          </w:tcPr>
          <w:p>
            <w:pPr>
              <w:pStyle w:val="30"/>
              <w:rPr>
                <w:rFonts w:ascii="宋体"/>
                <w:b/>
                <w:sz w:val="20"/>
              </w:rPr>
            </w:pPr>
          </w:p>
        </w:tc>
        <w:tc>
          <w:tcPr>
            <w:tcW w:w="993" w:type="dxa"/>
            <w:vMerge w:val="continue"/>
          </w:tcPr>
          <w:p>
            <w:pPr>
              <w:pStyle w:val="30"/>
              <w:rPr>
                <w:rFonts w:ascii="宋体"/>
                <w:b/>
                <w:sz w:val="20"/>
              </w:rPr>
            </w:pPr>
          </w:p>
        </w:tc>
        <w:tc>
          <w:tcPr>
            <w:tcW w:w="992" w:type="dxa"/>
            <w:vAlign w:val="center"/>
          </w:tcPr>
          <w:p>
            <w:pPr>
              <w:pStyle w:val="30"/>
              <w:jc w:val="center"/>
              <w:rPr>
                <w:rFonts w:ascii="宋体" w:hAnsi="宋体" w:eastAsia="宋体"/>
                <w:sz w:val="21"/>
              </w:rPr>
            </w:pPr>
            <w:r>
              <w:rPr>
                <w:rFonts w:hint="eastAsia" w:ascii="宋体" w:hAnsi="宋体" w:eastAsia="宋体"/>
                <w:sz w:val="21"/>
              </w:rPr>
              <w:t>投标文件的规范性</w:t>
            </w:r>
          </w:p>
          <w:p>
            <w:pPr>
              <w:pStyle w:val="30"/>
              <w:jc w:val="center"/>
              <w:rPr>
                <w:rFonts w:ascii="宋体" w:hAnsi="宋体" w:eastAsia="宋体"/>
                <w:sz w:val="21"/>
              </w:rPr>
            </w:pPr>
            <w:r>
              <w:rPr>
                <w:rFonts w:hint="eastAsia" w:ascii="宋体" w:hAnsi="宋体" w:eastAsia="宋体"/>
                <w:sz w:val="21"/>
              </w:rPr>
              <w:t>2分</w:t>
            </w:r>
          </w:p>
        </w:tc>
        <w:tc>
          <w:tcPr>
            <w:tcW w:w="6946" w:type="dxa"/>
            <w:vAlign w:val="center"/>
          </w:tcPr>
          <w:p>
            <w:pPr>
              <w:pStyle w:val="30"/>
              <w:tabs>
                <w:tab w:val="left" w:pos="425"/>
              </w:tabs>
              <w:spacing w:before="2"/>
              <w:rPr>
                <w:rFonts w:ascii="宋体" w:eastAsia="宋体"/>
                <w:sz w:val="21"/>
              </w:rPr>
            </w:pPr>
            <w:r>
              <w:rPr>
                <w:rFonts w:hint="eastAsia" w:ascii="宋体" w:eastAsia="宋体"/>
                <w:sz w:val="21"/>
              </w:rPr>
              <w:t>投标文件制作规范，得</w:t>
            </w:r>
            <w:r>
              <w:rPr>
                <w:rFonts w:ascii="宋体" w:eastAsia="宋体"/>
                <w:sz w:val="21"/>
              </w:rPr>
              <w:t>2分；有一项细微偏差扣0.5分，直至该项分值扣完为止。</w:t>
            </w:r>
          </w:p>
        </w:tc>
      </w:tr>
    </w:tbl>
    <w:p>
      <w:pPr>
        <w:pStyle w:val="29"/>
        <w:tabs>
          <w:tab w:val="left" w:pos="997"/>
        </w:tabs>
        <w:spacing w:before="209"/>
        <w:ind w:left="996" w:firstLine="0"/>
        <w:jc w:val="both"/>
        <w:rPr>
          <w:b/>
          <w:sz w:val="28"/>
        </w:rPr>
      </w:pPr>
      <w:r>
        <w:rPr>
          <w:b/>
          <w:sz w:val="28"/>
        </w:rPr>
        <w:t>评标方法</w:t>
      </w:r>
    </w:p>
    <w:p>
      <w:pPr>
        <w:pStyle w:val="12"/>
        <w:spacing w:before="183" w:line="364" w:lineRule="auto"/>
        <w:ind w:left="576" w:right="533" w:firstLine="480"/>
        <w:jc w:val="both"/>
      </w:pPr>
      <w:r>
        <w:t>本次评标采用综合评分法。评标委员会对满足招标文件实质性要求的投标文件，按照本章规定的评分标准进行打分，并按得分由高到低顺序推荐中标候选人，或根据采购人授权直接确定中标人，但投标报价低于其成本的除外。综合评分相等时，以投标报价低的优先；投标报价也相等的，由采购人自行确定。</w:t>
      </w:r>
    </w:p>
    <w:p>
      <w:pPr>
        <w:pStyle w:val="29"/>
        <w:numPr>
          <w:ilvl w:val="0"/>
          <w:numId w:val="6"/>
        </w:numPr>
        <w:tabs>
          <w:tab w:val="left" w:pos="997"/>
        </w:tabs>
        <w:spacing w:before="1"/>
        <w:ind w:hanging="421"/>
        <w:jc w:val="both"/>
        <w:rPr>
          <w:b/>
          <w:sz w:val="28"/>
        </w:rPr>
      </w:pPr>
      <w:bookmarkStart w:id="22" w:name="2._评审标准"/>
      <w:bookmarkEnd w:id="22"/>
      <w:r>
        <w:rPr>
          <w:b/>
          <w:sz w:val="28"/>
        </w:rPr>
        <w:t>评审标准</w:t>
      </w:r>
    </w:p>
    <w:p>
      <w:pPr>
        <w:pStyle w:val="29"/>
        <w:numPr>
          <w:ilvl w:val="1"/>
          <w:numId w:val="6"/>
        </w:numPr>
        <w:tabs>
          <w:tab w:val="left" w:pos="1057"/>
        </w:tabs>
        <w:spacing w:before="183"/>
        <w:ind w:hanging="481"/>
        <w:rPr>
          <w:sz w:val="24"/>
        </w:rPr>
      </w:pPr>
      <w:r>
        <w:rPr>
          <w:sz w:val="24"/>
        </w:rPr>
        <w:t>分值构成与评分标准</w:t>
      </w:r>
    </w:p>
    <w:p>
      <w:pPr>
        <w:pStyle w:val="29"/>
        <w:numPr>
          <w:ilvl w:val="2"/>
          <w:numId w:val="6"/>
        </w:numPr>
        <w:tabs>
          <w:tab w:val="left" w:pos="1715"/>
        </w:tabs>
        <w:spacing w:before="160"/>
        <w:ind w:hanging="661"/>
        <w:rPr>
          <w:sz w:val="24"/>
        </w:rPr>
      </w:pPr>
      <w:r>
        <w:rPr>
          <w:sz w:val="24"/>
        </w:rPr>
        <w:t>分值构成</w:t>
      </w:r>
    </w:p>
    <w:p>
      <w:pPr>
        <w:pStyle w:val="12"/>
        <w:spacing w:before="158"/>
        <w:ind w:left="1776"/>
      </w:pPr>
      <w:r>
        <w:t>见评标办法前附表。</w:t>
      </w:r>
    </w:p>
    <w:p>
      <w:pPr>
        <w:pStyle w:val="29"/>
        <w:numPr>
          <w:ilvl w:val="2"/>
          <w:numId w:val="6"/>
        </w:numPr>
        <w:tabs>
          <w:tab w:val="left" w:pos="1597"/>
        </w:tabs>
        <w:spacing w:before="161"/>
        <w:ind w:left="1596" w:hanging="661"/>
        <w:rPr>
          <w:sz w:val="24"/>
        </w:rPr>
      </w:pPr>
      <w:r>
        <w:rPr>
          <w:sz w:val="24"/>
        </w:rPr>
        <w:t>评分标准</w:t>
      </w:r>
    </w:p>
    <w:p>
      <w:pPr>
        <w:pStyle w:val="12"/>
        <w:spacing w:before="158"/>
        <w:ind w:left="1776"/>
      </w:pPr>
      <w:r>
        <w:t>见评标办法前附表。</w:t>
      </w:r>
    </w:p>
    <w:p>
      <w:pPr>
        <w:pStyle w:val="29"/>
        <w:numPr>
          <w:ilvl w:val="0"/>
          <w:numId w:val="6"/>
        </w:numPr>
        <w:tabs>
          <w:tab w:val="left" w:pos="997"/>
        </w:tabs>
        <w:spacing w:before="161"/>
        <w:ind w:hanging="421"/>
        <w:rPr>
          <w:b/>
          <w:sz w:val="28"/>
        </w:rPr>
      </w:pPr>
      <w:bookmarkStart w:id="23" w:name="3._评标程序"/>
      <w:bookmarkEnd w:id="23"/>
      <w:r>
        <w:rPr>
          <w:b/>
          <w:sz w:val="28"/>
        </w:rPr>
        <w:t>评标程序</w:t>
      </w:r>
    </w:p>
    <w:p>
      <w:pPr>
        <w:pStyle w:val="29"/>
        <w:numPr>
          <w:ilvl w:val="1"/>
          <w:numId w:val="6"/>
        </w:numPr>
        <w:tabs>
          <w:tab w:val="left" w:pos="1057"/>
        </w:tabs>
        <w:spacing w:before="186"/>
        <w:ind w:hanging="481"/>
        <w:rPr>
          <w:sz w:val="24"/>
        </w:rPr>
      </w:pPr>
      <w:r>
        <w:rPr>
          <w:sz w:val="24"/>
        </w:rPr>
        <w:t>初步评审</w:t>
      </w:r>
    </w:p>
    <w:p>
      <w:pPr>
        <w:pStyle w:val="29"/>
        <w:numPr>
          <w:ilvl w:val="2"/>
          <w:numId w:val="6"/>
        </w:numPr>
        <w:tabs>
          <w:tab w:val="left" w:pos="1795"/>
        </w:tabs>
        <w:spacing w:before="158" w:line="364" w:lineRule="auto"/>
        <w:ind w:left="576" w:right="533" w:firstLine="616"/>
        <w:rPr>
          <w:sz w:val="24"/>
        </w:rPr>
      </w:pPr>
      <w:r>
        <w:rPr>
          <w:spacing w:val="-2"/>
          <w:sz w:val="24"/>
        </w:rPr>
        <w:t>评标委员会根据招标文件规定对投标文件进行符合性审查。有一项不符合评审</w:t>
      </w:r>
      <w:r>
        <w:rPr>
          <w:sz w:val="24"/>
        </w:rPr>
        <w:t>标准的，作废标处理。</w:t>
      </w:r>
    </w:p>
    <w:p>
      <w:pPr>
        <w:pStyle w:val="29"/>
        <w:numPr>
          <w:ilvl w:val="2"/>
          <w:numId w:val="6"/>
        </w:numPr>
        <w:tabs>
          <w:tab w:val="left" w:pos="1914"/>
        </w:tabs>
        <w:spacing w:line="306" w:lineRule="exact"/>
        <w:ind w:left="1913" w:hanging="721"/>
        <w:rPr>
          <w:sz w:val="24"/>
        </w:rPr>
      </w:pPr>
      <w:r>
        <w:rPr>
          <w:sz w:val="24"/>
        </w:rPr>
        <w:t>供应商有以下情形之一的，其投标作废标处理：</w:t>
      </w:r>
    </w:p>
    <w:p>
      <w:pPr>
        <w:pStyle w:val="29"/>
        <w:numPr>
          <w:ilvl w:val="0"/>
          <w:numId w:val="7"/>
        </w:numPr>
        <w:tabs>
          <w:tab w:val="left" w:pos="1795"/>
        </w:tabs>
        <w:spacing w:before="160"/>
        <w:ind w:hanging="602"/>
        <w:rPr>
          <w:sz w:val="24"/>
        </w:rPr>
      </w:pPr>
      <w:r>
        <w:rPr>
          <w:sz w:val="24"/>
        </w:rPr>
        <w:t>串通投标或弄虚作假或有其他违法行为的。</w:t>
      </w:r>
    </w:p>
    <w:p>
      <w:pPr>
        <w:pStyle w:val="29"/>
        <w:numPr>
          <w:ilvl w:val="0"/>
          <w:numId w:val="7"/>
        </w:numPr>
        <w:tabs>
          <w:tab w:val="left" w:pos="1795"/>
        </w:tabs>
        <w:spacing w:before="161"/>
        <w:ind w:hanging="602"/>
        <w:rPr>
          <w:sz w:val="24"/>
        </w:rPr>
      </w:pPr>
      <w:r>
        <w:rPr>
          <w:sz w:val="24"/>
        </w:rPr>
        <w:t>不按评标委员会要求澄清、说明或补正的。</w:t>
      </w:r>
    </w:p>
    <w:p>
      <w:pPr>
        <w:pStyle w:val="29"/>
        <w:numPr>
          <w:ilvl w:val="2"/>
          <w:numId w:val="6"/>
        </w:numPr>
        <w:tabs>
          <w:tab w:val="left" w:pos="1914"/>
        </w:tabs>
        <w:spacing w:before="158" w:line="364" w:lineRule="auto"/>
        <w:ind w:left="576" w:right="527" w:firstLine="616"/>
        <w:rPr>
          <w:sz w:val="24"/>
        </w:rPr>
      </w:pPr>
      <w:r>
        <w:rPr>
          <w:sz w:val="24"/>
        </w:rPr>
        <w:t>投标报价有算术错误的，评标委员会按以下原则对投标报价进行修正，修正</w:t>
      </w:r>
      <w:r>
        <w:rPr>
          <w:spacing w:val="-1"/>
          <w:sz w:val="24"/>
        </w:rPr>
        <w:t>的价格经供应商书面确认后具有约束力。供应商不接受修正价格的，其投标作废标处理。</w:t>
      </w:r>
    </w:p>
    <w:p>
      <w:pPr>
        <w:pStyle w:val="29"/>
        <w:numPr>
          <w:ilvl w:val="0"/>
          <w:numId w:val="8"/>
        </w:numPr>
        <w:tabs>
          <w:tab w:val="left" w:pos="1795"/>
        </w:tabs>
        <w:spacing w:line="306" w:lineRule="exact"/>
        <w:ind w:hanging="602"/>
        <w:rPr>
          <w:sz w:val="24"/>
        </w:rPr>
      </w:pPr>
      <w:r>
        <w:rPr>
          <w:sz w:val="24"/>
        </w:rPr>
        <w:t>投标文件中的大写金额与小写金额不一致的，以大写金额为准；</w:t>
      </w:r>
    </w:p>
    <w:p>
      <w:pPr>
        <w:pStyle w:val="29"/>
        <w:numPr>
          <w:ilvl w:val="0"/>
          <w:numId w:val="8"/>
        </w:numPr>
        <w:tabs>
          <w:tab w:val="left" w:pos="1795"/>
        </w:tabs>
        <w:spacing w:before="160" w:line="362" w:lineRule="auto"/>
        <w:ind w:left="576" w:right="533" w:firstLine="616"/>
        <w:rPr>
          <w:sz w:val="24"/>
        </w:rPr>
      </w:pPr>
      <w:r>
        <w:rPr>
          <w:spacing w:val="-3"/>
          <w:sz w:val="24"/>
        </w:rPr>
        <w:t>总价金额与依据单价计算出的结果不一致的，以单价金额为准修正总价，但单</w:t>
      </w:r>
      <w:r>
        <w:rPr>
          <w:sz w:val="24"/>
        </w:rPr>
        <w:t>价金额小数点有明显错误的除外。</w:t>
      </w:r>
    </w:p>
    <w:p>
      <w:pPr>
        <w:pStyle w:val="29"/>
        <w:numPr>
          <w:ilvl w:val="1"/>
          <w:numId w:val="6"/>
        </w:numPr>
        <w:tabs>
          <w:tab w:val="left" w:pos="1057"/>
        </w:tabs>
        <w:spacing w:before="5"/>
        <w:ind w:hanging="481"/>
        <w:rPr>
          <w:sz w:val="24"/>
        </w:rPr>
      </w:pPr>
      <w:r>
        <w:rPr>
          <w:sz w:val="24"/>
        </w:rPr>
        <w:t>详细评审</w:t>
      </w:r>
    </w:p>
    <w:p>
      <w:pPr>
        <w:pStyle w:val="29"/>
        <w:tabs>
          <w:tab w:val="left" w:pos="1914"/>
        </w:tabs>
        <w:spacing w:before="158"/>
        <w:ind w:left="1913" w:firstLine="0"/>
        <w:rPr>
          <w:sz w:val="24"/>
        </w:rPr>
      </w:pPr>
      <w:r>
        <w:rPr>
          <w:sz w:val="24"/>
        </w:rPr>
        <w:t>评标委员会按本章第2.1 款规定的量化因素和分值进行打分，并计算出综合</w:t>
      </w:r>
    </w:p>
    <w:p>
      <w:pPr>
        <w:pStyle w:val="12"/>
        <w:spacing w:before="161"/>
        <w:ind w:left="576"/>
      </w:pPr>
      <w:r>
        <w:t>评估</w:t>
      </w:r>
    </w:p>
    <w:p>
      <w:pPr>
        <w:pStyle w:val="29"/>
        <w:numPr>
          <w:ilvl w:val="2"/>
          <w:numId w:val="6"/>
        </w:numPr>
        <w:tabs>
          <w:tab w:val="left" w:pos="1914"/>
        </w:tabs>
        <w:spacing w:before="158"/>
        <w:ind w:left="1913" w:hanging="721"/>
        <w:rPr>
          <w:sz w:val="24"/>
        </w:rPr>
      </w:pPr>
      <w:r>
        <w:rPr>
          <w:sz w:val="24"/>
        </w:rPr>
        <w:t>评分分值计算保留小数点后两位，小数点后第三位“四舍五入”。</w:t>
      </w:r>
    </w:p>
    <w:p>
      <w:pPr>
        <w:pStyle w:val="29"/>
        <w:numPr>
          <w:ilvl w:val="2"/>
          <w:numId w:val="6"/>
        </w:numPr>
        <w:tabs>
          <w:tab w:val="left" w:pos="1914"/>
        </w:tabs>
        <w:spacing w:before="160"/>
        <w:ind w:left="1913" w:hanging="721"/>
        <w:rPr>
          <w:sz w:val="24"/>
        </w:rPr>
      </w:pPr>
      <w:r>
        <w:rPr>
          <w:sz w:val="24"/>
        </w:rPr>
        <w:t>评标委员会发现供应商的报价明显低于其他投标报价，或者在设有标底时明</w:t>
      </w:r>
    </w:p>
    <w:p>
      <w:pPr>
        <w:pStyle w:val="12"/>
        <w:spacing w:before="158" w:line="364" w:lineRule="auto"/>
        <w:ind w:left="576" w:right="533"/>
        <w:rPr>
          <w:sz w:val="28"/>
        </w:rPr>
      </w:pPr>
      <w:r>
        <w:t>显低于标底，使得其投标报价可能低于其个别成本的，应当要求该供应商作出书面说明并提供相应的证明材料。供应商不能合理说明或者不能提供相应证明材料的，由评标委员会</w:t>
      </w:r>
    </w:p>
    <w:p>
      <w:pPr>
        <w:pStyle w:val="12"/>
        <w:spacing w:before="66"/>
        <w:ind w:left="576"/>
      </w:pPr>
      <w:r>
        <w:t>认定该供应商以低于成本报价竞标，其投标作废标处理。</w:t>
      </w:r>
    </w:p>
    <w:p>
      <w:pPr>
        <w:pStyle w:val="29"/>
        <w:numPr>
          <w:ilvl w:val="1"/>
          <w:numId w:val="6"/>
        </w:numPr>
        <w:tabs>
          <w:tab w:val="left" w:pos="1057"/>
        </w:tabs>
        <w:spacing w:before="161"/>
        <w:ind w:hanging="481"/>
        <w:rPr>
          <w:sz w:val="24"/>
        </w:rPr>
      </w:pPr>
      <w:r>
        <w:rPr>
          <w:sz w:val="24"/>
        </w:rPr>
        <w:t>投标文件的澄清和补正</w:t>
      </w:r>
    </w:p>
    <w:p>
      <w:pPr>
        <w:pStyle w:val="29"/>
        <w:numPr>
          <w:ilvl w:val="2"/>
          <w:numId w:val="6"/>
        </w:numPr>
        <w:tabs>
          <w:tab w:val="left" w:pos="1914"/>
        </w:tabs>
        <w:spacing w:before="158" w:line="364" w:lineRule="auto"/>
        <w:ind w:left="576" w:right="533" w:firstLine="616"/>
        <w:rPr>
          <w:sz w:val="24"/>
        </w:rPr>
      </w:pPr>
      <w:r>
        <w:rPr>
          <w:sz w:val="24"/>
        </w:rPr>
        <w:t>在评标过程中，评标委员会可以书面形式要求供应商对所提交投标文件中不</w:t>
      </w:r>
      <w:r>
        <w:rPr>
          <w:spacing w:val="-3"/>
          <w:sz w:val="24"/>
        </w:rPr>
        <w:t>明确的内容进行书面澄清或说明，或者对细微偏差进行补正。评标委员会不接受供应商主</w:t>
      </w:r>
      <w:r>
        <w:rPr>
          <w:sz w:val="24"/>
        </w:rPr>
        <w:t>动提出的澄清、说明或补正。</w:t>
      </w:r>
    </w:p>
    <w:p>
      <w:pPr>
        <w:pStyle w:val="29"/>
        <w:numPr>
          <w:ilvl w:val="2"/>
          <w:numId w:val="6"/>
        </w:numPr>
        <w:tabs>
          <w:tab w:val="left" w:pos="1914"/>
        </w:tabs>
        <w:spacing w:line="364" w:lineRule="auto"/>
        <w:ind w:left="576" w:right="413" w:firstLine="616"/>
        <w:rPr>
          <w:sz w:val="24"/>
        </w:rPr>
      </w:pPr>
      <w:r>
        <w:rPr>
          <w:spacing w:val="-12"/>
          <w:sz w:val="24"/>
        </w:rPr>
        <w:t>澄清、说明和补正不得改变投标文件的实质性内容</w:t>
      </w:r>
      <w:r>
        <w:rPr>
          <w:sz w:val="24"/>
        </w:rPr>
        <w:t>（算术性错误修正的除外</w:t>
      </w:r>
      <w:r>
        <w:rPr>
          <w:spacing w:val="-120"/>
          <w:sz w:val="24"/>
        </w:rPr>
        <w:t>）</w:t>
      </w:r>
      <w:r>
        <w:rPr>
          <w:spacing w:val="-17"/>
          <w:sz w:val="24"/>
        </w:rPr>
        <w:t>。</w:t>
      </w:r>
      <w:r>
        <w:rPr>
          <w:sz w:val="24"/>
        </w:rPr>
        <w:t>供应商的书面澄清、说明和补正属于投标文件的组成部分。</w:t>
      </w:r>
    </w:p>
    <w:p>
      <w:pPr>
        <w:pStyle w:val="29"/>
        <w:numPr>
          <w:ilvl w:val="2"/>
          <w:numId w:val="6"/>
        </w:numPr>
        <w:tabs>
          <w:tab w:val="left" w:pos="1914"/>
        </w:tabs>
        <w:spacing w:line="364" w:lineRule="auto"/>
        <w:ind w:left="576" w:right="630" w:firstLine="616"/>
        <w:rPr>
          <w:sz w:val="24"/>
        </w:rPr>
      </w:pPr>
      <w:r>
        <w:rPr>
          <w:spacing w:val="-1"/>
          <w:sz w:val="24"/>
        </w:rPr>
        <w:t>评标委员会对供应商提交的澄清、说明或补正有疑问的，可以要求供应商进</w:t>
      </w:r>
      <w:r>
        <w:rPr>
          <w:sz w:val="24"/>
        </w:rPr>
        <w:t>一步澄清、说明或补正，直至满足评标委员会的要求。</w:t>
      </w:r>
    </w:p>
    <w:p>
      <w:pPr>
        <w:pStyle w:val="29"/>
        <w:numPr>
          <w:ilvl w:val="1"/>
          <w:numId w:val="6"/>
        </w:numPr>
        <w:tabs>
          <w:tab w:val="left" w:pos="1057"/>
        </w:tabs>
        <w:spacing w:line="306" w:lineRule="exact"/>
        <w:ind w:hanging="481"/>
        <w:rPr>
          <w:sz w:val="24"/>
        </w:rPr>
      </w:pPr>
      <w:r>
        <w:rPr>
          <w:sz w:val="24"/>
        </w:rPr>
        <w:t>评标结果</w:t>
      </w:r>
    </w:p>
    <w:p>
      <w:pPr>
        <w:pStyle w:val="29"/>
        <w:numPr>
          <w:ilvl w:val="2"/>
          <w:numId w:val="6"/>
        </w:numPr>
        <w:tabs>
          <w:tab w:val="left" w:pos="1914"/>
        </w:tabs>
        <w:spacing w:before="156" w:line="364" w:lineRule="auto"/>
        <w:ind w:left="576" w:right="630" w:firstLine="616"/>
        <w:rPr>
          <w:b/>
          <w:sz w:val="24"/>
        </w:rPr>
      </w:pPr>
      <w:r>
        <w:rPr>
          <w:spacing w:val="-1"/>
          <w:sz w:val="24"/>
        </w:rPr>
        <w:t>除第二章“供应商须知”前附表授权直接确定中标人外，评标委员会按照得</w:t>
      </w:r>
      <w:r>
        <w:rPr>
          <w:sz w:val="24"/>
        </w:rPr>
        <w:t>分由高到低的顺序推荐中标候选人</w:t>
      </w:r>
      <w:r>
        <w:rPr>
          <w:b/>
          <w:sz w:val="24"/>
        </w:rPr>
        <w:t>。</w:t>
      </w:r>
    </w:p>
    <w:p>
      <w:pPr>
        <w:pStyle w:val="29"/>
        <w:numPr>
          <w:ilvl w:val="2"/>
          <w:numId w:val="6"/>
        </w:numPr>
        <w:tabs>
          <w:tab w:val="left" w:pos="1914"/>
        </w:tabs>
        <w:spacing w:before="1"/>
        <w:ind w:left="1913" w:hanging="721"/>
        <w:rPr>
          <w:sz w:val="24"/>
        </w:rPr>
      </w:pPr>
      <w:r>
        <w:rPr>
          <w:sz w:val="24"/>
        </w:rPr>
        <w:t>评标委员会完成评标后，应当向采购人提交书面评标报告。</w:t>
      </w:r>
    </w:p>
    <w:p>
      <w:pPr>
        <w:rPr>
          <w:sz w:val="24"/>
        </w:rPr>
      </w:pPr>
    </w:p>
    <w:p>
      <w:pPr>
        <w:pStyle w:val="12"/>
        <w:rPr>
          <w:sz w:val="20"/>
        </w:rPr>
      </w:pPr>
    </w:p>
    <w:p>
      <w:pPr>
        <w:spacing w:line="922" w:lineRule="exact"/>
        <w:ind w:left="98"/>
        <w:jc w:val="center"/>
        <w:rPr>
          <w:rFonts w:ascii="宋体" w:eastAsia="宋体"/>
          <w:b/>
          <w:sz w:val="36"/>
        </w:rPr>
      </w:pPr>
      <w:bookmarkStart w:id="24" w:name="第五章_合同条款及格式"/>
      <w:bookmarkEnd w:id="24"/>
    </w:p>
    <w:p>
      <w:pPr>
        <w:spacing w:line="922" w:lineRule="exact"/>
        <w:ind w:left="98"/>
        <w:jc w:val="center"/>
        <w:rPr>
          <w:rFonts w:ascii="宋体" w:eastAsia="宋体"/>
          <w:b/>
          <w:sz w:val="36"/>
        </w:rPr>
      </w:pPr>
    </w:p>
    <w:p>
      <w:pPr>
        <w:spacing w:line="922" w:lineRule="exact"/>
        <w:ind w:left="98"/>
        <w:jc w:val="center"/>
        <w:rPr>
          <w:rFonts w:ascii="宋体" w:eastAsia="宋体"/>
          <w:b/>
          <w:sz w:val="36"/>
        </w:rPr>
      </w:pPr>
    </w:p>
    <w:p>
      <w:pPr>
        <w:spacing w:line="922" w:lineRule="exact"/>
        <w:ind w:left="98"/>
        <w:jc w:val="center"/>
        <w:rPr>
          <w:rFonts w:ascii="宋体" w:eastAsia="宋体"/>
          <w:b/>
          <w:sz w:val="36"/>
        </w:rPr>
      </w:pPr>
    </w:p>
    <w:p>
      <w:pPr>
        <w:spacing w:line="922" w:lineRule="exact"/>
        <w:ind w:left="98"/>
        <w:jc w:val="center"/>
        <w:rPr>
          <w:rFonts w:ascii="宋体" w:eastAsia="宋体"/>
          <w:b/>
          <w:sz w:val="36"/>
        </w:rPr>
      </w:pPr>
    </w:p>
    <w:p>
      <w:pPr>
        <w:spacing w:line="922" w:lineRule="exact"/>
        <w:ind w:left="98"/>
        <w:jc w:val="center"/>
        <w:rPr>
          <w:rFonts w:ascii="宋体" w:eastAsia="宋体"/>
          <w:b/>
          <w:sz w:val="36"/>
        </w:rPr>
      </w:pPr>
    </w:p>
    <w:p>
      <w:pPr>
        <w:spacing w:line="922" w:lineRule="exact"/>
        <w:ind w:left="98"/>
        <w:jc w:val="center"/>
        <w:rPr>
          <w:rFonts w:ascii="宋体" w:eastAsia="宋体"/>
          <w:b/>
          <w:sz w:val="36"/>
        </w:rPr>
      </w:pPr>
    </w:p>
    <w:p>
      <w:pPr>
        <w:spacing w:line="922" w:lineRule="exact"/>
        <w:ind w:left="98"/>
        <w:jc w:val="center"/>
        <w:rPr>
          <w:rFonts w:ascii="宋体" w:eastAsia="宋体"/>
          <w:b/>
          <w:sz w:val="36"/>
        </w:rPr>
      </w:pPr>
    </w:p>
    <w:p>
      <w:pPr>
        <w:spacing w:line="922" w:lineRule="exact"/>
        <w:ind w:left="98"/>
        <w:jc w:val="center"/>
        <w:rPr>
          <w:rFonts w:ascii="宋体" w:eastAsia="宋体"/>
          <w:b/>
          <w:sz w:val="36"/>
        </w:rPr>
      </w:pPr>
    </w:p>
    <w:p>
      <w:pPr>
        <w:spacing w:line="922" w:lineRule="exact"/>
        <w:ind w:left="98"/>
        <w:jc w:val="center"/>
        <w:rPr>
          <w:rFonts w:ascii="宋体" w:eastAsia="宋体"/>
          <w:b/>
          <w:sz w:val="36"/>
        </w:rPr>
      </w:pPr>
    </w:p>
    <w:p>
      <w:pPr>
        <w:spacing w:line="922" w:lineRule="exact"/>
        <w:ind w:left="98"/>
        <w:jc w:val="center"/>
        <w:rPr>
          <w:rFonts w:ascii="宋体" w:eastAsia="宋体"/>
          <w:b/>
          <w:sz w:val="36"/>
        </w:rPr>
      </w:pPr>
      <w:r>
        <w:rPr>
          <w:rFonts w:hint="eastAsia" w:ascii="宋体" w:eastAsia="宋体"/>
          <w:b/>
          <w:sz w:val="36"/>
        </w:rPr>
        <w:t>第五章 合同条款及格式</w:t>
      </w:r>
    </w:p>
    <w:p>
      <w:pPr>
        <w:widowControl/>
        <w:jc w:val="center"/>
        <w:rPr>
          <w:rFonts w:ascii="Times New Roman" w:hAnsi="Times New Roman"/>
          <w:b/>
          <w:sz w:val="52"/>
        </w:rPr>
      </w:pPr>
    </w:p>
    <w:p>
      <w:pPr>
        <w:widowControl/>
        <w:jc w:val="center"/>
        <w:rPr>
          <w:rFonts w:ascii="Times New Roman" w:hAnsi="Times New Roman"/>
          <w:b/>
          <w:sz w:val="52"/>
        </w:rPr>
      </w:pPr>
    </w:p>
    <w:p>
      <w:pPr>
        <w:widowControl/>
        <w:jc w:val="center"/>
        <w:rPr>
          <w:rFonts w:ascii="Times New Roman" w:hAnsi="Times New Roman"/>
          <w:b/>
          <w:sz w:val="52"/>
        </w:rPr>
      </w:pPr>
    </w:p>
    <w:p>
      <w:pPr>
        <w:widowControl/>
        <w:jc w:val="center"/>
        <w:rPr>
          <w:rFonts w:ascii="Times New Roman" w:hAnsi="Times New Roman"/>
          <w:b/>
          <w:sz w:val="52"/>
        </w:rPr>
      </w:pPr>
    </w:p>
    <w:p>
      <w:pPr>
        <w:widowControl/>
        <w:jc w:val="center"/>
        <w:rPr>
          <w:rFonts w:ascii="黑体" w:hAnsi="黑体" w:eastAsia="黑体"/>
          <w:b/>
          <w:sz w:val="52"/>
        </w:rPr>
      </w:pPr>
      <w:r>
        <w:rPr>
          <w:rFonts w:ascii="黑体" w:hAnsi="黑体" w:eastAsia="黑体"/>
          <w:b/>
          <w:sz w:val="52"/>
        </w:rPr>
        <w:t>中  标  经  济  合  同</w:t>
      </w:r>
    </w:p>
    <w:p>
      <w:pPr>
        <w:widowControl/>
        <w:jc w:val="center"/>
        <w:rPr>
          <w:rFonts w:ascii="Times New Roman" w:hAnsi="Times New Roman"/>
          <w:sz w:val="32"/>
        </w:rPr>
      </w:pPr>
    </w:p>
    <w:p>
      <w:pPr>
        <w:widowControl/>
        <w:jc w:val="center"/>
        <w:rPr>
          <w:rFonts w:ascii="Times New Roman" w:hAnsi="Times New Roman"/>
          <w:sz w:val="32"/>
        </w:rPr>
      </w:pPr>
    </w:p>
    <w:p>
      <w:pPr>
        <w:widowControl/>
        <w:jc w:val="center"/>
        <w:rPr>
          <w:rFonts w:ascii="Times New Roman" w:hAnsi="Times New Roman"/>
          <w:sz w:val="32"/>
        </w:rPr>
      </w:pPr>
    </w:p>
    <w:p>
      <w:pPr>
        <w:widowControl/>
        <w:spacing w:line="360" w:lineRule="auto"/>
        <w:ind w:left="1981" w:hanging="1980" w:hangingChars="619"/>
        <w:rPr>
          <w:rFonts w:asciiTheme="majorEastAsia" w:hAnsiTheme="majorEastAsia" w:eastAsiaTheme="majorEastAsia"/>
          <w:sz w:val="32"/>
        </w:rPr>
      </w:pPr>
      <w:r>
        <w:rPr>
          <w:rFonts w:asciiTheme="majorEastAsia" w:hAnsiTheme="majorEastAsia" w:eastAsiaTheme="majorEastAsia"/>
          <w:sz w:val="32"/>
        </w:rPr>
        <w:t xml:space="preserve">   项目名称：</w:t>
      </w:r>
      <w:r>
        <w:rPr>
          <w:rFonts w:hint="eastAsia" w:asciiTheme="majorEastAsia" w:hAnsiTheme="majorEastAsia" w:eastAsiaTheme="majorEastAsia"/>
          <w:sz w:val="32"/>
        </w:rPr>
        <w:t>水区中小学信息化建设水平优化提升项目</w:t>
      </w:r>
    </w:p>
    <w:p>
      <w:pPr>
        <w:widowControl/>
        <w:spacing w:line="360" w:lineRule="auto"/>
        <w:ind w:left="1981" w:hanging="1980" w:hangingChars="619"/>
        <w:rPr>
          <w:rFonts w:asciiTheme="majorEastAsia" w:hAnsiTheme="majorEastAsia" w:eastAsiaTheme="majorEastAsia"/>
          <w:sz w:val="32"/>
        </w:rPr>
      </w:pPr>
    </w:p>
    <w:p>
      <w:pPr>
        <w:widowControl/>
        <w:spacing w:line="360" w:lineRule="auto"/>
        <w:ind w:left="420"/>
        <w:rPr>
          <w:rFonts w:asciiTheme="majorEastAsia" w:hAnsiTheme="majorEastAsia" w:eastAsiaTheme="majorEastAsia"/>
          <w:sz w:val="32"/>
        </w:rPr>
      </w:pPr>
      <w:r>
        <w:rPr>
          <w:rFonts w:asciiTheme="majorEastAsia" w:hAnsiTheme="majorEastAsia" w:eastAsiaTheme="majorEastAsia"/>
          <w:sz w:val="32"/>
        </w:rPr>
        <w:t>项目编号：XJPCFW2020-042</w:t>
      </w:r>
      <w:r>
        <w:rPr>
          <w:rFonts w:hint="eastAsia" w:asciiTheme="majorEastAsia" w:hAnsiTheme="majorEastAsia" w:eastAsiaTheme="majorEastAsia"/>
          <w:sz w:val="32"/>
        </w:rPr>
        <w:t xml:space="preserve"> </w:t>
      </w:r>
    </w:p>
    <w:p>
      <w:pPr>
        <w:widowControl/>
        <w:rPr>
          <w:rFonts w:asciiTheme="majorEastAsia" w:hAnsiTheme="majorEastAsia" w:eastAsiaTheme="majorEastAsia"/>
          <w:sz w:val="32"/>
        </w:rPr>
      </w:pPr>
    </w:p>
    <w:p>
      <w:pPr>
        <w:widowControl/>
        <w:rPr>
          <w:rFonts w:asciiTheme="majorEastAsia" w:hAnsiTheme="majorEastAsia" w:eastAsiaTheme="majorEastAsia"/>
          <w:sz w:val="32"/>
        </w:rPr>
      </w:pPr>
    </w:p>
    <w:p>
      <w:pPr>
        <w:widowControl/>
        <w:jc w:val="center"/>
        <w:rPr>
          <w:rFonts w:asciiTheme="majorEastAsia" w:hAnsiTheme="majorEastAsia" w:eastAsiaTheme="majorEastAsia"/>
          <w:sz w:val="32"/>
        </w:rPr>
      </w:pPr>
    </w:p>
    <w:p>
      <w:pPr>
        <w:widowControl/>
        <w:jc w:val="center"/>
        <w:rPr>
          <w:rFonts w:asciiTheme="majorEastAsia" w:hAnsiTheme="majorEastAsia" w:eastAsiaTheme="majorEastAsia"/>
          <w:sz w:val="32"/>
        </w:rPr>
      </w:pPr>
    </w:p>
    <w:p>
      <w:pPr>
        <w:widowControl/>
        <w:jc w:val="center"/>
        <w:rPr>
          <w:rFonts w:asciiTheme="majorEastAsia" w:hAnsiTheme="majorEastAsia" w:eastAsiaTheme="majorEastAsia"/>
          <w:sz w:val="32"/>
        </w:rPr>
      </w:pPr>
    </w:p>
    <w:p>
      <w:pPr>
        <w:widowControl/>
        <w:spacing w:line="276" w:lineRule="auto"/>
        <w:rPr>
          <w:rFonts w:asciiTheme="majorEastAsia" w:hAnsiTheme="majorEastAsia" w:eastAsiaTheme="majorEastAsia"/>
          <w:sz w:val="32"/>
        </w:rPr>
      </w:pPr>
      <w:r>
        <w:rPr>
          <w:rFonts w:asciiTheme="majorEastAsia" w:hAnsiTheme="majorEastAsia" w:eastAsiaTheme="majorEastAsia"/>
          <w:sz w:val="32"/>
        </w:rPr>
        <w:t xml:space="preserve">        </w:t>
      </w:r>
      <w:r>
        <w:rPr>
          <w:rFonts w:hint="eastAsia" w:asciiTheme="majorEastAsia" w:hAnsiTheme="majorEastAsia" w:eastAsiaTheme="majorEastAsia"/>
          <w:sz w:val="32"/>
        </w:rPr>
        <w:t xml:space="preserve"> </w:t>
      </w:r>
      <w:r>
        <w:rPr>
          <w:rFonts w:asciiTheme="majorEastAsia" w:hAnsiTheme="majorEastAsia" w:eastAsiaTheme="majorEastAsia"/>
          <w:sz w:val="32"/>
        </w:rPr>
        <w:t>甲方：乌鲁木齐市水磨沟区教育局</w:t>
      </w:r>
    </w:p>
    <w:p>
      <w:pPr>
        <w:widowControl/>
        <w:spacing w:line="276" w:lineRule="auto"/>
        <w:rPr>
          <w:rFonts w:asciiTheme="majorEastAsia" w:hAnsiTheme="majorEastAsia" w:eastAsiaTheme="majorEastAsia"/>
          <w:sz w:val="28"/>
        </w:rPr>
      </w:pPr>
      <w:r>
        <w:rPr>
          <w:rFonts w:asciiTheme="majorEastAsia" w:hAnsiTheme="majorEastAsia" w:eastAsiaTheme="majorEastAsia"/>
          <w:sz w:val="32"/>
        </w:rPr>
        <w:t xml:space="preserve">        </w:t>
      </w:r>
      <w:r>
        <w:rPr>
          <w:rFonts w:hint="eastAsia" w:asciiTheme="majorEastAsia" w:hAnsiTheme="majorEastAsia" w:eastAsiaTheme="majorEastAsia"/>
          <w:sz w:val="32"/>
        </w:rPr>
        <w:t xml:space="preserve"> </w:t>
      </w:r>
      <w:r>
        <w:rPr>
          <w:rFonts w:asciiTheme="majorEastAsia" w:hAnsiTheme="majorEastAsia" w:eastAsiaTheme="majorEastAsia"/>
          <w:sz w:val="32"/>
        </w:rPr>
        <w:t>乙方：</w:t>
      </w:r>
      <w:r>
        <w:rPr>
          <w:rFonts w:asciiTheme="majorEastAsia" w:hAnsiTheme="majorEastAsia" w:eastAsiaTheme="majorEastAsia"/>
          <w:sz w:val="28"/>
        </w:rPr>
        <w:t xml:space="preserve">         </w:t>
      </w:r>
    </w:p>
    <w:p>
      <w:pPr>
        <w:widowControl/>
        <w:spacing w:line="276" w:lineRule="auto"/>
        <w:ind w:firstLine="1400" w:firstLineChars="500"/>
        <w:rPr>
          <w:rFonts w:asciiTheme="majorEastAsia" w:hAnsiTheme="majorEastAsia" w:eastAsiaTheme="majorEastAsia"/>
          <w:sz w:val="28"/>
          <w:u w:val="single"/>
        </w:rPr>
      </w:pPr>
      <w:r>
        <w:rPr>
          <w:rFonts w:asciiTheme="majorEastAsia" w:hAnsiTheme="majorEastAsia" w:eastAsiaTheme="majorEastAsia"/>
          <w:sz w:val="28"/>
        </w:rPr>
        <w:t>签署地点：</w:t>
      </w:r>
      <w:r>
        <w:rPr>
          <w:rFonts w:asciiTheme="majorEastAsia" w:hAnsiTheme="majorEastAsia" w:eastAsiaTheme="majorEastAsia"/>
          <w:sz w:val="28"/>
          <w:u w:val="single"/>
        </w:rPr>
        <w:t xml:space="preserve">   乌鲁木齐市水磨沟区温泉西路131号    </w:t>
      </w:r>
    </w:p>
    <w:p>
      <w:pPr>
        <w:widowControl/>
        <w:spacing w:line="276" w:lineRule="auto"/>
        <w:rPr>
          <w:rFonts w:asciiTheme="majorEastAsia" w:hAnsiTheme="majorEastAsia" w:eastAsiaTheme="majorEastAsia"/>
          <w:sz w:val="28"/>
        </w:rPr>
      </w:pPr>
      <w:r>
        <w:rPr>
          <w:rFonts w:asciiTheme="majorEastAsia" w:hAnsiTheme="majorEastAsia" w:eastAsiaTheme="majorEastAsia"/>
          <w:sz w:val="28"/>
        </w:rPr>
        <w:t xml:space="preserve">         </w:t>
      </w:r>
      <w:r>
        <w:rPr>
          <w:rFonts w:hint="eastAsia" w:asciiTheme="majorEastAsia" w:hAnsiTheme="majorEastAsia" w:eastAsiaTheme="majorEastAsia"/>
          <w:sz w:val="28"/>
        </w:rPr>
        <w:t xml:space="preserve"> </w:t>
      </w:r>
      <w:r>
        <w:rPr>
          <w:rFonts w:asciiTheme="majorEastAsia" w:hAnsiTheme="majorEastAsia" w:eastAsiaTheme="majorEastAsia"/>
          <w:sz w:val="28"/>
        </w:rPr>
        <w:t>签署日期：</w:t>
      </w:r>
      <w:r>
        <w:rPr>
          <w:rFonts w:asciiTheme="majorEastAsia" w:hAnsiTheme="majorEastAsia" w:eastAsiaTheme="majorEastAsia"/>
          <w:sz w:val="28"/>
          <w:u w:val="single"/>
        </w:rPr>
        <w:t xml:space="preserve">       20</w:t>
      </w:r>
      <w:r>
        <w:rPr>
          <w:rFonts w:hint="eastAsia" w:asciiTheme="majorEastAsia" w:hAnsiTheme="majorEastAsia" w:eastAsiaTheme="majorEastAsia"/>
          <w:sz w:val="28"/>
          <w:u w:val="single"/>
        </w:rPr>
        <w:t>20</w:t>
      </w:r>
      <w:r>
        <w:rPr>
          <w:rFonts w:asciiTheme="majorEastAsia" w:hAnsiTheme="majorEastAsia" w:eastAsiaTheme="majorEastAsia"/>
          <w:sz w:val="28"/>
          <w:u w:val="single"/>
        </w:rPr>
        <w:t>年</w:t>
      </w:r>
      <w:r>
        <w:rPr>
          <w:rFonts w:hint="eastAsia" w:asciiTheme="majorEastAsia" w:hAnsiTheme="majorEastAsia" w:eastAsiaTheme="majorEastAsia"/>
          <w:sz w:val="28"/>
          <w:u w:val="single"/>
        </w:rPr>
        <w:t>11</w:t>
      </w:r>
      <w:r>
        <w:rPr>
          <w:rFonts w:asciiTheme="majorEastAsia" w:hAnsiTheme="majorEastAsia" w:eastAsiaTheme="majorEastAsia"/>
          <w:sz w:val="28"/>
          <w:u w:val="single"/>
        </w:rPr>
        <w:t xml:space="preserve">月        </w:t>
      </w:r>
    </w:p>
    <w:p>
      <w:pPr>
        <w:widowControl/>
        <w:rPr>
          <w:rFonts w:ascii="Times New Roman" w:hAnsi="Times New Roman"/>
          <w:sz w:val="32"/>
        </w:rPr>
      </w:pPr>
    </w:p>
    <w:p>
      <w:pPr>
        <w:widowControl/>
        <w:rPr>
          <w:rFonts w:ascii="Times New Roman" w:hAnsi="Times New Roman"/>
          <w:sz w:val="32"/>
        </w:rPr>
      </w:pPr>
    </w:p>
    <w:p>
      <w:pPr>
        <w:widowControl/>
        <w:rPr>
          <w:rFonts w:ascii="Times New Roman" w:hAnsi="Times New Roman"/>
          <w:sz w:val="28"/>
        </w:rPr>
      </w:pPr>
    </w:p>
    <w:p>
      <w:pPr>
        <w:widowControl/>
        <w:spacing w:line="360" w:lineRule="auto"/>
        <w:rPr>
          <w:rFonts w:ascii="Times New Roman" w:hAnsi="Times New Roman"/>
          <w:b/>
          <w:sz w:val="44"/>
        </w:rPr>
      </w:pPr>
    </w:p>
    <w:p>
      <w:pPr>
        <w:widowControl/>
        <w:spacing w:line="360" w:lineRule="auto"/>
        <w:rPr>
          <w:rFonts w:ascii="Times New Roman" w:hAnsi="Times New Roman"/>
          <w:b/>
          <w:sz w:val="44"/>
        </w:rPr>
      </w:pPr>
    </w:p>
    <w:p>
      <w:pPr>
        <w:widowControl/>
        <w:spacing w:line="360" w:lineRule="auto"/>
        <w:rPr>
          <w:rFonts w:ascii="Times New Roman" w:hAnsi="Times New Roman"/>
          <w:b/>
          <w:sz w:val="44"/>
        </w:rPr>
      </w:pPr>
    </w:p>
    <w:p>
      <w:pPr>
        <w:widowControl/>
        <w:spacing w:line="360" w:lineRule="auto"/>
        <w:rPr>
          <w:rFonts w:asciiTheme="minorEastAsia" w:hAnsiTheme="minorEastAsia" w:eastAsiaTheme="minorEastAsia"/>
          <w:sz w:val="24"/>
        </w:rPr>
      </w:pPr>
      <w:r>
        <w:rPr>
          <w:rFonts w:asciiTheme="minorEastAsia" w:hAnsiTheme="minorEastAsia" w:eastAsiaTheme="minorEastAsia"/>
          <w:b/>
          <w:sz w:val="24"/>
        </w:rPr>
        <w:t>甲方：</w:t>
      </w:r>
      <w:r>
        <w:rPr>
          <w:rFonts w:asciiTheme="minorEastAsia" w:hAnsiTheme="minorEastAsia" w:eastAsiaTheme="minorEastAsia"/>
          <w:sz w:val="24"/>
        </w:rPr>
        <w:t>乌鲁木齐市水磨沟区教育局</w:t>
      </w:r>
    </w:p>
    <w:p>
      <w:pPr>
        <w:widowControl/>
        <w:spacing w:line="360" w:lineRule="auto"/>
        <w:rPr>
          <w:rFonts w:asciiTheme="minorEastAsia" w:hAnsiTheme="minorEastAsia" w:eastAsiaTheme="minorEastAsia"/>
          <w:sz w:val="24"/>
        </w:rPr>
      </w:pPr>
      <w:r>
        <w:rPr>
          <w:rFonts w:asciiTheme="minorEastAsia" w:hAnsiTheme="minorEastAsia" w:eastAsiaTheme="minorEastAsia"/>
          <w:b/>
          <w:sz w:val="24"/>
        </w:rPr>
        <w:t>乙方：</w:t>
      </w:r>
      <w:r>
        <w:rPr>
          <w:rFonts w:asciiTheme="minorEastAsia" w:hAnsiTheme="minorEastAsia" w:eastAsiaTheme="minorEastAsia"/>
          <w:b/>
          <w:sz w:val="28"/>
        </w:rPr>
        <w:t xml:space="preserve">   </w:t>
      </w:r>
    </w:p>
    <w:p>
      <w:pPr>
        <w:widowControl/>
        <w:spacing w:line="360" w:lineRule="auto"/>
        <w:ind w:firstLine="480"/>
        <w:rPr>
          <w:rFonts w:asciiTheme="minorEastAsia" w:hAnsiTheme="minorEastAsia" w:eastAsiaTheme="minorEastAsia"/>
          <w:b/>
          <w:sz w:val="24"/>
        </w:rPr>
      </w:pPr>
      <w:r>
        <w:rPr>
          <w:rFonts w:asciiTheme="minorEastAsia" w:hAnsiTheme="minorEastAsia" w:eastAsiaTheme="minorEastAsia"/>
          <w:sz w:val="24"/>
        </w:rPr>
        <w:t>甲方</w:t>
      </w:r>
      <w:r>
        <w:rPr>
          <w:rFonts w:asciiTheme="minorEastAsia" w:hAnsiTheme="minorEastAsia" w:eastAsiaTheme="minorEastAsia"/>
          <w:b/>
          <w:sz w:val="24"/>
          <w:u w:val="single"/>
        </w:rPr>
        <w:t>新疆维吾尔自治区乌鲁木齐市水磨沟区教育局</w:t>
      </w:r>
      <w:r>
        <w:rPr>
          <w:rFonts w:asciiTheme="minorEastAsia" w:hAnsiTheme="minorEastAsia" w:eastAsiaTheme="minorEastAsia"/>
          <w:sz w:val="24"/>
        </w:rPr>
        <w:t>根据自身建设需要确定的</w:t>
      </w:r>
      <w:r>
        <w:rPr>
          <w:rFonts w:hint="eastAsia" w:asciiTheme="minorEastAsia" w:hAnsiTheme="minorEastAsia" w:eastAsiaTheme="minorEastAsia"/>
          <w:b/>
          <w:sz w:val="24"/>
          <w:u w:val="single"/>
        </w:rPr>
        <w:t>水区中小学信息化建设水平优化提升项目</w:t>
      </w:r>
      <w:r>
        <w:rPr>
          <w:rFonts w:asciiTheme="minorEastAsia" w:hAnsiTheme="minorEastAsia" w:eastAsiaTheme="minorEastAsia"/>
          <w:sz w:val="24"/>
        </w:rPr>
        <w:t>（招标编号：</w:t>
      </w:r>
      <w:r>
        <w:rPr>
          <w:rFonts w:asciiTheme="minorEastAsia" w:hAnsiTheme="minorEastAsia" w:eastAsiaTheme="minorEastAsia"/>
          <w:b/>
          <w:sz w:val="24"/>
        </w:rPr>
        <w:t>XJPCFW2020-042</w:t>
      </w:r>
      <w:r>
        <w:rPr>
          <w:rFonts w:asciiTheme="minorEastAsia" w:hAnsiTheme="minorEastAsia" w:eastAsiaTheme="minorEastAsia"/>
          <w:sz w:val="24"/>
        </w:rPr>
        <w:t>）所需货物和服务，经招标代理</w:t>
      </w:r>
      <w:r>
        <w:rPr>
          <w:rFonts w:hint="eastAsia" w:asciiTheme="minorEastAsia" w:hAnsiTheme="minorEastAsia" w:eastAsiaTheme="minorEastAsia"/>
          <w:b/>
          <w:sz w:val="24"/>
          <w:u w:val="single"/>
        </w:rPr>
        <w:t>新疆瑞恒中信工程项目管理有限公司</w:t>
      </w:r>
      <w:r>
        <w:rPr>
          <w:rFonts w:asciiTheme="minorEastAsia" w:hAnsiTheme="minorEastAsia" w:eastAsiaTheme="minorEastAsia"/>
          <w:sz w:val="24"/>
        </w:rPr>
        <w:t>织公开招标，乙方</w:t>
      </w:r>
      <w:r>
        <w:rPr>
          <w:rFonts w:hint="eastAsia" w:asciiTheme="minorEastAsia" w:hAnsiTheme="minorEastAsia" w:eastAsiaTheme="minorEastAsia"/>
          <w:b/>
          <w:bCs/>
          <w:sz w:val="24"/>
          <w:u w:val="single"/>
        </w:rPr>
        <w:t xml:space="preserve">                 </w:t>
      </w:r>
      <w:r>
        <w:rPr>
          <w:rFonts w:asciiTheme="minorEastAsia" w:hAnsiTheme="minorEastAsia" w:eastAsiaTheme="minorEastAsia"/>
          <w:sz w:val="24"/>
        </w:rPr>
        <w:t>为本项目全部货物与服务的中标单位。买卖双方根据《中华人民共和国政府采购法》、《中华人民共和国合同法》、招标文件的要求，经双方协商，本着平等互利和诚实守信的原则，一致同意签订本合同如下：</w:t>
      </w:r>
    </w:p>
    <w:p>
      <w:pPr>
        <w:widowControl/>
        <w:spacing w:line="360" w:lineRule="auto"/>
        <w:ind w:firstLine="573"/>
        <w:rPr>
          <w:rFonts w:asciiTheme="minorEastAsia" w:hAnsiTheme="minorEastAsia" w:eastAsiaTheme="minorEastAsia"/>
          <w:sz w:val="24"/>
          <w:u w:val="single"/>
        </w:rPr>
      </w:pPr>
      <w:r>
        <w:rPr>
          <w:rFonts w:asciiTheme="minorEastAsia" w:hAnsiTheme="minorEastAsia" w:eastAsiaTheme="minorEastAsia"/>
          <w:b/>
          <w:sz w:val="24"/>
        </w:rPr>
        <w:t>一：项目名称：</w:t>
      </w:r>
      <w:r>
        <w:rPr>
          <w:rFonts w:hint="eastAsia" w:asciiTheme="minorEastAsia" w:hAnsiTheme="minorEastAsia" w:eastAsiaTheme="minorEastAsia"/>
          <w:b/>
          <w:sz w:val="24"/>
          <w:u w:val="single"/>
        </w:rPr>
        <w:t>新疆谱诚项目管理咨询有限公司</w:t>
      </w:r>
    </w:p>
    <w:p>
      <w:pPr>
        <w:widowControl/>
        <w:spacing w:line="360" w:lineRule="auto"/>
        <w:ind w:firstLine="570"/>
        <w:rPr>
          <w:rFonts w:asciiTheme="minorEastAsia" w:hAnsiTheme="minorEastAsia" w:eastAsiaTheme="minorEastAsia"/>
          <w:sz w:val="24"/>
          <w:u w:val="single"/>
        </w:rPr>
      </w:pPr>
      <w:r>
        <w:rPr>
          <w:rFonts w:asciiTheme="minorEastAsia" w:hAnsiTheme="minorEastAsia" w:eastAsiaTheme="minorEastAsia"/>
          <w:b/>
          <w:sz w:val="24"/>
        </w:rPr>
        <w:t xml:space="preserve">    招标编号：</w:t>
      </w:r>
      <w:r>
        <w:rPr>
          <w:rFonts w:asciiTheme="minorEastAsia" w:hAnsiTheme="minorEastAsia" w:eastAsiaTheme="minorEastAsia"/>
          <w:b/>
          <w:sz w:val="24"/>
          <w:u w:val="single"/>
        </w:rPr>
        <w:t>XJPCFW2020-042</w:t>
      </w:r>
    </w:p>
    <w:p>
      <w:pPr>
        <w:widowControl/>
        <w:spacing w:line="360" w:lineRule="auto"/>
        <w:ind w:firstLine="573"/>
        <w:rPr>
          <w:rFonts w:asciiTheme="minorEastAsia" w:hAnsiTheme="minorEastAsia" w:eastAsiaTheme="minorEastAsia"/>
          <w:sz w:val="24"/>
        </w:rPr>
      </w:pPr>
      <w:r>
        <w:rPr>
          <w:rFonts w:asciiTheme="minorEastAsia" w:hAnsiTheme="minorEastAsia" w:eastAsiaTheme="minorEastAsia"/>
          <w:b/>
          <w:sz w:val="24"/>
        </w:rPr>
        <w:t>二：合同金额（大、小写）</w:t>
      </w:r>
    </w:p>
    <w:p>
      <w:pPr>
        <w:widowControl/>
        <w:spacing w:line="360" w:lineRule="auto"/>
        <w:ind w:firstLine="480"/>
        <w:rPr>
          <w:rFonts w:asciiTheme="minorEastAsia" w:hAnsiTheme="minorEastAsia" w:eastAsiaTheme="minorEastAsia"/>
          <w:sz w:val="24"/>
        </w:rPr>
      </w:pPr>
      <w:r>
        <w:rPr>
          <w:rFonts w:asciiTheme="minorEastAsia" w:hAnsiTheme="minorEastAsia" w:eastAsiaTheme="minorEastAsia"/>
          <w:sz w:val="24"/>
        </w:rPr>
        <w:t>合同总金额：</w:t>
      </w:r>
      <w:r>
        <w:rPr>
          <w:rFonts w:hint="eastAsia" w:cs="宋体" w:asciiTheme="minorEastAsia" w:hAnsiTheme="minorEastAsia" w:eastAsiaTheme="minorEastAsia"/>
          <w:b/>
          <w:sz w:val="24"/>
          <w:szCs w:val="24"/>
          <w:u w:val="single"/>
        </w:rPr>
        <w:t>元整</w:t>
      </w:r>
      <w:r>
        <w:rPr>
          <w:rFonts w:asciiTheme="minorEastAsia" w:hAnsiTheme="minorEastAsia" w:eastAsiaTheme="minorEastAsia"/>
          <w:b/>
          <w:sz w:val="24"/>
          <w:u w:val="single"/>
        </w:rPr>
        <w:t>（大写）</w:t>
      </w:r>
    </w:p>
    <w:p>
      <w:pPr>
        <w:widowControl/>
        <w:spacing w:line="360" w:lineRule="auto"/>
        <w:ind w:firstLine="480"/>
        <w:rPr>
          <w:rFonts w:asciiTheme="minorEastAsia" w:hAnsiTheme="minorEastAsia" w:eastAsiaTheme="minorEastAsia"/>
          <w:b/>
          <w:sz w:val="24"/>
        </w:rPr>
      </w:pPr>
      <w:r>
        <w:rPr>
          <w:rFonts w:asciiTheme="minorEastAsia" w:hAnsiTheme="minorEastAsia" w:eastAsiaTheme="minorEastAsia"/>
          <w:sz w:val="24"/>
        </w:rPr>
        <w:t xml:space="preserve">           </w:t>
      </w:r>
      <w:r>
        <w:rPr>
          <w:rFonts w:asciiTheme="minorEastAsia" w:hAnsiTheme="minorEastAsia" w:eastAsiaTheme="minorEastAsia"/>
          <w:sz w:val="24"/>
          <w:u w:val="single"/>
        </w:rPr>
        <w:t xml:space="preserve"> ￥：</w:t>
      </w:r>
      <w:r>
        <w:rPr>
          <w:rFonts w:asciiTheme="minorEastAsia" w:hAnsiTheme="minorEastAsia" w:eastAsiaTheme="minorEastAsia"/>
          <w:b/>
          <w:sz w:val="24"/>
          <w:u w:val="single"/>
        </w:rPr>
        <w:t>（小写）</w:t>
      </w:r>
    </w:p>
    <w:p>
      <w:pPr>
        <w:widowControl/>
        <w:spacing w:line="360" w:lineRule="auto"/>
        <w:ind w:firstLine="482"/>
        <w:rPr>
          <w:rFonts w:asciiTheme="minorEastAsia" w:hAnsiTheme="minorEastAsia" w:eastAsiaTheme="minorEastAsia"/>
          <w:b/>
          <w:sz w:val="24"/>
        </w:rPr>
      </w:pPr>
      <w:r>
        <w:rPr>
          <w:rFonts w:asciiTheme="minorEastAsia" w:hAnsiTheme="minorEastAsia" w:eastAsiaTheme="minorEastAsia"/>
          <w:b/>
          <w:sz w:val="24"/>
        </w:rPr>
        <w:t>三、货物名称、品牌、型号规格、产地、制造商名、数量、单价：</w:t>
      </w:r>
    </w:p>
    <w:p>
      <w:pPr>
        <w:widowControl/>
        <w:spacing w:line="360" w:lineRule="auto"/>
        <w:ind w:firstLine="480"/>
        <w:rPr>
          <w:rFonts w:asciiTheme="minorEastAsia" w:hAnsiTheme="minorEastAsia" w:eastAsiaTheme="minorEastAsia"/>
          <w:sz w:val="24"/>
        </w:rPr>
      </w:pPr>
      <w:r>
        <w:rPr>
          <w:rFonts w:asciiTheme="minorEastAsia" w:hAnsiTheme="minorEastAsia" w:eastAsiaTheme="minorEastAsia"/>
          <w:sz w:val="24"/>
        </w:rPr>
        <w:t>详见附件一。</w:t>
      </w:r>
    </w:p>
    <w:p>
      <w:pPr>
        <w:widowControl/>
        <w:spacing w:line="360" w:lineRule="auto"/>
        <w:ind w:firstLine="482"/>
        <w:rPr>
          <w:rFonts w:asciiTheme="minorEastAsia" w:hAnsiTheme="minorEastAsia" w:eastAsiaTheme="minorEastAsia"/>
          <w:b/>
          <w:sz w:val="24"/>
        </w:rPr>
      </w:pPr>
      <w:r>
        <w:rPr>
          <w:rFonts w:asciiTheme="minorEastAsia" w:hAnsiTheme="minorEastAsia" w:eastAsiaTheme="minorEastAsia"/>
          <w:b/>
          <w:sz w:val="24"/>
        </w:rPr>
        <w:t>四、随货物资料和配套附属设备（产品）要求：</w:t>
      </w:r>
    </w:p>
    <w:p>
      <w:pPr>
        <w:widowControl/>
        <w:spacing w:line="360" w:lineRule="auto"/>
        <w:ind w:firstLine="480"/>
        <w:rPr>
          <w:rFonts w:asciiTheme="minorEastAsia" w:hAnsiTheme="minorEastAsia" w:eastAsiaTheme="minorEastAsia"/>
          <w:sz w:val="24"/>
        </w:rPr>
      </w:pPr>
      <w:r>
        <w:rPr>
          <w:rFonts w:asciiTheme="minorEastAsia" w:hAnsiTheme="minorEastAsia" w:eastAsiaTheme="minorEastAsia"/>
          <w:sz w:val="24"/>
        </w:rPr>
        <w:t>乙方保证其所提供的产品符合招标文件规定的标准要求，一次性验收合格。乙方提供的所有货物将作为货物验收的依据。乙方保证其所提供的产品必须符合投标文件所述的各项技术指标，质量必须达到该项设备的出厂质量标准或国家标准；所供产品属于国家实施强制性产品认证的产品目录范围内的，必须提供强制性产品认证证书；属于国家实施工业产品生产许可证制度的产品目录范围内的，必须提供工业产品生产许可证证书；所供产品有国家标准或行业标准的，必须符合国家标准或行业标准要求；所附各种资料及配件（软件）等必须齐全，所有设备均需带保修卡。产品属于进口的，必须是制定在中国大陆销售的产品，并且必须附有中文说明书。</w:t>
      </w:r>
    </w:p>
    <w:p>
      <w:pPr>
        <w:widowControl/>
        <w:spacing w:line="360" w:lineRule="auto"/>
        <w:ind w:firstLine="482"/>
        <w:rPr>
          <w:rFonts w:asciiTheme="minorEastAsia" w:hAnsiTheme="minorEastAsia" w:eastAsiaTheme="minorEastAsia"/>
          <w:b/>
          <w:sz w:val="24"/>
        </w:rPr>
      </w:pPr>
      <w:r>
        <w:rPr>
          <w:rFonts w:asciiTheme="minorEastAsia" w:hAnsiTheme="minorEastAsia" w:eastAsiaTheme="minorEastAsia"/>
          <w:b/>
          <w:sz w:val="24"/>
        </w:rPr>
        <w:t>五、安装调试要求：</w:t>
      </w:r>
    </w:p>
    <w:p>
      <w:pPr>
        <w:widowControl/>
        <w:spacing w:line="360" w:lineRule="auto"/>
        <w:ind w:firstLine="480"/>
        <w:rPr>
          <w:rFonts w:asciiTheme="minorEastAsia" w:hAnsiTheme="minorEastAsia" w:eastAsiaTheme="minorEastAsia"/>
          <w:sz w:val="24"/>
        </w:rPr>
      </w:pPr>
      <w:r>
        <w:rPr>
          <w:rFonts w:asciiTheme="minorEastAsia" w:hAnsiTheme="minorEastAsia" w:eastAsiaTheme="minorEastAsia"/>
          <w:sz w:val="24"/>
        </w:rPr>
        <w:t>货物的生产、安装、调试符合国家标准和规范以及设计要求，并满足甲方技术需求，乙方负责进行货物免费安装测试的完成。</w:t>
      </w:r>
    </w:p>
    <w:p>
      <w:pPr>
        <w:widowControl/>
        <w:spacing w:line="360" w:lineRule="auto"/>
        <w:ind w:firstLine="482"/>
        <w:rPr>
          <w:rFonts w:asciiTheme="minorEastAsia" w:hAnsiTheme="minorEastAsia" w:eastAsiaTheme="minorEastAsia"/>
          <w:b/>
          <w:sz w:val="24"/>
        </w:rPr>
      </w:pPr>
      <w:r>
        <w:rPr>
          <w:rFonts w:asciiTheme="minorEastAsia" w:hAnsiTheme="minorEastAsia" w:eastAsiaTheme="minorEastAsia"/>
          <w:b/>
          <w:sz w:val="24"/>
        </w:rPr>
        <w:t>六、配套设备（产品）、备品备件（含易损件或消耗品）要求及长期供应优惠条件：</w:t>
      </w:r>
    </w:p>
    <w:p>
      <w:pPr>
        <w:widowControl/>
        <w:spacing w:line="360" w:lineRule="auto"/>
        <w:ind w:firstLine="480"/>
        <w:rPr>
          <w:rFonts w:asciiTheme="minorEastAsia" w:hAnsiTheme="minorEastAsia" w:eastAsiaTheme="minorEastAsia"/>
          <w:sz w:val="24"/>
        </w:rPr>
      </w:pPr>
      <w:r>
        <w:rPr>
          <w:rFonts w:asciiTheme="minorEastAsia" w:hAnsiTheme="minorEastAsia" w:eastAsiaTheme="minorEastAsia"/>
          <w:sz w:val="24"/>
        </w:rPr>
        <w:t>本合同的供货范围，除包括上述设备（产品）外，还包括随机必需的辅助专用工具、备品备件和易损件(消耗品)、随机软件、技术文档、设备运行所必需的随机消耗品，相应的技术服务与质量保证文件。保修期后，维修及设备（产品）材料更换执行当期成本价。</w:t>
      </w:r>
    </w:p>
    <w:p>
      <w:pPr>
        <w:widowControl/>
        <w:spacing w:line="360" w:lineRule="auto"/>
        <w:ind w:firstLine="482"/>
        <w:rPr>
          <w:rFonts w:asciiTheme="minorEastAsia" w:hAnsiTheme="minorEastAsia" w:eastAsiaTheme="minorEastAsia"/>
          <w:b/>
          <w:sz w:val="24"/>
        </w:rPr>
      </w:pPr>
      <w:r>
        <w:rPr>
          <w:rFonts w:asciiTheme="minorEastAsia" w:hAnsiTheme="minorEastAsia" w:eastAsiaTheme="minorEastAsia"/>
          <w:b/>
          <w:sz w:val="24"/>
        </w:rPr>
        <w:t>七、交货时间及地点</w:t>
      </w:r>
    </w:p>
    <w:p>
      <w:pPr>
        <w:widowControl/>
        <w:spacing w:line="360" w:lineRule="auto"/>
        <w:ind w:firstLine="480"/>
        <w:rPr>
          <w:rFonts w:asciiTheme="minorEastAsia" w:hAnsiTheme="minorEastAsia" w:eastAsiaTheme="minorEastAsia"/>
          <w:kern w:val="2"/>
          <w:sz w:val="24"/>
          <w:szCs w:val="24"/>
        </w:rPr>
      </w:pPr>
      <w:r>
        <w:rPr>
          <w:rFonts w:asciiTheme="minorEastAsia" w:hAnsiTheme="minorEastAsia" w:eastAsiaTheme="minorEastAsia"/>
          <w:sz w:val="24"/>
        </w:rPr>
        <w:t>1、交货期：</w:t>
      </w:r>
      <w:r>
        <w:rPr>
          <w:rFonts w:hint="eastAsia" w:cs="宋体" w:asciiTheme="minorEastAsia" w:hAnsiTheme="minorEastAsia" w:eastAsiaTheme="minorEastAsia"/>
          <w:sz w:val="24"/>
          <w:szCs w:val="24"/>
        </w:rPr>
        <w:t>签订合同后90个工作日内完成本项目设备调试、试运行并完成验收使所有设备正常投入使用。</w:t>
      </w:r>
    </w:p>
    <w:p>
      <w:pPr>
        <w:widowControl/>
        <w:spacing w:line="360" w:lineRule="auto"/>
        <w:ind w:firstLine="480"/>
        <w:rPr>
          <w:rFonts w:asciiTheme="minorEastAsia" w:hAnsiTheme="minorEastAsia" w:eastAsiaTheme="minorEastAsia"/>
          <w:sz w:val="24"/>
        </w:rPr>
      </w:pPr>
      <w:r>
        <w:rPr>
          <w:rFonts w:asciiTheme="minorEastAsia" w:hAnsiTheme="minorEastAsia" w:eastAsiaTheme="minorEastAsia"/>
          <w:sz w:val="24"/>
        </w:rPr>
        <w:t>2、交货地点：</w:t>
      </w:r>
      <w:r>
        <w:rPr>
          <w:rFonts w:hint="eastAsia" w:cs="宋体" w:asciiTheme="minorEastAsia" w:hAnsiTheme="minorEastAsia" w:eastAsiaTheme="minorEastAsia"/>
          <w:sz w:val="24"/>
          <w:szCs w:val="24"/>
        </w:rPr>
        <w:t>采购人指定地点</w:t>
      </w:r>
    </w:p>
    <w:p>
      <w:pPr>
        <w:widowControl/>
        <w:spacing w:line="360" w:lineRule="auto"/>
        <w:ind w:firstLine="482"/>
        <w:rPr>
          <w:rFonts w:asciiTheme="minorEastAsia" w:hAnsiTheme="minorEastAsia" w:eastAsiaTheme="minorEastAsia"/>
          <w:b/>
          <w:sz w:val="24"/>
        </w:rPr>
      </w:pPr>
      <w:r>
        <w:rPr>
          <w:rFonts w:asciiTheme="minorEastAsia" w:hAnsiTheme="minorEastAsia" w:eastAsiaTheme="minorEastAsia"/>
          <w:b/>
          <w:sz w:val="24"/>
        </w:rPr>
        <w:t>八、甲乙双方的权利和义务</w:t>
      </w:r>
    </w:p>
    <w:p>
      <w:pPr>
        <w:widowControl/>
        <w:spacing w:line="360" w:lineRule="auto"/>
        <w:ind w:firstLine="480"/>
        <w:rPr>
          <w:rFonts w:asciiTheme="minorEastAsia" w:hAnsiTheme="minorEastAsia" w:eastAsiaTheme="minorEastAsia"/>
          <w:sz w:val="24"/>
        </w:rPr>
      </w:pPr>
      <w:r>
        <w:rPr>
          <w:rFonts w:asciiTheme="minorEastAsia" w:hAnsiTheme="minorEastAsia" w:eastAsiaTheme="minorEastAsia"/>
          <w:sz w:val="24"/>
        </w:rPr>
        <w:t>（一）甲方的权利和义务</w:t>
      </w:r>
    </w:p>
    <w:p>
      <w:pPr>
        <w:widowControl/>
        <w:spacing w:line="360" w:lineRule="auto"/>
        <w:ind w:firstLine="480"/>
        <w:rPr>
          <w:rFonts w:asciiTheme="minorEastAsia" w:hAnsiTheme="minorEastAsia" w:eastAsiaTheme="minorEastAsia"/>
          <w:sz w:val="24"/>
        </w:rPr>
      </w:pPr>
      <w:r>
        <w:rPr>
          <w:rFonts w:asciiTheme="minorEastAsia" w:hAnsiTheme="minorEastAsia" w:eastAsiaTheme="minorEastAsia"/>
          <w:sz w:val="24"/>
        </w:rPr>
        <w:t>1、配合完成合同签订后项目的实施工作（如与乙方的具体联系和衔接，货物现场安装调试时配备人员进行监管控制等）。</w:t>
      </w:r>
    </w:p>
    <w:p>
      <w:pPr>
        <w:widowControl/>
        <w:spacing w:line="360" w:lineRule="auto"/>
        <w:ind w:firstLine="480"/>
        <w:rPr>
          <w:rFonts w:asciiTheme="minorEastAsia" w:hAnsiTheme="minorEastAsia" w:eastAsiaTheme="minorEastAsia"/>
          <w:sz w:val="24"/>
        </w:rPr>
      </w:pPr>
      <w:r>
        <w:rPr>
          <w:rFonts w:asciiTheme="minorEastAsia" w:hAnsiTheme="minorEastAsia" w:eastAsiaTheme="minorEastAsia"/>
          <w:sz w:val="24"/>
        </w:rPr>
        <w:t>甲方项目联系人：</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asciiTheme="minorEastAsia" w:hAnsiTheme="minorEastAsia" w:eastAsiaTheme="minorEastAsia"/>
          <w:sz w:val="24"/>
        </w:rPr>
        <w:t xml:space="preserve"> 联系电话：</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asciiTheme="minorEastAsia" w:hAnsiTheme="minorEastAsia" w:eastAsiaTheme="minorEastAsia"/>
          <w:sz w:val="24"/>
        </w:rPr>
        <w:t xml:space="preserve"> </w:t>
      </w:r>
    </w:p>
    <w:p>
      <w:pPr>
        <w:widowControl/>
        <w:spacing w:line="360" w:lineRule="auto"/>
        <w:ind w:firstLine="480"/>
        <w:rPr>
          <w:rFonts w:asciiTheme="minorEastAsia" w:hAnsiTheme="minorEastAsia" w:eastAsiaTheme="minorEastAsia"/>
          <w:sz w:val="24"/>
        </w:rPr>
      </w:pPr>
      <w:r>
        <w:rPr>
          <w:rFonts w:asciiTheme="minorEastAsia" w:hAnsiTheme="minorEastAsia" w:eastAsiaTheme="minorEastAsia"/>
          <w:sz w:val="24"/>
        </w:rPr>
        <w:t>各校项目联系人与联系电话：（见附件二）。</w:t>
      </w:r>
    </w:p>
    <w:p>
      <w:pPr>
        <w:widowControl/>
        <w:spacing w:line="360" w:lineRule="auto"/>
        <w:ind w:firstLine="480"/>
        <w:rPr>
          <w:rFonts w:asciiTheme="minorEastAsia" w:hAnsiTheme="minorEastAsia" w:eastAsiaTheme="minorEastAsia"/>
          <w:sz w:val="24"/>
        </w:rPr>
      </w:pPr>
      <w:r>
        <w:rPr>
          <w:rFonts w:asciiTheme="minorEastAsia" w:hAnsiTheme="minorEastAsia" w:eastAsiaTheme="minorEastAsia"/>
          <w:sz w:val="24"/>
        </w:rPr>
        <w:t>2、负责提供各校设备分配详细清单（见附件三）。</w:t>
      </w:r>
    </w:p>
    <w:p>
      <w:pPr>
        <w:widowControl/>
        <w:spacing w:line="360" w:lineRule="auto"/>
        <w:ind w:firstLine="480"/>
        <w:rPr>
          <w:rFonts w:asciiTheme="minorEastAsia" w:hAnsiTheme="minorEastAsia" w:eastAsiaTheme="minorEastAsia"/>
          <w:sz w:val="24"/>
        </w:rPr>
      </w:pPr>
      <w:r>
        <w:rPr>
          <w:rFonts w:asciiTheme="minorEastAsia" w:hAnsiTheme="minorEastAsia" w:eastAsiaTheme="minorEastAsia"/>
          <w:sz w:val="24"/>
        </w:rPr>
        <w:t>3、负责提供设备和安装调试所必须的场地和环境。</w:t>
      </w:r>
    </w:p>
    <w:p>
      <w:pPr>
        <w:widowControl/>
        <w:spacing w:line="360" w:lineRule="auto"/>
        <w:ind w:firstLine="480"/>
        <w:rPr>
          <w:rFonts w:asciiTheme="minorEastAsia" w:hAnsiTheme="minorEastAsia" w:eastAsiaTheme="minorEastAsia"/>
          <w:sz w:val="24"/>
        </w:rPr>
      </w:pPr>
      <w:r>
        <w:rPr>
          <w:rFonts w:asciiTheme="minorEastAsia" w:hAnsiTheme="minorEastAsia" w:eastAsiaTheme="minorEastAsia"/>
          <w:sz w:val="24"/>
        </w:rPr>
        <w:t>4、负责在接到乙方安装调试完成的通知后组织验收小组对设备进行验收并签署验收报告。</w:t>
      </w:r>
    </w:p>
    <w:p>
      <w:pPr>
        <w:widowControl/>
        <w:spacing w:line="360" w:lineRule="auto"/>
        <w:ind w:firstLine="480"/>
        <w:rPr>
          <w:rFonts w:asciiTheme="minorEastAsia" w:hAnsiTheme="minorEastAsia" w:eastAsiaTheme="minorEastAsia"/>
          <w:sz w:val="24"/>
        </w:rPr>
      </w:pPr>
      <w:r>
        <w:rPr>
          <w:rFonts w:asciiTheme="minorEastAsia" w:hAnsiTheme="minorEastAsia" w:eastAsiaTheme="minorEastAsia"/>
          <w:sz w:val="24"/>
        </w:rPr>
        <w:t>5、按合同规定及国家产品相关法律法规规定，享有乙方应提供的相关服务。</w:t>
      </w:r>
    </w:p>
    <w:p>
      <w:pPr>
        <w:widowControl/>
        <w:spacing w:line="360" w:lineRule="auto"/>
        <w:ind w:firstLine="480"/>
        <w:rPr>
          <w:rFonts w:asciiTheme="minorEastAsia" w:hAnsiTheme="minorEastAsia" w:eastAsiaTheme="minorEastAsia"/>
          <w:sz w:val="24"/>
        </w:rPr>
      </w:pPr>
      <w:r>
        <w:rPr>
          <w:rFonts w:asciiTheme="minorEastAsia" w:hAnsiTheme="minorEastAsia" w:eastAsiaTheme="minorEastAsia"/>
          <w:sz w:val="24"/>
        </w:rPr>
        <w:t>6、按政府集中采购规范落实采购资金并办理付款手续。</w:t>
      </w:r>
    </w:p>
    <w:p>
      <w:pPr>
        <w:widowControl/>
        <w:spacing w:line="360" w:lineRule="auto"/>
        <w:ind w:firstLine="480"/>
        <w:rPr>
          <w:rFonts w:asciiTheme="minorEastAsia" w:hAnsiTheme="minorEastAsia" w:eastAsiaTheme="minorEastAsia"/>
          <w:sz w:val="24"/>
        </w:rPr>
      </w:pPr>
      <w:r>
        <w:rPr>
          <w:rFonts w:asciiTheme="minorEastAsia" w:hAnsiTheme="minorEastAsia" w:eastAsiaTheme="minorEastAsia"/>
          <w:sz w:val="24"/>
        </w:rPr>
        <w:t>7、享有产品使用者应当享有的其它权利。</w:t>
      </w:r>
    </w:p>
    <w:p>
      <w:pPr>
        <w:widowControl/>
        <w:spacing w:line="360" w:lineRule="auto"/>
        <w:ind w:firstLine="480"/>
        <w:rPr>
          <w:rFonts w:asciiTheme="minorEastAsia" w:hAnsiTheme="minorEastAsia" w:eastAsiaTheme="minorEastAsia"/>
          <w:sz w:val="24"/>
        </w:rPr>
      </w:pPr>
      <w:r>
        <w:rPr>
          <w:rFonts w:asciiTheme="minorEastAsia" w:hAnsiTheme="minorEastAsia" w:eastAsiaTheme="minorEastAsia"/>
          <w:sz w:val="24"/>
        </w:rPr>
        <w:t>（二）乙方的权利和义务</w:t>
      </w:r>
    </w:p>
    <w:p>
      <w:pPr>
        <w:widowControl/>
        <w:spacing w:line="360" w:lineRule="auto"/>
        <w:ind w:firstLine="480"/>
        <w:rPr>
          <w:rFonts w:asciiTheme="minorEastAsia" w:hAnsiTheme="minorEastAsia" w:eastAsiaTheme="minorEastAsia"/>
          <w:sz w:val="24"/>
        </w:rPr>
      </w:pPr>
      <w:r>
        <w:rPr>
          <w:rFonts w:asciiTheme="minorEastAsia" w:hAnsiTheme="minorEastAsia" w:eastAsiaTheme="minorEastAsia"/>
          <w:sz w:val="24"/>
        </w:rPr>
        <w:t xml:space="preserve">1、保证按本合同条款负责完成甲方项目，并保证提供的货物的全新（包括零部件）、符合招标文件规定、并符合国家质量检测标准（进口产品具有国家有关部门完整手续）和产品出厂标准的货物； </w:t>
      </w:r>
    </w:p>
    <w:p>
      <w:pPr>
        <w:widowControl/>
        <w:spacing w:line="360" w:lineRule="auto"/>
        <w:ind w:firstLine="480"/>
        <w:rPr>
          <w:rFonts w:asciiTheme="minorEastAsia" w:hAnsiTheme="minorEastAsia" w:eastAsiaTheme="minorEastAsia"/>
          <w:sz w:val="24"/>
        </w:rPr>
      </w:pPr>
      <w:r>
        <w:rPr>
          <w:rFonts w:asciiTheme="minorEastAsia" w:hAnsiTheme="minorEastAsia" w:eastAsiaTheme="minorEastAsia"/>
          <w:sz w:val="24"/>
        </w:rPr>
        <w:t>2、整体项目验收合格后，</w:t>
      </w:r>
      <w:r>
        <w:rPr>
          <w:rFonts w:hint="eastAsia" w:asciiTheme="minorEastAsia" w:hAnsiTheme="minorEastAsia" w:eastAsiaTheme="minorEastAsia"/>
          <w:sz w:val="24"/>
        </w:rPr>
        <w:t>三</w:t>
      </w:r>
      <w:r>
        <w:rPr>
          <w:rFonts w:asciiTheme="minorEastAsia" w:hAnsiTheme="minorEastAsia" w:eastAsiaTheme="minorEastAsia"/>
          <w:sz w:val="24"/>
        </w:rPr>
        <w:t>年内第一年每季度到现场例行巡检不低于1次，第二年</w:t>
      </w:r>
      <w:r>
        <w:rPr>
          <w:rFonts w:hint="eastAsia" w:asciiTheme="minorEastAsia" w:hAnsiTheme="minorEastAsia" w:eastAsiaTheme="minorEastAsia"/>
          <w:sz w:val="24"/>
        </w:rPr>
        <w:t>至第三年</w:t>
      </w:r>
      <w:r>
        <w:rPr>
          <w:rFonts w:asciiTheme="minorEastAsia" w:hAnsiTheme="minorEastAsia" w:eastAsiaTheme="minorEastAsia"/>
          <w:sz w:val="24"/>
        </w:rPr>
        <w:t>每半年到现场例行巡检不低于1次。</w:t>
      </w:r>
    </w:p>
    <w:p>
      <w:pPr>
        <w:widowControl/>
        <w:spacing w:line="360" w:lineRule="auto"/>
        <w:ind w:firstLine="480"/>
        <w:rPr>
          <w:rFonts w:asciiTheme="minorEastAsia" w:hAnsiTheme="minorEastAsia" w:eastAsiaTheme="minorEastAsia"/>
          <w:sz w:val="24"/>
        </w:rPr>
      </w:pPr>
      <w:r>
        <w:rPr>
          <w:rFonts w:asciiTheme="minorEastAsia" w:hAnsiTheme="minorEastAsia" w:eastAsiaTheme="minorEastAsia"/>
          <w:sz w:val="24"/>
        </w:rPr>
        <w:t>3、货物质保期</w:t>
      </w:r>
      <w:r>
        <w:rPr>
          <w:rFonts w:hint="eastAsia" w:asciiTheme="minorEastAsia" w:hAnsiTheme="minorEastAsia" w:eastAsiaTheme="minorEastAsia"/>
          <w:sz w:val="24"/>
        </w:rPr>
        <w:t xml:space="preserve"> </w:t>
      </w:r>
      <w:r>
        <w:rPr>
          <w:rFonts w:hint="eastAsia" w:asciiTheme="minorEastAsia" w:hAnsiTheme="minorEastAsia" w:eastAsiaTheme="minorEastAsia"/>
          <w:sz w:val="24"/>
          <w:u w:val="single"/>
        </w:rPr>
        <w:t>5</w:t>
      </w:r>
      <w:r>
        <w:rPr>
          <w:rFonts w:asciiTheme="minorEastAsia" w:hAnsiTheme="minorEastAsia" w:eastAsiaTheme="minorEastAsia"/>
          <w:sz w:val="24"/>
          <w:u w:val="single"/>
        </w:rPr>
        <w:t>年</w:t>
      </w:r>
      <w:r>
        <w:rPr>
          <w:rFonts w:asciiTheme="minorEastAsia" w:hAnsiTheme="minorEastAsia" w:eastAsiaTheme="minorEastAsia"/>
          <w:sz w:val="24"/>
        </w:rPr>
        <w:t>（自整体项目验收合格后次日起）。在此期间，如产品发生质量问题（非用户使用原因导致），由乙方负责免费维修或更换。货物保修期</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5</w:t>
      </w:r>
      <w:r>
        <w:rPr>
          <w:rFonts w:asciiTheme="minorEastAsia" w:hAnsiTheme="minorEastAsia" w:eastAsiaTheme="minorEastAsia"/>
          <w:sz w:val="24"/>
          <w:u w:val="single"/>
        </w:rPr>
        <w:t xml:space="preserve"> </w:t>
      </w:r>
      <w:r>
        <w:rPr>
          <w:rFonts w:asciiTheme="minorEastAsia" w:hAnsiTheme="minorEastAsia" w:eastAsiaTheme="minorEastAsia"/>
          <w:sz w:val="24"/>
        </w:rPr>
        <w:t>年（自质保期满后次日起）。在此期间，如发生维修事项，由乙方负责免费维修，如发生更换零配件的，仅由甲方按零配件的成本价支付费用。终身负责维修，并保证货物在甲方报废前正常运行。</w:t>
      </w:r>
    </w:p>
    <w:p>
      <w:pPr>
        <w:widowControl/>
        <w:spacing w:line="360" w:lineRule="auto"/>
        <w:rPr>
          <w:rFonts w:asciiTheme="minorEastAsia" w:hAnsiTheme="minorEastAsia" w:eastAsiaTheme="minorEastAsia"/>
          <w:sz w:val="24"/>
        </w:rPr>
      </w:pPr>
      <w:r>
        <w:rPr>
          <w:rFonts w:asciiTheme="minorEastAsia" w:hAnsiTheme="minorEastAsia" w:eastAsiaTheme="minorEastAsia"/>
          <w:sz w:val="24"/>
        </w:rPr>
        <w:t xml:space="preserve">    4、保证甲方在合同货物使用期间不受第三方提出侵犯其专利权、商标权和工业设计权的起诉。</w:t>
      </w:r>
    </w:p>
    <w:p>
      <w:pPr>
        <w:widowControl/>
        <w:spacing w:line="360" w:lineRule="auto"/>
        <w:ind w:firstLine="480"/>
        <w:rPr>
          <w:rFonts w:asciiTheme="minorEastAsia" w:hAnsiTheme="minorEastAsia" w:eastAsiaTheme="minorEastAsia"/>
          <w:sz w:val="24"/>
        </w:rPr>
      </w:pPr>
      <w:r>
        <w:rPr>
          <w:rFonts w:asciiTheme="minorEastAsia" w:hAnsiTheme="minorEastAsia" w:eastAsiaTheme="minorEastAsia"/>
          <w:sz w:val="24"/>
        </w:rPr>
        <w:t>5、严格遵守招投标文件、技术澄清、成交所承诺的一切规定和条款。</w:t>
      </w:r>
    </w:p>
    <w:p>
      <w:pPr>
        <w:widowControl/>
        <w:spacing w:line="360" w:lineRule="auto"/>
        <w:ind w:firstLine="480"/>
        <w:rPr>
          <w:rFonts w:asciiTheme="minorEastAsia" w:hAnsiTheme="minorEastAsia" w:eastAsiaTheme="minorEastAsia"/>
          <w:sz w:val="24"/>
        </w:rPr>
      </w:pPr>
      <w:r>
        <w:rPr>
          <w:rFonts w:asciiTheme="minorEastAsia" w:hAnsiTheme="minorEastAsia" w:eastAsiaTheme="minorEastAsia"/>
          <w:sz w:val="24"/>
        </w:rPr>
        <w:t>6、参与甲方共同进行货物验收。</w:t>
      </w:r>
    </w:p>
    <w:p>
      <w:pPr>
        <w:widowControl/>
        <w:spacing w:line="360" w:lineRule="auto"/>
        <w:ind w:firstLine="480"/>
        <w:rPr>
          <w:rFonts w:asciiTheme="minorEastAsia" w:hAnsiTheme="minorEastAsia" w:eastAsiaTheme="minorEastAsia"/>
          <w:sz w:val="24"/>
        </w:rPr>
      </w:pPr>
      <w:r>
        <w:rPr>
          <w:rFonts w:asciiTheme="minorEastAsia" w:hAnsiTheme="minorEastAsia" w:eastAsiaTheme="minorEastAsia"/>
          <w:sz w:val="24"/>
        </w:rPr>
        <w:t>7、甲方在货物使用过程中如发生质量问题，乙方保证</w:t>
      </w:r>
      <w:r>
        <w:rPr>
          <w:rFonts w:asciiTheme="minorEastAsia" w:hAnsiTheme="minorEastAsia" w:eastAsiaTheme="minorEastAsia"/>
          <w:sz w:val="24"/>
          <w:u w:val="single"/>
        </w:rPr>
        <w:t xml:space="preserve">  120 </w:t>
      </w:r>
      <w:r>
        <w:rPr>
          <w:rFonts w:asciiTheme="minorEastAsia" w:hAnsiTheme="minorEastAsia" w:eastAsiaTheme="minorEastAsia"/>
          <w:sz w:val="24"/>
        </w:rPr>
        <w:t>分钟内响应，</w:t>
      </w:r>
      <w:r>
        <w:rPr>
          <w:rFonts w:asciiTheme="minorEastAsia" w:hAnsiTheme="minorEastAsia" w:eastAsiaTheme="minorEastAsia"/>
          <w:sz w:val="24"/>
          <w:u w:val="single"/>
        </w:rPr>
        <w:t xml:space="preserve"> 6 </w:t>
      </w:r>
      <w:r>
        <w:rPr>
          <w:rFonts w:asciiTheme="minorEastAsia" w:hAnsiTheme="minorEastAsia" w:eastAsiaTheme="minorEastAsia"/>
          <w:sz w:val="24"/>
        </w:rPr>
        <w:t>小时派人赶到现场，</w:t>
      </w:r>
      <w:r>
        <w:rPr>
          <w:rFonts w:asciiTheme="minorEastAsia" w:hAnsiTheme="minorEastAsia" w:eastAsiaTheme="minorEastAsia"/>
          <w:sz w:val="24"/>
          <w:u w:val="single"/>
        </w:rPr>
        <w:t xml:space="preserve">  8  </w:t>
      </w:r>
      <w:r>
        <w:rPr>
          <w:rFonts w:asciiTheme="minorEastAsia" w:hAnsiTheme="minorEastAsia" w:eastAsiaTheme="minorEastAsia"/>
          <w:sz w:val="24"/>
        </w:rPr>
        <w:t>小时内予以解决。</w:t>
      </w:r>
    </w:p>
    <w:p>
      <w:pPr>
        <w:widowControl/>
        <w:spacing w:line="360" w:lineRule="auto"/>
        <w:ind w:firstLine="482"/>
        <w:rPr>
          <w:rFonts w:asciiTheme="minorEastAsia" w:hAnsiTheme="minorEastAsia" w:eastAsiaTheme="minorEastAsia"/>
          <w:b/>
          <w:sz w:val="24"/>
        </w:rPr>
      </w:pPr>
      <w:r>
        <w:rPr>
          <w:rFonts w:asciiTheme="minorEastAsia" w:hAnsiTheme="minorEastAsia" w:eastAsiaTheme="minorEastAsia"/>
          <w:b/>
          <w:sz w:val="24"/>
        </w:rPr>
        <w:t>售后服务联系人：</w:t>
      </w:r>
      <w:r>
        <w:rPr>
          <w:rFonts w:asciiTheme="minorEastAsia" w:hAnsiTheme="minorEastAsia" w:eastAsiaTheme="minorEastAsia"/>
          <w:b/>
          <w:sz w:val="24"/>
          <w:u w:val="single"/>
        </w:rPr>
        <w:t xml:space="preserve"> </w:t>
      </w:r>
      <w:r>
        <w:rPr>
          <w:rFonts w:hint="eastAsia" w:asciiTheme="minorEastAsia" w:hAnsiTheme="minorEastAsia" w:eastAsiaTheme="minorEastAsia"/>
          <w:b/>
          <w:sz w:val="24"/>
          <w:u w:val="single"/>
        </w:rPr>
        <w:t xml:space="preserve">      </w:t>
      </w:r>
      <w:r>
        <w:rPr>
          <w:rFonts w:asciiTheme="minorEastAsia" w:hAnsiTheme="minorEastAsia" w:eastAsiaTheme="minorEastAsia"/>
          <w:b/>
          <w:sz w:val="24"/>
        </w:rPr>
        <w:t>，联系电话：</w:t>
      </w:r>
      <w:r>
        <w:rPr>
          <w:rFonts w:hint="eastAsia" w:asciiTheme="minorEastAsia" w:hAnsiTheme="minorEastAsia" w:eastAsiaTheme="minorEastAsia"/>
          <w:b/>
          <w:sz w:val="24"/>
          <w:u w:val="single"/>
        </w:rPr>
        <w:t xml:space="preserve">                  </w:t>
      </w:r>
      <w:r>
        <w:rPr>
          <w:rFonts w:asciiTheme="minorEastAsia" w:hAnsiTheme="minorEastAsia" w:eastAsiaTheme="minorEastAsia"/>
          <w:b/>
          <w:sz w:val="24"/>
        </w:rPr>
        <w:t>。</w:t>
      </w:r>
    </w:p>
    <w:p>
      <w:pPr>
        <w:widowControl/>
        <w:spacing w:line="360" w:lineRule="auto"/>
        <w:ind w:firstLine="482"/>
        <w:rPr>
          <w:rFonts w:asciiTheme="minorEastAsia" w:hAnsiTheme="minorEastAsia" w:eastAsiaTheme="minorEastAsia"/>
          <w:b/>
          <w:sz w:val="24"/>
        </w:rPr>
      </w:pPr>
      <w:r>
        <w:rPr>
          <w:rFonts w:asciiTheme="minorEastAsia" w:hAnsiTheme="minorEastAsia" w:eastAsiaTheme="minorEastAsia"/>
          <w:b/>
          <w:sz w:val="24"/>
        </w:rPr>
        <w:t>九、以上内容与政府采购监管部门审核以及甲方确认采购和乙方中标承诺情况一致并不得改变和放弃。</w:t>
      </w:r>
    </w:p>
    <w:p>
      <w:pPr>
        <w:widowControl/>
        <w:spacing w:line="360" w:lineRule="auto"/>
        <w:ind w:firstLine="482"/>
        <w:rPr>
          <w:rFonts w:asciiTheme="minorEastAsia" w:hAnsiTheme="minorEastAsia" w:eastAsiaTheme="minorEastAsia"/>
          <w:b/>
          <w:sz w:val="24"/>
        </w:rPr>
      </w:pPr>
      <w:r>
        <w:rPr>
          <w:rFonts w:asciiTheme="minorEastAsia" w:hAnsiTheme="minorEastAsia" w:eastAsiaTheme="minorEastAsia"/>
          <w:b/>
          <w:sz w:val="24"/>
        </w:rPr>
        <w:t>十、验收及验收标准</w:t>
      </w:r>
    </w:p>
    <w:p>
      <w:pPr>
        <w:widowControl/>
        <w:spacing w:line="360" w:lineRule="auto"/>
        <w:ind w:firstLine="480"/>
        <w:rPr>
          <w:rFonts w:asciiTheme="minorEastAsia" w:hAnsiTheme="minorEastAsia" w:eastAsiaTheme="minorEastAsia"/>
          <w:sz w:val="24"/>
        </w:rPr>
      </w:pPr>
      <w:r>
        <w:rPr>
          <w:rFonts w:asciiTheme="minorEastAsia" w:hAnsiTheme="minorEastAsia" w:eastAsiaTheme="minorEastAsia"/>
          <w:sz w:val="24"/>
        </w:rPr>
        <w:t>1、货物验收：货物到达甲方指定地点后，由甲方指定验收人统一初验是否符合合同及甲方使用要求。</w:t>
      </w:r>
    </w:p>
    <w:p>
      <w:pPr>
        <w:widowControl/>
        <w:spacing w:line="360" w:lineRule="auto"/>
        <w:ind w:firstLine="480"/>
        <w:rPr>
          <w:rFonts w:asciiTheme="minorEastAsia" w:hAnsiTheme="minorEastAsia" w:eastAsiaTheme="minorEastAsia"/>
          <w:sz w:val="24"/>
        </w:rPr>
      </w:pPr>
      <w:r>
        <w:rPr>
          <w:rFonts w:asciiTheme="minorEastAsia" w:hAnsiTheme="minorEastAsia" w:eastAsiaTheme="minorEastAsia"/>
          <w:sz w:val="24"/>
        </w:rPr>
        <w:t>货物交验地点和方式：合同签订后，供货期内乙方负责将完整配套的全新货物送到甲方指定的地点，并由乙方按法律及合同规范要求完成安装。交货时，乙方随货向甲方交付设备必需的合格证、保修卡、相关资料（如操作手册、使用指南、维修手册、安装调试说明书、服务手册等）及配备的用件、工具等；货物到达指定交货地点后，由甲方和乙方进行集中验货，若开箱发现不合格的货物，乙方必须及时予以更换；在货物最终验收后的质量保证期内，乙方应对由于设计、工艺或者材料的缺陷而发生的任何不足或故障负责，费用由乙方承担，并应向甲方承担延期交付违约责任。</w:t>
      </w:r>
    </w:p>
    <w:p>
      <w:pPr>
        <w:widowControl/>
        <w:spacing w:line="360" w:lineRule="auto"/>
        <w:ind w:firstLine="480"/>
        <w:rPr>
          <w:rFonts w:asciiTheme="minorEastAsia" w:hAnsiTheme="minorEastAsia" w:eastAsiaTheme="minorEastAsia"/>
          <w:sz w:val="24"/>
        </w:rPr>
      </w:pPr>
      <w:r>
        <w:rPr>
          <w:rFonts w:asciiTheme="minorEastAsia" w:hAnsiTheme="minorEastAsia" w:eastAsiaTheme="minorEastAsia"/>
          <w:sz w:val="24"/>
        </w:rPr>
        <w:t>2、本项目的验收方式：由甲方指定验收人负责验收，检验、测试满足技术要求和甲方使用要求，必要时邀请国家认可的质量检测机构参加验收工作。验收完毕后</w:t>
      </w:r>
      <w:r>
        <w:rPr>
          <w:rFonts w:hint="eastAsia" w:asciiTheme="minorEastAsia" w:hAnsiTheme="minorEastAsia" w:eastAsiaTheme="minorEastAsia"/>
          <w:sz w:val="24"/>
        </w:rPr>
        <w:t>出具项目验收报告认定验收合格</w:t>
      </w:r>
      <w:r>
        <w:rPr>
          <w:rFonts w:asciiTheme="minorEastAsia" w:hAnsiTheme="minorEastAsia" w:eastAsiaTheme="minorEastAsia"/>
          <w:sz w:val="24"/>
        </w:rPr>
        <w:t>。</w:t>
      </w:r>
    </w:p>
    <w:p>
      <w:pPr>
        <w:widowControl/>
        <w:spacing w:line="360" w:lineRule="auto"/>
        <w:ind w:firstLine="482"/>
        <w:rPr>
          <w:rFonts w:asciiTheme="minorEastAsia" w:hAnsiTheme="minorEastAsia" w:eastAsiaTheme="minorEastAsia"/>
          <w:b/>
          <w:sz w:val="24"/>
        </w:rPr>
      </w:pPr>
      <w:r>
        <w:rPr>
          <w:rFonts w:asciiTheme="minorEastAsia" w:hAnsiTheme="minorEastAsia" w:eastAsiaTheme="minorEastAsia"/>
          <w:b/>
          <w:sz w:val="24"/>
        </w:rPr>
        <w:t>十一、技术培训</w:t>
      </w:r>
    </w:p>
    <w:p>
      <w:pPr>
        <w:widowControl/>
        <w:spacing w:line="360" w:lineRule="auto"/>
        <w:ind w:firstLine="495"/>
        <w:rPr>
          <w:rFonts w:asciiTheme="minorEastAsia" w:hAnsiTheme="minorEastAsia" w:eastAsiaTheme="minorEastAsia"/>
          <w:sz w:val="24"/>
        </w:rPr>
      </w:pPr>
      <w:r>
        <w:rPr>
          <w:rFonts w:asciiTheme="minorEastAsia" w:hAnsiTheme="minorEastAsia" w:eastAsiaTheme="minorEastAsia"/>
          <w:sz w:val="24"/>
        </w:rPr>
        <w:t>乙方向甲方提供</w:t>
      </w:r>
      <w:r>
        <w:rPr>
          <w:rFonts w:hint="eastAsia" w:asciiTheme="minorEastAsia" w:hAnsiTheme="minorEastAsia" w:eastAsiaTheme="minorEastAsia"/>
          <w:sz w:val="24"/>
        </w:rPr>
        <w:t>投标文件中承诺的所有培训服务以及与该项目设备的调试、使用、一般的维修、维护及保养等</w:t>
      </w:r>
      <w:r>
        <w:rPr>
          <w:rFonts w:asciiTheme="minorEastAsia" w:hAnsiTheme="minorEastAsia" w:eastAsiaTheme="minorEastAsia"/>
          <w:sz w:val="24"/>
        </w:rPr>
        <w:t>。</w:t>
      </w:r>
    </w:p>
    <w:p>
      <w:pPr>
        <w:widowControl/>
        <w:spacing w:line="360" w:lineRule="auto"/>
        <w:ind w:firstLine="495"/>
        <w:rPr>
          <w:rFonts w:asciiTheme="minorEastAsia" w:hAnsiTheme="minorEastAsia" w:eastAsiaTheme="minorEastAsia"/>
          <w:sz w:val="24"/>
        </w:rPr>
      </w:pPr>
    </w:p>
    <w:p>
      <w:pPr>
        <w:widowControl/>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十二、合同价款结算</w:t>
      </w:r>
    </w:p>
    <w:p>
      <w:pPr>
        <w:widowControl/>
        <w:spacing w:line="360" w:lineRule="auto"/>
        <w:ind w:firstLine="482"/>
        <w:rPr>
          <w:rFonts w:asciiTheme="minorEastAsia" w:hAnsiTheme="minorEastAsia" w:eastAsiaTheme="minorEastAsia"/>
          <w:b/>
          <w:sz w:val="24"/>
        </w:rPr>
      </w:pPr>
      <w:r>
        <w:rPr>
          <w:rFonts w:asciiTheme="minorEastAsia" w:hAnsiTheme="minorEastAsia" w:eastAsiaTheme="minorEastAsia"/>
          <w:b/>
          <w:sz w:val="24"/>
        </w:rPr>
        <w:t xml:space="preserve">  </w:t>
      </w:r>
      <w:r>
        <w:rPr>
          <w:rFonts w:hint="eastAsia" w:asciiTheme="minorEastAsia" w:hAnsiTheme="minorEastAsia" w:eastAsiaTheme="minorEastAsia"/>
          <w:b/>
          <w:sz w:val="24"/>
        </w:rPr>
        <w:t>验收合格、达到质保要求后30日内付合同总额的33%；质保期满一年后无质量问题，进行二次验收，验收合格后30日内付合同总额的33%；质保期满二年后无质量问题，进行三次验收，验收合格后30日内付合同总额的31%；剩余3%在质保期满五年后一次性付清。每一次验收由招标人委托的第三方组织完成，完成后相关检验、验收费用由中标人支付。</w:t>
      </w:r>
    </w:p>
    <w:p>
      <w:pPr>
        <w:pStyle w:val="19"/>
        <w:ind w:left="440" w:firstLine="440"/>
        <w:rPr>
          <w:rFonts w:asciiTheme="minorEastAsia" w:hAnsiTheme="minorEastAsia" w:eastAsiaTheme="minorEastAsia"/>
        </w:rPr>
      </w:pPr>
    </w:p>
    <w:p>
      <w:pPr>
        <w:rPr>
          <w:rFonts w:asciiTheme="minorEastAsia" w:hAnsiTheme="minorEastAsia" w:eastAsiaTheme="minorEastAsia"/>
          <w:b/>
          <w:sz w:val="24"/>
        </w:rPr>
      </w:pPr>
      <w:r>
        <w:rPr>
          <w:rFonts w:asciiTheme="minorEastAsia" w:hAnsiTheme="minorEastAsia" w:eastAsiaTheme="minorEastAsia"/>
          <w:b/>
          <w:sz w:val="24"/>
        </w:rPr>
        <w:t>十三、违约责任</w:t>
      </w:r>
    </w:p>
    <w:p>
      <w:pPr>
        <w:widowControl/>
        <w:spacing w:line="360" w:lineRule="auto"/>
        <w:ind w:firstLine="492"/>
        <w:rPr>
          <w:rFonts w:asciiTheme="minorEastAsia" w:hAnsiTheme="minorEastAsia" w:eastAsiaTheme="minorEastAsia"/>
          <w:sz w:val="24"/>
        </w:rPr>
      </w:pPr>
      <w:r>
        <w:rPr>
          <w:rFonts w:asciiTheme="minorEastAsia" w:hAnsiTheme="minorEastAsia" w:eastAsiaTheme="minorEastAsia"/>
          <w:sz w:val="24"/>
        </w:rPr>
        <w:t>本合同签订生效后，双方应严格履行合同义务，任何一方违反本合同约定均应向对方承担违约责任。</w:t>
      </w:r>
    </w:p>
    <w:p>
      <w:pPr>
        <w:widowControl/>
        <w:spacing w:line="360" w:lineRule="auto"/>
        <w:ind w:firstLine="492"/>
        <w:rPr>
          <w:rFonts w:asciiTheme="minorEastAsia" w:hAnsiTheme="minorEastAsia" w:eastAsiaTheme="minorEastAsia"/>
          <w:sz w:val="24"/>
        </w:rPr>
      </w:pPr>
      <w:r>
        <w:rPr>
          <w:rFonts w:asciiTheme="minorEastAsia" w:hAnsiTheme="minorEastAsia" w:eastAsiaTheme="minorEastAsia"/>
          <w:sz w:val="24"/>
        </w:rPr>
        <w:t>1、除发生不可抗力事实外，乙方所交货物和安装调试与合同标准不相符合的，甲方有权拒收货物，并扣除履约保证金，乙方无权请求返还；同时乙方应继续履行合同义务，直到提交货物符合约定标准为止；若延期交货期限达</w:t>
      </w:r>
      <w:r>
        <w:rPr>
          <w:rFonts w:asciiTheme="minorEastAsia" w:hAnsiTheme="minorEastAsia" w:eastAsiaTheme="minorEastAsia"/>
          <w:sz w:val="24"/>
          <w:u w:val="single"/>
        </w:rPr>
        <w:t xml:space="preserve"> 30</w:t>
      </w:r>
      <w:r>
        <w:rPr>
          <w:rFonts w:asciiTheme="minorEastAsia" w:hAnsiTheme="minorEastAsia" w:eastAsiaTheme="minorEastAsia"/>
          <w:sz w:val="24"/>
        </w:rPr>
        <w:t>自然日，甲方可以选择要求乙方承担违约责任后解除合同；</w:t>
      </w:r>
    </w:p>
    <w:p>
      <w:pPr>
        <w:widowControl/>
        <w:spacing w:line="360" w:lineRule="auto"/>
        <w:ind w:firstLine="492"/>
        <w:rPr>
          <w:rFonts w:asciiTheme="minorEastAsia" w:hAnsiTheme="minorEastAsia" w:eastAsiaTheme="minorEastAsia"/>
          <w:sz w:val="24"/>
        </w:rPr>
      </w:pPr>
      <w:r>
        <w:rPr>
          <w:rFonts w:asciiTheme="minorEastAsia" w:hAnsiTheme="minorEastAsia" w:eastAsiaTheme="minorEastAsia"/>
          <w:sz w:val="24"/>
        </w:rPr>
        <w:t>2、乙方逾期交付合格货物应向甲方每日偿付人民币壹仟元整的逾期交货违约金。该违约金不足以弥补甲方因此造成的经济损失的，乙方还应依法赔偿。逾期超过</w:t>
      </w:r>
      <w:r>
        <w:rPr>
          <w:rFonts w:asciiTheme="minorEastAsia" w:hAnsiTheme="minorEastAsia" w:eastAsiaTheme="minorEastAsia"/>
          <w:sz w:val="24"/>
          <w:u w:val="single"/>
        </w:rPr>
        <w:t>30</w:t>
      </w:r>
      <w:r>
        <w:rPr>
          <w:rFonts w:asciiTheme="minorEastAsia" w:hAnsiTheme="minorEastAsia" w:eastAsiaTheme="minorEastAsia"/>
          <w:sz w:val="24"/>
        </w:rPr>
        <w:t>自然日，甲方有权单方解除合同。</w:t>
      </w:r>
    </w:p>
    <w:p>
      <w:pPr>
        <w:widowControl/>
        <w:spacing w:line="360" w:lineRule="auto"/>
        <w:ind w:firstLine="492"/>
        <w:rPr>
          <w:rFonts w:asciiTheme="minorEastAsia" w:hAnsiTheme="minorEastAsia" w:eastAsiaTheme="minorEastAsia"/>
          <w:sz w:val="24"/>
        </w:rPr>
      </w:pPr>
      <w:r>
        <w:rPr>
          <w:rFonts w:asciiTheme="minorEastAsia" w:hAnsiTheme="minorEastAsia" w:eastAsiaTheme="minorEastAsia"/>
          <w:sz w:val="24"/>
        </w:rPr>
        <w:t>3、乙方交付货物的期限为：乙方提请甲方验收之日后能够一次性通过验收，若未能一次性验收合格视为未能如约交付货物，同样应承担逾期交货违约金（甲方原因造成延期供货除外）。逾期超过</w:t>
      </w:r>
      <w:r>
        <w:rPr>
          <w:rFonts w:asciiTheme="minorEastAsia" w:hAnsiTheme="minorEastAsia" w:eastAsiaTheme="minorEastAsia"/>
          <w:sz w:val="24"/>
          <w:u w:val="single"/>
        </w:rPr>
        <w:t>30</w:t>
      </w:r>
      <w:r>
        <w:rPr>
          <w:rFonts w:asciiTheme="minorEastAsia" w:hAnsiTheme="minorEastAsia" w:eastAsiaTheme="minorEastAsia"/>
          <w:sz w:val="24"/>
        </w:rPr>
        <w:t>自然日，甲方有权单方解除合同。</w:t>
      </w:r>
    </w:p>
    <w:p>
      <w:pPr>
        <w:widowControl/>
        <w:spacing w:line="360" w:lineRule="auto"/>
        <w:ind w:firstLine="492"/>
        <w:rPr>
          <w:rFonts w:asciiTheme="minorEastAsia" w:hAnsiTheme="minorEastAsia" w:eastAsiaTheme="minorEastAsia"/>
          <w:sz w:val="24"/>
        </w:rPr>
      </w:pPr>
      <w:r>
        <w:rPr>
          <w:rFonts w:asciiTheme="minorEastAsia" w:hAnsiTheme="minorEastAsia" w:eastAsiaTheme="minorEastAsia"/>
          <w:sz w:val="24"/>
        </w:rPr>
        <w:t>4、甲方有权拒付合同价以外的任何费用；乙方有权拒绝合同整体范围以外的条件。</w:t>
      </w:r>
    </w:p>
    <w:p>
      <w:pPr>
        <w:widowControl/>
        <w:spacing w:line="360" w:lineRule="auto"/>
        <w:ind w:firstLine="482"/>
        <w:rPr>
          <w:rFonts w:asciiTheme="minorEastAsia" w:hAnsiTheme="minorEastAsia" w:eastAsiaTheme="minorEastAsia"/>
          <w:b/>
          <w:sz w:val="24"/>
        </w:rPr>
      </w:pPr>
      <w:r>
        <w:rPr>
          <w:rFonts w:asciiTheme="minorEastAsia" w:hAnsiTheme="minorEastAsia" w:eastAsiaTheme="minorEastAsia"/>
          <w:b/>
          <w:sz w:val="24"/>
        </w:rPr>
        <w:t>十四、争议处理</w:t>
      </w:r>
    </w:p>
    <w:p>
      <w:pPr>
        <w:widowControl/>
        <w:spacing w:line="360" w:lineRule="auto"/>
        <w:ind w:firstLine="492"/>
        <w:rPr>
          <w:rFonts w:asciiTheme="minorEastAsia" w:hAnsiTheme="minorEastAsia" w:eastAsiaTheme="minorEastAsia"/>
          <w:sz w:val="24"/>
        </w:rPr>
      </w:pPr>
      <w:r>
        <w:rPr>
          <w:rFonts w:asciiTheme="minorEastAsia" w:hAnsiTheme="minorEastAsia" w:eastAsiaTheme="minorEastAsia"/>
          <w:sz w:val="24"/>
        </w:rPr>
        <w:t>甲乙双方应通过友好协商，解决在执行本合同中所发生的或本合同有关的一切争端，如果协商仍得不到解决，任何一方均可按《合同法》规定在甲方所在地法院提交调解和仲裁。</w:t>
      </w:r>
    </w:p>
    <w:p>
      <w:pPr>
        <w:widowControl/>
        <w:spacing w:line="360" w:lineRule="auto"/>
        <w:ind w:firstLine="482"/>
        <w:rPr>
          <w:rFonts w:asciiTheme="minorEastAsia" w:hAnsiTheme="minorEastAsia" w:eastAsiaTheme="minorEastAsia"/>
          <w:b/>
          <w:sz w:val="24"/>
        </w:rPr>
      </w:pPr>
      <w:r>
        <w:rPr>
          <w:rFonts w:asciiTheme="minorEastAsia" w:hAnsiTheme="minorEastAsia" w:eastAsiaTheme="minorEastAsia"/>
          <w:b/>
          <w:sz w:val="24"/>
        </w:rPr>
        <w:t>十五、本合同其他未尽事宜，按国家有关规定处理。</w:t>
      </w:r>
    </w:p>
    <w:p>
      <w:pPr>
        <w:widowControl/>
        <w:spacing w:line="360" w:lineRule="auto"/>
        <w:ind w:firstLine="482"/>
        <w:rPr>
          <w:rFonts w:asciiTheme="minorEastAsia" w:hAnsiTheme="minorEastAsia" w:eastAsiaTheme="minorEastAsia"/>
          <w:b/>
          <w:sz w:val="24"/>
        </w:rPr>
      </w:pPr>
      <w:r>
        <w:rPr>
          <w:rFonts w:asciiTheme="minorEastAsia" w:hAnsiTheme="minorEastAsia" w:eastAsiaTheme="minorEastAsia"/>
          <w:b/>
          <w:sz w:val="24"/>
        </w:rPr>
        <w:t>十六、本合同一式五份，甲方三份（档案室存档一份，项目联系人一份，标准化验收备查一份），乙方一份，丙方（招标方）一份。</w:t>
      </w:r>
    </w:p>
    <w:p>
      <w:pPr>
        <w:widowControl/>
        <w:spacing w:line="360" w:lineRule="auto"/>
        <w:ind w:firstLine="482"/>
        <w:rPr>
          <w:rFonts w:asciiTheme="minorEastAsia" w:hAnsiTheme="minorEastAsia" w:eastAsiaTheme="minorEastAsia"/>
          <w:b/>
          <w:sz w:val="24"/>
        </w:rPr>
      </w:pPr>
      <w:r>
        <w:rPr>
          <w:rFonts w:asciiTheme="minorEastAsia" w:hAnsiTheme="minorEastAsia" w:eastAsiaTheme="minorEastAsia"/>
          <w:b/>
          <w:sz w:val="24"/>
        </w:rPr>
        <w:t>十七、本合同自签订之日起生效。</w:t>
      </w:r>
    </w:p>
    <w:p>
      <w:pPr>
        <w:widowControl/>
        <w:spacing w:line="360" w:lineRule="auto"/>
        <w:ind w:firstLine="482"/>
        <w:rPr>
          <w:rFonts w:asciiTheme="minorEastAsia" w:hAnsiTheme="minorEastAsia" w:eastAsiaTheme="minorEastAsia"/>
          <w:b/>
          <w:sz w:val="24"/>
        </w:rPr>
      </w:pPr>
      <w:r>
        <w:rPr>
          <w:rFonts w:asciiTheme="minorEastAsia" w:hAnsiTheme="minorEastAsia" w:eastAsiaTheme="minorEastAsia"/>
          <w:b/>
          <w:sz w:val="24"/>
        </w:rPr>
        <w:t>十八、本合同不可分割之部分：</w:t>
      </w:r>
    </w:p>
    <w:p>
      <w:pPr>
        <w:widowControl/>
        <w:spacing w:line="360" w:lineRule="auto"/>
        <w:ind w:firstLine="492"/>
        <w:rPr>
          <w:rFonts w:asciiTheme="minorEastAsia" w:hAnsiTheme="minorEastAsia" w:eastAsiaTheme="minorEastAsia"/>
          <w:sz w:val="24"/>
        </w:rPr>
      </w:pPr>
      <w:r>
        <w:rPr>
          <w:rFonts w:asciiTheme="minorEastAsia" w:hAnsiTheme="minorEastAsia" w:eastAsiaTheme="minorEastAsia"/>
          <w:sz w:val="24"/>
        </w:rPr>
        <w:t>1．招标文件；</w:t>
      </w:r>
    </w:p>
    <w:p>
      <w:pPr>
        <w:widowControl/>
        <w:spacing w:line="360" w:lineRule="auto"/>
        <w:ind w:firstLine="492"/>
        <w:rPr>
          <w:rFonts w:asciiTheme="minorEastAsia" w:hAnsiTheme="minorEastAsia" w:eastAsiaTheme="minorEastAsia"/>
          <w:sz w:val="24"/>
        </w:rPr>
      </w:pPr>
      <w:r>
        <w:rPr>
          <w:rFonts w:asciiTheme="minorEastAsia" w:hAnsiTheme="minorEastAsia" w:eastAsiaTheme="minorEastAsia"/>
          <w:sz w:val="24"/>
        </w:rPr>
        <w:t>2．中标人投标文件及答疑、澄清或谈判文件；</w:t>
      </w:r>
    </w:p>
    <w:p>
      <w:pPr>
        <w:widowControl/>
        <w:spacing w:line="360" w:lineRule="auto"/>
        <w:ind w:firstLine="480"/>
        <w:rPr>
          <w:rFonts w:asciiTheme="minorEastAsia" w:hAnsiTheme="minorEastAsia" w:eastAsiaTheme="minorEastAsia"/>
          <w:sz w:val="24"/>
        </w:rPr>
      </w:pPr>
      <w:r>
        <w:rPr>
          <w:rFonts w:asciiTheme="minorEastAsia" w:hAnsiTheme="minorEastAsia" w:eastAsiaTheme="minorEastAsia"/>
          <w:sz w:val="24"/>
        </w:rPr>
        <w:t>3．中标通知书；</w:t>
      </w:r>
    </w:p>
    <w:p>
      <w:pPr>
        <w:widowControl/>
        <w:spacing w:line="360" w:lineRule="auto"/>
        <w:ind w:firstLine="492"/>
        <w:rPr>
          <w:rFonts w:asciiTheme="minorEastAsia" w:hAnsiTheme="minorEastAsia" w:eastAsiaTheme="minorEastAsia"/>
          <w:sz w:val="24"/>
        </w:rPr>
      </w:pPr>
      <w:r>
        <w:rPr>
          <w:rFonts w:asciiTheme="minorEastAsia" w:hAnsiTheme="minorEastAsia" w:eastAsiaTheme="minorEastAsia"/>
          <w:sz w:val="24"/>
        </w:rPr>
        <w:t>4．合同书附件;</w:t>
      </w:r>
    </w:p>
    <w:p>
      <w:pPr>
        <w:widowControl/>
        <w:spacing w:line="360" w:lineRule="auto"/>
        <w:ind w:firstLine="492"/>
        <w:rPr>
          <w:rFonts w:asciiTheme="minorEastAsia" w:hAnsiTheme="minorEastAsia" w:eastAsiaTheme="minorEastAsia"/>
          <w:sz w:val="24"/>
        </w:rPr>
      </w:pPr>
      <w:r>
        <w:rPr>
          <w:rFonts w:asciiTheme="minorEastAsia" w:hAnsiTheme="minorEastAsia" w:eastAsiaTheme="minorEastAsia"/>
          <w:sz w:val="24"/>
        </w:rPr>
        <w:t>5．中标人服务承诺与保修书。</w:t>
      </w:r>
    </w:p>
    <w:p>
      <w:pPr>
        <w:widowControl/>
        <w:spacing w:line="360" w:lineRule="auto"/>
        <w:ind w:firstLine="482"/>
        <w:rPr>
          <w:rFonts w:asciiTheme="minorEastAsia" w:hAnsiTheme="minorEastAsia" w:eastAsiaTheme="minorEastAsia"/>
          <w:b/>
          <w:sz w:val="24"/>
        </w:rPr>
      </w:pPr>
      <w:r>
        <w:rPr>
          <w:rFonts w:asciiTheme="minorEastAsia" w:hAnsiTheme="minorEastAsia" w:eastAsiaTheme="minorEastAsia"/>
          <w:b/>
          <w:sz w:val="24"/>
        </w:rPr>
        <w:t>十九、附件：</w:t>
      </w:r>
    </w:p>
    <w:p>
      <w:pPr>
        <w:widowControl/>
        <w:spacing w:line="360" w:lineRule="auto"/>
        <w:ind w:firstLine="494"/>
        <w:rPr>
          <w:rFonts w:asciiTheme="minorEastAsia" w:hAnsiTheme="minorEastAsia" w:eastAsiaTheme="minorEastAsia"/>
          <w:b/>
          <w:sz w:val="24"/>
        </w:rPr>
      </w:pPr>
      <w:r>
        <w:rPr>
          <w:rFonts w:asciiTheme="minorEastAsia" w:hAnsiTheme="minorEastAsia" w:eastAsiaTheme="minorEastAsia"/>
          <w:b/>
          <w:sz w:val="24"/>
        </w:rPr>
        <w:t>附件一：合同货物配置明细表</w:t>
      </w:r>
    </w:p>
    <w:p>
      <w:pPr>
        <w:widowControl/>
        <w:spacing w:line="360" w:lineRule="auto"/>
        <w:ind w:firstLine="494"/>
        <w:rPr>
          <w:rFonts w:asciiTheme="minorEastAsia" w:hAnsiTheme="minorEastAsia" w:eastAsiaTheme="minorEastAsia"/>
          <w:b/>
          <w:sz w:val="24"/>
        </w:rPr>
      </w:pPr>
      <w:r>
        <w:rPr>
          <w:rFonts w:asciiTheme="minorEastAsia" w:hAnsiTheme="minorEastAsia" w:eastAsiaTheme="minorEastAsia"/>
          <w:b/>
          <w:sz w:val="24"/>
        </w:rPr>
        <w:t>附件二：相关</w:t>
      </w:r>
      <w:r>
        <w:rPr>
          <w:rFonts w:hint="eastAsia" w:asciiTheme="minorEastAsia" w:hAnsiTheme="minorEastAsia" w:eastAsiaTheme="minorEastAsia"/>
          <w:b/>
          <w:sz w:val="24"/>
        </w:rPr>
        <w:t>安装地点</w:t>
      </w:r>
      <w:r>
        <w:rPr>
          <w:rFonts w:hint="eastAsia" w:cs="宋体" w:asciiTheme="minorEastAsia" w:hAnsiTheme="minorEastAsia" w:eastAsiaTheme="minorEastAsia"/>
          <w:b/>
          <w:bCs/>
          <w:sz w:val="24"/>
        </w:rPr>
        <w:t>设备分配表</w:t>
      </w:r>
      <w:r>
        <w:rPr>
          <w:rFonts w:asciiTheme="minorEastAsia" w:hAnsiTheme="minorEastAsia" w:eastAsiaTheme="minorEastAsia"/>
          <w:b/>
          <w:sz w:val="24"/>
        </w:rPr>
        <w:t>与相关联系人</w:t>
      </w:r>
    </w:p>
    <w:p>
      <w:pPr>
        <w:widowControl/>
        <w:spacing w:line="360" w:lineRule="auto"/>
        <w:ind w:firstLine="494"/>
        <w:rPr>
          <w:rFonts w:asciiTheme="minorEastAsia" w:hAnsiTheme="minorEastAsia" w:eastAsiaTheme="minorEastAsia"/>
          <w:b/>
          <w:sz w:val="24"/>
        </w:rPr>
      </w:pPr>
      <w:r>
        <w:rPr>
          <w:rFonts w:asciiTheme="minorEastAsia" w:hAnsiTheme="minorEastAsia" w:eastAsiaTheme="minorEastAsia"/>
          <w:b/>
          <w:sz w:val="24"/>
        </w:rPr>
        <w:t>附件三：</w:t>
      </w:r>
      <w:r>
        <w:rPr>
          <w:rFonts w:hint="eastAsia" w:asciiTheme="minorEastAsia" w:hAnsiTheme="minorEastAsia" w:eastAsiaTheme="minorEastAsia"/>
          <w:b/>
          <w:sz w:val="24"/>
        </w:rPr>
        <w:t>中标通知书</w:t>
      </w:r>
    </w:p>
    <w:p>
      <w:pPr>
        <w:pStyle w:val="19"/>
        <w:ind w:left="0" w:leftChars="0" w:firstLine="482"/>
        <w:rPr>
          <w:rFonts w:asciiTheme="minorEastAsia" w:hAnsiTheme="minorEastAsia" w:eastAsiaTheme="minorEastAsia"/>
          <w:b/>
          <w:sz w:val="24"/>
        </w:rPr>
      </w:pPr>
    </w:p>
    <w:p>
      <w:pPr>
        <w:widowControl/>
        <w:spacing w:line="360" w:lineRule="auto"/>
        <w:rPr>
          <w:rFonts w:asciiTheme="minorEastAsia" w:hAnsiTheme="minorEastAsia" w:eastAsiaTheme="minorEastAsia"/>
          <w:sz w:val="24"/>
        </w:rPr>
      </w:pPr>
      <w:r>
        <w:rPr>
          <w:rFonts w:hint="eastAsia" w:asciiTheme="minorEastAsia" w:hAnsiTheme="minorEastAsia" w:eastAsiaTheme="minorEastAsia"/>
          <w:b/>
          <w:sz w:val="24"/>
        </w:rPr>
        <w:t xml:space="preserve"> </w:t>
      </w:r>
    </w:p>
    <w:p>
      <w:pPr>
        <w:widowControl/>
        <w:spacing w:line="360" w:lineRule="auto"/>
        <w:rPr>
          <w:rFonts w:asciiTheme="minorEastAsia" w:hAnsiTheme="minorEastAsia" w:eastAsiaTheme="minorEastAsia"/>
          <w:sz w:val="24"/>
        </w:rPr>
      </w:pPr>
    </w:p>
    <w:p>
      <w:pPr>
        <w:widowControl/>
        <w:spacing w:line="360" w:lineRule="auto"/>
        <w:rPr>
          <w:rFonts w:asciiTheme="minorEastAsia" w:hAnsiTheme="minorEastAsia" w:eastAsiaTheme="minorEastAsia"/>
          <w:sz w:val="24"/>
        </w:rPr>
      </w:pPr>
    </w:p>
    <w:p>
      <w:pPr>
        <w:widowControl/>
        <w:spacing w:line="360" w:lineRule="auto"/>
        <w:rPr>
          <w:rFonts w:asciiTheme="minorEastAsia" w:hAnsiTheme="minorEastAsia" w:eastAsiaTheme="minorEastAsia"/>
          <w:sz w:val="24"/>
        </w:rPr>
      </w:pPr>
    </w:p>
    <w:p>
      <w:pPr>
        <w:widowControl/>
        <w:spacing w:line="360" w:lineRule="auto"/>
        <w:rPr>
          <w:rFonts w:asciiTheme="minorEastAsia" w:hAnsiTheme="minorEastAsia" w:eastAsiaTheme="minorEastAsia"/>
          <w:sz w:val="24"/>
        </w:rPr>
      </w:pPr>
    </w:p>
    <w:p>
      <w:pPr>
        <w:widowControl/>
        <w:spacing w:line="360" w:lineRule="auto"/>
        <w:ind w:firstLine="424"/>
        <w:rPr>
          <w:rFonts w:asciiTheme="minorEastAsia" w:hAnsiTheme="minorEastAsia" w:eastAsiaTheme="minorEastAsia"/>
          <w:b/>
          <w:sz w:val="24"/>
        </w:rPr>
      </w:pPr>
      <w:r>
        <w:rPr>
          <w:rFonts w:asciiTheme="minorEastAsia" w:hAnsiTheme="minorEastAsia" w:eastAsiaTheme="minorEastAsia"/>
          <w:b/>
          <w:sz w:val="24"/>
        </w:rPr>
        <w:t>甲方盖章：</w:t>
      </w:r>
    </w:p>
    <w:p>
      <w:pPr>
        <w:widowControl/>
        <w:spacing w:line="360" w:lineRule="auto"/>
        <w:ind w:firstLine="422"/>
        <w:rPr>
          <w:rFonts w:asciiTheme="minorEastAsia" w:hAnsiTheme="minorEastAsia" w:eastAsiaTheme="minorEastAsia"/>
          <w:sz w:val="24"/>
        </w:rPr>
      </w:pPr>
      <w:r>
        <w:rPr>
          <w:rFonts w:asciiTheme="minorEastAsia" w:hAnsiTheme="minorEastAsia" w:eastAsiaTheme="minorEastAsia"/>
          <w:sz w:val="24"/>
        </w:rPr>
        <w:t>地    址：乌鲁木齐市水磨沟区温泉西路131号</w:t>
      </w:r>
    </w:p>
    <w:p>
      <w:pPr>
        <w:widowControl/>
        <w:spacing w:line="360" w:lineRule="auto"/>
        <w:ind w:firstLine="422"/>
        <w:rPr>
          <w:rFonts w:asciiTheme="minorEastAsia" w:hAnsiTheme="minorEastAsia" w:eastAsiaTheme="minorEastAsia"/>
          <w:sz w:val="24"/>
        </w:rPr>
      </w:pPr>
      <w:r>
        <w:rPr>
          <w:rFonts w:asciiTheme="minorEastAsia" w:hAnsiTheme="minorEastAsia" w:eastAsiaTheme="minorEastAsia"/>
          <w:sz w:val="24"/>
        </w:rPr>
        <w:t>邮    编：830017</w:t>
      </w:r>
    </w:p>
    <w:p>
      <w:pPr>
        <w:widowControl/>
        <w:spacing w:line="360" w:lineRule="auto"/>
        <w:ind w:firstLine="422"/>
        <w:rPr>
          <w:rFonts w:asciiTheme="minorEastAsia" w:hAnsiTheme="minorEastAsia" w:eastAsiaTheme="minorEastAsia"/>
          <w:sz w:val="24"/>
        </w:rPr>
      </w:pPr>
      <w:r>
        <w:rPr>
          <w:rFonts w:asciiTheme="minorEastAsia" w:hAnsiTheme="minorEastAsia" w:eastAsiaTheme="minorEastAsia"/>
          <w:sz w:val="24"/>
        </w:rPr>
        <w:t>法定代表人（委托代理人）：</w:t>
      </w:r>
    </w:p>
    <w:p>
      <w:pPr>
        <w:widowControl/>
        <w:spacing w:line="360" w:lineRule="auto"/>
        <w:ind w:firstLine="422"/>
        <w:rPr>
          <w:rFonts w:asciiTheme="minorEastAsia" w:hAnsiTheme="minorEastAsia" w:eastAsiaTheme="minorEastAsia"/>
          <w:sz w:val="24"/>
        </w:rPr>
      </w:pPr>
      <w:r>
        <w:rPr>
          <w:rFonts w:asciiTheme="minorEastAsia" w:hAnsiTheme="minorEastAsia" w:eastAsiaTheme="minorEastAsia"/>
          <w:sz w:val="24"/>
        </w:rPr>
        <w:t>项目（使用部门）负责人：</w:t>
      </w:r>
    </w:p>
    <w:p>
      <w:pPr>
        <w:widowControl/>
        <w:spacing w:line="360" w:lineRule="auto"/>
        <w:ind w:firstLine="437"/>
        <w:rPr>
          <w:rFonts w:asciiTheme="minorEastAsia" w:hAnsiTheme="minorEastAsia" w:eastAsiaTheme="minorEastAsia"/>
          <w:sz w:val="24"/>
        </w:rPr>
      </w:pPr>
    </w:p>
    <w:p>
      <w:pPr>
        <w:widowControl/>
        <w:spacing w:line="360" w:lineRule="auto"/>
        <w:ind w:firstLine="437"/>
        <w:rPr>
          <w:rFonts w:asciiTheme="minorEastAsia" w:hAnsiTheme="minorEastAsia" w:eastAsiaTheme="minorEastAsia"/>
          <w:sz w:val="24"/>
        </w:rPr>
      </w:pPr>
    </w:p>
    <w:p>
      <w:pPr>
        <w:widowControl/>
        <w:spacing w:line="360" w:lineRule="auto"/>
        <w:ind w:firstLine="437"/>
        <w:rPr>
          <w:rFonts w:asciiTheme="minorEastAsia" w:hAnsiTheme="minorEastAsia" w:eastAsiaTheme="minorEastAsia"/>
          <w:sz w:val="24"/>
        </w:rPr>
      </w:pPr>
    </w:p>
    <w:p>
      <w:pPr>
        <w:widowControl/>
        <w:spacing w:line="360" w:lineRule="auto"/>
        <w:ind w:firstLine="424"/>
        <w:rPr>
          <w:rFonts w:asciiTheme="minorEastAsia" w:hAnsiTheme="minorEastAsia" w:eastAsiaTheme="minorEastAsia"/>
          <w:b/>
          <w:sz w:val="24"/>
        </w:rPr>
      </w:pPr>
      <w:r>
        <w:rPr>
          <w:rFonts w:asciiTheme="minorEastAsia" w:hAnsiTheme="minorEastAsia" w:eastAsiaTheme="minorEastAsia"/>
          <w:b/>
          <w:sz w:val="24"/>
        </w:rPr>
        <w:t>乙方盖章：</w:t>
      </w:r>
    </w:p>
    <w:p>
      <w:pPr>
        <w:widowControl/>
        <w:spacing w:line="360" w:lineRule="auto"/>
        <w:ind w:firstLine="422"/>
        <w:rPr>
          <w:rFonts w:asciiTheme="minorEastAsia" w:hAnsiTheme="minorEastAsia" w:eastAsiaTheme="minorEastAsia"/>
          <w:sz w:val="24"/>
        </w:rPr>
      </w:pPr>
      <w:r>
        <w:rPr>
          <w:rFonts w:asciiTheme="minorEastAsia" w:hAnsiTheme="minorEastAsia" w:eastAsiaTheme="minorEastAsia"/>
          <w:sz w:val="24"/>
        </w:rPr>
        <w:t>地    址：</w:t>
      </w:r>
      <w:r>
        <w:rPr>
          <w:rFonts w:hint="eastAsia" w:asciiTheme="minorEastAsia" w:hAnsiTheme="minorEastAsia" w:eastAsiaTheme="minorEastAsia"/>
          <w:sz w:val="24"/>
        </w:rPr>
        <w:t>新疆乌鲁木齐市新市区天津北路东梁四巷297号</w:t>
      </w:r>
    </w:p>
    <w:p>
      <w:pPr>
        <w:widowControl/>
        <w:spacing w:line="360" w:lineRule="auto"/>
        <w:ind w:firstLine="422"/>
        <w:rPr>
          <w:rFonts w:asciiTheme="minorEastAsia" w:hAnsiTheme="minorEastAsia" w:eastAsiaTheme="minorEastAsia"/>
          <w:sz w:val="24"/>
        </w:rPr>
      </w:pPr>
      <w:r>
        <w:rPr>
          <w:rFonts w:asciiTheme="minorEastAsia" w:hAnsiTheme="minorEastAsia" w:eastAsiaTheme="minorEastAsia"/>
          <w:sz w:val="24"/>
        </w:rPr>
        <w:t>邮    编：830000</w:t>
      </w:r>
    </w:p>
    <w:p>
      <w:pPr>
        <w:widowControl/>
        <w:spacing w:line="360" w:lineRule="auto"/>
        <w:ind w:firstLine="422"/>
        <w:rPr>
          <w:rFonts w:asciiTheme="minorEastAsia" w:hAnsiTheme="minorEastAsia" w:eastAsiaTheme="minorEastAsia"/>
          <w:sz w:val="24"/>
        </w:rPr>
      </w:pPr>
      <w:r>
        <w:rPr>
          <w:rFonts w:asciiTheme="minorEastAsia" w:hAnsiTheme="minorEastAsia" w:eastAsiaTheme="minorEastAsia"/>
          <w:sz w:val="24"/>
        </w:rPr>
        <w:t xml:space="preserve">法定代表人（委托代理人）： </w:t>
      </w:r>
    </w:p>
    <w:p>
      <w:pPr>
        <w:widowControl/>
        <w:spacing w:line="360" w:lineRule="auto"/>
        <w:ind w:firstLine="422"/>
        <w:rPr>
          <w:rFonts w:asciiTheme="minorEastAsia" w:hAnsiTheme="minorEastAsia" w:eastAsiaTheme="minorEastAsia"/>
          <w:sz w:val="24"/>
        </w:rPr>
      </w:pPr>
      <w:r>
        <w:rPr>
          <w:rFonts w:asciiTheme="minorEastAsia" w:hAnsiTheme="minorEastAsia" w:eastAsiaTheme="minorEastAsia"/>
          <w:sz w:val="24"/>
        </w:rPr>
        <w:t>联系电话：</w:t>
      </w:r>
      <w:r>
        <w:rPr>
          <w:rFonts w:hint="eastAsia" w:asciiTheme="minorEastAsia" w:hAnsiTheme="minorEastAsia" w:eastAsiaTheme="minorEastAsia"/>
          <w:sz w:val="24"/>
        </w:rPr>
        <w:t>13199860969</w:t>
      </w:r>
    </w:p>
    <w:p>
      <w:pPr>
        <w:widowControl/>
        <w:spacing w:line="360" w:lineRule="auto"/>
        <w:ind w:firstLine="435"/>
        <w:rPr>
          <w:rFonts w:asciiTheme="minorEastAsia" w:hAnsiTheme="minorEastAsia" w:eastAsiaTheme="minorEastAsia"/>
          <w:sz w:val="24"/>
        </w:rPr>
      </w:pPr>
    </w:p>
    <w:p>
      <w:pPr>
        <w:widowControl/>
        <w:spacing w:line="440" w:lineRule="exact"/>
        <w:rPr>
          <w:rFonts w:asciiTheme="minorEastAsia" w:hAnsiTheme="minorEastAsia" w:eastAsiaTheme="minorEastAsia"/>
          <w:sz w:val="24"/>
        </w:rPr>
      </w:pPr>
    </w:p>
    <w:p>
      <w:pPr>
        <w:widowControl/>
        <w:spacing w:line="360" w:lineRule="auto"/>
        <w:ind w:firstLine="241" w:firstLineChars="100"/>
        <w:rPr>
          <w:rFonts w:asciiTheme="minorEastAsia" w:hAnsiTheme="minorEastAsia" w:eastAsiaTheme="minorEastAsia"/>
          <w:b/>
          <w:sz w:val="24"/>
        </w:rPr>
      </w:pPr>
      <w:r>
        <w:rPr>
          <w:rFonts w:asciiTheme="minorEastAsia" w:hAnsiTheme="minorEastAsia" w:eastAsiaTheme="minorEastAsia"/>
          <w:b/>
          <w:sz w:val="24"/>
        </w:rPr>
        <w:t>附件二：相关</w:t>
      </w:r>
      <w:r>
        <w:rPr>
          <w:rFonts w:hint="eastAsia" w:asciiTheme="minorEastAsia" w:hAnsiTheme="minorEastAsia" w:eastAsiaTheme="minorEastAsia"/>
          <w:b/>
          <w:sz w:val="24"/>
        </w:rPr>
        <w:t>安装地点</w:t>
      </w:r>
      <w:r>
        <w:rPr>
          <w:rFonts w:hint="eastAsia" w:cs="宋体" w:asciiTheme="minorEastAsia" w:hAnsiTheme="minorEastAsia" w:eastAsiaTheme="minorEastAsia"/>
          <w:b/>
          <w:bCs/>
          <w:sz w:val="24"/>
        </w:rPr>
        <w:t>设备分配表</w:t>
      </w:r>
      <w:r>
        <w:rPr>
          <w:rFonts w:asciiTheme="minorEastAsia" w:hAnsiTheme="minorEastAsia" w:eastAsiaTheme="minorEastAsia"/>
          <w:b/>
          <w:sz w:val="24"/>
        </w:rPr>
        <w:t>与相关联系人</w:t>
      </w:r>
    </w:p>
    <w:p>
      <w:pPr>
        <w:widowControl/>
        <w:spacing w:line="360" w:lineRule="auto"/>
        <w:rPr>
          <w:rFonts w:asciiTheme="minorEastAsia" w:hAnsiTheme="minorEastAsia" w:eastAsiaTheme="minorEastAsia"/>
          <w:b/>
          <w:sz w:val="24"/>
        </w:rPr>
      </w:pPr>
      <w:r>
        <w:rPr>
          <w:rFonts w:hint="eastAsia" w:asciiTheme="minorEastAsia" w:hAnsiTheme="minorEastAsia" w:eastAsiaTheme="minorEastAsia"/>
          <w:b/>
          <w:sz w:val="24"/>
        </w:rPr>
        <w:t>注：待项目完成招投标工作后确认！</w:t>
      </w:r>
    </w:p>
    <w:p>
      <w:pPr>
        <w:widowControl/>
        <w:spacing w:line="360" w:lineRule="auto"/>
        <w:rPr>
          <w:rFonts w:asciiTheme="minorEastAsia" w:hAnsiTheme="minorEastAsia" w:eastAsiaTheme="minorEastAsia"/>
          <w:b/>
          <w:sz w:val="24"/>
        </w:rPr>
      </w:pPr>
    </w:p>
    <w:p>
      <w:pPr>
        <w:widowControl/>
        <w:spacing w:line="360" w:lineRule="auto"/>
        <w:rPr>
          <w:rFonts w:asciiTheme="minorEastAsia" w:hAnsiTheme="minorEastAsia" w:eastAsiaTheme="minorEastAsia"/>
          <w:b/>
          <w:sz w:val="24"/>
        </w:rPr>
      </w:pPr>
    </w:p>
    <w:p>
      <w:pPr>
        <w:widowControl/>
        <w:spacing w:line="360" w:lineRule="auto"/>
        <w:rPr>
          <w:rFonts w:asciiTheme="minorEastAsia" w:hAnsiTheme="minorEastAsia" w:eastAsiaTheme="minorEastAsia"/>
          <w:b/>
          <w:sz w:val="24"/>
        </w:rPr>
      </w:pPr>
    </w:p>
    <w:p>
      <w:pPr>
        <w:widowControl/>
        <w:spacing w:line="360" w:lineRule="auto"/>
        <w:rPr>
          <w:rFonts w:asciiTheme="minorEastAsia" w:hAnsiTheme="minorEastAsia" w:eastAsiaTheme="minorEastAsia"/>
          <w:b/>
          <w:sz w:val="24"/>
        </w:rPr>
      </w:pPr>
    </w:p>
    <w:p>
      <w:pPr>
        <w:widowControl/>
        <w:spacing w:line="360" w:lineRule="auto"/>
        <w:rPr>
          <w:rFonts w:asciiTheme="minorEastAsia" w:hAnsiTheme="minorEastAsia" w:eastAsiaTheme="minorEastAsia"/>
          <w:b/>
          <w:sz w:val="24"/>
        </w:rPr>
      </w:pPr>
    </w:p>
    <w:p>
      <w:pPr>
        <w:widowControl/>
        <w:spacing w:line="360" w:lineRule="auto"/>
        <w:rPr>
          <w:rFonts w:asciiTheme="minorEastAsia" w:hAnsiTheme="minorEastAsia" w:eastAsiaTheme="minorEastAsia"/>
          <w:b/>
          <w:sz w:val="24"/>
        </w:rPr>
      </w:pPr>
    </w:p>
    <w:p>
      <w:pPr>
        <w:widowControl/>
        <w:spacing w:line="360" w:lineRule="auto"/>
        <w:rPr>
          <w:rFonts w:asciiTheme="minorEastAsia" w:hAnsiTheme="minorEastAsia" w:eastAsiaTheme="minorEastAsia"/>
          <w:b/>
          <w:sz w:val="24"/>
        </w:rPr>
      </w:pPr>
    </w:p>
    <w:p>
      <w:pPr>
        <w:widowControl/>
        <w:spacing w:line="360" w:lineRule="auto"/>
        <w:rPr>
          <w:rFonts w:asciiTheme="minorEastAsia" w:hAnsiTheme="minorEastAsia" w:eastAsiaTheme="minorEastAsia"/>
          <w:b/>
          <w:sz w:val="24"/>
        </w:rPr>
      </w:pPr>
    </w:p>
    <w:p>
      <w:pPr>
        <w:widowControl/>
        <w:spacing w:line="360" w:lineRule="auto"/>
        <w:rPr>
          <w:rFonts w:asciiTheme="minorEastAsia" w:hAnsiTheme="minorEastAsia" w:eastAsiaTheme="minorEastAsia"/>
          <w:b/>
          <w:sz w:val="24"/>
        </w:rPr>
      </w:pPr>
    </w:p>
    <w:p>
      <w:pPr>
        <w:pStyle w:val="19"/>
        <w:ind w:left="440" w:firstLine="440"/>
        <w:rPr>
          <w:rFonts w:asciiTheme="minorEastAsia" w:hAnsiTheme="minorEastAsia" w:eastAsiaTheme="minorEastAsia"/>
        </w:rPr>
      </w:pPr>
    </w:p>
    <w:p>
      <w:pPr>
        <w:pStyle w:val="19"/>
        <w:ind w:left="440" w:firstLine="440"/>
        <w:rPr>
          <w:rFonts w:asciiTheme="minorEastAsia" w:hAnsiTheme="minorEastAsia" w:eastAsiaTheme="minorEastAsia"/>
        </w:rPr>
      </w:pPr>
    </w:p>
    <w:p>
      <w:pPr>
        <w:pStyle w:val="19"/>
        <w:ind w:left="440" w:firstLine="440"/>
        <w:rPr>
          <w:rFonts w:asciiTheme="minorEastAsia" w:hAnsiTheme="minorEastAsia" w:eastAsiaTheme="minorEastAsia"/>
        </w:rPr>
      </w:pPr>
    </w:p>
    <w:p>
      <w:pPr>
        <w:pStyle w:val="19"/>
        <w:ind w:left="440" w:firstLine="440"/>
        <w:rPr>
          <w:rFonts w:asciiTheme="minorEastAsia" w:hAnsiTheme="minorEastAsia" w:eastAsiaTheme="minorEastAsia"/>
        </w:rPr>
      </w:pPr>
    </w:p>
    <w:p>
      <w:pPr>
        <w:widowControl/>
        <w:spacing w:line="360" w:lineRule="auto"/>
        <w:ind w:firstLine="120" w:firstLineChars="50"/>
        <w:rPr>
          <w:rFonts w:asciiTheme="minorEastAsia" w:hAnsiTheme="minorEastAsia" w:eastAsiaTheme="minorEastAsia"/>
          <w:b/>
          <w:sz w:val="28"/>
          <w:szCs w:val="28"/>
        </w:rPr>
      </w:pPr>
      <w:r>
        <w:rPr>
          <w:rFonts w:hint="eastAsia" w:asciiTheme="minorEastAsia" w:hAnsiTheme="minorEastAsia" w:eastAsiaTheme="minorEastAsia"/>
          <w:b/>
          <w:sz w:val="24"/>
        </w:rPr>
        <w:t xml:space="preserve">附件三                      </w:t>
      </w:r>
      <w:r>
        <w:rPr>
          <w:rFonts w:hint="eastAsia" w:asciiTheme="minorEastAsia" w:hAnsiTheme="minorEastAsia" w:eastAsiaTheme="minorEastAsia"/>
          <w:b/>
          <w:sz w:val="28"/>
          <w:szCs w:val="28"/>
        </w:rPr>
        <w:t xml:space="preserve">   中标通知书</w:t>
      </w:r>
    </w:p>
    <w:p>
      <w:pPr>
        <w:pStyle w:val="19"/>
        <w:ind w:left="0" w:leftChars="0" w:firstLine="0" w:firstLineChars="0"/>
        <w:rPr>
          <w:rFonts w:asciiTheme="minorEastAsia" w:hAnsiTheme="minorEastAsia" w:eastAsiaTheme="minorEastAsia"/>
        </w:rPr>
      </w:pPr>
    </w:p>
    <w:p>
      <w:pPr>
        <w:widowControl/>
        <w:spacing w:line="360" w:lineRule="auto"/>
        <w:ind w:firstLine="120" w:firstLineChars="50"/>
        <w:rPr>
          <w:rFonts w:asciiTheme="minorEastAsia" w:hAnsiTheme="minorEastAsia" w:eastAsiaTheme="minorEastAsia"/>
          <w:b/>
          <w:sz w:val="28"/>
          <w:szCs w:val="28"/>
        </w:rPr>
      </w:pPr>
      <w:r>
        <w:rPr>
          <w:rFonts w:hint="eastAsia" w:asciiTheme="minorEastAsia" w:hAnsiTheme="minorEastAsia" w:eastAsiaTheme="minorEastAsia"/>
          <w:b/>
          <w:sz w:val="24"/>
        </w:rPr>
        <w:t xml:space="preserve">附件四                        </w:t>
      </w:r>
      <w:r>
        <w:rPr>
          <w:rFonts w:hint="eastAsia" w:asciiTheme="minorEastAsia" w:hAnsiTheme="minorEastAsia" w:eastAsiaTheme="minorEastAsia"/>
          <w:b/>
          <w:sz w:val="28"/>
          <w:szCs w:val="28"/>
        </w:rPr>
        <w:t xml:space="preserve"> 验 收 报 告</w:t>
      </w:r>
    </w:p>
    <w:p>
      <w:pPr>
        <w:ind w:firstLine="435"/>
        <w:rPr>
          <w:rFonts w:asciiTheme="minorEastAsia" w:hAnsiTheme="minorEastAsia" w:eastAsiaTheme="minorEastAsia"/>
        </w:rPr>
      </w:pPr>
      <w:r>
        <w:rPr>
          <w:rFonts w:hint="eastAsia" w:asciiTheme="minorEastAsia" w:hAnsiTheme="minorEastAsia" w:eastAsiaTheme="minorEastAsia"/>
        </w:rPr>
        <w:t xml:space="preserve">   </w:t>
      </w:r>
    </w:p>
    <w:p>
      <w:pPr>
        <w:widowControl/>
        <w:spacing w:line="360" w:lineRule="auto"/>
        <w:rPr>
          <w:rFonts w:asciiTheme="minorEastAsia" w:hAnsiTheme="minorEastAsia" w:eastAsiaTheme="minorEastAsia"/>
          <w:b/>
          <w:sz w:val="36"/>
        </w:rPr>
      </w:pPr>
      <w:r>
        <w:rPr>
          <w:rFonts w:asciiTheme="minorEastAsia" w:hAnsiTheme="minorEastAsia" w:eastAsiaTheme="minorEastAsia"/>
          <w:b/>
          <w:sz w:val="24"/>
        </w:rPr>
        <w:t>二十、产品的技术服务和售后服务的内容及措施</w:t>
      </w:r>
    </w:p>
    <w:p>
      <w:pPr>
        <w:widowControl/>
        <w:rPr>
          <w:rFonts w:asciiTheme="minorEastAsia" w:hAnsiTheme="minorEastAsia" w:eastAsiaTheme="minorEastAsia"/>
          <w:sz w:val="24"/>
          <w:szCs w:val="24"/>
          <w:u w:val="single"/>
        </w:rPr>
      </w:pPr>
      <w:r>
        <w:rPr>
          <w:rFonts w:asciiTheme="minorEastAsia" w:hAnsiTheme="minorEastAsia" w:eastAsiaTheme="minorEastAsia"/>
          <w:b/>
          <w:sz w:val="24"/>
        </w:rPr>
        <w:t>招标编号：</w:t>
      </w:r>
      <w:r>
        <w:rPr>
          <w:rFonts w:hint="eastAsia" w:asciiTheme="minorEastAsia" w:hAnsiTheme="minorEastAsia" w:eastAsiaTheme="minorEastAsia"/>
          <w:sz w:val="24"/>
          <w:szCs w:val="24"/>
        </w:rPr>
        <w:t>：</w:t>
      </w:r>
      <w:r>
        <w:rPr>
          <w:rFonts w:asciiTheme="minorEastAsia" w:hAnsiTheme="minorEastAsia" w:eastAsiaTheme="minorEastAsia"/>
          <w:sz w:val="24"/>
          <w:szCs w:val="24"/>
          <w:u w:val="single"/>
        </w:rPr>
        <w:t>XJPCFW2020-042</w:t>
      </w:r>
    </w:p>
    <w:p>
      <w:pPr>
        <w:widowControl/>
        <w:rPr>
          <w:rFonts w:cs="宋体" w:asciiTheme="minorEastAsia" w:hAnsiTheme="minorEastAsia" w:eastAsiaTheme="minorEastAsia"/>
          <w:sz w:val="24"/>
          <w:u w:val="single"/>
        </w:rPr>
      </w:pPr>
      <w:r>
        <w:rPr>
          <w:rFonts w:asciiTheme="minorEastAsia" w:hAnsiTheme="minorEastAsia" w:eastAsiaTheme="minorEastAsia"/>
          <w:b/>
          <w:sz w:val="24"/>
        </w:rPr>
        <w:t>招标项目名称：</w:t>
      </w:r>
      <w:r>
        <w:rPr>
          <w:rFonts w:hint="eastAsia" w:cs="宋体" w:asciiTheme="minorEastAsia" w:hAnsiTheme="minorEastAsia" w:eastAsiaTheme="minorEastAsia"/>
          <w:sz w:val="24"/>
          <w:u w:val="single"/>
        </w:rPr>
        <w:t>新疆谱诚项目管理咨询有限公司</w:t>
      </w:r>
    </w:p>
    <w:p>
      <w:pPr>
        <w:widowControl/>
        <w:ind w:firstLine="480"/>
        <w:rPr>
          <w:rFonts w:asciiTheme="minorEastAsia" w:hAnsiTheme="minorEastAsia" w:eastAsiaTheme="minorEastAsia"/>
          <w:sz w:val="24"/>
        </w:rPr>
      </w:pPr>
      <w:r>
        <w:rPr>
          <w:rFonts w:hint="eastAsia" w:asciiTheme="minorEastAsia" w:hAnsiTheme="minorEastAsia" w:eastAsiaTheme="minorEastAsia"/>
          <w:b/>
          <w:bCs/>
          <w:sz w:val="24"/>
        </w:rPr>
        <w:t xml:space="preserve"> </w:t>
      </w:r>
      <w:r>
        <w:rPr>
          <w:rFonts w:asciiTheme="minorEastAsia" w:hAnsiTheme="minorEastAsia" w:eastAsiaTheme="minorEastAsia"/>
          <w:sz w:val="24"/>
        </w:rPr>
        <w:t>针对本项目中标人将和厂商精诚合作，为用户制定一套完整的、由中标人和设备厂商携手提供的技术支持与售后服务方案。</w:t>
      </w:r>
    </w:p>
    <w:p>
      <w:pPr>
        <w:widowControl/>
        <w:ind w:left="480"/>
        <w:rPr>
          <w:rFonts w:asciiTheme="minorEastAsia" w:hAnsiTheme="minorEastAsia" w:eastAsiaTheme="minorEastAsia"/>
          <w:sz w:val="24"/>
        </w:rPr>
      </w:pPr>
      <w:r>
        <w:rPr>
          <w:rFonts w:asciiTheme="minorEastAsia" w:hAnsiTheme="minorEastAsia" w:eastAsiaTheme="minorEastAsia"/>
          <w:sz w:val="24"/>
        </w:rPr>
        <w:t>施工周期承诺：</w:t>
      </w:r>
      <w:r>
        <w:rPr>
          <w:rFonts w:hint="eastAsia" w:asciiTheme="minorEastAsia" w:hAnsiTheme="minorEastAsia" w:eastAsiaTheme="minorEastAsia"/>
          <w:b/>
          <w:sz w:val="24"/>
          <w:u w:val="single"/>
        </w:rPr>
        <w:t>合同签订后90个工作日内</w:t>
      </w:r>
      <w:r>
        <w:rPr>
          <w:rFonts w:asciiTheme="minorEastAsia" w:hAnsiTheme="minorEastAsia" w:eastAsiaTheme="minorEastAsia"/>
          <w:b/>
          <w:sz w:val="24"/>
        </w:rPr>
        <w:t>。</w:t>
      </w:r>
    </w:p>
    <w:p>
      <w:pPr>
        <w:keepNext/>
        <w:keepLines/>
        <w:widowControl/>
        <w:numPr>
          <w:ilvl w:val="0"/>
          <w:numId w:val="9"/>
        </w:numPr>
        <w:autoSpaceDE/>
        <w:autoSpaceDN/>
        <w:spacing w:before="260" w:after="260"/>
        <w:ind w:left="420"/>
        <w:rPr>
          <w:rFonts w:asciiTheme="minorEastAsia" w:hAnsiTheme="minorEastAsia" w:eastAsiaTheme="minorEastAsia"/>
          <w:b/>
          <w:sz w:val="24"/>
        </w:rPr>
      </w:pPr>
      <w:r>
        <w:rPr>
          <w:rFonts w:asciiTheme="minorEastAsia" w:hAnsiTheme="minorEastAsia" w:eastAsiaTheme="minorEastAsia"/>
          <w:b/>
          <w:sz w:val="24"/>
        </w:rPr>
        <w:t>产品质量保证承诺</w:t>
      </w:r>
    </w:p>
    <w:p>
      <w:pPr>
        <w:widowControl/>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对本项目产品提供：</w:t>
      </w:r>
      <w:r>
        <w:rPr>
          <w:rFonts w:asciiTheme="minorEastAsia" w:hAnsiTheme="minorEastAsia" w:eastAsiaTheme="minorEastAsia"/>
          <w:b/>
          <w:sz w:val="24"/>
          <w:u w:val="single"/>
        </w:rPr>
        <w:t>7×24小时响应，项目整体</w:t>
      </w:r>
      <w:r>
        <w:rPr>
          <w:rFonts w:hint="eastAsia" w:asciiTheme="minorEastAsia" w:hAnsiTheme="minorEastAsia" w:eastAsiaTheme="minorEastAsia"/>
          <w:b/>
          <w:sz w:val="24"/>
          <w:u w:val="single"/>
        </w:rPr>
        <w:t>五</w:t>
      </w:r>
      <w:r>
        <w:rPr>
          <w:rFonts w:asciiTheme="minorEastAsia" w:hAnsiTheme="minorEastAsia" w:eastAsiaTheme="minorEastAsia"/>
          <w:b/>
          <w:sz w:val="24"/>
          <w:u w:val="single"/>
        </w:rPr>
        <w:t>年免费质量保证、设备质保期为</w:t>
      </w:r>
      <w:r>
        <w:rPr>
          <w:rFonts w:hint="eastAsia" w:asciiTheme="minorEastAsia" w:hAnsiTheme="minorEastAsia" w:eastAsiaTheme="minorEastAsia"/>
          <w:b/>
          <w:sz w:val="24"/>
          <w:u w:val="single"/>
        </w:rPr>
        <w:t>五</w:t>
      </w:r>
      <w:r>
        <w:rPr>
          <w:rFonts w:asciiTheme="minorEastAsia" w:hAnsiTheme="minorEastAsia" w:eastAsiaTheme="minorEastAsia"/>
          <w:b/>
          <w:sz w:val="24"/>
          <w:u w:val="single"/>
        </w:rPr>
        <w:t>年。</w:t>
      </w:r>
    </w:p>
    <w:p>
      <w:pPr>
        <w:widowControl/>
        <w:rPr>
          <w:rFonts w:asciiTheme="minorEastAsia" w:hAnsiTheme="minorEastAsia" w:eastAsiaTheme="minorEastAsia"/>
          <w:b/>
          <w:sz w:val="24"/>
        </w:rPr>
      </w:pPr>
      <w:r>
        <w:rPr>
          <w:rFonts w:hint="eastAsia" w:asciiTheme="minorEastAsia" w:hAnsiTheme="minorEastAsia" w:eastAsiaTheme="minorEastAsia"/>
          <w:sz w:val="24"/>
        </w:rPr>
        <w:t>(2)</w:t>
      </w:r>
      <w:r>
        <w:rPr>
          <w:rFonts w:asciiTheme="minorEastAsia" w:hAnsiTheme="minorEastAsia" w:eastAsiaTheme="minorEastAsia"/>
          <w:sz w:val="24"/>
        </w:rPr>
        <w:t>对本项目产品提供：</w:t>
      </w:r>
      <w:r>
        <w:rPr>
          <w:rFonts w:asciiTheme="minorEastAsia" w:hAnsiTheme="minorEastAsia" w:eastAsiaTheme="minorEastAsia"/>
          <w:b/>
          <w:sz w:val="24"/>
          <w:u w:val="single"/>
        </w:rPr>
        <w:t>6小时内到达现场，</w:t>
      </w:r>
      <w:r>
        <w:rPr>
          <w:rFonts w:asciiTheme="minorEastAsia" w:hAnsiTheme="minorEastAsia" w:eastAsiaTheme="minorEastAsia"/>
          <w:sz w:val="24"/>
        </w:rPr>
        <w:t>并在,24小时内解决设备故障。</w:t>
      </w:r>
    </w:p>
    <w:p>
      <w:pPr>
        <w:widowControl/>
        <w:rPr>
          <w:rFonts w:asciiTheme="minorEastAsia" w:hAnsiTheme="minorEastAsia" w:eastAsiaTheme="minorEastAsia"/>
          <w:bCs/>
          <w:sz w:val="24"/>
        </w:rPr>
      </w:pPr>
      <w:r>
        <w:rPr>
          <w:rFonts w:hint="eastAsia" w:asciiTheme="minorEastAsia" w:hAnsiTheme="minorEastAsia" w:eastAsiaTheme="minorEastAsia"/>
          <w:bCs/>
          <w:sz w:val="24"/>
        </w:rPr>
        <w:t>(3)</w:t>
      </w:r>
      <w:r>
        <w:rPr>
          <w:rFonts w:asciiTheme="minorEastAsia" w:hAnsiTheme="minorEastAsia" w:eastAsiaTheme="minorEastAsia"/>
          <w:bCs/>
          <w:sz w:val="24"/>
        </w:rPr>
        <w:t>每年两次的系统巡检</w:t>
      </w:r>
    </w:p>
    <w:p>
      <w:pPr>
        <w:widowControl/>
        <w:rPr>
          <w:rFonts w:asciiTheme="minorEastAsia" w:hAnsiTheme="minorEastAsia" w:eastAsiaTheme="minorEastAsia"/>
          <w:bCs/>
          <w:sz w:val="24"/>
        </w:rPr>
      </w:pPr>
      <w:r>
        <w:rPr>
          <w:rFonts w:hint="eastAsia" w:asciiTheme="minorEastAsia" w:hAnsiTheme="minorEastAsia" w:eastAsiaTheme="minorEastAsia"/>
          <w:bCs/>
          <w:sz w:val="24"/>
        </w:rPr>
        <w:t>(4)</w:t>
      </w:r>
      <w:r>
        <w:rPr>
          <w:rFonts w:asciiTheme="minorEastAsia" w:hAnsiTheme="minorEastAsia" w:eastAsiaTheme="minorEastAsia"/>
          <w:bCs/>
          <w:sz w:val="24"/>
        </w:rPr>
        <w:t>主要售后服务人员职务及联系方式</w:t>
      </w:r>
    </w:p>
    <w:p>
      <w:pPr>
        <w:widowControl/>
        <w:ind w:left="480"/>
        <w:rPr>
          <w:rFonts w:asciiTheme="minorEastAsia" w:hAnsiTheme="minorEastAsia" w:eastAsiaTheme="minorEastAsia"/>
          <w:bCs/>
          <w:sz w:val="24"/>
        </w:rPr>
      </w:pPr>
      <w:r>
        <w:rPr>
          <w:rFonts w:asciiTheme="minorEastAsia" w:hAnsiTheme="minorEastAsia" w:eastAsiaTheme="minorEastAsia"/>
          <w:bCs/>
          <w:sz w:val="24"/>
        </w:rPr>
        <w:t>姓    名：</w:t>
      </w:r>
      <w:r>
        <w:rPr>
          <w:rFonts w:hint="eastAsia" w:asciiTheme="minorEastAsia" w:hAnsiTheme="minorEastAsia" w:eastAsiaTheme="minorEastAsia"/>
          <w:bCs/>
          <w:sz w:val="24"/>
        </w:rPr>
        <w:t xml:space="preserve">                 </w:t>
      </w:r>
      <w:r>
        <w:rPr>
          <w:rFonts w:asciiTheme="minorEastAsia" w:hAnsiTheme="minorEastAsia" w:eastAsiaTheme="minorEastAsia"/>
          <w:bCs/>
          <w:sz w:val="24"/>
        </w:rPr>
        <w:t>担任职务：</w:t>
      </w:r>
      <w:r>
        <w:rPr>
          <w:rFonts w:hint="eastAsia" w:asciiTheme="minorEastAsia" w:hAnsiTheme="minorEastAsia" w:eastAsiaTheme="minorEastAsia"/>
          <w:bCs/>
          <w:sz w:val="24"/>
        </w:rPr>
        <w:t xml:space="preserve"> </w:t>
      </w:r>
    </w:p>
    <w:p>
      <w:pPr>
        <w:widowControl/>
        <w:ind w:left="480"/>
        <w:rPr>
          <w:rFonts w:asciiTheme="minorEastAsia" w:hAnsiTheme="minorEastAsia" w:eastAsiaTheme="minorEastAsia"/>
          <w:bCs/>
          <w:sz w:val="24"/>
        </w:rPr>
      </w:pPr>
      <w:r>
        <w:rPr>
          <w:rFonts w:asciiTheme="minorEastAsia" w:hAnsiTheme="minorEastAsia" w:eastAsiaTheme="minorEastAsia"/>
          <w:bCs/>
          <w:sz w:val="24"/>
        </w:rPr>
        <w:t>联系电话：</w:t>
      </w:r>
      <w:r>
        <w:rPr>
          <w:rFonts w:hint="eastAsia" w:asciiTheme="minorEastAsia" w:hAnsiTheme="minorEastAsia" w:eastAsiaTheme="minorEastAsia"/>
          <w:bCs/>
          <w:sz w:val="24"/>
        </w:rPr>
        <w:t xml:space="preserve">                 </w:t>
      </w:r>
      <w:r>
        <w:rPr>
          <w:rFonts w:asciiTheme="minorEastAsia" w:hAnsiTheme="minorEastAsia" w:eastAsiaTheme="minorEastAsia"/>
          <w:bCs/>
          <w:sz w:val="24"/>
        </w:rPr>
        <w:t>地址：</w:t>
      </w:r>
    </w:p>
    <w:p>
      <w:pPr>
        <w:keepNext/>
        <w:keepLines/>
        <w:widowControl/>
        <w:numPr>
          <w:ilvl w:val="0"/>
          <w:numId w:val="9"/>
        </w:numPr>
        <w:autoSpaceDE/>
        <w:autoSpaceDN/>
        <w:spacing w:before="260" w:after="260"/>
        <w:ind w:left="420"/>
        <w:rPr>
          <w:rFonts w:cs="宋体" w:asciiTheme="minorEastAsia" w:hAnsiTheme="minorEastAsia" w:eastAsiaTheme="minorEastAsia"/>
          <w:b/>
        </w:rPr>
      </w:pPr>
      <w:bookmarkStart w:id="25" w:name="_Toc22554_WPSOffice_Level2"/>
      <w:r>
        <w:rPr>
          <w:rFonts w:hint="eastAsia" w:asciiTheme="minorEastAsia" w:hAnsiTheme="minorEastAsia" w:eastAsiaTheme="minorEastAsia"/>
          <w:b/>
          <w:sz w:val="24"/>
        </w:rPr>
        <w:t>电话回访服务</w:t>
      </w:r>
      <w:bookmarkEnd w:id="25"/>
    </w:p>
    <w:p>
      <w:pPr>
        <w:keepNext/>
        <w:keepLines/>
        <w:widowControl/>
        <w:spacing w:before="260" w:after="260"/>
        <w:ind w:firstLine="440" w:firstLineChars="200"/>
        <w:rPr>
          <w:rFonts w:cs="宋体" w:asciiTheme="minorEastAsia" w:hAnsiTheme="minorEastAsia" w:eastAsiaTheme="minorEastAsia"/>
        </w:rPr>
      </w:pPr>
      <w:r>
        <w:rPr>
          <w:rFonts w:hint="eastAsia" w:cs="宋体" w:asciiTheme="minorEastAsia" w:hAnsiTheme="minorEastAsia" w:eastAsiaTheme="minorEastAsia"/>
        </w:rPr>
        <w:t>设有专职电话回访人员。电话回访人员通过电话向最终用户的设备维护、使用人员了解相关设备运行情况，并记录贵单位维护、使用人员反映的问题或意见及时反馈给中标人技术经理，以便能及时响应相关服务请求，解决有关问题。</w:t>
      </w:r>
    </w:p>
    <w:p>
      <w:pPr>
        <w:ind w:firstLine="480"/>
        <w:rPr>
          <w:rFonts w:cs="宋体" w:asciiTheme="minorEastAsia" w:hAnsiTheme="minorEastAsia" w:eastAsiaTheme="minorEastAsia"/>
        </w:rPr>
      </w:pPr>
      <w:r>
        <w:rPr>
          <w:rFonts w:hint="eastAsia" w:cs="宋体" w:asciiTheme="minorEastAsia" w:hAnsiTheme="minorEastAsia" w:eastAsiaTheme="minorEastAsia"/>
        </w:rPr>
        <w:t>公司建有完善的技术服务规范，严格要求所有相关服务的人员必须提供优质规范的服务，每次技术服务后，中标人安排有专门人员对技术服务人员的服务质量等情况进行回访调查，通过对技术服务质量的监督和收集客户单位对我们服务的善意的意见和建议，以期确保和进一步提升为客户单位提供的服务质量。 </w:t>
      </w:r>
    </w:p>
    <w:p>
      <w:pPr>
        <w:keepNext/>
        <w:keepLines/>
        <w:widowControl/>
        <w:numPr>
          <w:ilvl w:val="0"/>
          <w:numId w:val="9"/>
        </w:numPr>
        <w:autoSpaceDE/>
        <w:autoSpaceDN/>
        <w:spacing w:before="260" w:after="260"/>
        <w:ind w:left="420"/>
        <w:rPr>
          <w:rFonts w:cs="宋体" w:asciiTheme="minorEastAsia" w:hAnsiTheme="minorEastAsia" w:eastAsiaTheme="minorEastAsia"/>
          <w:sz w:val="24"/>
          <w:szCs w:val="24"/>
        </w:rPr>
      </w:pPr>
      <w:bookmarkStart w:id="26" w:name="_Toc30774_WPSOffice_Level2"/>
      <w:r>
        <w:rPr>
          <w:rFonts w:hint="eastAsia" w:asciiTheme="minorEastAsia" w:hAnsiTheme="minorEastAsia" w:eastAsiaTheme="minorEastAsia"/>
          <w:b/>
          <w:sz w:val="24"/>
        </w:rPr>
        <w:t>现场巡检服务</w:t>
      </w:r>
      <w:bookmarkEnd w:id="26"/>
    </w:p>
    <w:p>
      <w:pPr>
        <w:keepNext/>
        <w:keepLines/>
        <w:widowControl/>
        <w:spacing w:before="260" w:after="260"/>
        <w:ind w:firstLine="440" w:firstLineChars="200"/>
        <w:rPr>
          <w:rFonts w:cs="宋体" w:asciiTheme="minorEastAsia" w:hAnsiTheme="minorEastAsia" w:eastAsiaTheme="minorEastAsia"/>
          <w:sz w:val="24"/>
          <w:szCs w:val="24"/>
        </w:rPr>
      </w:pPr>
      <w:r>
        <w:rPr>
          <w:rFonts w:hint="eastAsia" w:cs="宋体" w:asciiTheme="minorEastAsia" w:hAnsiTheme="minorEastAsia" w:eastAsiaTheme="minorEastAsia"/>
        </w:rPr>
        <w:t>中标人不定期指派技术工程师到达最终用户设备使用现场,对设备进行现场巡检，了解最终用户单位的设备运行状况，及时发现问题、解决问题.</w:t>
      </w:r>
    </w:p>
    <w:p>
      <w:pPr>
        <w:rPr>
          <w:rFonts w:cs="宋体" w:asciiTheme="minorEastAsia" w:hAnsiTheme="minorEastAsia" w:eastAsiaTheme="minorEastAsia"/>
          <w:b/>
          <w:bCs/>
        </w:rPr>
      </w:pPr>
      <w:bookmarkStart w:id="27" w:name="_Toc17262"/>
      <w:bookmarkStart w:id="28" w:name="_Toc23449"/>
      <w:bookmarkStart w:id="29" w:name="_Toc19483"/>
      <w:bookmarkStart w:id="30" w:name="_Toc10504_WPSOffice_Level2"/>
      <w:bookmarkStart w:id="31" w:name="_Toc19227"/>
      <w:bookmarkStart w:id="32" w:name="_Toc23853598"/>
      <w:bookmarkStart w:id="33" w:name="_Toc27116"/>
      <w:bookmarkStart w:id="34" w:name="_Toc12189"/>
      <w:bookmarkStart w:id="35" w:name="_Toc32014"/>
      <w:bookmarkStart w:id="36" w:name="_Toc32166"/>
      <w:bookmarkStart w:id="37" w:name="_Toc1535"/>
      <w:bookmarkStart w:id="38" w:name="_Toc14316"/>
      <w:bookmarkStart w:id="39" w:name="_Toc16131"/>
      <w:bookmarkStart w:id="40" w:name="_Toc4466"/>
      <w:bookmarkStart w:id="41" w:name="_Toc16429"/>
      <w:bookmarkStart w:id="42" w:name="_Toc15538"/>
    </w:p>
    <w:p>
      <w:pPr>
        <w:rPr>
          <w:rFonts w:cs="宋体" w:asciiTheme="minorEastAsia" w:hAnsiTheme="minorEastAsia" w:eastAsiaTheme="minorEastAsia"/>
          <w:b/>
          <w:bCs/>
        </w:rPr>
      </w:pPr>
      <w:r>
        <w:rPr>
          <w:rFonts w:hint="eastAsia" w:cs="宋体" w:asciiTheme="minorEastAsia" w:hAnsiTheme="minorEastAsia" w:eastAsiaTheme="minorEastAsia"/>
          <w:b/>
          <w:bCs/>
        </w:rPr>
        <w:t xml:space="preserve"> 4、售后服务保障方案</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pPr>
        <w:ind w:firstLine="480"/>
        <w:rPr>
          <w:rFonts w:cs="宋体" w:asciiTheme="minorEastAsia" w:hAnsiTheme="minorEastAsia" w:eastAsiaTheme="minorEastAsia"/>
        </w:rPr>
      </w:pPr>
      <w:r>
        <w:rPr>
          <w:rFonts w:hint="eastAsia" w:cs="宋体" w:asciiTheme="minorEastAsia" w:hAnsiTheme="minorEastAsia" w:eastAsiaTheme="minorEastAsia"/>
        </w:rPr>
        <w:t>响应没有次数限制： 设备使用过程中有技术疑问需要技术咨询时，可在所选定的服务级别时效内拨打由服务提供方提供的服务热线电话。服务提供方应立即处理客户的电话请求，提供远程技术支持与诊断，直至客户得到满意的结果； 7×24级别电话支持响应时效：一年365天全天候服务支持，30分钟内响应客户服务诉请。</w:t>
      </w:r>
    </w:p>
    <w:p>
      <w:pPr>
        <w:rPr>
          <w:rFonts w:cs="宋体" w:asciiTheme="minorEastAsia" w:hAnsiTheme="minorEastAsia" w:eastAsiaTheme="minorEastAsia"/>
        </w:rPr>
      </w:pPr>
      <w:bookmarkStart w:id="43" w:name="_Toc14547_WPSOffice_Level2"/>
      <w:r>
        <w:rPr>
          <w:rFonts w:hint="eastAsia" w:cs="宋体" w:asciiTheme="minorEastAsia" w:hAnsiTheme="minorEastAsia" w:eastAsiaTheme="minorEastAsia"/>
        </w:rPr>
        <w:t xml:space="preserve"> </w:t>
      </w:r>
    </w:p>
    <w:p>
      <w:pPr>
        <w:rPr>
          <w:rFonts w:cs="宋体" w:asciiTheme="minorEastAsia" w:hAnsiTheme="minorEastAsia" w:eastAsiaTheme="minorEastAsia"/>
          <w:b/>
          <w:bCs/>
        </w:rPr>
      </w:pPr>
      <w:r>
        <w:rPr>
          <w:rFonts w:hint="eastAsia" w:cs="宋体" w:asciiTheme="minorEastAsia" w:hAnsiTheme="minorEastAsia" w:eastAsiaTheme="minorEastAsia"/>
        </w:rPr>
        <w:t xml:space="preserve"> </w:t>
      </w:r>
      <w:r>
        <w:rPr>
          <w:rFonts w:hint="eastAsia" w:cs="宋体" w:asciiTheme="minorEastAsia" w:hAnsiTheme="minorEastAsia" w:eastAsiaTheme="minorEastAsia"/>
          <w:b/>
          <w:bCs/>
        </w:rPr>
        <w:t>5、维护范围：</w:t>
      </w:r>
      <w:bookmarkEnd w:id="43"/>
    </w:p>
    <w:p>
      <w:pPr>
        <w:ind w:firstLine="480"/>
        <w:rPr>
          <w:rFonts w:cs="宋体" w:asciiTheme="minorEastAsia" w:hAnsiTheme="minorEastAsia" w:eastAsiaTheme="minorEastAsia"/>
        </w:rPr>
      </w:pPr>
      <w:r>
        <w:rPr>
          <w:rFonts w:hint="eastAsia" w:cs="宋体" w:asciiTheme="minorEastAsia" w:hAnsiTheme="minorEastAsia" w:eastAsiaTheme="minorEastAsia"/>
        </w:rPr>
        <w:t xml:space="preserve"> 通常情况下，该项工作在每次的巡检结束后，通过分析给出明确结论，确定是否需要设备维修，在发现异常时，根据故障分析做出处理决定和解决的办法。</w:t>
      </w:r>
    </w:p>
    <w:p>
      <w:pPr>
        <w:ind w:firstLine="480"/>
        <w:rPr>
          <w:rFonts w:cs="宋体" w:asciiTheme="minorEastAsia" w:hAnsiTheme="minorEastAsia" w:eastAsiaTheme="minorEastAsia"/>
        </w:rPr>
      </w:pPr>
      <w:r>
        <w:rPr>
          <w:rFonts w:hint="eastAsia" w:cs="宋体" w:asciiTheme="minorEastAsia" w:hAnsiTheme="minorEastAsia" w:eastAsiaTheme="minorEastAsia"/>
        </w:rPr>
        <w:t>1.对使用过程中遇到的疑难问题进行支持</w:t>
      </w:r>
    </w:p>
    <w:p>
      <w:pPr>
        <w:ind w:firstLine="480"/>
        <w:rPr>
          <w:rFonts w:cs="宋体" w:asciiTheme="minorEastAsia" w:hAnsiTheme="minorEastAsia" w:eastAsiaTheme="minorEastAsia"/>
        </w:rPr>
      </w:pPr>
      <w:r>
        <w:rPr>
          <w:rFonts w:hint="eastAsia" w:cs="宋体" w:asciiTheme="minorEastAsia" w:hAnsiTheme="minorEastAsia" w:eastAsiaTheme="minorEastAsia"/>
        </w:rPr>
        <w:t>2、对设备安全、项目建设提供建议及支持</w:t>
      </w:r>
    </w:p>
    <w:p>
      <w:pPr>
        <w:ind w:firstLine="480"/>
        <w:rPr>
          <w:rFonts w:cs="宋体" w:asciiTheme="minorEastAsia" w:hAnsiTheme="minorEastAsia" w:eastAsiaTheme="minorEastAsia"/>
        </w:rPr>
      </w:pPr>
      <w:r>
        <w:rPr>
          <w:rFonts w:hint="eastAsia" w:cs="宋体" w:asciiTheme="minorEastAsia" w:hAnsiTheme="minorEastAsia" w:eastAsiaTheme="minorEastAsia"/>
        </w:rPr>
        <w:t>3.现场进行疑难问题解决</w:t>
      </w:r>
    </w:p>
    <w:p>
      <w:pPr>
        <w:widowControl/>
        <w:rPr>
          <w:sz w:val="24"/>
        </w:rPr>
      </w:pPr>
      <w:r>
        <w:rPr>
          <w:rFonts w:hint="eastAsia" w:ascii="宋体" w:hAnsi="宋体" w:cs="宋体"/>
        </w:rPr>
        <w:t xml:space="preserve"> </w:t>
      </w:r>
    </w:p>
    <w:p>
      <w:pPr>
        <w:widowControl/>
        <w:autoSpaceDE/>
        <w:autoSpaceDN/>
        <w:rPr>
          <w:sz w:val="21"/>
        </w:rPr>
        <w:sectPr>
          <w:footerReference r:id="rId7" w:type="default"/>
          <w:pgSz w:w="11910" w:h="16840"/>
          <w:pgMar w:top="1380" w:right="711" w:bottom="1220" w:left="860" w:header="881" w:footer="940" w:gutter="0"/>
          <w:cols w:space="720" w:num="1"/>
        </w:sectPr>
      </w:pPr>
    </w:p>
    <w:p>
      <w:pPr>
        <w:pStyle w:val="12"/>
        <w:spacing w:before="4"/>
        <w:rPr>
          <w:sz w:val="4"/>
        </w:rPr>
      </w:pPr>
    </w:p>
    <w:p>
      <w:pPr>
        <w:pStyle w:val="12"/>
        <w:rPr>
          <w:sz w:val="20"/>
        </w:rPr>
      </w:pPr>
    </w:p>
    <w:p>
      <w:pPr>
        <w:pStyle w:val="12"/>
        <w:rPr>
          <w:sz w:val="20"/>
        </w:rPr>
      </w:pPr>
    </w:p>
    <w:p>
      <w:pPr>
        <w:pStyle w:val="12"/>
        <w:rPr>
          <w:rFonts w:ascii="Times New Roman"/>
          <w:sz w:val="20"/>
        </w:rPr>
      </w:pPr>
    </w:p>
    <w:p>
      <w:pPr>
        <w:pStyle w:val="12"/>
        <w:rPr>
          <w:rFonts w:ascii="Times New Roman"/>
          <w:sz w:val="20"/>
        </w:rPr>
      </w:pPr>
    </w:p>
    <w:p>
      <w:pPr>
        <w:spacing w:before="213"/>
        <w:ind w:left="120" w:right="76"/>
        <w:jc w:val="center"/>
        <w:rPr>
          <w:rFonts w:ascii="宋体" w:eastAsia="宋体"/>
          <w:b/>
          <w:sz w:val="44"/>
        </w:rPr>
      </w:pPr>
      <w:r>
        <w:rPr>
          <w:rFonts w:hint="eastAsia" w:ascii="宋体" w:eastAsia="宋体"/>
          <w:b/>
          <w:sz w:val="44"/>
        </w:rPr>
        <w:t>政府采购廉政合同</w:t>
      </w:r>
    </w:p>
    <w:p>
      <w:pPr>
        <w:pStyle w:val="12"/>
        <w:rPr>
          <w:b/>
          <w:sz w:val="44"/>
        </w:rPr>
      </w:pPr>
    </w:p>
    <w:p>
      <w:pPr>
        <w:pStyle w:val="12"/>
        <w:spacing w:before="8"/>
        <w:rPr>
          <w:b/>
          <w:sz w:val="51"/>
        </w:rPr>
      </w:pPr>
    </w:p>
    <w:p>
      <w:pPr>
        <w:pStyle w:val="12"/>
        <w:spacing w:line="364" w:lineRule="auto"/>
        <w:ind w:left="1056" w:right="7487"/>
      </w:pPr>
      <w:r>
        <w:t>甲方（供货方）： 乙方（购货方）：</w:t>
      </w:r>
    </w:p>
    <w:p>
      <w:pPr>
        <w:pStyle w:val="12"/>
        <w:spacing w:before="1" w:line="364" w:lineRule="auto"/>
        <w:ind w:left="576" w:right="527" w:firstLine="480"/>
        <w:jc w:val="both"/>
      </w:pPr>
      <w:r>
        <w:t>为促进甲乙双方廉洁高效合作，促使甲乙双方工作人员廉洁从业，不断推动党风廉政建设工作，按照《合同法》和国家其他有关法律法规、廉政规定，经甲乙双方协商一致， 自愿签订以下廉政合同。</w:t>
      </w:r>
    </w:p>
    <w:p>
      <w:pPr>
        <w:pStyle w:val="12"/>
        <w:spacing w:line="305" w:lineRule="exact"/>
        <w:ind w:left="1056"/>
      </w:pPr>
      <w:r>
        <w:t>第一条：甲乙双方的权利和义务</w:t>
      </w:r>
    </w:p>
    <w:p>
      <w:pPr>
        <w:pStyle w:val="12"/>
        <w:spacing w:before="161"/>
        <w:ind w:left="1056"/>
      </w:pPr>
      <w:r>
        <w:t>（一）严格遵守党和国家有关法律法规及党风廉政建设各项规定。</w:t>
      </w:r>
    </w:p>
    <w:p>
      <w:pPr>
        <w:pStyle w:val="12"/>
        <w:spacing w:before="158" w:line="364" w:lineRule="auto"/>
        <w:ind w:left="716" w:right="483" w:firstLine="360"/>
      </w:pPr>
      <w:r>
        <w:t>（二）严格履行《中华人民共和国反不正当竞争法》、《关于禁止商业贿赂行为的暂行规定》各项约定，杜绝违约行为的发生。</w:t>
      </w:r>
    </w:p>
    <w:p>
      <w:pPr>
        <w:pStyle w:val="12"/>
        <w:spacing w:line="364" w:lineRule="auto"/>
        <w:ind w:left="576" w:right="533" w:firstLine="480"/>
      </w:pPr>
      <w:r>
        <w:t>（三）双方的业务活动坚持公开、公平、公正、诚信的原则（除法律认定的商业秘密和合同文件另有规定之外），严禁损害国家和集体利益，违反法律法规及规章制度。</w:t>
      </w:r>
    </w:p>
    <w:p>
      <w:pPr>
        <w:pStyle w:val="12"/>
        <w:spacing w:line="364" w:lineRule="auto"/>
        <w:ind w:left="576" w:right="533" w:firstLine="480"/>
      </w:pPr>
      <w:r>
        <w:t>（四）建立健全党风廉政建设各项制度，开展党风廉政建设宣传教育，加强对本方工作人员的监督检查。</w:t>
      </w:r>
    </w:p>
    <w:p>
      <w:pPr>
        <w:pStyle w:val="12"/>
        <w:spacing w:line="364" w:lineRule="auto"/>
        <w:ind w:left="735" w:right="533" w:firstLine="360"/>
      </w:pPr>
      <w:r>
        <w:t>（五</w:t>
      </w:r>
      <w:r>
        <w:rPr>
          <w:spacing w:val="-22"/>
        </w:rPr>
        <w:t>）</w:t>
      </w:r>
      <w:r>
        <w:rPr>
          <w:spacing w:val="-2"/>
        </w:rPr>
        <w:t>发现对方在业务活动中有违反廉政规定和本合同约定的行为时，有及时提醒和</w:t>
      </w:r>
      <w:r>
        <w:t>督促对方纠正的权利和义务。</w:t>
      </w:r>
    </w:p>
    <w:p>
      <w:pPr>
        <w:pStyle w:val="12"/>
        <w:spacing w:line="364" w:lineRule="auto"/>
        <w:ind w:left="576" w:right="533" w:firstLine="480"/>
      </w:pPr>
      <w:r>
        <w:t>（六</w:t>
      </w:r>
      <w:r>
        <w:rPr>
          <w:spacing w:val="-3"/>
        </w:rPr>
        <w:t>）</w:t>
      </w:r>
      <w:r>
        <w:rPr>
          <w:spacing w:val="-2"/>
        </w:rPr>
        <w:t>发现对方在业务活动中有违反廉政规定和本合同约定的行为时，有权向对方主</w:t>
      </w:r>
      <w:r>
        <w:t>管部门或有关机构检举、揭发。</w:t>
      </w:r>
    </w:p>
    <w:p>
      <w:pPr>
        <w:pStyle w:val="12"/>
        <w:spacing w:line="362" w:lineRule="auto"/>
        <w:ind w:left="1056" w:right="1727"/>
      </w:pPr>
      <w:r>
        <w:t>（七）经济合同变更时廉政合同内容也应做相应调整，并履行有关手续。第二条：甲方在廉政建设方面义务</w:t>
      </w:r>
    </w:p>
    <w:p>
      <w:pPr>
        <w:pStyle w:val="12"/>
        <w:spacing w:before="1" w:line="362" w:lineRule="auto"/>
        <w:ind w:left="576" w:right="533" w:firstLine="480"/>
      </w:pPr>
      <w:r>
        <w:t>（一）甲方不准以任何形式向乙方及其工作人员馈赠礼金、礼品、有价证券、支付凭证、贵重物品等财物。</w:t>
      </w:r>
    </w:p>
    <w:p>
      <w:pPr>
        <w:pStyle w:val="12"/>
        <w:spacing w:before="3" w:line="364" w:lineRule="auto"/>
        <w:ind w:left="576" w:right="767" w:firstLine="480"/>
      </w:pPr>
      <w:r>
        <w:t>（二）甲方不准以任何名义为乙方及其工作人员报销应由乙方或个人支付的任何费用。</w:t>
      </w:r>
    </w:p>
    <w:p>
      <w:pPr>
        <w:pStyle w:val="12"/>
        <w:spacing w:before="1" w:line="362" w:lineRule="auto"/>
        <w:ind w:left="576" w:right="767" w:firstLine="480"/>
      </w:pPr>
      <w:r>
        <w:t>（三）甲方不准以任何理由邀请乙方工作人员参加有影响合作业务的宴请及娱乐活动；不准为其提供通讯工具、交通工具、高档办公用品等。</w:t>
      </w:r>
    </w:p>
    <w:p>
      <w:pPr>
        <w:spacing w:line="362" w:lineRule="auto"/>
        <w:sectPr>
          <w:pgSz w:w="11910" w:h="16840"/>
          <w:pgMar w:top="920" w:right="741" w:bottom="1020" w:left="700" w:header="599" w:footer="826" w:gutter="0"/>
          <w:cols w:space="720" w:num="1"/>
        </w:sectPr>
      </w:pPr>
    </w:p>
    <w:p>
      <w:pPr>
        <w:pStyle w:val="12"/>
        <w:spacing w:before="11"/>
        <w:rPr>
          <w:sz w:val="28"/>
        </w:rPr>
      </w:pPr>
    </w:p>
    <w:p>
      <w:pPr>
        <w:pStyle w:val="12"/>
        <w:spacing w:before="66" w:line="364" w:lineRule="auto"/>
        <w:ind w:left="576" w:right="413" w:firstLine="480"/>
      </w:pPr>
      <w:r>
        <w:t>（四</w:t>
      </w:r>
      <w:r>
        <w:rPr>
          <w:spacing w:val="-22"/>
        </w:rPr>
        <w:t>）</w:t>
      </w:r>
      <w:r>
        <w:rPr>
          <w:spacing w:val="-6"/>
        </w:rPr>
        <w:t>甲方不准为乙方工作人员在住房装修、婚丧嫁娶、配偶、子女、亲友出国</w:t>
      </w:r>
      <w:r>
        <w:t>（境</w:t>
      </w:r>
      <w:r>
        <w:rPr>
          <w:spacing w:val="-15"/>
        </w:rPr>
        <w:t xml:space="preserve">） </w:t>
      </w:r>
      <w:r>
        <w:t>旅游提供方便；不准为乙方工作人员的配偶、子女及有利害关系的人员安排工作或劳务。</w:t>
      </w:r>
    </w:p>
    <w:p>
      <w:pPr>
        <w:pStyle w:val="12"/>
        <w:spacing w:line="306" w:lineRule="exact"/>
        <w:ind w:left="1056"/>
      </w:pPr>
      <w:r>
        <w:t>（五</w:t>
      </w:r>
      <w:r>
        <w:rPr>
          <w:spacing w:val="-44"/>
        </w:rPr>
        <w:t>）</w:t>
      </w:r>
      <w:r>
        <w:rPr>
          <w:spacing w:val="-5"/>
        </w:rPr>
        <w:t>甲方及其工作人员不准与监管单位串通，违反有关规定和程序，损害乙方利益。</w:t>
      </w:r>
    </w:p>
    <w:p>
      <w:pPr>
        <w:pStyle w:val="12"/>
        <w:spacing w:before="161" w:line="362" w:lineRule="auto"/>
        <w:ind w:left="1056" w:right="4127"/>
      </w:pPr>
      <w:r>
        <w:t>（六）不得有其他违反法律法规、党纪政纪行为。第三条：乙方在廉政建设方面的义务</w:t>
      </w:r>
    </w:p>
    <w:p>
      <w:pPr>
        <w:pStyle w:val="12"/>
        <w:spacing w:before="5" w:line="364" w:lineRule="auto"/>
        <w:ind w:left="576" w:right="533" w:firstLine="480"/>
      </w:pPr>
      <w:r>
        <w:t>（一）乙方及其工作人员不得干扰协作企业正常的生产经营活动，不得以任何理由要挟甲方从事不属于甲方义务的工作。</w:t>
      </w:r>
    </w:p>
    <w:p>
      <w:pPr>
        <w:pStyle w:val="12"/>
        <w:spacing w:line="364" w:lineRule="auto"/>
        <w:ind w:left="576" w:right="533" w:firstLine="480"/>
      </w:pPr>
      <w:r>
        <w:t>（二）乙方及其工作人员不得索要或接受甲方的礼金，有价证券、支付凭证、贵重物品等财物。</w:t>
      </w:r>
    </w:p>
    <w:p>
      <w:pPr>
        <w:pStyle w:val="12"/>
        <w:spacing w:line="306" w:lineRule="exact"/>
        <w:ind w:left="1056"/>
      </w:pPr>
      <w:r>
        <w:t>（三）乙方及其工作人员不得在甲方报销应由乙方或个人支付的任何费用。</w:t>
      </w:r>
    </w:p>
    <w:p>
      <w:pPr>
        <w:pStyle w:val="12"/>
        <w:spacing w:before="157" w:line="364" w:lineRule="auto"/>
        <w:ind w:left="576" w:right="533" w:firstLine="480"/>
      </w:pPr>
      <w:r>
        <w:t>（四）乙方工作人员不得参加甲方提供的宴请、娱乐活动、高档消费；不得要求甲方提供交通工具、通讯工具、高档办公用品等。</w:t>
      </w:r>
    </w:p>
    <w:p>
      <w:pPr>
        <w:pStyle w:val="12"/>
        <w:spacing w:before="1" w:line="362" w:lineRule="auto"/>
        <w:ind w:left="576" w:right="533" w:firstLine="480"/>
      </w:pPr>
      <w:r>
        <w:t>（五）乙方及其工作人员不得要求或者接受甲方为其住房装修、婚丧嫁娶、配偶、子女、亲友出国（境）旅游等违反规定的相关活动提供方便。</w:t>
      </w:r>
    </w:p>
    <w:p>
      <w:pPr>
        <w:pStyle w:val="12"/>
        <w:spacing w:before="5" w:line="362" w:lineRule="auto"/>
        <w:ind w:left="576" w:right="527" w:firstLine="480"/>
      </w:pPr>
      <w:r>
        <w:t>（六）乙方及其工作人员不得要求甲方为其配偶、子女及有利害关系的人员安排工作或劳务；不得违反规定从事与甲方施工项目有关的材料设备供应、工程分包等经济活动。</w:t>
      </w:r>
    </w:p>
    <w:p>
      <w:pPr>
        <w:pStyle w:val="12"/>
        <w:spacing w:before="5" w:line="362" w:lineRule="auto"/>
        <w:ind w:left="576" w:right="533" w:firstLine="480"/>
      </w:pPr>
      <w:r>
        <w:t>（七）乙方应根据经济合同约定进度付款，不得以不正当理由拖欠款项，不得超进度拨付款。</w:t>
      </w:r>
    </w:p>
    <w:p>
      <w:pPr>
        <w:pStyle w:val="12"/>
        <w:spacing w:before="5"/>
        <w:ind w:left="1056"/>
      </w:pPr>
      <w:r>
        <w:t>第四条：违约责任</w:t>
      </w:r>
    </w:p>
    <w:p>
      <w:pPr>
        <w:pStyle w:val="12"/>
        <w:spacing w:before="158" w:line="364" w:lineRule="auto"/>
        <w:ind w:left="576" w:right="533" w:firstLine="480"/>
      </w:pPr>
      <w:r>
        <w:t>（一</w:t>
      </w:r>
      <w:r>
        <w:rPr>
          <w:spacing w:val="-17"/>
        </w:rPr>
        <w:t>）</w:t>
      </w:r>
      <w:r>
        <w:rPr>
          <w:spacing w:val="-8"/>
        </w:rPr>
        <w:t xml:space="preserve">甲方违反本《廉政合同》规定义务的，须向乙方承担经济合同总额 </w:t>
      </w:r>
      <w:r>
        <w:t>3%</w:t>
      </w:r>
      <w:r>
        <w:rPr>
          <w:spacing w:val="-5"/>
        </w:rPr>
        <w:t>的经济违</w:t>
      </w:r>
      <w:r>
        <w:t>约责任。</w:t>
      </w:r>
    </w:p>
    <w:p>
      <w:pPr>
        <w:pStyle w:val="12"/>
        <w:spacing w:line="364" w:lineRule="auto"/>
        <w:ind w:left="576" w:right="413" w:firstLine="480"/>
      </w:pPr>
      <w:r>
        <w:t>（二）</w:t>
      </w:r>
      <w:r>
        <w:rPr>
          <w:spacing w:val="-2"/>
        </w:rPr>
        <w:t xml:space="preserve">甲方发生多次违反廉政合同约定内容，乙方有权将甲方列入黑名单，禁止 </w:t>
      </w:r>
      <w:r>
        <w:t xml:space="preserve">3-5 </w:t>
      </w:r>
      <w:r>
        <w:rPr>
          <w:spacing w:val="-9"/>
        </w:rPr>
        <w:t>年内进入乙方作业市场；给乙方造成经济损失、社会影响较大的，乙方有权终止履行合同。</w:t>
      </w:r>
    </w:p>
    <w:p>
      <w:pPr>
        <w:pStyle w:val="12"/>
        <w:spacing w:line="362" w:lineRule="auto"/>
        <w:ind w:left="576" w:right="533" w:firstLine="480"/>
      </w:pPr>
      <w:r>
        <w:t>（三）乙方若违反本《廉政合同》有关规定的，对违法违纪人员，由乙方主管部门依据有关规定查处，给甲方造成的损失，按有关规定予以赔偿。</w:t>
      </w:r>
    </w:p>
    <w:p>
      <w:pPr>
        <w:pStyle w:val="12"/>
        <w:spacing w:before="2"/>
        <w:ind w:left="1056"/>
      </w:pPr>
      <w:r>
        <w:t>第五条：检查方式</w:t>
      </w:r>
    </w:p>
    <w:p>
      <w:pPr>
        <w:pStyle w:val="12"/>
        <w:spacing w:before="161" w:line="364" w:lineRule="auto"/>
        <w:ind w:left="576" w:right="533" w:firstLine="480"/>
      </w:pPr>
      <w:r>
        <w:t>本合同的履约情况由甲乙双方共同派员监督，检查方式为座谈、问卷调查、查看资料或由双方约定的其他方式等。检查时间、次数、方式、检查结论等由双方协商确定。</w:t>
      </w:r>
    </w:p>
    <w:p>
      <w:pPr>
        <w:pStyle w:val="12"/>
        <w:spacing w:line="306" w:lineRule="exact"/>
        <w:ind w:left="1056"/>
      </w:pPr>
      <w:r>
        <w:t>第六条：本合同有效期同经济合同期限。</w:t>
      </w:r>
    </w:p>
    <w:p>
      <w:pPr>
        <w:spacing w:line="306" w:lineRule="exact"/>
        <w:sectPr>
          <w:pgSz w:w="11910" w:h="16840"/>
          <w:pgMar w:top="920" w:right="741" w:bottom="1020" w:left="700" w:header="599" w:footer="826" w:gutter="0"/>
          <w:cols w:space="720" w:num="1"/>
        </w:sectPr>
      </w:pPr>
    </w:p>
    <w:p>
      <w:pPr>
        <w:pStyle w:val="12"/>
        <w:spacing w:before="11"/>
        <w:rPr>
          <w:sz w:val="28"/>
        </w:rPr>
      </w:pPr>
    </w:p>
    <w:p>
      <w:pPr>
        <w:pStyle w:val="12"/>
        <w:tabs>
          <w:tab w:val="left" w:pos="3816"/>
          <w:tab w:val="left" w:pos="5976"/>
          <w:tab w:val="left" w:pos="7776"/>
        </w:tabs>
        <w:spacing w:before="66" w:line="364" w:lineRule="auto"/>
        <w:ind w:left="1056" w:right="413"/>
      </w:pPr>
      <w:r>
        <w:t>第七条</w:t>
      </w:r>
      <w:r>
        <w:rPr>
          <w:spacing w:val="-44"/>
        </w:rPr>
        <w:t>：</w:t>
      </w:r>
      <w:r>
        <w:t>本合同为经济合同附件</w:t>
      </w:r>
      <w:r>
        <w:rPr>
          <w:spacing w:val="-41"/>
        </w:rPr>
        <w:t>，</w:t>
      </w:r>
      <w:r>
        <w:t>与主合同具有同等法律效力</w:t>
      </w:r>
      <w:r>
        <w:rPr>
          <w:spacing w:val="-41"/>
        </w:rPr>
        <w:t>，</w:t>
      </w:r>
      <w:r>
        <w:t>甲乙双方签署后生效</w:t>
      </w:r>
      <w:r>
        <w:rPr>
          <w:spacing w:val="-17"/>
        </w:rPr>
        <w:t>。</w:t>
      </w:r>
      <w:r>
        <w:t>第八条：本合同一式</w:t>
      </w:r>
      <w:r>
        <w:rPr>
          <w:u w:val="single"/>
        </w:rPr>
        <w:t xml:space="preserve"> </w:t>
      </w:r>
      <w:r>
        <w:rPr>
          <w:u w:val="single"/>
        </w:rPr>
        <w:tab/>
      </w:r>
      <w:r>
        <w:t>份，甲、乙双方</w:t>
      </w:r>
      <w:r>
        <w:rPr>
          <w:u w:val="single"/>
        </w:rPr>
        <w:t xml:space="preserve"> </w:t>
      </w:r>
      <w:r>
        <w:rPr>
          <w:u w:val="single"/>
        </w:rPr>
        <w:tab/>
      </w:r>
      <w:r>
        <w:t>份、采购办</w:t>
      </w:r>
      <w:r>
        <w:rPr>
          <w:u w:val="single"/>
        </w:rPr>
        <w:t xml:space="preserve"> </w:t>
      </w:r>
      <w:r>
        <w:rPr>
          <w:u w:val="single"/>
        </w:rPr>
        <w:tab/>
      </w:r>
      <w:r>
        <w:t>份。</w:t>
      </w:r>
    </w:p>
    <w:p>
      <w:pPr>
        <w:pStyle w:val="12"/>
        <w:spacing w:before="6"/>
        <w:rPr>
          <w:sz w:val="36"/>
        </w:rPr>
      </w:pPr>
    </w:p>
    <w:p>
      <w:pPr>
        <w:pStyle w:val="12"/>
        <w:tabs>
          <w:tab w:val="left" w:pos="5136"/>
        </w:tabs>
        <w:ind w:left="936"/>
      </w:pPr>
      <w:r>
        <w:t>甲方单位： （盖章）</w:t>
      </w:r>
      <w:r>
        <w:tab/>
      </w:r>
      <w:r>
        <w:t>乙方单位：（盖章）</w:t>
      </w:r>
    </w:p>
    <w:p>
      <w:pPr>
        <w:pStyle w:val="12"/>
      </w:pPr>
    </w:p>
    <w:p>
      <w:pPr>
        <w:pStyle w:val="12"/>
      </w:pPr>
    </w:p>
    <w:p>
      <w:pPr>
        <w:pStyle w:val="12"/>
      </w:pPr>
    </w:p>
    <w:p>
      <w:pPr>
        <w:pStyle w:val="12"/>
        <w:tabs>
          <w:tab w:val="left" w:pos="2736"/>
          <w:tab w:val="left" w:pos="5256"/>
        </w:tabs>
        <w:spacing w:before="172"/>
        <w:ind w:left="816"/>
      </w:pPr>
      <w:r>
        <w:t>法 定 代 表 人</w:t>
      </w:r>
      <w:r>
        <w:tab/>
      </w:r>
      <w:r>
        <w:t>：</w:t>
      </w:r>
      <w:r>
        <w:tab/>
      </w:r>
      <w:r>
        <w:t>法 定 代 表 人：</w:t>
      </w:r>
    </w:p>
    <w:p>
      <w:pPr>
        <w:pStyle w:val="12"/>
        <w:tabs>
          <w:tab w:val="left" w:pos="5016"/>
        </w:tabs>
        <w:spacing w:before="158"/>
        <w:ind w:left="696"/>
      </w:pPr>
      <w:r>
        <w:t>（或受权代理人）签字：</w:t>
      </w:r>
      <w:r>
        <w:tab/>
      </w:r>
      <w:r>
        <w:t>（或受权代理人）签字：</w:t>
      </w:r>
    </w:p>
    <w:p>
      <w:pPr>
        <w:pStyle w:val="12"/>
      </w:pPr>
    </w:p>
    <w:p>
      <w:pPr>
        <w:pStyle w:val="12"/>
        <w:spacing w:before="10"/>
      </w:pPr>
    </w:p>
    <w:p>
      <w:pPr>
        <w:pStyle w:val="12"/>
        <w:tabs>
          <w:tab w:val="left" w:pos="5256"/>
        </w:tabs>
        <w:spacing w:before="1"/>
        <w:ind w:left="816"/>
      </w:pPr>
      <w:r>
        <w:t>单位地址：</w:t>
      </w:r>
      <w:r>
        <w:tab/>
      </w:r>
      <w:r>
        <w:t>单位地址：</w:t>
      </w:r>
    </w:p>
    <w:p>
      <w:pPr>
        <w:pStyle w:val="12"/>
      </w:pPr>
    </w:p>
    <w:p>
      <w:pPr>
        <w:pStyle w:val="12"/>
        <w:spacing w:before="11"/>
      </w:pPr>
    </w:p>
    <w:p>
      <w:pPr>
        <w:pStyle w:val="12"/>
        <w:tabs>
          <w:tab w:val="left" w:pos="5256"/>
        </w:tabs>
        <w:ind w:left="816"/>
      </w:pPr>
      <w:r>
        <w:t>联系电话：</w:t>
      </w:r>
      <w:r>
        <w:tab/>
      </w:r>
      <w:r>
        <w:t>联系电话：</w:t>
      </w:r>
    </w:p>
    <w:p>
      <w:pPr>
        <w:sectPr>
          <w:pgSz w:w="11910" w:h="16840"/>
          <w:pgMar w:top="920" w:right="741" w:bottom="1020" w:left="700" w:header="599" w:footer="826" w:gutter="0"/>
          <w:cols w:space="720" w:num="1"/>
        </w:sectPr>
      </w:pPr>
    </w:p>
    <w:p>
      <w:pPr>
        <w:pStyle w:val="12"/>
        <w:rPr>
          <w:sz w:val="20"/>
        </w:rPr>
      </w:pPr>
    </w:p>
    <w:p>
      <w:pPr>
        <w:pStyle w:val="27"/>
        <w:tabs>
          <w:tab w:val="left" w:pos="1669"/>
        </w:tabs>
        <w:ind w:left="45" w:right="0"/>
      </w:pPr>
      <w:bookmarkStart w:id="44" w:name="_Toc57242315"/>
      <w:r>
        <w:t>第六章</w:t>
      </w:r>
      <w:r>
        <w:tab/>
      </w:r>
      <w:r>
        <w:t>采购需求书</w:t>
      </w:r>
      <w:bookmarkEnd w:id="44"/>
    </w:p>
    <w:p>
      <w:pPr>
        <w:spacing w:before="239" w:line="364" w:lineRule="auto"/>
        <w:ind w:left="576" w:right="533" w:firstLine="480"/>
        <w:rPr>
          <w:rFonts w:ascii="宋体" w:eastAsia="宋体"/>
          <w:b/>
          <w:sz w:val="24"/>
        </w:rPr>
      </w:pPr>
      <w:r>
        <w:rPr>
          <w:rFonts w:hint="eastAsia" w:ascii="宋体" w:eastAsia="宋体"/>
          <w:b/>
          <w:sz w:val="24"/>
        </w:rPr>
        <w:t>（一</w:t>
      </w:r>
      <w:r>
        <w:rPr>
          <w:rFonts w:hint="eastAsia" w:ascii="宋体" w:eastAsia="宋体"/>
          <w:b/>
          <w:spacing w:val="-3"/>
          <w:sz w:val="24"/>
        </w:rPr>
        <w:t>）</w:t>
      </w:r>
      <w:r>
        <w:rPr>
          <w:rFonts w:hint="eastAsia" w:ascii="宋体" w:eastAsia="宋体"/>
          <w:b/>
          <w:spacing w:val="-7"/>
          <w:sz w:val="24"/>
        </w:rPr>
        <w:t>采购标的需实现的功能或者目标，以及为落实政府采购政策需满足的要求</w:t>
      </w:r>
      <w:r>
        <w:rPr>
          <w:rFonts w:hint="eastAsia" w:ascii="宋体" w:eastAsia="宋体"/>
          <w:b/>
          <w:spacing w:val="-183"/>
          <w:sz w:val="24"/>
        </w:rPr>
        <w:t>。</w:t>
      </w:r>
      <w:r>
        <w:rPr>
          <w:rFonts w:hint="eastAsia" w:ascii="宋体" w:eastAsia="宋体"/>
          <w:b/>
          <w:sz w:val="24"/>
        </w:rPr>
        <w:t>（</w:t>
      </w:r>
      <w:r>
        <w:rPr>
          <w:rFonts w:hint="eastAsia" w:ascii="宋体" w:eastAsia="宋体"/>
          <w:b/>
          <w:spacing w:val="-11"/>
          <w:sz w:val="24"/>
        </w:rPr>
        <w:t>详</w:t>
      </w:r>
      <w:r>
        <w:rPr>
          <w:rFonts w:hint="eastAsia" w:ascii="宋体" w:eastAsia="宋体"/>
          <w:b/>
          <w:spacing w:val="-3"/>
          <w:sz w:val="24"/>
        </w:rPr>
        <w:t xml:space="preserve">见本章要求，详见招标文件投标项目资料表第 </w:t>
      </w:r>
      <w:r>
        <w:rPr>
          <w:rFonts w:hint="eastAsia" w:ascii="宋体" w:eastAsia="宋体"/>
          <w:b/>
          <w:sz w:val="24"/>
        </w:rPr>
        <w:t>22</w:t>
      </w:r>
      <w:r>
        <w:rPr>
          <w:rFonts w:hint="eastAsia" w:ascii="宋体" w:eastAsia="宋体"/>
          <w:b/>
          <w:spacing w:val="-31"/>
          <w:sz w:val="24"/>
        </w:rPr>
        <w:t xml:space="preserve"> 款</w:t>
      </w:r>
      <w:r>
        <w:rPr>
          <w:rFonts w:hint="eastAsia" w:ascii="宋体" w:eastAsia="宋体"/>
          <w:b/>
          <w:sz w:val="24"/>
        </w:rPr>
        <w:t>）</w:t>
      </w:r>
    </w:p>
    <w:p>
      <w:pPr>
        <w:spacing w:line="306" w:lineRule="exact"/>
        <w:ind w:left="1056"/>
        <w:rPr>
          <w:rFonts w:ascii="宋体" w:eastAsia="宋体"/>
          <w:b/>
          <w:sz w:val="24"/>
        </w:rPr>
      </w:pPr>
      <w:r>
        <w:rPr>
          <w:rFonts w:hint="eastAsia" w:ascii="宋体" w:eastAsia="宋体"/>
          <w:b/>
          <w:sz w:val="24"/>
        </w:rPr>
        <w:t>（二）采购标的需执行的国家相关标准、行业标准、地方标准或者其他标准、规范。</w:t>
      </w:r>
    </w:p>
    <w:p>
      <w:pPr>
        <w:spacing w:before="159"/>
        <w:ind w:left="576"/>
        <w:rPr>
          <w:rFonts w:ascii="宋体" w:eastAsia="宋体"/>
          <w:b/>
          <w:sz w:val="24"/>
        </w:rPr>
      </w:pPr>
      <w:r>
        <w:rPr>
          <w:rFonts w:hint="eastAsia" w:ascii="宋体" w:eastAsia="宋体"/>
          <w:b/>
          <w:sz w:val="24"/>
        </w:rPr>
        <w:t>（详见本章要求）</w:t>
      </w:r>
    </w:p>
    <w:p>
      <w:pPr>
        <w:spacing w:before="160"/>
        <w:ind w:left="1056"/>
        <w:rPr>
          <w:rFonts w:ascii="宋体" w:eastAsia="宋体"/>
          <w:b/>
          <w:sz w:val="24"/>
        </w:rPr>
      </w:pPr>
      <w:r>
        <w:rPr>
          <w:rFonts w:hint="eastAsia" w:ascii="宋体" w:eastAsia="宋体"/>
          <w:b/>
          <w:sz w:val="24"/>
        </w:rPr>
        <w:t>（三）采购标的需满足的质量、安全、技术规格、物理特性等要求。（详见本章要求）</w:t>
      </w:r>
    </w:p>
    <w:p>
      <w:pPr>
        <w:spacing w:before="161"/>
        <w:ind w:left="1056"/>
        <w:rPr>
          <w:rFonts w:ascii="宋体" w:eastAsia="宋体"/>
          <w:b/>
          <w:sz w:val="24"/>
        </w:rPr>
      </w:pPr>
      <w:r>
        <w:rPr>
          <w:rFonts w:hint="eastAsia" w:ascii="宋体" w:eastAsia="宋体"/>
          <w:b/>
          <w:sz w:val="24"/>
        </w:rPr>
        <w:t>（四）采购标的的数量、采购项目交付或者实施的时间和地点。（详见本章要求）</w:t>
      </w:r>
    </w:p>
    <w:p>
      <w:pPr>
        <w:spacing w:before="158"/>
        <w:ind w:left="1056"/>
        <w:rPr>
          <w:rFonts w:ascii="宋体" w:eastAsia="宋体"/>
          <w:b/>
          <w:sz w:val="24"/>
        </w:rPr>
      </w:pPr>
      <w:r>
        <w:rPr>
          <w:rFonts w:hint="eastAsia" w:ascii="宋体" w:eastAsia="宋体"/>
          <w:b/>
          <w:sz w:val="24"/>
        </w:rPr>
        <w:t>（五）采购标的需满足的服务标准、期限、效率等要求。（详见本章要求）</w:t>
      </w:r>
    </w:p>
    <w:p>
      <w:pPr>
        <w:spacing w:before="160"/>
        <w:ind w:left="1056"/>
        <w:rPr>
          <w:rFonts w:ascii="宋体" w:eastAsia="宋体"/>
          <w:b/>
          <w:sz w:val="24"/>
        </w:rPr>
      </w:pPr>
      <w:r>
        <w:rPr>
          <w:rFonts w:hint="eastAsia" w:ascii="宋体" w:eastAsia="宋体"/>
          <w:b/>
          <w:w w:val="95"/>
          <w:sz w:val="24"/>
        </w:rPr>
        <w:t>（六</w:t>
      </w:r>
      <w:r>
        <w:rPr>
          <w:rFonts w:hint="eastAsia" w:ascii="宋体" w:eastAsia="宋体"/>
          <w:b/>
          <w:spacing w:val="-3"/>
          <w:w w:val="95"/>
          <w:sz w:val="24"/>
        </w:rPr>
        <w:t>）</w:t>
      </w:r>
      <w:r>
        <w:rPr>
          <w:rFonts w:hint="eastAsia" w:ascii="宋体" w:eastAsia="宋体"/>
          <w:b/>
          <w:w w:val="95"/>
          <w:sz w:val="24"/>
        </w:rPr>
        <w:t>采购标的的验收标准：（详见本章要求）。</w:t>
      </w:r>
    </w:p>
    <w:p>
      <w:pPr>
        <w:spacing w:before="158"/>
        <w:ind w:left="1056"/>
        <w:rPr>
          <w:rFonts w:ascii="宋体" w:eastAsia="宋体"/>
          <w:b/>
          <w:sz w:val="24"/>
        </w:rPr>
      </w:pPr>
      <w:r>
        <w:rPr>
          <w:rFonts w:hint="eastAsia" w:ascii="宋体" w:eastAsia="宋体"/>
          <w:b/>
          <w:w w:val="95"/>
          <w:sz w:val="24"/>
        </w:rPr>
        <w:t>（七</w:t>
      </w:r>
      <w:r>
        <w:rPr>
          <w:rFonts w:hint="eastAsia" w:ascii="宋体" w:eastAsia="宋体"/>
          <w:b/>
          <w:spacing w:val="-3"/>
          <w:w w:val="95"/>
          <w:sz w:val="24"/>
        </w:rPr>
        <w:t>）</w:t>
      </w:r>
      <w:r>
        <w:rPr>
          <w:rFonts w:hint="eastAsia" w:ascii="宋体" w:eastAsia="宋体"/>
          <w:b/>
          <w:w w:val="95"/>
          <w:sz w:val="24"/>
        </w:rPr>
        <w:t>采购标的的其他技术、服务等要求。（无）</w:t>
      </w:r>
    </w:p>
    <w:p>
      <w:pPr>
        <w:pStyle w:val="12"/>
        <w:rPr>
          <w:b/>
        </w:rPr>
      </w:pPr>
    </w:p>
    <w:p>
      <w:pPr>
        <w:pStyle w:val="12"/>
        <w:spacing w:before="1"/>
        <w:rPr>
          <w:b/>
          <w:sz w:val="25"/>
        </w:rPr>
      </w:pPr>
    </w:p>
    <w:p>
      <w:pPr>
        <w:ind w:left="576"/>
        <w:rPr>
          <w:rFonts w:ascii="宋体" w:eastAsia="宋体"/>
          <w:b/>
          <w:sz w:val="24"/>
        </w:rPr>
      </w:pPr>
      <w:r>
        <w:rPr>
          <w:rFonts w:hint="eastAsia" w:ascii="宋体" w:eastAsia="宋体"/>
          <w:b/>
          <w:sz w:val="24"/>
        </w:rPr>
        <w:t>一、技术参数（后附）</w:t>
      </w:r>
    </w:p>
    <w:p>
      <w:pPr>
        <w:pStyle w:val="12"/>
        <w:spacing w:before="9"/>
        <w:rPr>
          <w:b/>
          <w:sz w:val="21"/>
        </w:rPr>
      </w:pPr>
    </w:p>
    <w:p>
      <w:pPr>
        <w:spacing w:line="336" w:lineRule="auto"/>
        <w:ind w:left="576" w:right="4847"/>
        <w:rPr>
          <w:rFonts w:ascii="宋体" w:eastAsia="宋体"/>
          <w:b/>
          <w:sz w:val="24"/>
        </w:rPr>
      </w:pPr>
      <w:r>
        <w:rPr>
          <w:rFonts w:hint="eastAsia" w:ascii="宋体" w:eastAsia="宋体"/>
          <w:sz w:val="24"/>
        </w:rPr>
        <w:t>本项目核心产品为智慧议客厅及班班通教学设备</w:t>
      </w:r>
      <w:r>
        <w:rPr>
          <w:rFonts w:hint="eastAsia" w:ascii="宋体" w:eastAsia="宋体"/>
          <w:b/>
          <w:sz w:val="24"/>
        </w:rPr>
        <w:t>二、本项目采购人其他需求</w:t>
      </w:r>
    </w:p>
    <w:p>
      <w:pPr>
        <w:pStyle w:val="29"/>
        <w:numPr>
          <w:ilvl w:val="1"/>
          <w:numId w:val="10"/>
        </w:numPr>
        <w:tabs>
          <w:tab w:val="left" w:pos="997"/>
        </w:tabs>
        <w:spacing w:before="157" w:line="362" w:lineRule="auto"/>
        <w:ind w:right="533" w:firstLine="0"/>
        <w:rPr>
          <w:sz w:val="24"/>
        </w:rPr>
      </w:pPr>
      <w:r>
        <w:rPr>
          <w:spacing w:val="-8"/>
          <w:sz w:val="24"/>
        </w:rPr>
        <w:t xml:space="preserve">采购实现目标：满足乌鲁木齐市水磨沟区教育局 </w:t>
      </w:r>
      <w:r>
        <w:rPr>
          <w:sz w:val="24"/>
        </w:rPr>
        <w:t>2019</w:t>
      </w:r>
      <w:r>
        <w:rPr>
          <w:spacing w:val="-11"/>
          <w:sz w:val="24"/>
        </w:rPr>
        <w:t xml:space="preserve"> 年信息化建设提升设备采购，保证</w:t>
      </w:r>
      <w:r>
        <w:rPr>
          <w:sz w:val="24"/>
        </w:rPr>
        <w:t>学校教学正常进行。</w:t>
      </w:r>
    </w:p>
    <w:p>
      <w:pPr>
        <w:pStyle w:val="29"/>
        <w:numPr>
          <w:ilvl w:val="1"/>
          <w:numId w:val="10"/>
        </w:numPr>
        <w:tabs>
          <w:tab w:val="left" w:pos="997"/>
        </w:tabs>
        <w:spacing w:before="124" w:line="364" w:lineRule="auto"/>
        <w:ind w:right="527" w:firstLine="0"/>
        <w:rPr>
          <w:sz w:val="24"/>
        </w:rPr>
      </w:pPr>
      <w:r>
        <w:rPr>
          <w:sz w:val="24"/>
        </w:rPr>
        <w:t>本次采购落实政府采购政策：本项目执行节约能源、保护环境、扶持不发达地区和少</w:t>
      </w:r>
      <w:r>
        <w:rPr>
          <w:spacing w:val="-1"/>
          <w:sz w:val="24"/>
        </w:rPr>
        <w:t>数民族地区、促进中小企业发展、促进残疾人就业、促进监狱企业发展等政府采购政策。</w:t>
      </w:r>
    </w:p>
    <w:p>
      <w:pPr>
        <w:pStyle w:val="29"/>
        <w:numPr>
          <w:ilvl w:val="1"/>
          <w:numId w:val="10"/>
        </w:numPr>
        <w:tabs>
          <w:tab w:val="left" w:pos="997"/>
        </w:tabs>
        <w:spacing w:before="119"/>
        <w:ind w:left="996" w:hanging="421"/>
        <w:rPr>
          <w:sz w:val="24"/>
        </w:rPr>
      </w:pPr>
      <w:r>
        <w:rPr>
          <w:sz w:val="24"/>
        </w:rPr>
        <w:t>采购质量要求：合格，满足采购人要求。</w:t>
      </w:r>
    </w:p>
    <w:p>
      <w:pPr>
        <w:pStyle w:val="12"/>
        <w:spacing w:before="12"/>
        <w:rPr>
          <w:sz w:val="21"/>
        </w:rPr>
      </w:pPr>
    </w:p>
    <w:p>
      <w:pPr>
        <w:pStyle w:val="29"/>
        <w:numPr>
          <w:ilvl w:val="1"/>
          <w:numId w:val="10"/>
        </w:numPr>
        <w:tabs>
          <w:tab w:val="left" w:pos="997"/>
        </w:tabs>
        <w:spacing w:line="364" w:lineRule="auto"/>
        <w:ind w:right="529" w:firstLine="0"/>
        <w:jc w:val="both"/>
        <w:rPr>
          <w:sz w:val="24"/>
        </w:rPr>
      </w:pPr>
      <w:r>
        <w:rPr>
          <w:spacing w:val="-9"/>
          <w:sz w:val="24"/>
        </w:rPr>
        <w:t xml:space="preserve">采购内容：乌鲁木齐市水磨沟区教育局 </w:t>
      </w:r>
      <w:r>
        <w:rPr>
          <w:sz w:val="24"/>
        </w:rPr>
        <w:t>1</w:t>
      </w:r>
      <w:r>
        <w:rPr>
          <w:spacing w:val="-9"/>
          <w:sz w:val="24"/>
        </w:rPr>
        <w:t xml:space="preserve"> 套校园网络提速设备，</w:t>
      </w:r>
      <w:r>
        <w:rPr>
          <w:spacing w:val="-11"/>
          <w:sz w:val="24"/>
        </w:rPr>
        <w:t>1</w:t>
      </w:r>
      <w:r>
        <w:rPr>
          <w:spacing w:val="-12"/>
          <w:sz w:val="24"/>
        </w:rPr>
        <w:t xml:space="preserve"> 间智慧议课厅</w:t>
      </w:r>
      <w:r>
        <w:rPr>
          <w:spacing w:val="-3"/>
          <w:sz w:val="24"/>
        </w:rPr>
        <w:t>（</w:t>
      </w:r>
      <w:r>
        <w:rPr>
          <w:spacing w:val="-20"/>
          <w:sz w:val="24"/>
        </w:rPr>
        <w:t xml:space="preserve">包含 </w:t>
      </w:r>
      <w:r>
        <w:rPr>
          <w:spacing w:val="-14"/>
          <w:sz w:val="24"/>
        </w:rPr>
        <w:t xml:space="preserve">1 </w:t>
      </w:r>
      <w:r>
        <w:rPr>
          <w:spacing w:val="-7"/>
          <w:sz w:val="24"/>
        </w:rPr>
        <w:t xml:space="preserve">套智慧教学系统及 </w:t>
      </w:r>
      <w:r>
        <w:rPr>
          <w:sz w:val="24"/>
        </w:rPr>
        <w:t>1</w:t>
      </w:r>
      <w:r>
        <w:rPr>
          <w:spacing w:val="-8"/>
          <w:sz w:val="24"/>
        </w:rPr>
        <w:t xml:space="preserve"> 套高清五机位录播教室</w:t>
      </w:r>
      <w:r>
        <w:rPr>
          <w:sz w:val="24"/>
        </w:rPr>
        <w:t>），31</w:t>
      </w:r>
      <w:r>
        <w:rPr>
          <w:spacing w:val="-8"/>
          <w:sz w:val="24"/>
        </w:rPr>
        <w:t xml:space="preserve"> 套班班通教学设备，</w:t>
      </w:r>
      <w:r>
        <w:rPr>
          <w:sz w:val="24"/>
        </w:rPr>
        <w:t>5</w:t>
      </w:r>
      <w:r>
        <w:rPr>
          <w:spacing w:val="-11"/>
          <w:sz w:val="24"/>
        </w:rPr>
        <w:t xml:space="preserve"> 套智慧教学系统</w:t>
      </w:r>
      <w:r>
        <w:rPr>
          <w:sz w:val="24"/>
        </w:rPr>
        <w:t>等设备的采购及其相关服务（具体参数详见采购清单）。</w:t>
      </w:r>
    </w:p>
    <w:p>
      <w:pPr>
        <w:pStyle w:val="29"/>
        <w:numPr>
          <w:ilvl w:val="1"/>
          <w:numId w:val="10"/>
        </w:numPr>
        <w:tabs>
          <w:tab w:val="left" w:pos="997"/>
        </w:tabs>
        <w:spacing w:before="119"/>
        <w:ind w:left="996" w:hanging="421"/>
        <w:jc w:val="both"/>
        <w:rPr>
          <w:sz w:val="24"/>
        </w:rPr>
      </w:pPr>
      <w:r>
        <w:rPr>
          <w:spacing w:val="-5"/>
          <w:sz w:val="24"/>
        </w:rPr>
        <w:t xml:space="preserve">交货及安装期：合同签订后 </w:t>
      </w:r>
      <w:r>
        <w:rPr>
          <w:sz w:val="24"/>
        </w:rPr>
        <w:t>30</w:t>
      </w:r>
      <w:r>
        <w:rPr>
          <w:spacing w:val="-15"/>
          <w:sz w:val="24"/>
        </w:rPr>
        <w:t xml:space="preserve"> 日内。</w:t>
      </w:r>
    </w:p>
    <w:p>
      <w:pPr>
        <w:pStyle w:val="12"/>
        <w:spacing w:before="9"/>
        <w:rPr>
          <w:sz w:val="21"/>
        </w:rPr>
      </w:pPr>
    </w:p>
    <w:p>
      <w:pPr>
        <w:pStyle w:val="29"/>
        <w:numPr>
          <w:ilvl w:val="1"/>
          <w:numId w:val="10"/>
        </w:numPr>
        <w:tabs>
          <w:tab w:val="left" w:pos="997"/>
        </w:tabs>
        <w:ind w:left="996" w:hanging="421"/>
        <w:jc w:val="both"/>
        <w:rPr>
          <w:sz w:val="24"/>
        </w:rPr>
      </w:pPr>
      <w:r>
        <w:rPr>
          <w:sz w:val="24"/>
        </w:rPr>
        <w:t>交货地点：采购人指定地点。</w:t>
      </w:r>
    </w:p>
    <w:p>
      <w:pPr>
        <w:pStyle w:val="12"/>
        <w:spacing w:before="9"/>
        <w:rPr>
          <w:sz w:val="21"/>
        </w:rPr>
      </w:pPr>
    </w:p>
    <w:p>
      <w:pPr>
        <w:pStyle w:val="29"/>
        <w:numPr>
          <w:ilvl w:val="1"/>
          <w:numId w:val="10"/>
        </w:numPr>
        <w:tabs>
          <w:tab w:val="left" w:pos="997"/>
        </w:tabs>
        <w:ind w:left="996" w:hanging="421"/>
        <w:rPr>
          <w:sz w:val="24"/>
        </w:rPr>
      </w:pPr>
      <w:r>
        <w:rPr>
          <w:sz w:val="24"/>
        </w:rPr>
        <w:t>中标单位服务标准、期限、效率要求：满足采购人要求。</w:t>
      </w:r>
    </w:p>
    <w:p>
      <w:pPr>
        <w:pStyle w:val="12"/>
        <w:spacing w:before="11"/>
        <w:rPr>
          <w:sz w:val="21"/>
        </w:rPr>
      </w:pPr>
    </w:p>
    <w:p>
      <w:pPr>
        <w:pStyle w:val="29"/>
        <w:numPr>
          <w:ilvl w:val="1"/>
          <w:numId w:val="10"/>
        </w:numPr>
        <w:tabs>
          <w:tab w:val="left" w:pos="997"/>
        </w:tabs>
        <w:spacing w:before="1"/>
        <w:ind w:left="996" w:hanging="421"/>
        <w:jc w:val="both"/>
        <w:rPr>
          <w:sz w:val="24"/>
        </w:rPr>
      </w:pPr>
      <w:r>
        <w:rPr>
          <w:sz w:val="24"/>
        </w:rPr>
        <w:t>验收：</w:t>
      </w:r>
    </w:p>
    <w:p>
      <w:pPr>
        <w:pStyle w:val="12"/>
        <w:spacing w:before="1"/>
        <w:ind w:left="1056"/>
      </w:pPr>
      <w:r>
        <w:t>安装、调试完成以后，中标方应进行现场测试。系统测试过程必须在招标方技术人员</w:t>
      </w:r>
    </w:p>
    <w:p>
      <w:pPr>
        <w:sectPr>
          <w:pgSz w:w="11910" w:h="16840"/>
          <w:pgMar w:top="919" w:right="743" w:bottom="1021" w:left="697" w:header="601" w:footer="828" w:gutter="0"/>
          <w:cols w:space="720" w:num="1"/>
        </w:sectPr>
      </w:pPr>
    </w:p>
    <w:p>
      <w:pPr>
        <w:pStyle w:val="12"/>
        <w:spacing w:before="11"/>
        <w:rPr>
          <w:sz w:val="28"/>
        </w:rPr>
      </w:pPr>
    </w:p>
    <w:p>
      <w:pPr>
        <w:pStyle w:val="12"/>
        <w:spacing w:before="66"/>
        <w:ind w:left="576"/>
      </w:pPr>
      <w:r>
        <w:t>的参与下进行，测试的过程和结果必须详细记录，经双方签字后作为验收的文件之一。</w:t>
      </w:r>
    </w:p>
    <w:p>
      <w:pPr>
        <w:pStyle w:val="12"/>
        <w:spacing w:before="12"/>
        <w:rPr>
          <w:sz w:val="21"/>
        </w:rPr>
      </w:pPr>
    </w:p>
    <w:p>
      <w:pPr>
        <w:pStyle w:val="12"/>
        <w:spacing w:line="362" w:lineRule="auto"/>
        <w:ind w:left="576" w:right="533" w:firstLine="480"/>
      </w:pPr>
      <w:r>
        <w:t>系统功能、性能、外观、技术指标等方面，全部符合招标方招标文件、投标方投标文件以及相关的技术要求，视为通过初验，投入试运行。</w:t>
      </w:r>
    </w:p>
    <w:p>
      <w:pPr>
        <w:pStyle w:val="12"/>
        <w:spacing w:before="5" w:line="362" w:lineRule="auto"/>
        <w:ind w:left="576" w:right="533" w:firstLine="480"/>
      </w:pPr>
      <w:r>
        <w:t>试运行完成并确认运行正常一年后，招标方对货物进行终验。在双方代表均在场的情况下，确认验收指标全部符合要求，资料齐全。验收费用由中标人承担。</w:t>
      </w:r>
    </w:p>
    <w:p>
      <w:pPr>
        <w:pStyle w:val="12"/>
        <w:spacing w:before="5" w:line="364" w:lineRule="auto"/>
        <w:ind w:left="576" w:right="413" w:firstLine="480"/>
      </w:pPr>
      <w:r>
        <w:rPr>
          <w:spacing w:val="-8"/>
        </w:rPr>
        <w:t>投标方负责在系统验收时将系统的全部有关产品说明书、安装手册、技术文件、资料、</w:t>
      </w:r>
      <w:r>
        <w:t>及安装、测试、验收报告等文档汇集成册交付招标方。</w:t>
      </w:r>
    </w:p>
    <w:p>
      <w:pPr>
        <w:pStyle w:val="12"/>
        <w:spacing w:line="364" w:lineRule="auto"/>
        <w:ind w:left="576" w:right="529" w:firstLine="480"/>
        <w:jc w:val="both"/>
      </w:pPr>
      <w:r>
        <w:t>交付货物必须与投标文件描述的货物完全一致。验收过程中，若发现设备有短缺、损坏或不符合合同条款和质量标准的情况，中标方将负责补齐、更换，由此引起一切费用由中标方承担。设备验收完成，投标方在一年内提供免费技术支持。</w:t>
      </w:r>
    </w:p>
    <w:p>
      <w:pPr>
        <w:pStyle w:val="12"/>
        <w:spacing w:line="364" w:lineRule="auto"/>
        <w:ind w:left="576" w:right="529" w:firstLine="480"/>
        <w:jc w:val="both"/>
      </w:pPr>
    </w:p>
    <w:p>
      <w:pPr>
        <w:pStyle w:val="12"/>
        <w:spacing w:line="364" w:lineRule="auto"/>
        <w:ind w:left="576" w:right="529" w:firstLine="480"/>
        <w:jc w:val="both"/>
      </w:pPr>
    </w:p>
    <w:p>
      <w:pPr>
        <w:pStyle w:val="12"/>
        <w:spacing w:line="364" w:lineRule="auto"/>
        <w:ind w:left="576" w:right="529" w:firstLine="480"/>
        <w:jc w:val="both"/>
      </w:pPr>
    </w:p>
    <w:p>
      <w:pPr>
        <w:pStyle w:val="12"/>
        <w:spacing w:line="364" w:lineRule="auto"/>
        <w:ind w:left="576" w:right="529" w:firstLine="480"/>
        <w:jc w:val="both"/>
      </w:pPr>
    </w:p>
    <w:p>
      <w:pPr>
        <w:pStyle w:val="12"/>
        <w:spacing w:line="364" w:lineRule="auto"/>
        <w:ind w:left="576" w:right="529" w:firstLine="480"/>
        <w:jc w:val="both"/>
      </w:pPr>
    </w:p>
    <w:p>
      <w:pPr>
        <w:pStyle w:val="12"/>
        <w:spacing w:line="364" w:lineRule="auto"/>
        <w:ind w:left="576" w:right="529" w:firstLine="480"/>
        <w:jc w:val="both"/>
      </w:pPr>
    </w:p>
    <w:p>
      <w:pPr>
        <w:pStyle w:val="12"/>
        <w:spacing w:line="364" w:lineRule="auto"/>
        <w:ind w:left="576" w:right="529" w:firstLine="480"/>
        <w:jc w:val="both"/>
      </w:pPr>
    </w:p>
    <w:p>
      <w:pPr>
        <w:pStyle w:val="12"/>
        <w:spacing w:line="364" w:lineRule="auto"/>
        <w:ind w:left="576" w:right="529" w:firstLine="480"/>
        <w:jc w:val="both"/>
      </w:pPr>
    </w:p>
    <w:p>
      <w:pPr>
        <w:pStyle w:val="12"/>
        <w:spacing w:line="364" w:lineRule="auto"/>
        <w:ind w:left="576" w:right="529" w:firstLine="480"/>
        <w:jc w:val="both"/>
      </w:pPr>
    </w:p>
    <w:p>
      <w:pPr>
        <w:pStyle w:val="12"/>
        <w:spacing w:line="364" w:lineRule="auto"/>
        <w:ind w:left="576" w:right="529" w:firstLine="480"/>
        <w:jc w:val="both"/>
      </w:pPr>
    </w:p>
    <w:p>
      <w:pPr>
        <w:pStyle w:val="12"/>
        <w:spacing w:line="364" w:lineRule="auto"/>
        <w:ind w:left="576" w:right="529" w:firstLine="480"/>
        <w:jc w:val="both"/>
      </w:pPr>
    </w:p>
    <w:p>
      <w:pPr>
        <w:pStyle w:val="12"/>
        <w:spacing w:line="364" w:lineRule="auto"/>
        <w:ind w:left="576" w:right="529" w:firstLine="480"/>
        <w:jc w:val="both"/>
      </w:pPr>
    </w:p>
    <w:p>
      <w:pPr>
        <w:pStyle w:val="12"/>
        <w:spacing w:line="364" w:lineRule="auto"/>
        <w:ind w:left="576" w:right="529" w:firstLine="480"/>
        <w:jc w:val="both"/>
      </w:pPr>
    </w:p>
    <w:p>
      <w:pPr>
        <w:pStyle w:val="12"/>
        <w:spacing w:line="364" w:lineRule="auto"/>
        <w:ind w:left="576" w:right="529" w:firstLine="480"/>
        <w:jc w:val="both"/>
      </w:pPr>
    </w:p>
    <w:p>
      <w:pPr>
        <w:pStyle w:val="12"/>
        <w:spacing w:line="364" w:lineRule="auto"/>
        <w:ind w:left="576" w:right="529" w:firstLine="480"/>
        <w:jc w:val="both"/>
      </w:pPr>
    </w:p>
    <w:p>
      <w:pPr>
        <w:pStyle w:val="12"/>
        <w:spacing w:line="364" w:lineRule="auto"/>
        <w:ind w:left="576" w:right="529" w:firstLine="480"/>
        <w:jc w:val="both"/>
      </w:pPr>
    </w:p>
    <w:p>
      <w:pPr>
        <w:pStyle w:val="12"/>
        <w:spacing w:line="364" w:lineRule="auto"/>
        <w:ind w:right="529"/>
        <w:jc w:val="both"/>
        <w:sectPr>
          <w:footerReference r:id="rId8" w:type="default"/>
          <w:pgSz w:w="11910" w:h="16840"/>
          <w:pgMar w:top="919" w:right="743" w:bottom="1021" w:left="697" w:header="601" w:footer="828" w:gutter="0"/>
          <w:pgNumType w:start="30"/>
          <w:cols w:space="720" w:num="1"/>
        </w:sectPr>
      </w:pPr>
    </w:p>
    <w:p>
      <w:pPr>
        <w:pStyle w:val="12"/>
        <w:spacing w:line="364" w:lineRule="auto"/>
        <w:ind w:right="529"/>
        <w:jc w:val="center"/>
        <w:rPr>
          <w:rFonts w:asciiTheme="majorEastAsia" w:hAnsiTheme="majorEastAsia" w:eastAsiaTheme="majorEastAsia"/>
          <w:sz w:val="36"/>
          <w:szCs w:val="36"/>
        </w:rPr>
      </w:pPr>
      <w:r>
        <w:rPr>
          <w:rFonts w:hint="eastAsia" w:asciiTheme="majorEastAsia" w:hAnsiTheme="majorEastAsia" w:eastAsiaTheme="majorEastAsia"/>
          <w:sz w:val="36"/>
          <w:szCs w:val="36"/>
        </w:rPr>
        <w:t>采购清单</w:t>
      </w:r>
    </w:p>
    <w:tbl>
      <w:tblPr>
        <w:tblStyle w:val="20"/>
        <w:tblW w:w="4999" w:type="pct"/>
        <w:tblInd w:w="0" w:type="dxa"/>
        <w:tblLayout w:type="autofit"/>
        <w:tblCellMar>
          <w:top w:w="15" w:type="dxa"/>
          <w:left w:w="15" w:type="dxa"/>
          <w:bottom w:w="15" w:type="dxa"/>
          <w:right w:w="15" w:type="dxa"/>
        </w:tblCellMar>
      </w:tblPr>
      <w:tblGrid>
        <w:gridCol w:w="526"/>
        <w:gridCol w:w="771"/>
        <w:gridCol w:w="8069"/>
        <w:gridCol w:w="565"/>
        <w:gridCol w:w="567"/>
      </w:tblGrid>
      <w:tr>
        <w:tblPrEx>
          <w:tblCellMar>
            <w:top w:w="15" w:type="dxa"/>
            <w:left w:w="15" w:type="dxa"/>
            <w:bottom w:w="15" w:type="dxa"/>
            <w:right w:w="15" w:type="dxa"/>
          </w:tblCellMar>
        </w:tblPrEx>
        <w:trPr>
          <w:trHeight w:val="435" w:hRule="atLeast"/>
        </w:trPr>
        <w:tc>
          <w:tcPr>
            <w:tcW w:w="251" w:type="pc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20"/>
                <w:szCs w:val="20"/>
              </w:rPr>
            </w:pPr>
            <w:bookmarkStart w:id="45" w:name="第七章_投标文件格式"/>
            <w:bookmarkEnd w:id="45"/>
            <w:bookmarkStart w:id="46" w:name="_Toc57242316"/>
            <w:r>
              <w:rPr>
                <w:rFonts w:hint="eastAsia" w:ascii="宋体" w:hAnsi="宋体" w:eastAsia="宋体" w:cs="宋体"/>
                <w:b/>
                <w:color w:val="000000"/>
                <w:sz w:val="20"/>
                <w:szCs w:val="20"/>
                <w:lang w:val="en-US"/>
              </w:rPr>
              <w:t>序号</w:t>
            </w:r>
          </w:p>
        </w:tc>
        <w:tc>
          <w:tcPr>
            <w:tcW w:w="367" w:type="pc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设备</w:t>
            </w:r>
            <w:r>
              <w:rPr>
                <w:rFonts w:hint="eastAsia" w:ascii="宋体" w:hAnsi="宋体" w:eastAsia="宋体" w:cs="宋体"/>
                <w:b/>
                <w:color w:val="000000"/>
                <w:sz w:val="20"/>
                <w:szCs w:val="20"/>
                <w:lang w:val="en-US"/>
              </w:rPr>
              <w:br w:type="textWrapping"/>
            </w:r>
            <w:r>
              <w:rPr>
                <w:rFonts w:hint="eastAsia" w:ascii="宋体" w:hAnsi="宋体" w:eastAsia="宋体" w:cs="宋体"/>
                <w:b/>
                <w:color w:val="000000"/>
                <w:sz w:val="20"/>
                <w:szCs w:val="20"/>
                <w:lang w:val="en-US"/>
              </w:rPr>
              <w:t>名称</w:t>
            </w:r>
          </w:p>
        </w:tc>
        <w:tc>
          <w:tcPr>
            <w:tcW w:w="3843" w:type="pc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描述</w:t>
            </w:r>
          </w:p>
        </w:tc>
        <w:tc>
          <w:tcPr>
            <w:tcW w:w="269" w:type="pc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数量</w:t>
            </w:r>
          </w:p>
        </w:tc>
        <w:tc>
          <w:tcPr>
            <w:tcW w:w="270" w:type="pc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单位</w:t>
            </w:r>
          </w:p>
        </w:tc>
      </w:tr>
      <w:tr>
        <w:tblPrEx>
          <w:tblCellMar>
            <w:top w:w="15" w:type="dxa"/>
            <w:left w:w="15" w:type="dxa"/>
            <w:bottom w:w="15" w:type="dxa"/>
            <w:right w:w="15" w:type="dxa"/>
          </w:tblCellMar>
        </w:tblPrEx>
        <w:trPr>
          <w:trHeight w:val="285" w:hRule="atLeast"/>
        </w:trPr>
        <w:tc>
          <w:tcPr>
            <w:tcW w:w="5000" w:type="pct"/>
            <w:gridSpan w:val="5"/>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一.班班通多媒体教学系统</w:t>
            </w:r>
          </w:p>
        </w:tc>
      </w:tr>
      <w:tr>
        <w:tblPrEx>
          <w:tblCellMar>
            <w:top w:w="15" w:type="dxa"/>
            <w:left w:w="15" w:type="dxa"/>
            <w:bottom w:w="15" w:type="dxa"/>
            <w:right w:w="15" w:type="dxa"/>
          </w:tblCellMar>
        </w:tblPrEx>
        <w:trPr>
          <w:trHeight w:val="285" w:hRule="atLeast"/>
        </w:trPr>
        <w:tc>
          <w:tcPr>
            <w:tcW w:w="251" w:type="pct"/>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w:t>
            </w:r>
          </w:p>
        </w:tc>
        <w:tc>
          <w:tcPr>
            <w:tcW w:w="367" w:type="pct"/>
            <w:vMerge w:val="restar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交互智能平板</w:t>
            </w: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一、屏体规格</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381</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台</w:t>
            </w: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1.LED液晶屏体：A规屏</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2.显示尺寸：≥86英寸</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3.背光类型：LED</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4.显示比例：16：9</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5.分辨率：3840×2160"</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二、接口端子</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1.前置输入接口：</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HDMI（高清输入）≥1，安卓/电脑双通道（USB-A3.0）≥1，电脑（USB-A3.0）≥2；</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2.后置输入/输出接口：</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660"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多媒体（USB-A）≥2，触摸（USB-B）≥1，VGA（输入）≥1，立体声音频≥1，HDMI（高清输入）≥2，YPbPr/YCbCr/音频(3合1）≥1，TV×1，AV（视频输入）≥1，RS232≥1，RJ45≥1，AV（输出）≥1，耳机输出≥1，VGA（输出）≥1，COAX（数字音频同轴）≥1</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3.整机内置无线网络模块，无任何外接、转接天线及网卡可实现正常网络连接。</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4.整机具备RJ45双系统网口：部署单根网线可实现Android、Windows双系统有线网络联通。</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三、一体化电脑</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1.内置插拔式模块化电脑，易拆卸维修。</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2.CPU采用Intel第8代酷睿I5处理器；</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3.内存：8G DDR4；</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4.硬盘：256G SSD；</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5.具备6个USB接口（其中至少包含2路USB3.0接口）；</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6.具有独立非外扩展的视频输出接口：≥1路HDMI ；≥1路DP等。</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四、触摸功能</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采用红外触控技术，支持在Windows系统中进行10点或以上触控。支持在Android系统中进行10点或以上触控。</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五、教学应用软件</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（一）白板软件功能</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1.一键进行备授课及屏幕书写场景切换。菜单功能按钮/图标配备明确中文标识。</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2.书写：软件提供不少于10支书写笔；可根据手势实现上下翻页、擦除对象、手势识别聚光灯、放大镜等教学工具；</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3.提供多种擦除方式，包括橡皮擦除，智能擦除，科根据手掌接触屏幕的面积识别擦除面积的大小；</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4.页面设置：可一键设置页面背景，切换背景颜色、图片或学科背景如五线谱、田字格米字格等。</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660"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5.思维导图：提供多种思维导图模板如逻辑图、鱼骨图、组织结构图，可轻松增删或拖拽编辑内容、节点，并支持在节点上插入图片、音频、视频、文档等附件、及网页链接、课件页面、聚光灯等。</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6.工具箱：提供包含但不止于以下教学辅助工具：例如直尺、圆规、三角板、聚光灯、放大镜、屏幕截图、展台、草稿纸等；</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7.PPT课件批注功能：PPT全屏播放时可自动开启工具菜单，提供PPT课件的播放控制(如前后翻页)、聚光灯、放大镜、草稿纸和书写批注等功能。</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870"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8.大小屏互动功能：支持手机、pad移动端与智能黑板连接后，可实现常用功能如影像上传、投屏、播放课件、直播。支持对上传的图片内容再次编辑，可同时上传多张照片进行同屏对比，双向批注；一键打开电脑桌面课件并播放，课件支持播放列表，可快速选择PPT或白板课件进行播放。</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9.图库：提供如乐器、交通运输、人物、军事、动物、办公用品、服装、节日、天气季节本地图片素材，支持用户保存页面中的图片到个人图库。</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660"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10.PPT课件批注功能：PPT全屏播放时可自动开启工具菜单，支持工具菜单收起与打开，提供PPT课件的播放控制(如前后翻页)、聚光灯、放大镜和书写批注等功能,支持生成二维码，快速分享课件；</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660"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 xml:space="preserve">11.PPT导入及插入：PPT导入可保留原文档中的音频、视频、图片、文字及动画，并可根据需要编辑、修改,最终生成白板格式的课件；支持以原生态的形式插入一个或多个PPT文档，并可在白板软件当中直接打开; </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(二)、教学资源</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660"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提供数字教材覆盖小学、初中、高中三个学段各个年级各个学科；符合当前教育理念，数字教材资源内容与课程标准及现行课改教材完全配套相符，能够满足广大中小学教师同步教学、备课、授课及教务管理等需求。</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2.素材资源，12学科按照教材章节分类，每个素材都具备关键字描述及知识点描述。</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六、集控管理平台</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 管理平台实时监测已连接的交互智能设备状态；可远程监测交互智能设备开关机状态、CPU温度、CPU使用率、硬盘空间、硬盘使用状况、内存容量、内存使用率、设备ID等设备数据。</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 管理平台可对局域网内的交互智能终端进行远程实时控制，能够监测设备当前运行界面，并远程对设备操作界面进行控制。</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 管理平台可控制连接局域网的交互智能设备整机关机、开机和重启；可批量设定智能设备开关机的执行时间，并支持自定义日循环执行，预约定时执行。</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七、为确保产品可用性，需提供以下证书及文件</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1.▲所投标的产品须为原厂商制造，不接受OEM产品。电脑模块及一体机/交互式智能平板的国家强制3C认证应为同一厂家。</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2.▲生产厂家需出具ISO9001认证、ISO14001认证、OHSAS18001认证。</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3.▲产品生产厂家满足国家强制性3C认证、节能认证证书、白板软件产品需提供软件登记证和软件著作权系列证书。</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4.▲提供产品厂家针对此项目的授权书及三年质保承诺书原件，软件终身免费在线升级。</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以上证书需提供复印件加盖原厂商公章。</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w:t>
            </w:r>
          </w:p>
        </w:tc>
        <w:tc>
          <w:tcPr>
            <w:tcW w:w="367" w:type="pct"/>
            <w:vMerge w:val="restar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组合黑板</w:t>
            </w: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 结构：双层结构，内层为固定书写板，外层为滑动书写板，滑动板配装刻有黑板品牌LOGO标识的挂锁，开闭自如确保一体机的安全管理，支持电子产品居中放置；</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381</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块</w:t>
            </w: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 规格：长度≥4000mm，高度可根据所配电子产品适当调整，确保与电子产品的有效配套；</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660"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 板面：采用金属烤漆书写板面，亚光.墨绿色/米黄色，厚度≥0.3mm，光泽度≤12光泽单位，没有因黑板本身原因产生的眩光，书写流畅字迹清晰.色彩协调可视效果佳，有效的缓解学生视觉疲劳；板面表面附有一层透明保护膜，符合GB28231-2011《书写板安全卫生要求》；</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 衬板：选用高强度.吸音.防潮.阻燃聚苯乙烯板，厚度≥14mm；</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 背板：采用优质镀锌钢板，厚度≥0.2mm，机械化流水线一次成型，设有凹槽加强筋，增加板体强度；</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6. 覆板：采用环保型双组份聚氨酯胶水，自动化流水线覆板作业，确保粘接牢固板面平整，甲醛释放量≤0.2mg/L，符合GB 28231-2011《书写板安全卫生要求》；</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870"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7. 边框：采用高强度香槟色电泳铝合金型材，性能符合GB 5237.3-2008标准，横框规格≥57mm×100mm，立框规格≥29mm×100mm。轨道上置隐藏式滑动系统，杜绝灰尘及杂物进入，结构性解决滑动受灰尘影响的问题。配有宽度≥30mm的多用槽，多用槽与滑动系统分离，与边框一次模具成形，可放置书写笔.教鞭等教具，不影响滑动板滑动，也可用于灰尘集中处理；</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8. 包角：采用抗老化高强度ABS工程塑料注塑成型，采用双壁成腔流线型设计，黑板品牌标识与包角一次模具成型，无尖角毛刺，符合GB 21027-2007《学生用品的安全通用要求》；</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9. 滑轮：双组高精度轴承上吊轮，下平滑动系统，上下均匀安装，滑动流畅.噪音小.前后定位精确；</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10.安全性：一把锁实现对滑动黑板的锁定，钥匙通用，方便实用；</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w:t>
            </w:r>
          </w:p>
        </w:tc>
        <w:tc>
          <w:tcPr>
            <w:tcW w:w="367" w:type="pct"/>
            <w:vMerge w:val="restar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高清数字展台</w:t>
            </w: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 支持壁挂和台式两种安装方式，为保证产品稳定性，台式安装需与桌面贴合，托板边角采用圆弧倒角设计。</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381</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台</w:t>
            </w: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2.为保证托板表面平整性，托板采用单板结构。</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3.拍摄幅面不小于A4。</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 要求采用不小于800万定焦镜头。</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 工作电压：5 V，工作电流：小于500mA</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6. 图像色彩：24位</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 xml:space="preserve">7. 输出格式：图片JPG，文档PDF，视频MP4 </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8. 光源： LED灯补光</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9.动态视频帧率：30帧/秒（1080P）。</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10.对焦/白平衡：自动</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11.供电方式：USB供电</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w:t>
            </w:r>
          </w:p>
        </w:tc>
        <w:tc>
          <w:tcPr>
            <w:tcW w:w="367" w:type="pct"/>
            <w:vMerge w:val="restar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智能电子教鞭</w:t>
            </w: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 采用蓝牙技术，无需接收器；采用锂电池供电. 支持通用USB Type-C接口充电，带自动休眠节电设计；</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381</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个</w:t>
            </w: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 按键实现ppt播放和结束播放，实现上下翻页；支持所有页面的包括office. 网页. 白板软件的翻页功能；</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 支持自动连接，可自动识别并连接，无需手动连接；</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w:t>
            </w:r>
          </w:p>
        </w:tc>
        <w:tc>
          <w:tcPr>
            <w:tcW w:w="367"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辅材及安装</w:t>
            </w: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含网线.电源线及线路管材等辅材，具体需求请潜在投标人联系业主代表，现场踏勘。</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项</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项</w:t>
            </w:r>
          </w:p>
        </w:tc>
      </w:tr>
      <w:tr>
        <w:tblPrEx>
          <w:tblCellMar>
            <w:top w:w="15" w:type="dxa"/>
            <w:left w:w="15" w:type="dxa"/>
            <w:bottom w:w="15" w:type="dxa"/>
            <w:right w:w="15" w:type="dxa"/>
          </w:tblCellMar>
        </w:tblPrEx>
        <w:trPr>
          <w:trHeight w:val="285" w:hRule="atLeast"/>
        </w:trPr>
        <w:tc>
          <w:tcPr>
            <w:tcW w:w="5000" w:type="pct"/>
            <w:gridSpan w:val="5"/>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二.云办公系统</w:t>
            </w:r>
          </w:p>
        </w:tc>
      </w:tr>
      <w:tr>
        <w:tblPrEx>
          <w:tblCellMar>
            <w:top w:w="15" w:type="dxa"/>
            <w:left w:w="15" w:type="dxa"/>
            <w:bottom w:w="15" w:type="dxa"/>
            <w:right w:w="15" w:type="dxa"/>
          </w:tblCellMar>
        </w:tblPrEx>
        <w:trPr>
          <w:trHeight w:val="285" w:hRule="atLeast"/>
        </w:trPr>
        <w:tc>
          <w:tcPr>
            <w:tcW w:w="251" w:type="pct"/>
            <w:vMerge w:val="restart"/>
            <w:tcBorders>
              <w:top w:val="single" w:color="000000" w:sz="12" w:space="0"/>
              <w:left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w:t>
            </w:r>
          </w:p>
        </w:tc>
        <w:tc>
          <w:tcPr>
            <w:tcW w:w="367" w:type="pct"/>
            <w:vMerge w:val="restart"/>
            <w:tcBorders>
              <w:top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云办公主机</w:t>
            </w: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 国产品牌2U机架式软硬件一体化设备。</w:t>
            </w:r>
          </w:p>
        </w:tc>
        <w:tc>
          <w:tcPr>
            <w:tcW w:w="269" w:type="pct"/>
            <w:vMerge w:val="restart"/>
            <w:tcBorders>
              <w:top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23</w:t>
            </w:r>
          </w:p>
        </w:tc>
        <w:tc>
          <w:tcPr>
            <w:tcW w:w="269" w:type="pct"/>
            <w:vMerge w:val="restart"/>
            <w:tcBorders>
              <w:top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套</w:t>
            </w:r>
          </w:p>
        </w:tc>
      </w:tr>
      <w:tr>
        <w:tblPrEx>
          <w:tblCellMar>
            <w:top w:w="15" w:type="dxa"/>
            <w:left w:w="15" w:type="dxa"/>
            <w:bottom w:w="15" w:type="dxa"/>
            <w:right w:w="15" w:type="dxa"/>
          </w:tblCellMar>
        </w:tblPrEx>
        <w:trPr>
          <w:trHeight w:val="285" w:hRule="atLeast"/>
        </w:trPr>
        <w:tc>
          <w:tcPr>
            <w:tcW w:w="251" w:type="pct"/>
            <w:vMerge w:val="continue"/>
            <w:tcBorders>
              <w:top w:val="single" w:color="000000" w:sz="12" w:space="0"/>
              <w:left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 ★</w:t>
            </w:r>
            <w:r>
              <w:rPr>
                <w:rFonts w:ascii="Calibri" w:hAnsi="Calibri" w:eastAsia="宋体" w:cs="Calibri"/>
                <w:color w:val="000000"/>
                <w:sz w:val="20"/>
                <w:szCs w:val="20"/>
                <w:lang w:val="en-US"/>
              </w:rPr>
              <w:t>CPU</w:t>
            </w:r>
            <w:r>
              <w:rPr>
                <w:rFonts w:hint="eastAsia" w:ascii="宋体" w:hAnsi="宋体" w:eastAsia="宋体" w:cs="宋体"/>
                <w:color w:val="000000"/>
                <w:sz w:val="20"/>
                <w:szCs w:val="20"/>
                <w:lang w:val="en-US"/>
              </w:rPr>
              <w:t>配置≥</w:t>
            </w:r>
            <w:r>
              <w:rPr>
                <w:rFonts w:ascii="Calibri" w:hAnsi="Calibri" w:eastAsia="宋体" w:cs="Calibri"/>
                <w:color w:val="000000"/>
                <w:sz w:val="20"/>
                <w:szCs w:val="20"/>
                <w:lang w:val="en-US"/>
              </w:rPr>
              <w:t>2</w:t>
            </w:r>
            <w:r>
              <w:rPr>
                <w:rFonts w:hint="eastAsia" w:ascii="宋体" w:hAnsi="宋体" w:eastAsia="宋体" w:cs="宋体"/>
                <w:color w:val="000000"/>
                <w:sz w:val="20"/>
                <w:szCs w:val="20"/>
                <w:lang w:val="en-US"/>
              </w:rPr>
              <w:t>颗</w:t>
            </w:r>
            <w:r>
              <w:rPr>
                <w:rFonts w:ascii="Calibri" w:hAnsi="Calibri" w:eastAsia="宋体" w:cs="Calibri"/>
                <w:color w:val="000000"/>
                <w:sz w:val="20"/>
                <w:szCs w:val="20"/>
                <w:lang w:val="en-US"/>
              </w:rPr>
              <w:t>Intel Xeon</w:t>
            </w:r>
            <w:r>
              <w:rPr>
                <w:rFonts w:hint="eastAsia" w:ascii="宋体" w:hAnsi="宋体" w:eastAsia="宋体" w:cs="宋体"/>
                <w:color w:val="000000"/>
                <w:sz w:val="20"/>
                <w:szCs w:val="20"/>
                <w:lang w:val="en-US"/>
              </w:rPr>
              <w:t>系列处理器，单颗</w:t>
            </w:r>
            <w:r>
              <w:rPr>
                <w:rFonts w:ascii="Calibri" w:hAnsi="Calibri" w:eastAsia="宋体" w:cs="Calibri"/>
                <w:color w:val="000000"/>
                <w:sz w:val="20"/>
                <w:szCs w:val="20"/>
                <w:lang w:val="en-US"/>
              </w:rPr>
              <w:t>CPU</w:t>
            </w:r>
            <w:r>
              <w:rPr>
                <w:rFonts w:hint="eastAsia" w:ascii="宋体" w:hAnsi="宋体" w:eastAsia="宋体" w:cs="宋体"/>
                <w:color w:val="000000"/>
                <w:sz w:val="20"/>
                <w:szCs w:val="20"/>
                <w:lang w:val="en-US"/>
              </w:rPr>
              <w:t>不低于</w:t>
            </w:r>
            <w:r>
              <w:rPr>
                <w:rFonts w:ascii="Calibri" w:hAnsi="Calibri" w:eastAsia="宋体" w:cs="Calibri"/>
                <w:color w:val="000000"/>
                <w:sz w:val="20"/>
                <w:szCs w:val="20"/>
                <w:lang w:val="en-US"/>
              </w:rPr>
              <w:t>8</w:t>
            </w:r>
            <w:r>
              <w:rPr>
                <w:rFonts w:hint="eastAsia" w:ascii="宋体" w:hAnsi="宋体" w:eastAsia="宋体" w:cs="宋体"/>
                <w:color w:val="000000"/>
                <w:sz w:val="20"/>
                <w:szCs w:val="20"/>
                <w:lang w:val="en-US"/>
              </w:rPr>
              <w:t>核心，主频不低于</w:t>
            </w:r>
            <w:r>
              <w:rPr>
                <w:rFonts w:ascii="Calibri" w:hAnsi="Calibri" w:eastAsia="宋体" w:cs="Calibri"/>
                <w:color w:val="000000"/>
                <w:sz w:val="20"/>
                <w:szCs w:val="20"/>
                <w:lang w:val="en-US"/>
              </w:rPr>
              <w:t>1.9GHz</w:t>
            </w:r>
            <w:r>
              <w:rPr>
                <w:rFonts w:hint="eastAsia" w:ascii="宋体" w:hAnsi="宋体" w:eastAsia="宋体" w:cs="宋体"/>
                <w:color w:val="000000"/>
                <w:sz w:val="20"/>
                <w:szCs w:val="20"/>
                <w:lang w:val="en-US"/>
              </w:rPr>
              <w:t>。</w:t>
            </w:r>
          </w:p>
        </w:tc>
        <w:tc>
          <w:tcPr>
            <w:tcW w:w="269" w:type="pct"/>
            <w:vMerge w:val="continue"/>
            <w:tcBorders>
              <w:top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top w:val="single" w:color="000000" w:sz="12" w:space="0"/>
              <w:left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 ★内存插槽数≥</w:t>
            </w:r>
            <w:r>
              <w:rPr>
                <w:rFonts w:ascii="Calibri" w:hAnsi="Calibri" w:eastAsia="宋体" w:cs="Calibri"/>
                <w:color w:val="000000"/>
                <w:sz w:val="20"/>
                <w:szCs w:val="20"/>
                <w:lang w:val="en-US"/>
              </w:rPr>
              <w:t>24</w:t>
            </w:r>
            <w:r>
              <w:rPr>
                <w:rFonts w:hint="eastAsia" w:ascii="宋体" w:hAnsi="宋体" w:eastAsia="宋体" w:cs="宋体"/>
                <w:color w:val="000000"/>
                <w:sz w:val="20"/>
                <w:szCs w:val="20"/>
                <w:lang w:val="en-US"/>
              </w:rPr>
              <w:t>个，配置≥</w:t>
            </w:r>
            <w:r>
              <w:rPr>
                <w:rFonts w:ascii="Calibri" w:hAnsi="Calibri" w:eastAsia="宋体" w:cs="Calibri"/>
                <w:color w:val="000000"/>
                <w:sz w:val="20"/>
                <w:szCs w:val="20"/>
                <w:lang w:val="en-US"/>
              </w:rPr>
              <w:t>64GB DDR4</w:t>
            </w:r>
            <w:r>
              <w:rPr>
                <w:rFonts w:hint="eastAsia" w:ascii="宋体" w:hAnsi="宋体" w:eastAsia="宋体" w:cs="宋体"/>
                <w:color w:val="000000"/>
                <w:sz w:val="20"/>
                <w:szCs w:val="20"/>
                <w:lang w:val="en-US"/>
              </w:rPr>
              <w:t>，内存要求支持</w:t>
            </w:r>
            <w:r>
              <w:rPr>
                <w:rFonts w:ascii="Calibri" w:hAnsi="Calibri" w:eastAsia="宋体" w:cs="Calibri"/>
                <w:color w:val="000000"/>
                <w:sz w:val="20"/>
                <w:szCs w:val="20"/>
                <w:lang w:val="en-US"/>
              </w:rPr>
              <w:t>ECC</w:t>
            </w:r>
            <w:r>
              <w:rPr>
                <w:rFonts w:hint="eastAsia" w:ascii="宋体" w:hAnsi="宋体" w:eastAsia="宋体" w:cs="宋体"/>
                <w:color w:val="000000"/>
                <w:sz w:val="20"/>
                <w:szCs w:val="20"/>
                <w:lang w:val="en-US"/>
              </w:rPr>
              <w:t>，速率不低于</w:t>
            </w:r>
            <w:r>
              <w:rPr>
                <w:rFonts w:ascii="Calibri" w:hAnsi="Calibri" w:eastAsia="宋体" w:cs="Calibri"/>
                <w:color w:val="000000"/>
                <w:sz w:val="20"/>
                <w:szCs w:val="20"/>
                <w:lang w:val="en-US"/>
              </w:rPr>
              <w:t>2400MHz</w:t>
            </w:r>
            <w:r>
              <w:rPr>
                <w:rFonts w:hint="eastAsia" w:ascii="宋体" w:hAnsi="宋体" w:eastAsia="宋体" w:cs="宋体"/>
                <w:color w:val="000000"/>
                <w:sz w:val="20"/>
                <w:szCs w:val="20"/>
                <w:lang w:val="en-US"/>
              </w:rPr>
              <w:t>，支持最大内存扩展</w:t>
            </w:r>
            <w:r>
              <w:rPr>
                <w:rFonts w:ascii="Calibri" w:hAnsi="Calibri" w:eastAsia="宋体" w:cs="Calibri"/>
                <w:color w:val="000000"/>
                <w:sz w:val="20"/>
                <w:szCs w:val="20"/>
                <w:lang w:val="en-US"/>
              </w:rPr>
              <w:t>768GB</w:t>
            </w:r>
            <w:r>
              <w:rPr>
                <w:rFonts w:hint="eastAsia" w:ascii="宋体" w:hAnsi="宋体" w:eastAsia="宋体" w:cs="宋体"/>
                <w:color w:val="000000"/>
                <w:sz w:val="20"/>
                <w:szCs w:val="20"/>
                <w:lang w:val="en-US"/>
              </w:rPr>
              <w:t>。</w:t>
            </w:r>
          </w:p>
        </w:tc>
        <w:tc>
          <w:tcPr>
            <w:tcW w:w="269" w:type="pct"/>
            <w:vMerge w:val="continue"/>
            <w:tcBorders>
              <w:top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top w:val="single" w:color="000000" w:sz="12" w:space="0"/>
              <w:left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 ★可插拔硬盘槽位≥</w:t>
            </w:r>
            <w:r>
              <w:rPr>
                <w:rFonts w:ascii="Calibri" w:hAnsi="Calibri" w:eastAsia="宋体" w:cs="Calibri"/>
                <w:color w:val="000000"/>
                <w:sz w:val="20"/>
                <w:szCs w:val="20"/>
                <w:lang w:val="en-US"/>
              </w:rPr>
              <w:t>12</w:t>
            </w:r>
            <w:r>
              <w:rPr>
                <w:rFonts w:hint="eastAsia" w:ascii="宋体" w:hAnsi="宋体" w:eastAsia="宋体" w:cs="宋体"/>
                <w:color w:val="000000"/>
                <w:sz w:val="20"/>
                <w:szCs w:val="20"/>
                <w:lang w:val="en-US"/>
              </w:rPr>
              <w:t>个，配置固态硬盘容量≥</w:t>
            </w:r>
            <w:r>
              <w:rPr>
                <w:rFonts w:ascii="Calibri" w:hAnsi="Calibri" w:eastAsia="宋体" w:cs="Calibri"/>
                <w:color w:val="000000"/>
                <w:sz w:val="20"/>
                <w:szCs w:val="20"/>
                <w:lang w:val="en-US"/>
              </w:rPr>
              <w:t>480GB</w:t>
            </w:r>
            <w:r>
              <w:rPr>
                <w:rFonts w:hint="eastAsia" w:ascii="宋体" w:hAnsi="宋体" w:eastAsia="宋体" w:cs="宋体"/>
                <w:color w:val="000000"/>
                <w:sz w:val="20"/>
                <w:szCs w:val="20"/>
                <w:lang w:val="en-US"/>
              </w:rPr>
              <w:t>，</w:t>
            </w:r>
            <w:r>
              <w:rPr>
                <w:rFonts w:ascii="Calibri" w:hAnsi="Calibri" w:eastAsia="宋体" w:cs="Calibri"/>
                <w:color w:val="000000"/>
                <w:sz w:val="20"/>
                <w:szCs w:val="20"/>
                <w:lang w:val="en-US"/>
              </w:rPr>
              <w:t>2TB 6G SATA</w:t>
            </w:r>
            <w:r>
              <w:rPr>
                <w:rFonts w:hint="eastAsia" w:ascii="宋体" w:hAnsi="宋体" w:eastAsia="宋体" w:cs="宋体"/>
                <w:color w:val="000000"/>
                <w:sz w:val="20"/>
                <w:szCs w:val="20"/>
                <w:lang w:val="en-US"/>
              </w:rPr>
              <w:t>通用硬盘模块≥</w:t>
            </w:r>
            <w:r>
              <w:rPr>
                <w:rFonts w:ascii="Calibri" w:hAnsi="Calibri" w:eastAsia="宋体" w:cs="Calibri"/>
                <w:color w:val="000000"/>
                <w:sz w:val="20"/>
                <w:szCs w:val="20"/>
                <w:lang w:val="en-US"/>
              </w:rPr>
              <w:t>2</w:t>
            </w:r>
            <w:r>
              <w:rPr>
                <w:rFonts w:hint="eastAsia" w:ascii="宋体" w:hAnsi="宋体" w:eastAsia="宋体" w:cs="宋体"/>
                <w:color w:val="000000"/>
                <w:sz w:val="20"/>
                <w:szCs w:val="20"/>
                <w:lang w:val="en-US"/>
              </w:rPr>
              <w:t>。</w:t>
            </w:r>
          </w:p>
        </w:tc>
        <w:tc>
          <w:tcPr>
            <w:tcW w:w="269" w:type="pct"/>
            <w:vMerge w:val="continue"/>
            <w:tcBorders>
              <w:top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top w:val="single" w:color="000000" w:sz="12" w:space="0"/>
              <w:left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 ★配置≥</w:t>
            </w:r>
            <w:r>
              <w:rPr>
                <w:rFonts w:ascii="Calibri" w:hAnsi="Calibri" w:eastAsia="宋体" w:cs="Calibri"/>
                <w:color w:val="000000"/>
                <w:sz w:val="20"/>
                <w:szCs w:val="20"/>
                <w:lang w:val="en-US"/>
              </w:rPr>
              <w:t>4</w:t>
            </w:r>
            <w:r>
              <w:rPr>
                <w:rFonts w:hint="eastAsia" w:ascii="宋体" w:hAnsi="宋体" w:eastAsia="宋体" w:cs="宋体"/>
                <w:color w:val="000000"/>
                <w:sz w:val="20"/>
                <w:szCs w:val="20"/>
                <w:lang w:val="en-US"/>
              </w:rPr>
              <w:t>个千兆以太网口，支持扩展</w:t>
            </w:r>
            <w:r>
              <w:rPr>
                <w:rFonts w:ascii="Calibri" w:hAnsi="Calibri" w:eastAsia="宋体" w:cs="Calibri"/>
                <w:color w:val="000000"/>
                <w:sz w:val="20"/>
                <w:szCs w:val="20"/>
                <w:lang w:val="en-US"/>
              </w:rPr>
              <w:t>FLOM</w:t>
            </w:r>
            <w:r>
              <w:rPr>
                <w:rFonts w:hint="eastAsia" w:ascii="宋体" w:hAnsi="宋体" w:eastAsia="宋体" w:cs="宋体"/>
                <w:color w:val="000000"/>
                <w:sz w:val="20"/>
                <w:szCs w:val="20"/>
                <w:lang w:val="en-US"/>
              </w:rPr>
              <w:t>网卡。</w:t>
            </w:r>
          </w:p>
        </w:tc>
        <w:tc>
          <w:tcPr>
            <w:tcW w:w="269" w:type="pct"/>
            <w:vMerge w:val="continue"/>
            <w:tcBorders>
              <w:top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top w:val="single" w:color="000000" w:sz="12" w:space="0"/>
              <w:left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6. 支持≥</w:t>
            </w:r>
            <w:r>
              <w:rPr>
                <w:rFonts w:ascii="Calibri" w:hAnsi="Calibri" w:eastAsia="宋体" w:cs="Calibri"/>
                <w:color w:val="000000"/>
                <w:sz w:val="20"/>
                <w:szCs w:val="20"/>
                <w:lang w:val="en-US"/>
              </w:rPr>
              <w:t>10</w:t>
            </w:r>
            <w:r>
              <w:rPr>
                <w:rFonts w:hint="eastAsia" w:ascii="宋体" w:hAnsi="宋体" w:eastAsia="宋体" w:cs="宋体"/>
                <w:color w:val="000000"/>
                <w:sz w:val="20"/>
                <w:szCs w:val="20"/>
                <w:lang w:val="en-US"/>
              </w:rPr>
              <w:t>个</w:t>
            </w:r>
            <w:r>
              <w:rPr>
                <w:rFonts w:ascii="Calibri" w:hAnsi="Calibri" w:eastAsia="宋体" w:cs="Calibri"/>
                <w:color w:val="000000"/>
                <w:sz w:val="20"/>
                <w:szCs w:val="20"/>
                <w:lang w:val="en-US"/>
              </w:rPr>
              <w:t>PCIe 3.0</w:t>
            </w:r>
            <w:r>
              <w:rPr>
                <w:rFonts w:hint="eastAsia" w:ascii="宋体" w:hAnsi="宋体" w:eastAsia="宋体" w:cs="宋体"/>
                <w:color w:val="000000"/>
                <w:sz w:val="20"/>
                <w:szCs w:val="20"/>
                <w:lang w:val="en-US"/>
              </w:rPr>
              <w:t>扩展槽。</w:t>
            </w:r>
          </w:p>
        </w:tc>
        <w:tc>
          <w:tcPr>
            <w:tcW w:w="269" w:type="pct"/>
            <w:vMerge w:val="continue"/>
            <w:tcBorders>
              <w:top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top w:val="single" w:color="000000" w:sz="12" w:space="0"/>
              <w:left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7. 配置≥6个低静电.低噪音.高效率智能调节转速风扇。</w:t>
            </w:r>
          </w:p>
        </w:tc>
        <w:tc>
          <w:tcPr>
            <w:tcW w:w="269" w:type="pct"/>
            <w:vMerge w:val="continue"/>
            <w:tcBorders>
              <w:top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top w:val="single" w:color="000000" w:sz="12" w:space="0"/>
              <w:left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8. 配置2个不低于</w:t>
            </w:r>
            <w:r>
              <w:rPr>
                <w:rFonts w:ascii="Calibri" w:hAnsi="Calibri" w:eastAsia="宋体" w:cs="Calibri"/>
                <w:color w:val="000000"/>
                <w:sz w:val="20"/>
                <w:szCs w:val="20"/>
                <w:lang w:val="en-US"/>
              </w:rPr>
              <w:t>550W</w:t>
            </w:r>
            <w:r>
              <w:rPr>
                <w:rFonts w:hint="eastAsia" w:ascii="宋体" w:hAnsi="宋体" w:eastAsia="宋体" w:cs="宋体"/>
                <w:color w:val="000000"/>
                <w:sz w:val="20"/>
                <w:szCs w:val="20"/>
                <w:lang w:val="en-US"/>
              </w:rPr>
              <w:t>的电源。</w:t>
            </w:r>
          </w:p>
        </w:tc>
        <w:tc>
          <w:tcPr>
            <w:tcW w:w="269" w:type="pct"/>
            <w:vMerge w:val="continue"/>
            <w:tcBorders>
              <w:top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top w:val="single" w:color="000000" w:sz="12" w:space="0"/>
              <w:left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9. ▲所投标的产品的生产厂家必须是自主研发产品，非OEM或贴牌产品，不允许借用第三方软件的整合，以保证功能的可靠性和安全性。</w:t>
            </w:r>
          </w:p>
        </w:tc>
        <w:tc>
          <w:tcPr>
            <w:tcW w:w="269" w:type="pct"/>
            <w:vMerge w:val="continue"/>
            <w:tcBorders>
              <w:top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top w:val="single" w:color="000000" w:sz="12" w:space="0"/>
              <w:left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10. ▲为保证办公系统的兼容性，便于管理维护，要求所投云主机服务器、教师云办公一体机.云办公虚拟化软件，交换机为同一品牌。</w:t>
            </w:r>
          </w:p>
        </w:tc>
        <w:tc>
          <w:tcPr>
            <w:tcW w:w="269" w:type="pct"/>
            <w:vMerge w:val="continue"/>
            <w:tcBorders>
              <w:top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top w:val="single" w:color="000000" w:sz="12" w:space="0"/>
              <w:left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11. ▲云主机产品需通过CCC认证、节能认证和环保认证。提供证书扫复印件并加盖原厂商公章。</w:t>
            </w:r>
          </w:p>
        </w:tc>
        <w:tc>
          <w:tcPr>
            <w:tcW w:w="269" w:type="pct"/>
            <w:vMerge w:val="continue"/>
            <w:tcBorders>
              <w:top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top w:val="single" w:color="000000" w:sz="12" w:space="0"/>
              <w:left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12. ▲云桌面系统厂商具备国家信息安全服务资质认证（安全工程类一级），需提供复印件并加盖原厂商公章。</w:t>
            </w:r>
          </w:p>
        </w:tc>
        <w:tc>
          <w:tcPr>
            <w:tcW w:w="269" w:type="pct"/>
            <w:vMerge w:val="continue"/>
            <w:tcBorders>
              <w:top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660" w:hRule="atLeast"/>
        </w:trPr>
        <w:tc>
          <w:tcPr>
            <w:tcW w:w="251" w:type="pct"/>
            <w:vMerge w:val="continue"/>
            <w:tcBorders>
              <w:top w:val="single" w:color="000000" w:sz="12" w:space="0"/>
              <w:left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13. ▲为体现云桌面系统生产厂商的软件研发和管理实力，须获得CMMI认证证书，认证国家为China，通过5级及以上且能提供CMMI官网链接“http://www.cmmirz.com”及截图并加盖原厂商公章。</w:t>
            </w:r>
          </w:p>
        </w:tc>
        <w:tc>
          <w:tcPr>
            <w:tcW w:w="269" w:type="pct"/>
            <w:vMerge w:val="continue"/>
            <w:tcBorders>
              <w:top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top w:val="single" w:color="000000" w:sz="12" w:space="0"/>
              <w:left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14. ▲云桌面系统厂商具备信息安全应急处理服务资质一级，需提供复印件并加盖原厂商公章。</w:t>
            </w:r>
          </w:p>
        </w:tc>
        <w:tc>
          <w:tcPr>
            <w:tcW w:w="269" w:type="pct"/>
            <w:vMerge w:val="continue"/>
            <w:tcBorders>
              <w:top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top w:val="single" w:color="000000" w:sz="12" w:space="0"/>
              <w:left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15. ▲提供3年售后维保服务。</w:t>
            </w:r>
          </w:p>
        </w:tc>
        <w:tc>
          <w:tcPr>
            <w:tcW w:w="269" w:type="pct"/>
            <w:vMerge w:val="continue"/>
            <w:tcBorders>
              <w:top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top w:val="single" w:color="000000" w:sz="12" w:space="0"/>
              <w:left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16. ▲为保证售后服务的及时性，原厂商必须在新疆设有办事处，提供相关租房合同证明。</w:t>
            </w:r>
          </w:p>
        </w:tc>
        <w:tc>
          <w:tcPr>
            <w:tcW w:w="269" w:type="pct"/>
            <w:vMerge w:val="continue"/>
            <w:tcBorders>
              <w:top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w:t>
            </w:r>
          </w:p>
        </w:tc>
        <w:tc>
          <w:tcPr>
            <w:tcW w:w="367"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软件许可证</w:t>
            </w: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 ★云办公虚拟化软件不得为OEM或贴牌产品，具备完全知识产权，提供软件著作权证书，本次配置</w:t>
            </w:r>
            <w:r>
              <w:rPr>
                <w:rFonts w:ascii="Calibri" w:hAnsi="Calibri" w:eastAsia="宋体" w:cs="Calibri"/>
                <w:color w:val="000000"/>
                <w:sz w:val="20"/>
                <w:szCs w:val="20"/>
                <w:lang w:val="en-US"/>
              </w:rPr>
              <w:t>1890</w:t>
            </w:r>
            <w:r>
              <w:rPr>
                <w:rFonts w:hint="eastAsia" w:ascii="宋体" w:hAnsi="宋体" w:eastAsia="宋体" w:cs="宋体"/>
                <w:color w:val="000000"/>
                <w:sz w:val="20"/>
                <w:szCs w:val="20"/>
                <w:lang w:val="en-US"/>
              </w:rPr>
              <w:t>个许可授权；</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1890</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项</w:t>
            </w:r>
          </w:p>
        </w:tc>
      </w:tr>
      <w:tr>
        <w:tblPrEx>
          <w:tblCellMar>
            <w:top w:w="15" w:type="dxa"/>
            <w:left w:w="15" w:type="dxa"/>
            <w:bottom w:w="15" w:type="dxa"/>
            <w:right w:w="15" w:type="dxa"/>
          </w:tblCellMar>
        </w:tblPrEx>
        <w:trPr>
          <w:trHeight w:val="435" w:hRule="atLeast"/>
        </w:trPr>
        <w:tc>
          <w:tcPr>
            <w:tcW w:w="251" w:type="pct"/>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 ★支持统一界面集成管理，可以在同一个管理页面中完成硬件.虚拟化.存储.云桌面和云终端的统一管理，统一告警，统一日志查询，并提供产品功能截图，保留中标后测试的权利；</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 ★同一个管理平台下支持创建</w:t>
            </w:r>
            <w:r>
              <w:rPr>
                <w:rFonts w:ascii="Calibri" w:hAnsi="Calibri" w:eastAsia="宋体" w:cs="Calibri"/>
                <w:color w:val="000000"/>
                <w:sz w:val="20"/>
                <w:szCs w:val="20"/>
                <w:lang w:val="en-US"/>
              </w:rPr>
              <w:t>VDI</w:t>
            </w:r>
            <w:r>
              <w:rPr>
                <w:rFonts w:hint="eastAsia" w:ascii="宋体" w:hAnsi="宋体" w:eastAsia="宋体" w:cs="宋体"/>
                <w:color w:val="000000"/>
                <w:sz w:val="20"/>
                <w:szCs w:val="20"/>
                <w:lang w:val="en-US"/>
              </w:rPr>
              <w:t>和</w:t>
            </w:r>
            <w:r>
              <w:rPr>
                <w:rFonts w:ascii="Calibri" w:hAnsi="Calibri" w:eastAsia="宋体" w:cs="Calibri"/>
                <w:color w:val="000000"/>
                <w:sz w:val="20"/>
                <w:szCs w:val="20"/>
                <w:lang w:val="en-US"/>
              </w:rPr>
              <w:t>IDV</w:t>
            </w:r>
            <w:r>
              <w:rPr>
                <w:rFonts w:hint="eastAsia" w:ascii="宋体" w:hAnsi="宋体" w:eastAsia="宋体" w:cs="宋体"/>
                <w:color w:val="000000"/>
                <w:sz w:val="20"/>
                <w:szCs w:val="20"/>
                <w:lang w:val="en-US"/>
              </w:rPr>
              <w:t>不同类型桌面镜像文件，根据桌面镜像部署对应的虚拟机。并提供产品功能截图，保留中标后测试的权利；</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 ★系统自带云盘服务，无需增加网盘服务器及软件或系统授权，实现用户数据在不同桌面或者</w:t>
            </w:r>
            <w:r>
              <w:rPr>
                <w:rFonts w:ascii="Calibri" w:hAnsi="Calibri" w:eastAsia="宋体" w:cs="Calibri"/>
                <w:color w:val="000000"/>
                <w:sz w:val="20"/>
                <w:szCs w:val="20"/>
                <w:lang w:val="en-US"/>
              </w:rPr>
              <w:t>PC</w:t>
            </w:r>
            <w:r>
              <w:rPr>
                <w:rFonts w:hint="eastAsia" w:ascii="宋体" w:hAnsi="宋体" w:eastAsia="宋体" w:cs="宋体"/>
                <w:color w:val="000000"/>
                <w:sz w:val="20"/>
                <w:szCs w:val="20"/>
                <w:lang w:val="en-US"/>
              </w:rPr>
              <w:t>电脑上数据漫游及共享，并提供产品功能截图，保留中标后测试的权利；</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870" w:hRule="atLeast"/>
        </w:trPr>
        <w:tc>
          <w:tcPr>
            <w:tcW w:w="251" w:type="pct"/>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 为了直观展示现有资源的使用情况，便于集中运维管理，要求云桌面管理平台支持通过大屏展示主机.虚拟桌面.在线用户，在线终端的运行状态在线用户及资源利用率等信息，帮助管理员清晰地监控和分析关键数据，快速掌握系统环境的资源使用现状。提供完整的功能界面截图,保留中标后测试的权利；</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660" w:hRule="atLeast"/>
        </w:trPr>
        <w:tc>
          <w:tcPr>
            <w:tcW w:w="251" w:type="pct"/>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6. 支持系统健康度监控，健康度由主机.虚拟机状态、CPU利用率、内存利用率、存储利用率、存储集群IOPS、IO吞吐量等计算得出。管理员可以通过单击系统健康度图标进入系统健康页面，查看具体系统统计数据。提供完整的功能界面截图,保留中标后测试的权利；</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870" w:hRule="atLeast"/>
        </w:trPr>
        <w:tc>
          <w:tcPr>
            <w:tcW w:w="251" w:type="pct"/>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7. ★当主机、虚拟机、集群的CPU利用率.内存利用率.磁盘利用率或主机.虚拟机的磁盘吞吐量、网络吞吐量等达到预设值的阈值时，触发相应告警。将指定的告警信息以邮件方式发送给指定接收邮箱，或者以短信方式发送给指定短信接收电话。提供完整的功能界面截图,保留中标后测试的权利；</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660" w:hRule="atLeast"/>
        </w:trPr>
        <w:tc>
          <w:tcPr>
            <w:tcW w:w="251" w:type="pct"/>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8. ★云盘实现了用户数据的长久保存和便捷访问。云盘数据存储路径可配置，具备在线扩容能力。为了保障个人数据安全性，访问云盘需要进行身份认证，支持对接</w:t>
            </w:r>
            <w:r>
              <w:rPr>
                <w:rFonts w:ascii="Calibri" w:hAnsi="Calibri" w:eastAsia="宋体" w:cs="Calibri"/>
                <w:color w:val="000000"/>
                <w:sz w:val="20"/>
                <w:szCs w:val="20"/>
                <w:lang w:val="en-US"/>
              </w:rPr>
              <w:t>LDAP</w:t>
            </w:r>
            <w:r>
              <w:rPr>
                <w:rFonts w:hint="eastAsia" w:ascii="宋体" w:hAnsi="宋体" w:eastAsia="宋体" w:cs="宋体"/>
                <w:color w:val="000000"/>
                <w:sz w:val="20"/>
                <w:szCs w:val="20"/>
                <w:lang w:val="en-US"/>
              </w:rPr>
              <w:t>域控认证。并提供产品功能截图，保留中标后测试的权利；</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870" w:hRule="atLeast"/>
        </w:trPr>
        <w:tc>
          <w:tcPr>
            <w:tcW w:w="251" w:type="pct"/>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9. ★对VDI虚拟机资源和IDV客户端资源进行池化管理，基于桌面池进行虚拟桌面的统一管理.集中控制。VDI桌面池根据分配方式不同分为静态桌面池.动态桌面池.手工桌面池。IDV客户端可以授权给单用户、多用户、匿名用户。支持通过桌面池批量部署虚拟机及为用户或终端授权。并提供产品功能截图，保留中标后测试的权利；</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10. ★支持桌面池分组管理功能，可以将多个桌面池添加到一个桌面池分组，对桌面池分组下的桌面池进行启动.关闭.移除.断电.重启。</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660" w:hRule="atLeast"/>
        </w:trPr>
        <w:tc>
          <w:tcPr>
            <w:tcW w:w="251" w:type="pct"/>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11. ★支持一键检测功能，帮助管理员快速了解整个平台的运行状态.性能以及可能存在的隐患。对于检测异常的指标项，系统会提供有效的改进建议，确保业务系统稳定可靠的运行。并提供产品功能截图，保留中标后测试的权利。</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660" w:hRule="atLeast"/>
        </w:trPr>
        <w:tc>
          <w:tcPr>
            <w:tcW w:w="251" w:type="pct"/>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12. ★云桌面管理平台支持与AD域无缝对接和联动，无需跳转至AD域控服务器上，可直接在云桌面管理平台中执行域用户的添加.删除.修改等操作。需提供完整界面的截图，保留中标后测试的权利。</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660" w:hRule="atLeast"/>
        </w:trPr>
        <w:tc>
          <w:tcPr>
            <w:tcW w:w="251" w:type="pct"/>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13. ★支持用户通过瘦终端、胖终端和利旧PC等设备一次登录，访问虚拟机，不需要输入Windows用户名和密码。当虚拟机关机时能够联动对终端（瘦终端或利旧PC）关机，提供和PC相同的开关机使用体验，需提供完整界面的截图，保留中标后测试的权利。</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14. 支持显示虚拟机开关机画面，支持分辨率自适应和更改分辨率，操作时要求与PC一样，即在桌面右键点击“个性化分辨率”进行设置，需提供完整界面的截图，保留中标后测试的权利。</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660" w:hRule="atLeast"/>
        </w:trPr>
        <w:tc>
          <w:tcPr>
            <w:tcW w:w="251" w:type="pct"/>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15. 对管理员角色.管理员用户的管理与维护。管理员角色分为超级管理员.系统管理员.安全审计员.安全保密管理员，不同角色的管理员具有不同的操作权限。可设置管理员闲置时长.最大在线管理员数.单个管理员并发连接数等，并支持详细记录操作员及管理员的操作行为。</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16. ★支持设置终端黑名单，不允许用户通过非法终端接入到虚拟桌面，并提供产品功能截图，保留中标后测试的权利。</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17. ★支持设置用户黑名单，不允许非法用户（如：未经授权员工）以任何方式登录到虚拟桌面，并提供产品功能截图，保留中标后测试的权利。</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660" w:hRule="atLeast"/>
        </w:trPr>
        <w:tc>
          <w:tcPr>
            <w:tcW w:w="251" w:type="pct"/>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18. ★支持设置管理员及普通用户密码策略，首次登录强制修改密码，密码有效期，密码长度，复杂度及密码到期提醒等安全策略，以保障认证密码安全性，避免越权访问行为。需提供完整界面的截图，保留中标后测试的权利  。</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19. 终端出厂预装自主研发操作系统，具备完全知识产权，提供软件著作权证书；</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20. ★支持新终端联网后自动发现管理平台，不需要手动配置管理服务器</w:t>
            </w:r>
            <w:r>
              <w:rPr>
                <w:rFonts w:ascii="Calibri" w:hAnsi="Calibri" w:eastAsia="宋体" w:cs="Calibri"/>
                <w:color w:val="000000"/>
                <w:sz w:val="20"/>
                <w:szCs w:val="20"/>
                <w:lang w:val="en-US"/>
              </w:rPr>
              <w:t>IP</w:t>
            </w:r>
            <w:r>
              <w:rPr>
                <w:rFonts w:hint="eastAsia" w:ascii="宋体" w:hAnsi="宋体" w:eastAsia="宋体" w:cs="宋体"/>
                <w:color w:val="000000"/>
                <w:sz w:val="20"/>
                <w:szCs w:val="20"/>
                <w:lang w:val="en-US"/>
              </w:rPr>
              <w:t>地址，身份验证后即可登录云桌面；要求提供产品功能截图，并保留中标后测试的权利。</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21. ▲为保证办公系统的兼容性，便于管理维护，要求所投云办公服务器、教师云办公一体机、云办公虚拟化软件，交换机为同一品牌。</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w:t>
            </w:r>
          </w:p>
        </w:tc>
        <w:tc>
          <w:tcPr>
            <w:tcW w:w="367"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教师云办公一体机</w:t>
            </w: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 ★处理器不低于</w:t>
            </w:r>
            <w:r>
              <w:rPr>
                <w:rFonts w:ascii="Calibri" w:hAnsi="Calibri" w:eastAsia="宋体" w:cs="Calibri"/>
                <w:color w:val="000000"/>
                <w:sz w:val="20"/>
                <w:szCs w:val="20"/>
                <w:lang w:val="en-US"/>
              </w:rPr>
              <w:t>Intel Core 9</w:t>
            </w:r>
            <w:r>
              <w:rPr>
                <w:rFonts w:hint="eastAsia" w:ascii="宋体" w:hAnsi="宋体" w:eastAsia="宋体" w:cs="宋体"/>
                <w:color w:val="000000"/>
                <w:sz w:val="20"/>
                <w:szCs w:val="20"/>
                <w:lang w:val="en-US"/>
              </w:rPr>
              <w:t>代</w:t>
            </w:r>
            <w:r>
              <w:rPr>
                <w:rFonts w:ascii="Calibri" w:hAnsi="Calibri" w:eastAsia="宋体" w:cs="Calibri"/>
                <w:color w:val="000000"/>
                <w:sz w:val="20"/>
                <w:szCs w:val="20"/>
                <w:lang w:val="en-US"/>
              </w:rPr>
              <w:t>i5</w:t>
            </w:r>
            <w:r>
              <w:rPr>
                <w:rFonts w:hint="eastAsia" w:ascii="宋体" w:hAnsi="宋体" w:eastAsia="宋体" w:cs="宋体"/>
                <w:color w:val="000000"/>
                <w:sz w:val="20"/>
                <w:szCs w:val="20"/>
                <w:lang w:val="en-US"/>
              </w:rPr>
              <w:t>系列</w:t>
            </w:r>
            <w:r>
              <w:rPr>
                <w:rFonts w:ascii="Calibri" w:hAnsi="Calibri" w:eastAsia="宋体" w:cs="Calibri"/>
                <w:color w:val="000000"/>
                <w:sz w:val="20"/>
                <w:szCs w:val="20"/>
                <w:lang w:val="en-US"/>
              </w:rPr>
              <w:t>CPU</w:t>
            </w:r>
            <w:r>
              <w:rPr>
                <w:rFonts w:hint="eastAsia" w:ascii="宋体" w:hAnsi="宋体" w:eastAsia="宋体" w:cs="宋体"/>
                <w:color w:val="000000"/>
                <w:sz w:val="20"/>
                <w:szCs w:val="20"/>
                <w:lang w:val="en-US"/>
              </w:rPr>
              <w:t>（</w:t>
            </w:r>
            <w:r>
              <w:rPr>
                <w:rFonts w:ascii="Calibri" w:hAnsi="Calibri" w:eastAsia="宋体" w:cs="Calibri"/>
                <w:color w:val="000000"/>
                <w:sz w:val="20"/>
                <w:szCs w:val="20"/>
                <w:lang w:val="en-US"/>
              </w:rPr>
              <w:t>4</w:t>
            </w:r>
            <w:r>
              <w:rPr>
                <w:rFonts w:hint="eastAsia" w:ascii="宋体" w:hAnsi="宋体" w:eastAsia="宋体" w:cs="宋体"/>
                <w:color w:val="000000"/>
                <w:sz w:val="20"/>
                <w:szCs w:val="20"/>
                <w:lang w:val="en-US"/>
              </w:rPr>
              <w:t>核</w:t>
            </w:r>
            <w:r>
              <w:rPr>
                <w:rFonts w:ascii="Calibri" w:hAnsi="Calibri" w:eastAsia="宋体" w:cs="Calibri"/>
                <w:color w:val="000000"/>
                <w:sz w:val="20"/>
                <w:szCs w:val="20"/>
                <w:lang w:val="en-US"/>
              </w:rPr>
              <w:t>4</w:t>
            </w:r>
            <w:r>
              <w:rPr>
                <w:rFonts w:hint="eastAsia" w:ascii="宋体" w:hAnsi="宋体" w:eastAsia="宋体" w:cs="宋体"/>
                <w:color w:val="000000"/>
                <w:sz w:val="20"/>
                <w:szCs w:val="20"/>
                <w:lang w:val="en-US"/>
              </w:rPr>
              <w:t xml:space="preserve">线程 </w:t>
            </w:r>
            <w:r>
              <w:rPr>
                <w:rFonts w:ascii="Calibri" w:hAnsi="Calibri" w:eastAsia="宋体" w:cs="Calibri"/>
                <w:color w:val="000000"/>
                <w:sz w:val="20"/>
                <w:szCs w:val="20"/>
                <w:lang w:val="en-US"/>
              </w:rPr>
              <w:t>3.6GHz-4.2GHz</w:t>
            </w:r>
            <w:r>
              <w:rPr>
                <w:rFonts w:hint="eastAsia" w:ascii="宋体" w:hAnsi="宋体" w:eastAsia="宋体" w:cs="宋体"/>
                <w:color w:val="000000"/>
                <w:sz w:val="20"/>
                <w:szCs w:val="20"/>
                <w:lang w:val="en-US"/>
              </w:rPr>
              <w:t>），</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1890</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台</w:t>
            </w: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 ★使用</w:t>
            </w:r>
            <w:r>
              <w:rPr>
                <w:rFonts w:ascii="Calibri" w:hAnsi="Calibri" w:eastAsia="宋体" w:cs="Calibri"/>
                <w:color w:val="000000"/>
                <w:sz w:val="20"/>
                <w:szCs w:val="20"/>
                <w:lang w:val="en-US"/>
              </w:rPr>
              <w:t>DDR4</w:t>
            </w:r>
            <w:r>
              <w:rPr>
                <w:rFonts w:hint="eastAsia" w:ascii="宋体" w:hAnsi="宋体" w:eastAsia="宋体" w:cs="宋体"/>
                <w:color w:val="000000"/>
                <w:sz w:val="20"/>
                <w:szCs w:val="20"/>
                <w:lang w:val="en-US"/>
              </w:rPr>
              <w:t>内存≥</w:t>
            </w:r>
            <w:r>
              <w:rPr>
                <w:rFonts w:ascii="Calibri" w:hAnsi="Calibri" w:eastAsia="宋体" w:cs="Calibri"/>
                <w:color w:val="000000"/>
                <w:sz w:val="20"/>
                <w:szCs w:val="20"/>
                <w:lang w:val="en-US"/>
              </w:rPr>
              <w:t>4G</w:t>
            </w:r>
            <w:r>
              <w:rPr>
                <w:rFonts w:hint="eastAsia" w:ascii="宋体" w:hAnsi="宋体" w:eastAsia="宋体" w:cs="宋体"/>
                <w:color w:val="000000"/>
                <w:sz w:val="20"/>
                <w:szCs w:val="20"/>
                <w:lang w:val="en-US"/>
              </w:rPr>
              <w:t>，存储≥</w:t>
            </w:r>
            <w:r>
              <w:rPr>
                <w:rFonts w:ascii="Calibri" w:hAnsi="Calibri" w:eastAsia="宋体" w:cs="Calibri"/>
                <w:color w:val="000000"/>
                <w:sz w:val="20"/>
                <w:szCs w:val="20"/>
                <w:lang w:val="en-US"/>
              </w:rPr>
              <w:t>256G SSD</w:t>
            </w:r>
            <w:r>
              <w:rPr>
                <w:rFonts w:hint="eastAsia" w:ascii="宋体" w:hAnsi="宋体" w:eastAsia="宋体" w:cs="宋体"/>
                <w:color w:val="000000"/>
                <w:sz w:val="20"/>
                <w:szCs w:val="20"/>
                <w:lang w:val="en-US"/>
              </w:rPr>
              <w:t>；</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 ★至少提供</w:t>
            </w:r>
            <w:r>
              <w:rPr>
                <w:rFonts w:ascii="Calibri" w:hAnsi="Calibri" w:eastAsia="宋体" w:cs="Calibri"/>
                <w:color w:val="000000"/>
                <w:sz w:val="20"/>
                <w:szCs w:val="20"/>
                <w:lang w:val="en-US"/>
              </w:rPr>
              <w:t>1</w:t>
            </w:r>
            <w:r>
              <w:rPr>
                <w:rFonts w:hint="eastAsia" w:ascii="宋体" w:hAnsi="宋体" w:eastAsia="宋体" w:cs="宋体"/>
                <w:color w:val="000000"/>
                <w:sz w:val="20"/>
                <w:szCs w:val="20"/>
                <w:lang w:val="en-US"/>
              </w:rPr>
              <w:t>个千兆自适应电口网卡；</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 ★支持≥</w:t>
            </w:r>
            <w:r>
              <w:rPr>
                <w:rFonts w:ascii="Calibri" w:hAnsi="Calibri" w:eastAsia="宋体" w:cs="Calibri"/>
                <w:color w:val="000000"/>
                <w:sz w:val="20"/>
                <w:szCs w:val="20"/>
                <w:lang w:val="en-US"/>
              </w:rPr>
              <w:t>6</w:t>
            </w:r>
            <w:r>
              <w:rPr>
                <w:rFonts w:hint="eastAsia" w:ascii="宋体" w:hAnsi="宋体" w:eastAsia="宋体" w:cs="宋体"/>
                <w:color w:val="000000"/>
                <w:sz w:val="20"/>
                <w:szCs w:val="20"/>
                <w:lang w:val="en-US"/>
              </w:rPr>
              <w:t>个</w:t>
            </w:r>
            <w:r>
              <w:rPr>
                <w:rFonts w:ascii="Calibri" w:hAnsi="Calibri" w:eastAsia="宋体" w:cs="Calibri"/>
                <w:color w:val="000000"/>
                <w:sz w:val="20"/>
                <w:szCs w:val="20"/>
                <w:lang w:val="en-US"/>
              </w:rPr>
              <w:t>USB</w:t>
            </w:r>
            <w:r>
              <w:rPr>
                <w:rFonts w:hint="eastAsia" w:ascii="宋体" w:hAnsi="宋体" w:eastAsia="宋体" w:cs="宋体"/>
                <w:color w:val="000000"/>
                <w:sz w:val="20"/>
                <w:szCs w:val="20"/>
                <w:lang w:val="en-US"/>
              </w:rPr>
              <w:t>标准接口，其中</w:t>
            </w:r>
            <w:r>
              <w:rPr>
                <w:rFonts w:ascii="Calibri" w:hAnsi="Calibri" w:eastAsia="宋体" w:cs="Calibri"/>
                <w:color w:val="000000"/>
                <w:sz w:val="20"/>
                <w:szCs w:val="20"/>
                <w:lang w:val="en-US"/>
              </w:rPr>
              <w:t>USB3.0</w:t>
            </w:r>
            <w:r>
              <w:rPr>
                <w:rFonts w:hint="eastAsia" w:ascii="宋体" w:hAnsi="宋体" w:eastAsia="宋体" w:cs="宋体"/>
                <w:color w:val="000000"/>
                <w:sz w:val="20"/>
                <w:szCs w:val="20"/>
                <w:lang w:val="en-US"/>
              </w:rPr>
              <w:t>不少于四个，</w:t>
            </w:r>
            <w:r>
              <w:rPr>
                <w:rFonts w:ascii="Calibri" w:hAnsi="Calibri" w:eastAsia="宋体" w:cs="Calibri"/>
                <w:color w:val="000000"/>
                <w:sz w:val="20"/>
                <w:szCs w:val="20"/>
                <w:lang w:val="en-US"/>
              </w:rPr>
              <w:t>1</w:t>
            </w:r>
            <w:r>
              <w:rPr>
                <w:rFonts w:hint="eastAsia" w:ascii="宋体" w:hAnsi="宋体" w:eastAsia="宋体" w:cs="宋体"/>
                <w:color w:val="000000"/>
                <w:sz w:val="20"/>
                <w:szCs w:val="20"/>
                <w:lang w:val="en-US"/>
              </w:rPr>
              <w:t>个耳机口，</w:t>
            </w:r>
            <w:r>
              <w:rPr>
                <w:rFonts w:ascii="Calibri" w:hAnsi="Calibri" w:eastAsia="宋体" w:cs="Calibri"/>
                <w:color w:val="000000"/>
                <w:sz w:val="20"/>
                <w:szCs w:val="20"/>
                <w:lang w:val="en-US"/>
              </w:rPr>
              <w:t>1</w:t>
            </w:r>
            <w:r>
              <w:rPr>
                <w:rFonts w:hint="eastAsia" w:ascii="宋体" w:hAnsi="宋体" w:eastAsia="宋体" w:cs="宋体"/>
                <w:color w:val="000000"/>
                <w:sz w:val="20"/>
                <w:szCs w:val="20"/>
                <w:lang w:val="en-US"/>
              </w:rPr>
              <w:t>个麦克风口；</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 ★主机和显示器一体化设计，显示器≥</w:t>
            </w:r>
            <w:r>
              <w:rPr>
                <w:rFonts w:ascii="Calibri" w:hAnsi="Calibri" w:eastAsia="宋体" w:cs="Calibri"/>
                <w:color w:val="000000"/>
                <w:sz w:val="20"/>
                <w:szCs w:val="20"/>
                <w:lang w:val="en-US"/>
              </w:rPr>
              <w:t>21.5</w:t>
            </w:r>
            <w:r>
              <w:rPr>
                <w:rFonts w:hint="eastAsia" w:ascii="宋体" w:hAnsi="宋体" w:eastAsia="宋体" w:cs="宋体"/>
                <w:color w:val="000000"/>
                <w:sz w:val="20"/>
                <w:szCs w:val="20"/>
                <w:lang w:val="en-US"/>
              </w:rPr>
              <w:t>寸，</w:t>
            </w:r>
            <w:r>
              <w:rPr>
                <w:rFonts w:ascii="Calibri" w:hAnsi="Calibri" w:eastAsia="宋体" w:cs="Calibri"/>
                <w:color w:val="000000"/>
                <w:sz w:val="20"/>
                <w:szCs w:val="20"/>
                <w:lang w:val="en-US"/>
              </w:rPr>
              <w:t>IPS</w:t>
            </w:r>
            <w:r>
              <w:rPr>
                <w:rFonts w:hint="eastAsia" w:ascii="宋体" w:hAnsi="宋体" w:eastAsia="宋体" w:cs="宋体"/>
                <w:color w:val="000000"/>
                <w:sz w:val="20"/>
                <w:szCs w:val="20"/>
                <w:lang w:val="en-US"/>
              </w:rPr>
              <w:t>面板，分辨率≥</w:t>
            </w:r>
            <w:r>
              <w:rPr>
                <w:rFonts w:ascii="Calibri" w:hAnsi="Calibri" w:eastAsia="宋体" w:cs="Calibri"/>
                <w:color w:val="000000"/>
                <w:sz w:val="20"/>
                <w:szCs w:val="20"/>
                <w:lang w:val="en-US"/>
              </w:rPr>
              <w:t>1920x1080@60Hz</w:t>
            </w:r>
            <w:r>
              <w:rPr>
                <w:rFonts w:hint="eastAsia" w:ascii="宋体" w:hAnsi="宋体" w:eastAsia="宋体" w:cs="宋体"/>
                <w:color w:val="000000"/>
                <w:sz w:val="20"/>
                <w:szCs w:val="20"/>
                <w:lang w:val="en-US"/>
              </w:rPr>
              <w:t>；</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6. ▲为保证办公系统的兼容性，便于管理维护，要求所投云主机服务器、教师云办公一体机、云办公虚拟化软件，交换机为同一品牌。</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7. ▲提供3C和CQC节能认证证书及认证报告复印件并加盖原厂商公章。</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w:t>
            </w:r>
          </w:p>
        </w:tc>
        <w:tc>
          <w:tcPr>
            <w:tcW w:w="367"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键盘+鼠标</w:t>
            </w:r>
          </w:p>
        </w:tc>
        <w:tc>
          <w:tcPr>
            <w:tcW w:w="3842" w:type="pct"/>
            <w:tcBorders>
              <w:top w:val="single" w:color="000000" w:sz="12" w:space="0"/>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无线鼠标键盘套装</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1890</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套</w:t>
            </w:r>
          </w:p>
        </w:tc>
      </w:tr>
      <w:tr>
        <w:tblPrEx>
          <w:tblCellMar>
            <w:top w:w="15" w:type="dxa"/>
            <w:left w:w="15" w:type="dxa"/>
            <w:bottom w:w="15" w:type="dxa"/>
            <w:right w:w="15" w:type="dxa"/>
          </w:tblCellMar>
        </w:tblPrEx>
        <w:trPr>
          <w:trHeight w:val="285" w:hRule="atLeast"/>
        </w:trPr>
        <w:tc>
          <w:tcPr>
            <w:tcW w:w="251" w:type="pct"/>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w:t>
            </w:r>
          </w:p>
        </w:tc>
        <w:tc>
          <w:tcPr>
            <w:tcW w:w="367"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8口交换机</w:t>
            </w: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 ★国产品牌，交换容量≥</w:t>
            </w:r>
            <w:r>
              <w:rPr>
                <w:rFonts w:ascii="Calibri" w:hAnsi="Calibri" w:eastAsia="宋体" w:cs="Calibri"/>
                <w:color w:val="000000"/>
                <w:sz w:val="20"/>
                <w:szCs w:val="20"/>
                <w:lang w:val="en-US"/>
              </w:rPr>
              <w:t>330Gbps</w:t>
            </w:r>
            <w:r>
              <w:rPr>
                <w:rFonts w:hint="eastAsia" w:ascii="宋体" w:hAnsi="宋体" w:eastAsia="宋体" w:cs="宋体"/>
                <w:color w:val="000000"/>
                <w:sz w:val="20"/>
                <w:szCs w:val="20"/>
                <w:lang w:val="en-US"/>
              </w:rPr>
              <w:t>，包转发率≥</w:t>
            </w:r>
            <w:r>
              <w:rPr>
                <w:rFonts w:ascii="Calibri" w:hAnsi="Calibri" w:eastAsia="宋体" w:cs="Calibri"/>
                <w:color w:val="000000"/>
                <w:sz w:val="20"/>
                <w:szCs w:val="20"/>
                <w:lang w:val="en-US"/>
              </w:rPr>
              <w:t>27Mpps</w:t>
            </w:r>
            <w:r>
              <w:rPr>
                <w:rFonts w:hint="eastAsia" w:ascii="宋体" w:hAnsi="宋体" w:eastAsia="宋体" w:cs="宋体"/>
                <w:color w:val="000000"/>
                <w:sz w:val="20"/>
                <w:szCs w:val="20"/>
                <w:lang w:val="en-US"/>
              </w:rPr>
              <w:t>；</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45</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台</w:t>
            </w: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 MAC地址表≥</w:t>
            </w:r>
            <w:r>
              <w:rPr>
                <w:rFonts w:ascii="Calibri" w:hAnsi="Calibri" w:eastAsia="宋体" w:cs="Calibri"/>
                <w:color w:val="000000"/>
                <w:sz w:val="20"/>
                <w:szCs w:val="20"/>
                <w:lang w:val="en-US"/>
              </w:rPr>
              <w:t>16K</w:t>
            </w:r>
            <w:r>
              <w:rPr>
                <w:rFonts w:hint="eastAsia" w:ascii="宋体" w:hAnsi="宋体" w:eastAsia="宋体" w:cs="宋体"/>
                <w:color w:val="000000"/>
                <w:sz w:val="20"/>
                <w:szCs w:val="20"/>
                <w:lang w:val="en-US"/>
              </w:rPr>
              <w:t>，路由表容量≥</w:t>
            </w:r>
            <w:r>
              <w:rPr>
                <w:rFonts w:ascii="Calibri" w:hAnsi="Calibri" w:eastAsia="宋体" w:cs="Calibri"/>
                <w:color w:val="000000"/>
                <w:sz w:val="20"/>
                <w:szCs w:val="20"/>
                <w:lang w:val="en-US"/>
              </w:rPr>
              <w:t>512</w:t>
            </w:r>
            <w:r>
              <w:rPr>
                <w:rFonts w:hint="eastAsia" w:ascii="宋体" w:hAnsi="宋体" w:eastAsia="宋体" w:cs="宋体"/>
                <w:color w:val="000000"/>
                <w:sz w:val="20"/>
                <w:szCs w:val="20"/>
                <w:lang w:val="en-US"/>
              </w:rPr>
              <w:t>；</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 ★千兆电口≥</w:t>
            </w:r>
            <w:r>
              <w:rPr>
                <w:rFonts w:ascii="Calibri" w:hAnsi="Calibri" w:eastAsia="宋体" w:cs="Calibri"/>
                <w:color w:val="000000"/>
                <w:sz w:val="20"/>
                <w:szCs w:val="20"/>
                <w:lang w:val="en-US"/>
              </w:rPr>
              <w:t>8</w:t>
            </w:r>
            <w:r>
              <w:rPr>
                <w:rFonts w:hint="eastAsia" w:ascii="宋体" w:hAnsi="宋体" w:eastAsia="宋体" w:cs="宋体"/>
                <w:color w:val="000000"/>
                <w:sz w:val="20"/>
                <w:szCs w:val="20"/>
                <w:lang w:val="en-US"/>
              </w:rPr>
              <w:t>个，千兆</w:t>
            </w:r>
            <w:r>
              <w:rPr>
                <w:rFonts w:ascii="Calibri" w:hAnsi="Calibri" w:eastAsia="宋体" w:cs="Calibri"/>
                <w:color w:val="000000"/>
                <w:sz w:val="20"/>
                <w:szCs w:val="20"/>
                <w:lang w:val="en-US"/>
              </w:rPr>
              <w:t>SFP</w:t>
            </w:r>
            <w:r>
              <w:rPr>
                <w:rFonts w:hint="eastAsia" w:ascii="宋体" w:hAnsi="宋体" w:eastAsia="宋体" w:cs="宋体"/>
                <w:color w:val="000000"/>
                <w:sz w:val="20"/>
                <w:szCs w:val="20"/>
                <w:lang w:val="en-US"/>
              </w:rPr>
              <w:t>光口≥</w:t>
            </w:r>
            <w:r>
              <w:rPr>
                <w:rFonts w:ascii="Calibri" w:hAnsi="Calibri" w:eastAsia="宋体" w:cs="Calibri"/>
                <w:color w:val="000000"/>
                <w:sz w:val="20"/>
                <w:szCs w:val="20"/>
                <w:lang w:val="en-US"/>
              </w:rPr>
              <w:t>4</w:t>
            </w:r>
            <w:r>
              <w:rPr>
                <w:rFonts w:hint="eastAsia" w:ascii="宋体" w:hAnsi="宋体" w:eastAsia="宋体" w:cs="宋体"/>
                <w:color w:val="000000"/>
                <w:sz w:val="20"/>
                <w:szCs w:val="20"/>
                <w:lang w:val="en-US"/>
              </w:rPr>
              <w:t>个；</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 支持跨设备链路聚合，单一IP管理，分布式弹性路由</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 支持横向.纵向虚拟化技术，支持做PE端设备；</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6. 支持本地端口镜像和远程端口镜像RSPAN；</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7. 支持流镜像；</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8. 支持IPv4静态路由.RIP V1/V2.OSPF；</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9. 支持IPv6静态路由.RIPng；</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 xml:space="preserve">10. 支持RRPP， </w:t>
            </w:r>
            <w:r>
              <w:rPr>
                <w:rFonts w:ascii="Calibri" w:hAnsi="Calibri" w:eastAsia="宋体" w:cs="Calibri"/>
                <w:color w:val="000000"/>
                <w:sz w:val="20"/>
                <w:szCs w:val="20"/>
                <w:lang w:val="en-US"/>
              </w:rPr>
              <w:t>Smartlink</w:t>
            </w:r>
            <w:r>
              <w:rPr>
                <w:rFonts w:hint="eastAsia" w:ascii="宋体" w:hAnsi="宋体" w:eastAsia="宋体" w:cs="宋体"/>
                <w:color w:val="000000"/>
                <w:sz w:val="20"/>
                <w:szCs w:val="20"/>
                <w:lang w:val="en-US"/>
              </w:rPr>
              <w:t>，</w:t>
            </w:r>
            <w:r>
              <w:rPr>
                <w:rFonts w:ascii="Calibri" w:hAnsi="Calibri" w:eastAsia="宋体" w:cs="Calibri"/>
                <w:color w:val="000000"/>
                <w:sz w:val="20"/>
                <w:szCs w:val="20"/>
                <w:lang w:val="en-US"/>
              </w:rPr>
              <w:t>RSTP</w:t>
            </w:r>
            <w:r>
              <w:rPr>
                <w:rFonts w:hint="eastAsia" w:ascii="宋体" w:hAnsi="宋体" w:eastAsia="宋体" w:cs="宋体"/>
                <w:color w:val="000000"/>
                <w:sz w:val="20"/>
                <w:szCs w:val="20"/>
                <w:lang w:val="en-US"/>
              </w:rPr>
              <w:t>，</w:t>
            </w:r>
            <w:r>
              <w:rPr>
                <w:rFonts w:ascii="Calibri" w:hAnsi="Calibri" w:eastAsia="宋体" w:cs="Calibri"/>
                <w:color w:val="000000"/>
                <w:sz w:val="20"/>
                <w:szCs w:val="20"/>
                <w:lang w:val="en-US"/>
              </w:rPr>
              <w:t>MSTP</w:t>
            </w:r>
            <w:r>
              <w:rPr>
                <w:rFonts w:hint="eastAsia" w:ascii="宋体" w:hAnsi="宋体" w:eastAsia="宋体" w:cs="宋体"/>
                <w:color w:val="000000"/>
                <w:sz w:val="20"/>
                <w:szCs w:val="20"/>
                <w:lang w:val="en-US"/>
              </w:rPr>
              <w:t>，</w:t>
            </w:r>
            <w:r>
              <w:rPr>
                <w:rFonts w:ascii="Calibri" w:hAnsi="Calibri" w:eastAsia="宋体" w:cs="Calibri"/>
                <w:color w:val="000000"/>
                <w:sz w:val="20"/>
                <w:szCs w:val="20"/>
                <w:lang w:val="en-US"/>
              </w:rPr>
              <w:t>PVST</w:t>
            </w:r>
            <w:r>
              <w:rPr>
                <w:rFonts w:hint="eastAsia" w:ascii="宋体" w:hAnsi="宋体" w:eastAsia="宋体" w:cs="宋体"/>
                <w:color w:val="000000"/>
                <w:sz w:val="20"/>
                <w:szCs w:val="20"/>
                <w:lang w:val="en-US"/>
              </w:rPr>
              <w:t>功能；</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11. 整机提供ACl条目数不小于</w:t>
            </w:r>
            <w:r>
              <w:rPr>
                <w:rFonts w:ascii="Calibri" w:hAnsi="Calibri" w:eastAsia="宋体" w:cs="Calibri"/>
                <w:color w:val="000000"/>
                <w:sz w:val="20"/>
                <w:szCs w:val="20"/>
                <w:lang w:val="en-US"/>
              </w:rPr>
              <w:t>1K/512</w:t>
            </w:r>
            <w:r>
              <w:rPr>
                <w:rFonts w:hint="eastAsia" w:ascii="宋体" w:hAnsi="宋体" w:eastAsia="宋体" w:cs="宋体"/>
                <w:color w:val="000000"/>
                <w:sz w:val="20"/>
                <w:szCs w:val="20"/>
                <w:lang w:val="en-US"/>
              </w:rPr>
              <w:t>条，支持基于端口和</w:t>
            </w:r>
            <w:r>
              <w:rPr>
                <w:rFonts w:ascii="Calibri" w:hAnsi="Calibri" w:eastAsia="宋体" w:cs="Calibri"/>
                <w:color w:val="000000"/>
                <w:sz w:val="20"/>
                <w:szCs w:val="20"/>
                <w:lang w:val="en-US"/>
              </w:rPr>
              <w:t>VLAN</w:t>
            </w:r>
            <w:r>
              <w:rPr>
                <w:rFonts w:hint="eastAsia" w:ascii="宋体" w:hAnsi="宋体" w:eastAsia="宋体" w:cs="宋体"/>
                <w:color w:val="000000"/>
                <w:sz w:val="20"/>
                <w:szCs w:val="20"/>
                <w:lang w:val="en-US"/>
              </w:rPr>
              <w:t xml:space="preserve">的 </w:t>
            </w:r>
            <w:r>
              <w:rPr>
                <w:rFonts w:ascii="Calibri" w:hAnsi="Calibri" w:eastAsia="宋体" w:cs="Calibri"/>
                <w:color w:val="000000"/>
                <w:sz w:val="20"/>
                <w:szCs w:val="20"/>
                <w:lang w:val="en-US"/>
              </w:rPr>
              <w:t>ACL</w:t>
            </w:r>
            <w:r>
              <w:rPr>
                <w:rFonts w:hint="eastAsia" w:ascii="宋体" w:hAnsi="宋体" w:eastAsia="宋体" w:cs="宋体"/>
                <w:color w:val="000000"/>
                <w:sz w:val="20"/>
                <w:szCs w:val="20"/>
                <w:lang w:val="en-US"/>
              </w:rPr>
              <w:t>，支持</w:t>
            </w:r>
            <w:r>
              <w:rPr>
                <w:rFonts w:ascii="Calibri" w:hAnsi="Calibri" w:eastAsia="宋体" w:cs="Calibri"/>
                <w:color w:val="000000"/>
                <w:sz w:val="20"/>
                <w:szCs w:val="20"/>
                <w:lang w:val="en-US"/>
              </w:rPr>
              <w:t>IPv6 ACL</w:t>
            </w:r>
            <w:r>
              <w:rPr>
                <w:rFonts w:hint="eastAsia" w:ascii="宋体" w:hAnsi="宋体" w:eastAsia="宋体" w:cs="宋体"/>
                <w:color w:val="000000"/>
                <w:sz w:val="20"/>
                <w:szCs w:val="20"/>
                <w:lang w:val="en-US"/>
              </w:rPr>
              <w:t>，支持出方向</w:t>
            </w:r>
            <w:r>
              <w:rPr>
                <w:rFonts w:ascii="Calibri" w:hAnsi="Calibri" w:eastAsia="宋体" w:cs="Calibri"/>
                <w:color w:val="000000"/>
                <w:sz w:val="20"/>
                <w:szCs w:val="20"/>
                <w:lang w:val="en-US"/>
              </w:rPr>
              <w:t>ACL</w:t>
            </w:r>
            <w:r>
              <w:rPr>
                <w:rFonts w:hint="eastAsia" w:ascii="宋体" w:hAnsi="宋体" w:eastAsia="宋体" w:cs="宋体"/>
                <w:color w:val="000000"/>
                <w:sz w:val="20"/>
                <w:szCs w:val="20"/>
                <w:lang w:val="en-US"/>
              </w:rPr>
              <w:t>，以便于灵活实现数据包过滤；</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12. 支持802.1x认证，支持集中式</w:t>
            </w:r>
            <w:r>
              <w:rPr>
                <w:rFonts w:ascii="Calibri" w:hAnsi="Calibri" w:eastAsia="宋体" w:cs="Calibri"/>
                <w:color w:val="000000"/>
                <w:sz w:val="20"/>
                <w:szCs w:val="20"/>
                <w:lang w:val="en-US"/>
              </w:rPr>
              <w:t>MAC</w:t>
            </w:r>
            <w:r>
              <w:rPr>
                <w:rFonts w:hint="eastAsia" w:ascii="宋体" w:hAnsi="宋体" w:eastAsia="宋体" w:cs="宋体"/>
                <w:color w:val="000000"/>
                <w:sz w:val="20"/>
                <w:szCs w:val="20"/>
                <w:lang w:val="en-US"/>
              </w:rPr>
              <w:t>地址认证；</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13. 支持OPENFLOW 1.3标准支持普通模式和</w:t>
            </w:r>
            <w:r>
              <w:rPr>
                <w:rFonts w:ascii="Calibri" w:hAnsi="Calibri" w:eastAsia="宋体" w:cs="Calibri"/>
                <w:color w:val="000000"/>
                <w:sz w:val="20"/>
                <w:szCs w:val="20"/>
                <w:lang w:val="en-US"/>
              </w:rPr>
              <w:t xml:space="preserve">Openflow </w:t>
            </w:r>
            <w:r>
              <w:rPr>
                <w:rFonts w:hint="eastAsia" w:ascii="宋体" w:hAnsi="宋体" w:eastAsia="宋体" w:cs="宋体"/>
                <w:color w:val="000000"/>
                <w:sz w:val="20"/>
                <w:szCs w:val="20"/>
                <w:lang w:val="en-US"/>
              </w:rPr>
              <w:t>模式切换；</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14. ▲提供工信部入网证和检测报告复印件加盖原厂商公章；</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6</w:t>
            </w:r>
          </w:p>
        </w:tc>
        <w:tc>
          <w:tcPr>
            <w:tcW w:w="367"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24口交换机</w:t>
            </w: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 国产品牌，交换容量≥330Gbps，包转发率≥50Mpps：</w:t>
            </w:r>
          </w:p>
        </w:tc>
        <w:tc>
          <w:tcPr>
            <w:tcW w:w="269" w:type="pct"/>
            <w:tcBorders>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tcBorders>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 MAC地址表≥</w:t>
            </w:r>
            <w:r>
              <w:rPr>
                <w:rFonts w:ascii="Calibri" w:hAnsi="Calibri" w:eastAsia="宋体" w:cs="Calibri"/>
                <w:color w:val="000000"/>
                <w:sz w:val="20"/>
                <w:szCs w:val="20"/>
                <w:lang w:val="en-US"/>
              </w:rPr>
              <w:t>16K</w:t>
            </w:r>
            <w:r>
              <w:rPr>
                <w:rFonts w:hint="eastAsia" w:ascii="宋体" w:hAnsi="宋体" w:eastAsia="宋体" w:cs="宋体"/>
                <w:color w:val="000000"/>
                <w:sz w:val="20"/>
                <w:szCs w:val="20"/>
                <w:lang w:val="en-US"/>
              </w:rPr>
              <w:t>，路由表容量≥</w:t>
            </w:r>
            <w:r>
              <w:rPr>
                <w:rFonts w:ascii="Calibri" w:hAnsi="Calibri" w:eastAsia="宋体" w:cs="Calibri"/>
                <w:color w:val="000000"/>
                <w:sz w:val="20"/>
                <w:szCs w:val="20"/>
                <w:lang w:val="en-US"/>
              </w:rPr>
              <w:t>512</w:t>
            </w:r>
            <w:r>
              <w:rPr>
                <w:rFonts w:hint="eastAsia" w:ascii="宋体" w:hAnsi="宋体" w:eastAsia="宋体" w:cs="宋体"/>
                <w:color w:val="000000"/>
                <w:sz w:val="20"/>
                <w:szCs w:val="20"/>
                <w:lang w:val="en-US"/>
              </w:rPr>
              <w:t>（支持</w:t>
            </w:r>
            <w:r>
              <w:rPr>
                <w:rFonts w:ascii="Calibri" w:hAnsi="Calibri" w:eastAsia="宋体" w:cs="Calibri"/>
                <w:color w:val="000000"/>
                <w:sz w:val="20"/>
                <w:szCs w:val="20"/>
                <w:lang w:val="en-US"/>
              </w:rPr>
              <w:t>OSPF</w:t>
            </w:r>
            <w:r>
              <w:rPr>
                <w:rFonts w:hint="eastAsia" w:ascii="宋体" w:hAnsi="宋体" w:eastAsia="宋体" w:cs="宋体"/>
                <w:color w:val="000000"/>
                <w:sz w:val="20"/>
                <w:szCs w:val="20"/>
                <w:lang w:val="en-US"/>
              </w:rPr>
              <w:t>）；</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75</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台</w:t>
            </w: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 ★千兆电口≥</w:t>
            </w:r>
            <w:r>
              <w:rPr>
                <w:rFonts w:ascii="Calibri" w:hAnsi="Calibri" w:eastAsia="宋体" w:cs="Calibri"/>
                <w:color w:val="000000"/>
                <w:sz w:val="20"/>
                <w:szCs w:val="20"/>
                <w:lang w:val="en-US"/>
              </w:rPr>
              <w:t>24</w:t>
            </w:r>
            <w:r>
              <w:rPr>
                <w:rFonts w:hint="eastAsia" w:ascii="宋体" w:hAnsi="宋体" w:eastAsia="宋体" w:cs="宋体"/>
                <w:color w:val="000000"/>
                <w:sz w:val="20"/>
                <w:szCs w:val="20"/>
                <w:lang w:val="en-US"/>
              </w:rPr>
              <w:t>个，千兆</w:t>
            </w:r>
            <w:r>
              <w:rPr>
                <w:rFonts w:ascii="Calibri" w:hAnsi="Calibri" w:eastAsia="宋体" w:cs="Calibri"/>
                <w:color w:val="000000"/>
                <w:sz w:val="20"/>
                <w:szCs w:val="20"/>
                <w:lang w:val="en-US"/>
              </w:rPr>
              <w:t>SFP</w:t>
            </w:r>
            <w:r>
              <w:rPr>
                <w:rFonts w:hint="eastAsia" w:ascii="宋体" w:hAnsi="宋体" w:eastAsia="宋体" w:cs="宋体"/>
                <w:color w:val="000000"/>
                <w:sz w:val="20"/>
                <w:szCs w:val="20"/>
                <w:lang w:val="en-US"/>
              </w:rPr>
              <w:t>光口≥</w:t>
            </w:r>
            <w:r>
              <w:rPr>
                <w:rFonts w:ascii="Calibri" w:hAnsi="Calibri" w:eastAsia="宋体" w:cs="Calibri"/>
                <w:color w:val="000000"/>
                <w:sz w:val="20"/>
                <w:szCs w:val="20"/>
                <w:lang w:val="en-US"/>
              </w:rPr>
              <w:t>4</w:t>
            </w:r>
            <w:r>
              <w:rPr>
                <w:rFonts w:hint="eastAsia" w:ascii="宋体" w:hAnsi="宋体" w:eastAsia="宋体" w:cs="宋体"/>
                <w:color w:val="000000"/>
                <w:sz w:val="20"/>
                <w:szCs w:val="20"/>
                <w:lang w:val="en-US"/>
              </w:rPr>
              <w:t>个；</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 支持跨设备链路聚合，单一IP管理，分布式弹性路由</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 支持横向.纵向虚拟化技术，支持做PE端设备；</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6. 支持本地端口镜像和远程端口镜像RSPAN；</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7. 支持流镜像；</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8. 支持IPv4静态路由.RIP V1/V2.OSPF；</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9. 支持IPv6静态路由.RIPng；</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 xml:space="preserve">10. 支持RRPP， </w:t>
            </w:r>
            <w:r>
              <w:rPr>
                <w:rFonts w:ascii="Calibri" w:hAnsi="Calibri" w:eastAsia="宋体" w:cs="Calibri"/>
                <w:color w:val="000000"/>
                <w:sz w:val="20"/>
                <w:szCs w:val="20"/>
                <w:lang w:val="en-US"/>
              </w:rPr>
              <w:t>Smartlink</w:t>
            </w:r>
            <w:r>
              <w:rPr>
                <w:rFonts w:hint="eastAsia" w:ascii="宋体" w:hAnsi="宋体" w:eastAsia="宋体" w:cs="宋体"/>
                <w:color w:val="000000"/>
                <w:sz w:val="20"/>
                <w:szCs w:val="20"/>
                <w:lang w:val="en-US"/>
              </w:rPr>
              <w:t>，</w:t>
            </w:r>
            <w:r>
              <w:rPr>
                <w:rFonts w:ascii="Calibri" w:hAnsi="Calibri" w:eastAsia="宋体" w:cs="Calibri"/>
                <w:color w:val="000000"/>
                <w:sz w:val="20"/>
                <w:szCs w:val="20"/>
                <w:lang w:val="en-US"/>
              </w:rPr>
              <w:t>RSTP</w:t>
            </w:r>
            <w:r>
              <w:rPr>
                <w:rFonts w:hint="eastAsia" w:ascii="宋体" w:hAnsi="宋体" w:eastAsia="宋体" w:cs="宋体"/>
                <w:color w:val="000000"/>
                <w:sz w:val="20"/>
                <w:szCs w:val="20"/>
                <w:lang w:val="en-US"/>
              </w:rPr>
              <w:t>，</w:t>
            </w:r>
            <w:r>
              <w:rPr>
                <w:rFonts w:ascii="Calibri" w:hAnsi="Calibri" w:eastAsia="宋体" w:cs="Calibri"/>
                <w:color w:val="000000"/>
                <w:sz w:val="20"/>
                <w:szCs w:val="20"/>
                <w:lang w:val="en-US"/>
              </w:rPr>
              <w:t>MSTP</w:t>
            </w:r>
            <w:r>
              <w:rPr>
                <w:rFonts w:hint="eastAsia" w:ascii="宋体" w:hAnsi="宋体" w:eastAsia="宋体" w:cs="宋体"/>
                <w:color w:val="000000"/>
                <w:sz w:val="20"/>
                <w:szCs w:val="20"/>
                <w:lang w:val="en-US"/>
              </w:rPr>
              <w:t>，</w:t>
            </w:r>
            <w:r>
              <w:rPr>
                <w:rFonts w:ascii="Calibri" w:hAnsi="Calibri" w:eastAsia="宋体" w:cs="Calibri"/>
                <w:color w:val="000000"/>
                <w:sz w:val="20"/>
                <w:szCs w:val="20"/>
                <w:lang w:val="en-US"/>
              </w:rPr>
              <w:t>PVST</w:t>
            </w:r>
            <w:r>
              <w:rPr>
                <w:rFonts w:hint="eastAsia" w:ascii="宋体" w:hAnsi="宋体" w:eastAsia="宋体" w:cs="宋体"/>
                <w:color w:val="000000"/>
                <w:sz w:val="20"/>
                <w:szCs w:val="20"/>
                <w:lang w:val="en-US"/>
              </w:rPr>
              <w:t>功能；</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11. 整机提供ACl条目数不小于</w:t>
            </w:r>
            <w:r>
              <w:rPr>
                <w:rFonts w:ascii="Calibri" w:hAnsi="Calibri" w:eastAsia="宋体" w:cs="Calibri"/>
                <w:color w:val="000000"/>
                <w:sz w:val="20"/>
                <w:szCs w:val="20"/>
                <w:lang w:val="en-US"/>
              </w:rPr>
              <w:t>1K/512</w:t>
            </w:r>
            <w:r>
              <w:rPr>
                <w:rFonts w:hint="eastAsia" w:ascii="宋体" w:hAnsi="宋体" w:eastAsia="宋体" w:cs="宋体"/>
                <w:color w:val="000000"/>
                <w:sz w:val="20"/>
                <w:szCs w:val="20"/>
                <w:lang w:val="en-US"/>
              </w:rPr>
              <w:t>条，支持基于端口和</w:t>
            </w:r>
            <w:r>
              <w:rPr>
                <w:rFonts w:ascii="Calibri" w:hAnsi="Calibri" w:eastAsia="宋体" w:cs="Calibri"/>
                <w:color w:val="000000"/>
                <w:sz w:val="20"/>
                <w:szCs w:val="20"/>
                <w:lang w:val="en-US"/>
              </w:rPr>
              <w:t>VLAN</w:t>
            </w:r>
            <w:r>
              <w:rPr>
                <w:rFonts w:hint="eastAsia" w:ascii="宋体" w:hAnsi="宋体" w:eastAsia="宋体" w:cs="宋体"/>
                <w:color w:val="000000"/>
                <w:sz w:val="20"/>
                <w:szCs w:val="20"/>
                <w:lang w:val="en-US"/>
              </w:rPr>
              <w:t xml:space="preserve">的 </w:t>
            </w:r>
            <w:r>
              <w:rPr>
                <w:rFonts w:ascii="Calibri" w:hAnsi="Calibri" w:eastAsia="宋体" w:cs="Calibri"/>
                <w:color w:val="000000"/>
                <w:sz w:val="20"/>
                <w:szCs w:val="20"/>
                <w:lang w:val="en-US"/>
              </w:rPr>
              <w:t>ACL</w:t>
            </w:r>
            <w:r>
              <w:rPr>
                <w:rFonts w:hint="eastAsia" w:ascii="宋体" w:hAnsi="宋体" w:eastAsia="宋体" w:cs="宋体"/>
                <w:color w:val="000000"/>
                <w:sz w:val="20"/>
                <w:szCs w:val="20"/>
                <w:lang w:val="en-US"/>
              </w:rPr>
              <w:t>，支持</w:t>
            </w:r>
            <w:r>
              <w:rPr>
                <w:rFonts w:ascii="Calibri" w:hAnsi="Calibri" w:eastAsia="宋体" w:cs="Calibri"/>
                <w:color w:val="000000"/>
                <w:sz w:val="20"/>
                <w:szCs w:val="20"/>
                <w:lang w:val="en-US"/>
              </w:rPr>
              <w:t>IPv6 ACL</w:t>
            </w:r>
            <w:r>
              <w:rPr>
                <w:rFonts w:hint="eastAsia" w:ascii="宋体" w:hAnsi="宋体" w:eastAsia="宋体" w:cs="宋体"/>
                <w:color w:val="000000"/>
                <w:sz w:val="20"/>
                <w:szCs w:val="20"/>
                <w:lang w:val="en-US"/>
              </w:rPr>
              <w:t>，支持出方向</w:t>
            </w:r>
            <w:r>
              <w:rPr>
                <w:rFonts w:ascii="Calibri" w:hAnsi="Calibri" w:eastAsia="宋体" w:cs="Calibri"/>
                <w:color w:val="000000"/>
                <w:sz w:val="20"/>
                <w:szCs w:val="20"/>
                <w:lang w:val="en-US"/>
              </w:rPr>
              <w:t>ACL</w:t>
            </w:r>
            <w:r>
              <w:rPr>
                <w:rFonts w:hint="eastAsia" w:ascii="宋体" w:hAnsi="宋体" w:eastAsia="宋体" w:cs="宋体"/>
                <w:color w:val="000000"/>
                <w:sz w:val="20"/>
                <w:szCs w:val="20"/>
                <w:lang w:val="en-US"/>
              </w:rPr>
              <w:t>，以便于灵活实现数据包过滤；</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12. 支持802.1x认证，支持集中式</w:t>
            </w:r>
            <w:r>
              <w:rPr>
                <w:rFonts w:ascii="Calibri" w:hAnsi="Calibri" w:eastAsia="宋体" w:cs="Calibri"/>
                <w:color w:val="000000"/>
                <w:sz w:val="20"/>
                <w:szCs w:val="20"/>
                <w:lang w:val="en-US"/>
              </w:rPr>
              <w:t>MAC</w:t>
            </w:r>
            <w:r>
              <w:rPr>
                <w:rFonts w:hint="eastAsia" w:ascii="宋体" w:hAnsi="宋体" w:eastAsia="宋体" w:cs="宋体"/>
                <w:color w:val="000000"/>
                <w:sz w:val="20"/>
                <w:szCs w:val="20"/>
                <w:lang w:val="en-US"/>
              </w:rPr>
              <w:t>地址认证；</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13. 支持OPENFLOW 1.3标准支持普通模式和</w:t>
            </w:r>
            <w:r>
              <w:rPr>
                <w:rFonts w:ascii="Calibri" w:hAnsi="Calibri" w:eastAsia="宋体" w:cs="Calibri"/>
                <w:color w:val="000000"/>
                <w:sz w:val="20"/>
                <w:szCs w:val="20"/>
                <w:lang w:val="en-US"/>
              </w:rPr>
              <w:t xml:space="preserve">Openflow </w:t>
            </w:r>
            <w:r>
              <w:rPr>
                <w:rFonts w:hint="eastAsia" w:ascii="宋体" w:hAnsi="宋体" w:eastAsia="宋体" w:cs="宋体"/>
                <w:color w:val="000000"/>
                <w:sz w:val="20"/>
                <w:szCs w:val="20"/>
                <w:lang w:val="en-US"/>
              </w:rPr>
              <w:t>模式切换；</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14. ▲提供工信部入网证和检测报告复印件加盖原厂商公章；</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7</w:t>
            </w:r>
          </w:p>
        </w:tc>
        <w:tc>
          <w:tcPr>
            <w:tcW w:w="367"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辅材及施工</w:t>
            </w: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含网线.电源线及线路管材等辅材，具体需求请潜在投标人联系业主代表，现场踏勘。</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批</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批</w:t>
            </w:r>
          </w:p>
        </w:tc>
      </w:tr>
      <w:tr>
        <w:tblPrEx>
          <w:tblCellMar>
            <w:top w:w="15" w:type="dxa"/>
            <w:left w:w="15" w:type="dxa"/>
            <w:bottom w:w="15" w:type="dxa"/>
            <w:right w:w="15" w:type="dxa"/>
          </w:tblCellMar>
        </w:tblPrEx>
        <w:trPr>
          <w:trHeight w:val="285" w:hRule="atLeast"/>
        </w:trPr>
        <w:tc>
          <w:tcPr>
            <w:tcW w:w="5000" w:type="pct"/>
            <w:gridSpan w:val="5"/>
            <w:tcBorders>
              <w:left w:val="single" w:color="000000" w:sz="12" w:space="0"/>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三.云桌面计算机教室</w:t>
            </w:r>
          </w:p>
        </w:tc>
      </w:tr>
      <w:tr>
        <w:tblPrEx>
          <w:tblCellMar>
            <w:top w:w="15" w:type="dxa"/>
            <w:left w:w="15" w:type="dxa"/>
            <w:bottom w:w="15" w:type="dxa"/>
            <w:right w:w="15" w:type="dxa"/>
          </w:tblCellMar>
        </w:tblPrEx>
        <w:trPr>
          <w:trHeight w:val="285" w:hRule="atLeast"/>
        </w:trPr>
        <w:tc>
          <w:tcPr>
            <w:tcW w:w="251" w:type="pct"/>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w:t>
            </w:r>
          </w:p>
        </w:tc>
        <w:tc>
          <w:tcPr>
            <w:tcW w:w="367"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教师管理云终端</w:t>
            </w: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 ★处理器不低于</w:t>
            </w:r>
            <w:r>
              <w:rPr>
                <w:rFonts w:ascii="Calibri" w:hAnsi="Calibri" w:eastAsia="宋体" w:cs="Calibri"/>
                <w:color w:val="000000"/>
                <w:sz w:val="20"/>
                <w:szCs w:val="20"/>
                <w:lang w:val="en-US"/>
              </w:rPr>
              <w:t>Intel Core 9</w:t>
            </w:r>
            <w:r>
              <w:rPr>
                <w:rFonts w:hint="eastAsia" w:ascii="宋体" w:hAnsi="宋体" w:eastAsia="宋体" w:cs="宋体"/>
                <w:color w:val="000000"/>
                <w:sz w:val="20"/>
                <w:szCs w:val="20"/>
                <w:lang w:val="en-US"/>
              </w:rPr>
              <w:t>代</w:t>
            </w:r>
            <w:r>
              <w:rPr>
                <w:rFonts w:ascii="Calibri" w:hAnsi="Calibri" w:eastAsia="宋体" w:cs="Calibri"/>
                <w:color w:val="000000"/>
                <w:sz w:val="20"/>
                <w:szCs w:val="20"/>
                <w:lang w:val="en-US"/>
              </w:rPr>
              <w:t>i5</w:t>
            </w:r>
            <w:r>
              <w:rPr>
                <w:rFonts w:hint="eastAsia" w:ascii="宋体" w:hAnsi="宋体" w:eastAsia="宋体" w:cs="宋体"/>
                <w:color w:val="000000"/>
                <w:sz w:val="20"/>
                <w:szCs w:val="20"/>
                <w:lang w:val="en-US"/>
              </w:rPr>
              <w:t>系列</w:t>
            </w:r>
            <w:r>
              <w:rPr>
                <w:rFonts w:ascii="Calibri" w:hAnsi="Calibri" w:eastAsia="宋体" w:cs="Calibri"/>
                <w:color w:val="000000"/>
                <w:sz w:val="20"/>
                <w:szCs w:val="20"/>
                <w:lang w:val="en-US"/>
              </w:rPr>
              <w:t>CPU</w:t>
            </w:r>
            <w:r>
              <w:rPr>
                <w:rFonts w:hint="eastAsia" w:ascii="宋体" w:hAnsi="宋体" w:eastAsia="宋体" w:cs="宋体"/>
                <w:color w:val="000000"/>
                <w:sz w:val="20"/>
                <w:szCs w:val="20"/>
                <w:lang w:val="en-US"/>
              </w:rPr>
              <w:t>（</w:t>
            </w:r>
            <w:r>
              <w:rPr>
                <w:rFonts w:ascii="Calibri" w:hAnsi="Calibri" w:eastAsia="宋体" w:cs="Calibri"/>
                <w:color w:val="000000"/>
                <w:sz w:val="20"/>
                <w:szCs w:val="20"/>
                <w:lang w:val="en-US"/>
              </w:rPr>
              <w:t>4</w:t>
            </w:r>
            <w:r>
              <w:rPr>
                <w:rFonts w:hint="eastAsia" w:ascii="宋体" w:hAnsi="宋体" w:eastAsia="宋体" w:cs="宋体"/>
                <w:color w:val="000000"/>
                <w:sz w:val="20"/>
                <w:szCs w:val="20"/>
                <w:lang w:val="en-US"/>
              </w:rPr>
              <w:t>核</w:t>
            </w:r>
            <w:r>
              <w:rPr>
                <w:rFonts w:ascii="Calibri" w:hAnsi="Calibri" w:eastAsia="宋体" w:cs="Calibri"/>
                <w:color w:val="000000"/>
                <w:sz w:val="20"/>
                <w:szCs w:val="20"/>
                <w:lang w:val="en-US"/>
              </w:rPr>
              <w:t>4</w:t>
            </w:r>
            <w:r>
              <w:rPr>
                <w:rFonts w:hint="eastAsia" w:ascii="宋体" w:hAnsi="宋体" w:eastAsia="宋体" w:cs="宋体"/>
                <w:color w:val="000000"/>
                <w:sz w:val="20"/>
                <w:szCs w:val="20"/>
                <w:lang w:val="en-US"/>
              </w:rPr>
              <w:t xml:space="preserve">线程 </w:t>
            </w:r>
            <w:r>
              <w:rPr>
                <w:rFonts w:ascii="Calibri" w:hAnsi="Calibri" w:eastAsia="宋体" w:cs="Calibri"/>
                <w:color w:val="000000"/>
                <w:sz w:val="20"/>
                <w:szCs w:val="20"/>
                <w:lang w:val="en-US"/>
              </w:rPr>
              <w:t>3.6GHz-4.2GHz</w:t>
            </w:r>
            <w:r>
              <w:rPr>
                <w:rFonts w:hint="eastAsia" w:ascii="宋体" w:hAnsi="宋体" w:eastAsia="宋体" w:cs="宋体"/>
                <w:color w:val="000000"/>
                <w:sz w:val="20"/>
                <w:szCs w:val="20"/>
                <w:lang w:val="en-US"/>
              </w:rPr>
              <w:t>），</w:t>
            </w:r>
          </w:p>
        </w:tc>
        <w:tc>
          <w:tcPr>
            <w:tcW w:w="269" w:type="pct"/>
            <w:vMerge w:val="restart"/>
            <w:tcBorders>
              <w:top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28</w:t>
            </w:r>
          </w:p>
        </w:tc>
        <w:tc>
          <w:tcPr>
            <w:tcW w:w="269" w:type="pct"/>
            <w:vMerge w:val="restart"/>
            <w:tcBorders>
              <w:top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台</w:t>
            </w: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 ★使用</w:t>
            </w:r>
            <w:r>
              <w:rPr>
                <w:rFonts w:ascii="Calibri" w:hAnsi="Calibri" w:eastAsia="宋体" w:cs="Calibri"/>
                <w:color w:val="000000"/>
                <w:sz w:val="20"/>
                <w:szCs w:val="20"/>
                <w:lang w:val="en-US"/>
              </w:rPr>
              <w:t>DDR4</w:t>
            </w:r>
            <w:r>
              <w:rPr>
                <w:rFonts w:hint="eastAsia" w:ascii="宋体" w:hAnsi="宋体" w:eastAsia="宋体" w:cs="宋体"/>
                <w:color w:val="000000"/>
                <w:sz w:val="20"/>
                <w:szCs w:val="20"/>
                <w:lang w:val="en-US"/>
              </w:rPr>
              <w:t>内存≥</w:t>
            </w:r>
            <w:r>
              <w:rPr>
                <w:rFonts w:ascii="Calibri" w:hAnsi="Calibri" w:eastAsia="宋体" w:cs="Calibri"/>
                <w:color w:val="000000"/>
                <w:sz w:val="20"/>
                <w:szCs w:val="20"/>
                <w:lang w:val="en-US"/>
              </w:rPr>
              <w:t>4G</w:t>
            </w:r>
            <w:r>
              <w:rPr>
                <w:rFonts w:hint="eastAsia" w:ascii="宋体" w:hAnsi="宋体" w:eastAsia="宋体" w:cs="宋体"/>
                <w:color w:val="000000"/>
                <w:sz w:val="20"/>
                <w:szCs w:val="20"/>
                <w:lang w:val="en-US"/>
              </w:rPr>
              <w:t>，存储≥</w:t>
            </w:r>
            <w:r>
              <w:rPr>
                <w:rFonts w:ascii="Calibri" w:hAnsi="Calibri" w:eastAsia="宋体" w:cs="Calibri"/>
                <w:color w:val="000000"/>
                <w:sz w:val="20"/>
                <w:szCs w:val="20"/>
                <w:lang w:val="en-US"/>
              </w:rPr>
              <w:t>256G SSD</w:t>
            </w:r>
            <w:r>
              <w:rPr>
                <w:rFonts w:hint="eastAsia" w:ascii="宋体" w:hAnsi="宋体" w:eastAsia="宋体" w:cs="宋体"/>
                <w:color w:val="000000"/>
                <w:sz w:val="20"/>
                <w:szCs w:val="20"/>
                <w:lang w:val="en-US"/>
              </w:rPr>
              <w:t>；</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 ★至少提供</w:t>
            </w:r>
            <w:r>
              <w:rPr>
                <w:rFonts w:ascii="Calibri" w:hAnsi="Calibri" w:eastAsia="宋体" w:cs="Calibri"/>
                <w:color w:val="000000"/>
                <w:sz w:val="20"/>
                <w:szCs w:val="20"/>
                <w:lang w:val="en-US"/>
              </w:rPr>
              <w:t>1</w:t>
            </w:r>
            <w:r>
              <w:rPr>
                <w:rFonts w:hint="eastAsia" w:ascii="宋体" w:hAnsi="宋体" w:eastAsia="宋体" w:cs="宋体"/>
                <w:color w:val="000000"/>
                <w:sz w:val="20"/>
                <w:szCs w:val="20"/>
                <w:lang w:val="en-US"/>
              </w:rPr>
              <w:t>个千兆自适应电口网卡；</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 ★支持≥</w:t>
            </w:r>
            <w:r>
              <w:rPr>
                <w:rFonts w:ascii="Calibri" w:hAnsi="Calibri" w:eastAsia="宋体" w:cs="Calibri"/>
                <w:color w:val="000000"/>
                <w:sz w:val="20"/>
                <w:szCs w:val="20"/>
                <w:lang w:val="en-US"/>
              </w:rPr>
              <w:t>6</w:t>
            </w:r>
            <w:r>
              <w:rPr>
                <w:rFonts w:hint="eastAsia" w:ascii="宋体" w:hAnsi="宋体" w:eastAsia="宋体" w:cs="宋体"/>
                <w:color w:val="000000"/>
                <w:sz w:val="20"/>
                <w:szCs w:val="20"/>
                <w:lang w:val="en-US"/>
              </w:rPr>
              <w:t>个</w:t>
            </w:r>
            <w:r>
              <w:rPr>
                <w:rFonts w:ascii="Calibri" w:hAnsi="Calibri" w:eastAsia="宋体" w:cs="Calibri"/>
                <w:color w:val="000000"/>
                <w:sz w:val="20"/>
                <w:szCs w:val="20"/>
                <w:lang w:val="en-US"/>
              </w:rPr>
              <w:t>USB</w:t>
            </w:r>
            <w:r>
              <w:rPr>
                <w:rFonts w:hint="eastAsia" w:ascii="宋体" w:hAnsi="宋体" w:eastAsia="宋体" w:cs="宋体"/>
                <w:color w:val="000000"/>
                <w:sz w:val="20"/>
                <w:szCs w:val="20"/>
                <w:lang w:val="en-US"/>
              </w:rPr>
              <w:t>标准接口，其中</w:t>
            </w:r>
            <w:r>
              <w:rPr>
                <w:rFonts w:ascii="Calibri" w:hAnsi="Calibri" w:eastAsia="宋体" w:cs="Calibri"/>
                <w:color w:val="000000"/>
                <w:sz w:val="20"/>
                <w:szCs w:val="20"/>
                <w:lang w:val="en-US"/>
              </w:rPr>
              <w:t>USB3.0</w:t>
            </w:r>
            <w:r>
              <w:rPr>
                <w:rFonts w:hint="eastAsia" w:ascii="宋体" w:hAnsi="宋体" w:eastAsia="宋体" w:cs="宋体"/>
                <w:color w:val="000000"/>
                <w:sz w:val="20"/>
                <w:szCs w:val="20"/>
                <w:lang w:val="en-US"/>
              </w:rPr>
              <w:t>不少于四个，</w:t>
            </w:r>
            <w:r>
              <w:rPr>
                <w:rFonts w:ascii="Calibri" w:hAnsi="Calibri" w:eastAsia="宋体" w:cs="Calibri"/>
                <w:color w:val="000000"/>
                <w:sz w:val="20"/>
                <w:szCs w:val="20"/>
                <w:lang w:val="en-US"/>
              </w:rPr>
              <w:t>1</w:t>
            </w:r>
            <w:r>
              <w:rPr>
                <w:rFonts w:hint="eastAsia" w:ascii="宋体" w:hAnsi="宋体" w:eastAsia="宋体" w:cs="宋体"/>
                <w:color w:val="000000"/>
                <w:sz w:val="20"/>
                <w:szCs w:val="20"/>
                <w:lang w:val="en-US"/>
              </w:rPr>
              <w:t>个耳机口，</w:t>
            </w:r>
            <w:r>
              <w:rPr>
                <w:rFonts w:ascii="Calibri" w:hAnsi="Calibri" w:eastAsia="宋体" w:cs="Calibri"/>
                <w:color w:val="000000"/>
                <w:sz w:val="20"/>
                <w:szCs w:val="20"/>
                <w:lang w:val="en-US"/>
              </w:rPr>
              <w:t>1</w:t>
            </w:r>
            <w:r>
              <w:rPr>
                <w:rFonts w:hint="eastAsia" w:ascii="宋体" w:hAnsi="宋体" w:eastAsia="宋体" w:cs="宋体"/>
                <w:color w:val="000000"/>
                <w:sz w:val="20"/>
                <w:szCs w:val="20"/>
                <w:lang w:val="en-US"/>
              </w:rPr>
              <w:t>个麦克风口；</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 ★主机和显示器一体化设计，显示器≥</w:t>
            </w:r>
            <w:r>
              <w:rPr>
                <w:rFonts w:ascii="Calibri" w:hAnsi="Calibri" w:eastAsia="宋体" w:cs="Calibri"/>
                <w:color w:val="000000"/>
                <w:sz w:val="20"/>
                <w:szCs w:val="20"/>
                <w:lang w:val="en-US"/>
              </w:rPr>
              <w:t>21.5</w:t>
            </w:r>
            <w:r>
              <w:rPr>
                <w:rFonts w:hint="eastAsia" w:ascii="宋体" w:hAnsi="宋体" w:eastAsia="宋体" w:cs="宋体"/>
                <w:color w:val="000000"/>
                <w:sz w:val="20"/>
                <w:szCs w:val="20"/>
                <w:lang w:val="en-US"/>
              </w:rPr>
              <w:t>寸，</w:t>
            </w:r>
            <w:r>
              <w:rPr>
                <w:rFonts w:ascii="Calibri" w:hAnsi="Calibri" w:eastAsia="宋体" w:cs="Calibri"/>
                <w:color w:val="000000"/>
                <w:sz w:val="20"/>
                <w:szCs w:val="20"/>
                <w:lang w:val="en-US"/>
              </w:rPr>
              <w:t>IPS</w:t>
            </w:r>
            <w:r>
              <w:rPr>
                <w:rFonts w:hint="eastAsia" w:ascii="宋体" w:hAnsi="宋体" w:eastAsia="宋体" w:cs="宋体"/>
                <w:color w:val="000000"/>
                <w:sz w:val="20"/>
                <w:szCs w:val="20"/>
                <w:lang w:val="en-US"/>
              </w:rPr>
              <w:t>面板，分辨率≥</w:t>
            </w:r>
            <w:r>
              <w:rPr>
                <w:rFonts w:ascii="Calibri" w:hAnsi="Calibri" w:eastAsia="宋体" w:cs="Calibri"/>
                <w:color w:val="000000"/>
                <w:sz w:val="20"/>
                <w:szCs w:val="20"/>
                <w:lang w:val="en-US"/>
              </w:rPr>
              <w:t>1920x1080@60Hz</w:t>
            </w:r>
            <w:r>
              <w:rPr>
                <w:rFonts w:hint="eastAsia" w:ascii="宋体" w:hAnsi="宋体" w:eastAsia="宋体" w:cs="宋体"/>
                <w:color w:val="000000"/>
                <w:sz w:val="20"/>
                <w:szCs w:val="20"/>
                <w:lang w:val="en-US"/>
              </w:rPr>
              <w:t>；</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6. ▲为保证教学系统的兼容性，便于管理维护，要求所投云主机服务器、教师管理云终端、学生终端、教学管理软件、云桌面管理平台、交换机为同一品牌。</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7. ▲提供</w:t>
            </w:r>
            <w:r>
              <w:rPr>
                <w:rFonts w:ascii="Calibri" w:hAnsi="Calibri" w:eastAsia="宋体" w:cs="Calibri"/>
                <w:color w:val="000000"/>
                <w:sz w:val="20"/>
                <w:szCs w:val="20"/>
                <w:lang w:val="en-US"/>
              </w:rPr>
              <w:t>3C</w:t>
            </w:r>
            <w:r>
              <w:rPr>
                <w:rFonts w:hint="eastAsia" w:ascii="宋体" w:hAnsi="宋体" w:eastAsia="宋体" w:cs="宋体"/>
                <w:color w:val="000000"/>
                <w:sz w:val="20"/>
                <w:szCs w:val="20"/>
                <w:lang w:val="en-US"/>
              </w:rPr>
              <w:t>和</w:t>
            </w:r>
            <w:r>
              <w:rPr>
                <w:rFonts w:ascii="Calibri" w:hAnsi="Calibri" w:eastAsia="宋体" w:cs="Calibri"/>
                <w:color w:val="000000"/>
                <w:sz w:val="20"/>
                <w:szCs w:val="20"/>
                <w:lang w:val="en-US"/>
              </w:rPr>
              <w:t>CQC</w:t>
            </w:r>
            <w:r>
              <w:rPr>
                <w:rFonts w:hint="eastAsia" w:ascii="宋体" w:hAnsi="宋体" w:eastAsia="宋体" w:cs="宋体"/>
                <w:color w:val="000000"/>
                <w:sz w:val="20"/>
                <w:szCs w:val="20"/>
                <w:lang w:val="en-US"/>
              </w:rPr>
              <w:t>节能认证证书及认证报告复印件加盖原厂商公章。</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w:t>
            </w:r>
          </w:p>
        </w:tc>
        <w:tc>
          <w:tcPr>
            <w:tcW w:w="367" w:type="pct"/>
            <w:vMerge w:val="restar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学生终端</w:t>
            </w:r>
          </w:p>
        </w:tc>
        <w:tc>
          <w:tcPr>
            <w:tcW w:w="3842" w:type="pct"/>
            <w:tcBorders>
              <w:top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 ★采用</w:t>
            </w:r>
            <w:r>
              <w:rPr>
                <w:rFonts w:ascii="Calibri" w:hAnsi="Calibri" w:eastAsia="宋体" w:cs="Calibri"/>
                <w:color w:val="000000"/>
                <w:sz w:val="20"/>
                <w:szCs w:val="20"/>
                <w:lang w:val="en-US"/>
              </w:rPr>
              <w:t>X86</w:t>
            </w:r>
            <w:r>
              <w:rPr>
                <w:rFonts w:hint="eastAsia" w:ascii="宋体" w:hAnsi="宋体" w:eastAsia="宋体" w:cs="宋体"/>
                <w:color w:val="000000"/>
                <w:sz w:val="20"/>
                <w:szCs w:val="20"/>
                <w:lang w:val="en-US"/>
              </w:rPr>
              <w:t>架构高性能四核处理器，主频最高可达</w:t>
            </w:r>
            <w:r>
              <w:rPr>
                <w:rFonts w:ascii="Calibri" w:hAnsi="Calibri" w:eastAsia="宋体" w:cs="Calibri"/>
                <w:color w:val="000000"/>
                <w:sz w:val="20"/>
                <w:szCs w:val="20"/>
                <w:lang w:val="en-US"/>
              </w:rPr>
              <w:t>1.8GHz</w:t>
            </w:r>
            <w:r>
              <w:rPr>
                <w:rFonts w:hint="eastAsia" w:ascii="宋体" w:hAnsi="宋体" w:eastAsia="宋体" w:cs="宋体"/>
                <w:color w:val="000000"/>
                <w:sz w:val="20"/>
                <w:szCs w:val="20"/>
                <w:lang w:val="en-US"/>
              </w:rPr>
              <w:t>；</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1568</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套</w:t>
            </w: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 ★使用</w:t>
            </w:r>
            <w:r>
              <w:rPr>
                <w:rFonts w:ascii="Calibri" w:hAnsi="Calibri" w:eastAsia="宋体" w:cs="Calibri"/>
                <w:color w:val="000000"/>
                <w:sz w:val="20"/>
                <w:szCs w:val="20"/>
                <w:lang w:val="en-US"/>
              </w:rPr>
              <w:t>DDR3L</w:t>
            </w:r>
            <w:r>
              <w:rPr>
                <w:rFonts w:hint="eastAsia" w:ascii="宋体" w:hAnsi="宋体" w:eastAsia="宋体" w:cs="宋体"/>
                <w:color w:val="000000"/>
                <w:sz w:val="20"/>
                <w:szCs w:val="20"/>
                <w:lang w:val="en-US"/>
              </w:rPr>
              <w:t>内存≥</w:t>
            </w:r>
            <w:r>
              <w:rPr>
                <w:rFonts w:ascii="Calibri" w:hAnsi="Calibri" w:eastAsia="宋体" w:cs="Calibri"/>
                <w:color w:val="000000"/>
                <w:sz w:val="20"/>
                <w:szCs w:val="20"/>
                <w:lang w:val="en-US"/>
              </w:rPr>
              <w:t>2G</w:t>
            </w:r>
            <w:r>
              <w:rPr>
                <w:rFonts w:hint="eastAsia" w:ascii="宋体" w:hAnsi="宋体" w:eastAsia="宋体" w:cs="宋体"/>
                <w:color w:val="000000"/>
                <w:sz w:val="20"/>
                <w:szCs w:val="20"/>
                <w:lang w:val="en-US"/>
              </w:rPr>
              <w:t>，存储≥</w:t>
            </w:r>
            <w:r>
              <w:rPr>
                <w:rFonts w:ascii="Calibri" w:hAnsi="Calibri" w:eastAsia="宋体" w:cs="Calibri"/>
                <w:color w:val="000000"/>
                <w:sz w:val="20"/>
                <w:szCs w:val="20"/>
                <w:lang w:val="en-US"/>
              </w:rPr>
              <w:t>64G SSD</w:t>
            </w:r>
            <w:r>
              <w:rPr>
                <w:rFonts w:hint="eastAsia" w:ascii="宋体" w:hAnsi="宋体" w:eastAsia="宋体" w:cs="宋体"/>
                <w:color w:val="000000"/>
                <w:sz w:val="20"/>
                <w:szCs w:val="20"/>
                <w:lang w:val="en-US"/>
              </w:rPr>
              <w:t>；</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 ★至少提供</w:t>
            </w:r>
            <w:r>
              <w:rPr>
                <w:rFonts w:ascii="Calibri" w:hAnsi="Calibri" w:eastAsia="宋体" w:cs="Calibri"/>
                <w:color w:val="000000"/>
                <w:sz w:val="20"/>
                <w:szCs w:val="20"/>
                <w:lang w:val="en-US"/>
              </w:rPr>
              <w:t>1</w:t>
            </w:r>
            <w:r>
              <w:rPr>
                <w:rFonts w:hint="eastAsia" w:ascii="宋体" w:hAnsi="宋体" w:eastAsia="宋体" w:cs="宋体"/>
                <w:color w:val="000000"/>
                <w:sz w:val="20"/>
                <w:szCs w:val="20"/>
                <w:lang w:val="en-US"/>
              </w:rPr>
              <w:t>个千兆自适应电口网卡；</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 ★支持≥</w:t>
            </w:r>
            <w:r>
              <w:rPr>
                <w:rFonts w:ascii="Calibri" w:hAnsi="Calibri" w:eastAsia="宋体" w:cs="Calibri"/>
                <w:color w:val="000000"/>
                <w:sz w:val="20"/>
                <w:szCs w:val="20"/>
                <w:lang w:val="en-US"/>
              </w:rPr>
              <w:t>6</w:t>
            </w:r>
            <w:r>
              <w:rPr>
                <w:rFonts w:hint="eastAsia" w:ascii="宋体" w:hAnsi="宋体" w:eastAsia="宋体" w:cs="宋体"/>
                <w:color w:val="000000"/>
                <w:sz w:val="20"/>
                <w:szCs w:val="20"/>
                <w:lang w:val="en-US"/>
              </w:rPr>
              <w:t>个</w:t>
            </w:r>
            <w:r>
              <w:rPr>
                <w:rFonts w:ascii="Calibri" w:hAnsi="Calibri" w:eastAsia="宋体" w:cs="Calibri"/>
                <w:color w:val="000000"/>
                <w:sz w:val="20"/>
                <w:szCs w:val="20"/>
                <w:lang w:val="en-US"/>
              </w:rPr>
              <w:t>USB</w:t>
            </w:r>
            <w:r>
              <w:rPr>
                <w:rFonts w:hint="eastAsia" w:ascii="宋体" w:hAnsi="宋体" w:eastAsia="宋体" w:cs="宋体"/>
                <w:color w:val="000000"/>
                <w:sz w:val="20"/>
                <w:szCs w:val="20"/>
                <w:lang w:val="en-US"/>
              </w:rPr>
              <w:t>标准接口，且</w:t>
            </w:r>
            <w:r>
              <w:rPr>
                <w:rFonts w:ascii="Calibri" w:hAnsi="Calibri" w:eastAsia="宋体" w:cs="Calibri"/>
                <w:color w:val="000000"/>
                <w:sz w:val="20"/>
                <w:szCs w:val="20"/>
                <w:lang w:val="en-US"/>
              </w:rPr>
              <w:t>USB3.0</w:t>
            </w:r>
            <w:r>
              <w:rPr>
                <w:rFonts w:hint="eastAsia" w:ascii="宋体" w:hAnsi="宋体" w:eastAsia="宋体" w:cs="宋体"/>
                <w:color w:val="000000"/>
                <w:sz w:val="20"/>
                <w:szCs w:val="20"/>
                <w:lang w:val="en-US"/>
              </w:rPr>
              <w:t>不少于</w:t>
            </w:r>
            <w:r>
              <w:rPr>
                <w:rFonts w:ascii="Calibri" w:hAnsi="Calibri" w:eastAsia="宋体" w:cs="Calibri"/>
                <w:color w:val="000000"/>
                <w:sz w:val="20"/>
                <w:szCs w:val="20"/>
                <w:lang w:val="en-US"/>
              </w:rPr>
              <w:t>1</w:t>
            </w:r>
            <w:r>
              <w:rPr>
                <w:rFonts w:hint="eastAsia" w:ascii="宋体" w:hAnsi="宋体" w:eastAsia="宋体" w:cs="宋体"/>
                <w:color w:val="000000"/>
                <w:sz w:val="20"/>
                <w:szCs w:val="20"/>
                <w:lang w:val="en-US"/>
              </w:rPr>
              <w:t>个；</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 ★主机和显示器一体化设计，显示器≥</w:t>
            </w:r>
            <w:r>
              <w:rPr>
                <w:rFonts w:ascii="Calibri" w:hAnsi="Calibri" w:eastAsia="宋体" w:cs="Calibri"/>
                <w:color w:val="000000"/>
                <w:sz w:val="20"/>
                <w:szCs w:val="20"/>
                <w:lang w:val="en-US"/>
              </w:rPr>
              <w:t>19.5</w:t>
            </w:r>
            <w:r>
              <w:rPr>
                <w:rFonts w:hint="eastAsia" w:ascii="宋体" w:hAnsi="宋体" w:eastAsia="宋体" w:cs="宋体"/>
                <w:color w:val="000000"/>
                <w:sz w:val="20"/>
                <w:szCs w:val="20"/>
                <w:lang w:val="en-US"/>
              </w:rPr>
              <w:t>寸，分辨率≥</w:t>
            </w:r>
            <w:r>
              <w:rPr>
                <w:rFonts w:ascii="Calibri" w:hAnsi="Calibri" w:eastAsia="宋体" w:cs="Calibri"/>
                <w:color w:val="000000"/>
                <w:sz w:val="20"/>
                <w:szCs w:val="20"/>
                <w:lang w:val="en-US"/>
              </w:rPr>
              <w:t>1600x900@60Hz</w:t>
            </w:r>
            <w:r>
              <w:rPr>
                <w:rFonts w:hint="eastAsia" w:ascii="宋体" w:hAnsi="宋体" w:eastAsia="宋体" w:cs="宋体"/>
                <w:color w:val="000000"/>
                <w:sz w:val="20"/>
                <w:szCs w:val="20"/>
                <w:lang w:val="en-US"/>
              </w:rPr>
              <w:t>；</w:t>
            </w:r>
            <w:r>
              <w:rPr>
                <w:rFonts w:ascii="Calibri" w:hAnsi="Calibri" w:eastAsia="宋体" w:cs="Calibri"/>
                <w:color w:val="000000"/>
                <w:sz w:val="20"/>
                <w:szCs w:val="20"/>
                <w:lang w:val="en-US"/>
              </w:rPr>
              <w:t>7.</w:t>
            </w:r>
            <w:r>
              <w:rPr>
                <w:rFonts w:hint="eastAsia" w:ascii="宋体" w:hAnsi="宋体" w:eastAsia="宋体" w:cs="宋体"/>
                <w:color w:val="000000"/>
                <w:sz w:val="20"/>
                <w:szCs w:val="20"/>
                <w:lang w:val="en-US"/>
              </w:rPr>
              <w:t xml:space="preserve"> 出厂预装学生客户端，以节省大量实施部署工作量。提供免费批量刷机工具，供管理员后期运维使用。</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8. 为保证网络课程正常使用，要求在使用过程中，即使和服务器的网络断开，也可以保证学生桌面的正常使用，同时老师也可以对学生机进行操作。</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9. 学生桌面支持断线可用、一键重启和一键还原。断线重连之后，用户数据和状态不变。以上功能无需通过登录后台管理平台进行配置。</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10. ★支持多种考试场景，如国家计算机一.二级等级考试，社会职称考试等，支持ATA.NCRE等考试模式。</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11. 学生端可以根据需要设置还原模式和不还原模式，满足学生日常上课互不影响，或者考试之后数据保留的需要。</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12. 学生端和管理平台建立通信之后，能够自动检测是否最新版本，如果不是最新版本，可以实现自动升级。</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13. 为了简化使用，需要支持单点登录功能，用户登录VOI终端后，不需要再次输入密码即可登录</w:t>
            </w:r>
            <w:r>
              <w:rPr>
                <w:rFonts w:ascii="Calibri" w:hAnsi="Calibri" w:eastAsia="宋体" w:cs="Calibri"/>
                <w:color w:val="000000"/>
                <w:sz w:val="20"/>
                <w:szCs w:val="20"/>
                <w:lang w:val="en-US"/>
              </w:rPr>
              <w:t>windows</w:t>
            </w:r>
            <w:r>
              <w:rPr>
                <w:rFonts w:hint="eastAsia" w:ascii="宋体" w:hAnsi="宋体" w:eastAsia="宋体" w:cs="宋体"/>
                <w:color w:val="000000"/>
                <w:sz w:val="20"/>
                <w:szCs w:val="20"/>
                <w:lang w:val="en-US"/>
              </w:rPr>
              <w:t>或者内置云盘程序</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14. 通过在学生客户端输入终端管控密码，进入终端镜像制作模式，制作完成的镜像可以上传到管理平台，下发给其他学生使用。</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15. 支持课堂内即时IM通信，老师和学生能够加入到群组里进行丰富互动，消息格式可支持文字.表情等富文本消息。（投标文件提供完整产品功能界面截图）</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870"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16. 在校期间永久保留个人文件。有独立网盘客户端，学生桌面默认统一安装，学生也可在图书馆或宿舍自己的PC上进行安装。与云桌面管理平台共用同一套账户，只需在平台开放权限，无需重复注册及用户导入。可按格式分类查询文件，支持文件上传，下载，可分享文件给其他人，且支持二次分享，不占用磁盘空间。（投标文件提供完整产品功能界面截图）</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660"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17. 为增强师生之间的交流，支持学生举手功能，学生可以在上课过程中举手，教师可以在教师端看到学生发起的举手，并可直接通过远程协助直接控制学生的桌面进行上课指导。老师可对学生举手功能进行开启或关闭。（投标文件提供完整产品功能界面截图）</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18. ▲为保证教学系统的兼容性，便于管理维护，要求所投云主机服务器、教师管理云终端、学生终端、教学管理软件、云桌面管理平台、交换机为同一品牌。</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19. ▲学生终端产品需通过CCC认证、节能认证。提供证书复印件并加盖原厂商公章。</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w:t>
            </w:r>
          </w:p>
        </w:tc>
        <w:tc>
          <w:tcPr>
            <w:tcW w:w="367" w:type="pct"/>
            <w:vMerge w:val="restar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云主机</w:t>
            </w:r>
          </w:p>
        </w:tc>
        <w:tc>
          <w:tcPr>
            <w:tcW w:w="3842" w:type="pct"/>
            <w:tcBorders>
              <w:top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 国产品牌2U机架式软硬件一体化设备。</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28</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台</w:t>
            </w: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 ★</w:t>
            </w:r>
            <w:r>
              <w:rPr>
                <w:rFonts w:ascii="Calibri" w:hAnsi="Calibri" w:eastAsia="宋体" w:cs="Calibri"/>
                <w:color w:val="000000"/>
                <w:sz w:val="20"/>
                <w:szCs w:val="20"/>
                <w:lang w:val="en-US"/>
              </w:rPr>
              <w:t>CPU</w:t>
            </w:r>
            <w:r>
              <w:rPr>
                <w:rFonts w:hint="eastAsia" w:ascii="宋体" w:hAnsi="宋体" w:eastAsia="宋体" w:cs="宋体"/>
                <w:color w:val="000000"/>
                <w:sz w:val="20"/>
                <w:szCs w:val="20"/>
                <w:lang w:val="en-US"/>
              </w:rPr>
              <w:t>配置≥</w:t>
            </w:r>
            <w:r>
              <w:rPr>
                <w:rFonts w:ascii="Calibri" w:hAnsi="Calibri" w:eastAsia="宋体" w:cs="Calibri"/>
                <w:color w:val="000000"/>
                <w:sz w:val="20"/>
                <w:szCs w:val="20"/>
                <w:lang w:val="en-US"/>
              </w:rPr>
              <w:t>2</w:t>
            </w:r>
            <w:r>
              <w:rPr>
                <w:rFonts w:hint="eastAsia" w:ascii="宋体" w:hAnsi="宋体" w:eastAsia="宋体" w:cs="宋体"/>
                <w:color w:val="000000"/>
                <w:sz w:val="20"/>
                <w:szCs w:val="20"/>
                <w:lang w:val="en-US"/>
              </w:rPr>
              <w:t>颗</w:t>
            </w:r>
            <w:r>
              <w:rPr>
                <w:rFonts w:ascii="Calibri" w:hAnsi="Calibri" w:eastAsia="宋体" w:cs="Calibri"/>
                <w:color w:val="000000"/>
                <w:sz w:val="20"/>
                <w:szCs w:val="20"/>
                <w:lang w:val="en-US"/>
              </w:rPr>
              <w:t>Intel Xeon</w:t>
            </w:r>
            <w:r>
              <w:rPr>
                <w:rFonts w:hint="eastAsia" w:ascii="宋体" w:hAnsi="宋体" w:eastAsia="宋体" w:cs="宋体"/>
                <w:color w:val="000000"/>
                <w:sz w:val="20"/>
                <w:szCs w:val="20"/>
                <w:lang w:val="en-US"/>
              </w:rPr>
              <w:t>系列处理器，单颗</w:t>
            </w:r>
            <w:r>
              <w:rPr>
                <w:rFonts w:ascii="Calibri" w:hAnsi="Calibri" w:eastAsia="宋体" w:cs="Calibri"/>
                <w:color w:val="000000"/>
                <w:sz w:val="20"/>
                <w:szCs w:val="20"/>
                <w:lang w:val="en-US"/>
              </w:rPr>
              <w:t>CPU</w:t>
            </w:r>
            <w:r>
              <w:rPr>
                <w:rFonts w:hint="eastAsia" w:ascii="宋体" w:hAnsi="宋体" w:eastAsia="宋体" w:cs="宋体"/>
                <w:color w:val="000000"/>
                <w:sz w:val="20"/>
                <w:szCs w:val="20"/>
                <w:lang w:val="en-US"/>
              </w:rPr>
              <w:t>不低于</w:t>
            </w:r>
            <w:r>
              <w:rPr>
                <w:rFonts w:ascii="Calibri" w:hAnsi="Calibri" w:eastAsia="宋体" w:cs="Calibri"/>
                <w:color w:val="000000"/>
                <w:sz w:val="20"/>
                <w:szCs w:val="20"/>
                <w:lang w:val="en-US"/>
              </w:rPr>
              <w:t>6</w:t>
            </w:r>
            <w:r>
              <w:rPr>
                <w:rFonts w:hint="eastAsia" w:ascii="宋体" w:hAnsi="宋体" w:eastAsia="宋体" w:cs="宋体"/>
                <w:color w:val="000000"/>
                <w:sz w:val="20"/>
                <w:szCs w:val="20"/>
                <w:lang w:val="en-US"/>
              </w:rPr>
              <w:t>核心，主频不低于</w:t>
            </w:r>
            <w:r>
              <w:rPr>
                <w:rFonts w:ascii="Calibri" w:hAnsi="Calibri" w:eastAsia="宋体" w:cs="Calibri"/>
                <w:color w:val="000000"/>
                <w:sz w:val="20"/>
                <w:szCs w:val="20"/>
                <w:lang w:val="en-US"/>
              </w:rPr>
              <w:t>1.8 GHz</w:t>
            </w:r>
            <w:r>
              <w:rPr>
                <w:rFonts w:hint="eastAsia" w:ascii="宋体" w:hAnsi="宋体" w:eastAsia="宋体" w:cs="宋体"/>
                <w:color w:val="000000"/>
                <w:sz w:val="20"/>
                <w:szCs w:val="20"/>
                <w:lang w:val="en-US"/>
              </w:rPr>
              <w:t>。</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 ★内存插槽数≥</w:t>
            </w:r>
            <w:r>
              <w:rPr>
                <w:rFonts w:ascii="Calibri" w:hAnsi="Calibri" w:eastAsia="宋体" w:cs="Calibri"/>
                <w:color w:val="000000"/>
                <w:sz w:val="20"/>
                <w:szCs w:val="20"/>
                <w:lang w:val="en-US"/>
              </w:rPr>
              <w:t>24</w:t>
            </w:r>
            <w:r>
              <w:rPr>
                <w:rFonts w:hint="eastAsia" w:ascii="宋体" w:hAnsi="宋体" w:eastAsia="宋体" w:cs="宋体"/>
                <w:color w:val="000000"/>
                <w:sz w:val="20"/>
                <w:szCs w:val="20"/>
                <w:lang w:val="en-US"/>
              </w:rPr>
              <w:t>个，配置≥</w:t>
            </w:r>
            <w:r>
              <w:rPr>
                <w:rFonts w:ascii="Calibri" w:hAnsi="Calibri" w:eastAsia="宋体" w:cs="Calibri"/>
                <w:color w:val="000000"/>
                <w:sz w:val="20"/>
                <w:szCs w:val="20"/>
                <w:lang w:val="en-US"/>
              </w:rPr>
              <w:t>16GB DDR4</w:t>
            </w:r>
            <w:r>
              <w:rPr>
                <w:rFonts w:hint="eastAsia" w:ascii="宋体" w:hAnsi="宋体" w:eastAsia="宋体" w:cs="宋体"/>
                <w:color w:val="000000"/>
                <w:sz w:val="20"/>
                <w:szCs w:val="20"/>
                <w:lang w:val="en-US"/>
              </w:rPr>
              <w:t>，内存要求支持</w:t>
            </w:r>
            <w:r>
              <w:rPr>
                <w:rFonts w:ascii="Calibri" w:hAnsi="Calibri" w:eastAsia="宋体" w:cs="Calibri"/>
                <w:color w:val="000000"/>
                <w:sz w:val="20"/>
                <w:szCs w:val="20"/>
                <w:lang w:val="en-US"/>
              </w:rPr>
              <w:t>ECC</w:t>
            </w:r>
            <w:r>
              <w:rPr>
                <w:rFonts w:hint="eastAsia" w:ascii="宋体" w:hAnsi="宋体" w:eastAsia="宋体" w:cs="宋体"/>
                <w:color w:val="000000"/>
                <w:sz w:val="20"/>
                <w:szCs w:val="20"/>
                <w:lang w:val="en-US"/>
              </w:rPr>
              <w:t>，速率不低于</w:t>
            </w:r>
            <w:r>
              <w:rPr>
                <w:rFonts w:ascii="Calibri" w:hAnsi="Calibri" w:eastAsia="宋体" w:cs="Calibri"/>
                <w:color w:val="000000"/>
                <w:sz w:val="20"/>
                <w:szCs w:val="20"/>
                <w:lang w:val="en-US"/>
              </w:rPr>
              <w:t>2933MHz</w:t>
            </w:r>
            <w:r>
              <w:rPr>
                <w:rFonts w:hint="eastAsia" w:ascii="宋体" w:hAnsi="宋体" w:eastAsia="宋体" w:cs="宋体"/>
                <w:color w:val="000000"/>
                <w:sz w:val="20"/>
                <w:szCs w:val="20"/>
                <w:lang w:val="en-US"/>
              </w:rPr>
              <w:t>，支持最大内存扩展</w:t>
            </w:r>
            <w:r>
              <w:rPr>
                <w:rFonts w:ascii="Calibri" w:hAnsi="Calibri" w:eastAsia="宋体" w:cs="Calibri"/>
                <w:color w:val="000000"/>
                <w:sz w:val="20"/>
                <w:szCs w:val="20"/>
                <w:lang w:val="en-US"/>
              </w:rPr>
              <w:t>768GB</w:t>
            </w:r>
            <w:r>
              <w:rPr>
                <w:rFonts w:hint="eastAsia" w:ascii="宋体" w:hAnsi="宋体" w:eastAsia="宋体" w:cs="宋体"/>
                <w:color w:val="000000"/>
                <w:sz w:val="20"/>
                <w:szCs w:val="20"/>
                <w:lang w:val="en-US"/>
              </w:rPr>
              <w:t>。</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 ★可插拔硬盘槽位≥</w:t>
            </w:r>
            <w:r>
              <w:rPr>
                <w:rFonts w:ascii="Calibri" w:hAnsi="Calibri" w:eastAsia="宋体" w:cs="Calibri"/>
                <w:color w:val="000000"/>
                <w:sz w:val="20"/>
                <w:szCs w:val="20"/>
                <w:lang w:val="en-US"/>
              </w:rPr>
              <w:t>12</w:t>
            </w:r>
            <w:r>
              <w:rPr>
                <w:rFonts w:hint="eastAsia" w:ascii="宋体" w:hAnsi="宋体" w:eastAsia="宋体" w:cs="宋体"/>
                <w:color w:val="000000"/>
                <w:sz w:val="20"/>
                <w:szCs w:val="20"/>
                <w:lang w:val="en-US"/>
              </w:rPr>
              <w:t>个，配置固态硬盘容量≥</w:t>
            </w:r>
            <w:r>
              <w:rPr>
                <w:rFonts w:ascii="Calibri" w:hAnsi="Calibri" w:eastAsia="宋体" w:cs="Calibri"/>
                <w:color w:val="000000"/>
                <w:sz w:val="20"/>
                <w:szCs w:val="20"/>
                <w:lang w:val="en-US"/>
              </w:rPr>
              <w:t>480GB</w:t>
            </w:r>
            <w:r>
              <w:rPr>
                <w:rFonts w:hint="eastAsia" w:ascii="宋体" w:hAnsi="宋体" w:eastAsia="宋体" w:cs="宋体"/>
                <w:color w:val="000000"/>
                <w:sz w:val="20"/>
                <w:szCs w:val="20"/>
                <w:lang w:val="en-US"/>
              </w:rPr>
              <w:t>，机械硬盘容量≥</w:t>
            </w:r>
            <w:r>
              <w:rPr>
                <w:rFonts w:ascii="Calibri" w:hAnsi="Calibri" w:eastAsia="宋体" w:cs="Calibri"/>
                <w:color w:val="000000"/>
                <w:sz w:val="20"/>
                <w:szCs w:val="20"/>
                <w:lang w:val="en-US"/>
              </w:rPr>
              <w:t>4TB</w:t>
            </w:r>
            <w:r>
              <w:rPr>
                <w:rFonts w:hint="eastAsia" w:ascii="宋体" w:hAnsi="宋体" w:eastAsia="宋体" w:cs="宋体"/>
                <w:color w:val="000000"/>
                <w:sz w:val="20"/>
                <w:szCs w:val="20"/>
                <w:lang w:val="en-US"/>
              </w:rPr>
              <w:t>。</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 ★配置≥</w:t>
            </w:r>
            <w:r>
              <w:rPr>
                <w:rFonts w:ascii="Calibri" w:hAnsi="Calibri" w:eastAsia="宋体" w:cs="Calibri"/>
                <w:color w:val="000000"/>
                <w:sz w:val="20"/>
                <w:szCs w:val="20"/>
                <w:lang w:val="en-US"/>
              </w:rPr>
              <w:t>1</w:t>
            </w:r>
            <w:r>
              <w:rPr>
                <w:rFonts w:hint="eastAsia" w:ascii="宋体" w:hAnsi="宋体" w:eastAsia="宋体" w:cs="宋体"/>
                <w:color w:val="000000"/>
                <w:sz w:val="20"/>
                <w:szCs w:val="20"/>
                <w:lang w:val="en-US"/>
              </w:rPr>
              <w:t>块</w:t>
            </w:r>
            <w:r>
              <w:rPr>
                <w:rFonts w:ascii="Calibri" w:hAnsi="Calibri" w:eastAsia="宋体" w:cs="Calibri"/>
                <w:color w:val="000000"/>
                <w:sz w:val="20"/>
                <w:szCs w:val="20"/>
                <w:lang w:val="en-US"/>
              </w:rPr>
              <w:t>Raid</w:t>
            </w:r>
            <w:r>
              <w:rPr>
                <w:rFonts w:hint="eastAsia" w:ascii="宋体" w:hAnsi="宋体" w:eastAsia="宋体" w:cs="宋体"/>
                <w:color w:val="000000"/>
                <w:sz w:val="20"/>
                <w:szCs w:val="20"/>
                <w:lang w:val="en-US"/>
              </w:rPr>
              <w:t>卡，支持</w:t>
            </w:r>
            <w:r>
              <w:rPr>
                <w:rFonts w:ascii="Calibri" w:hAnsi="Calibri" w:eastAsia="宋体" w:cs="Calibri"/>
                <w:color w:val="000000"/>
                <w:sz w:val="20"/>
                <w:szCs w:val="20"/>
                <w:lang w:val="en-US"/>
              </w:rPr>
              <w:t>Raid0/1/10/5</w:t>
            </w:r>
            <w:r>
              <w:rPr>
                <w:rFonts w:hint="eastAsia" w:ascii="宋体" w:hAnsi="宋体" w:eastAsia="宋体" w:cs="宋体"/>
                <w:color w:val="000000"/>
                <w:sz w:val="20"/>
                <w:szCs w:val="20"/>
                <w:lang w:val="en-US"/>
              </w:rPr>
              <w:t>，自带</w:t>
            </w:r>
            <w:r>
              <w:rPr>
                <w:rFonts w:ascii="Calibri" w:hAnsi="Calibri" w:eastAsia="宋体" w:cs="Calibri"/>
                <w:color w:val="000000"/>
                <w:sz w:val="20"/>
                <w:szCs w:val="20"/>
                <w:lang w:val="en-US"/>
              </w:rPr>
              <w:t>2GB</w:t>
            </w:r>
            <w:r>
              <w:rPr>
                <w:rFonts w:hint="eastAsia" w:ascii="宋体" w:hAnsi="宋体" w:eastAsia="宋体" w:cs="宋体"/>
                <w:color w:val="000000"/>
                <w:sz w:val="20"/>
                <w:szCs w:val="20"/>
                <w:lang w:val="en-US"/>
              </w:rPr>
              <w:t>缓存，掉电瞬间，</w:t>
            </w:r>
            <w:r>
              <w:rPr>
                <w:rFonts w:ascii="Calibri" w:hAnsi="Calibri" w:eastAsia="宋体" w:cs="Calibri"/>
                <w:color w:val="000000"/>
                <w:sz w:val="20"/>
                <w:szCs w:val="20"/>
                <w:lang w:val="en-US"/>
              </w:rPr>
              <w:t>Raid</w:t>
            </w:r>
            <w:r>
              <w:rPr>
                <w:rFonts w:hint="eastAsia" w:ascii="宋体" w:hAnsi="宋体" w:eastAsia="宋体" w:cs="宋体"/>
                <w:color w:val="000000"/>
                <w:sz w:val="20"/>
                <w:szCs w:val="20"/>
                <w:lang w:val="en-US"/>
              </w:rPr>
              <w:t>卡内存信息自动写入</w:t>
            </w:r>
            <w:r>
              <w:rPr>
                <w:rFonts w:ascii="Calibri" w:hAnsi="Calibri" w:eastAsia="宋体" w:cs="Calibri"/>
                <w:color w:val="000000"/>
                <w:sz w:val="20"/>
                <w:szCs w:val="20"/>
                <w:lang w:val="en-US"/>
              </w:rPr>
              <w:t>Flash</w:t>
            </w:r>
            <w:r>
              <w:rPr>
                <w:rFonts w:hint="eastAsia" w:ascii="宋体" w:hAnsi="宋体" w:eastAsia="宋体" w:cs="宋体"/>
                <w:color w:val="000000"/>
                <w:sz w:val="20"/>
                <w:szCs w:val="20"/>
                <w:lang w:val="en-US"/>
              </w:rPr>
              <w:t>，提供永久保护。</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6. ★配置≥</w:t>
            </w:r>
            <w:r>
              <w:rPr>
                <w:rFonts w:ascii="Calibri" w:hAnsi="Calibri" w:eastAsia="宋体" w:cs="Calibri"/>
                <w:color w:val="000000"/>
                <w:sz w:val="20"/>
                <w:szCs w:val="20"/>
                <w:lang w:val="en-US"/>
              </w:rPr>
              <w:t>4</w:t>
            </w:r>
            <w:r>
              <w:rPr>
                <w:rFonts w:hint="eastAsia" w:ascii="宋体" w:hAnsi="宋体" w:eastAsia="宋体" w:cs="宋体"/>
                <w:color w:val="000000"/>
                <w:sz w:val="20"/>
                <w:szCs w:val="20"/>
                <w:lang w:val="en-US"/>
              </w:rPr>
              <w:t>个千兆以太网口，支持扩展</w:t>
            </w:r>
            <w:r>
              <w:rPr>
                <w:rFonts w:ascii="Calibri" w:hAnsi="Calibri" w:eastAsia="宋体" w:cs="Calibri"/>
                <w:color w:val="000000"/>
                <w:sz w:val="20"/>
                <w:szCs w:val="20"/>
                <w:lang w:val="en-US"/>
              </w:rPr>
              <w:t>FLOM</w:t>
            </w:r>
            <w:r>
              <w:rPr>
                <w:rFonts w:hint="eastAsia" w:ascii="宋体" w:hAnsi="宋体" w:eastAsia="宋体" w:cs="宋体"/>
                <w:color w:val="000000"/>
                <w:sz w:val="20"/>
                <w:szCs w:val="20"/>
                <w:lang w:val="en-US"/>
              </w:rPr>
              <w:t>网卡。</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7. 支持≥</w:t>
            </w:r>
            <w:r>
              <w:rPr>
                <w:rFonts w:ascii="Calibri" w:hAnsi="Calibri" w:eastAsia="宋体" w:cs="Calibri"/>
                <w:color w:val="000000"/>
                <w:sz w:val="20"/>
                <w:szCs w:val="20"/>
                <w:lang w:val="en-US"/>
              </w:rPr>
              <w:t>10</w:t>
            </w:r>
            <w:r>
              <w:rPr>
                <w:rFonts w:hint="eastAsia" w:ascii="宋体" w:hAnsi="宋体" w:eastAsia="宋体" w:cs="宋体"/>
                <w:color w:val="000000"/>
                <w:sz w:val="20"/>
                <w:szCs w:val="20"/>
                <w:lang w:val="en-US"/>
              </w:rPr>
              <w:t>个</w:t>
            </w:r>
            <w:r>
              <w:rPr>
                <w:rFonts w:ascii="Calibri" w:hAnsi="Calibri" w:eastAsia="宋体" w:cs="Calibri"/>
                <w:color w:val="000000"/>
                <w:sz w:val="20"/>
                <w:szCs w:val="20"/>
                <w:lang w:val="en-US"/>
              </w:rPr>
              <w:t>PCIe 3.0</w:t>
            </w:r>
            <w:r>
              <w:rPr>
                <w:rFonts w:hint="eastAsia" w:ascii="宋体" w:hAnsi="宋体" w:eastAsia="宋体" w:cs="宋体"/>
                <w:color w:val="000000"/>
                <w:sz w:val="20"/>
                <w:szCs w:val="20"/>
                <w:lang w:val="en-US"/>
              </w:rPr>
              <w:t>扩展槽。</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8. ★配置≥6个低静电.低噪音.高效率智能调节转速风扇。</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9. 配置2个不低于</w:t>
            </w:r>
            <w:r>
              <w:rPr>
                <w:rFonts w:ascii="Calibri" w:hAnsi="Calibri" w:eastAsia="宋体" w:cs="Calibri"/>
                <w:color w:val="000000"/>
                <w:sz w:val="20"/>
                <w:szCs w:val="20"/>
                <w:lang w:val="en-US"/>
              </w:rPr>
              <w:t>550W</w:t>
            </w:r>
            <w:r>
              <w:rPr>
                <w:rFonts w:hint="eastAsia" w:ascii="宋体" w:hAnsi="宋体" w:eastAsia="宋体" w:cs="宋体"/>
                <w:color w:val="000000"/>
                <w:sz w:val="20"/>
                <w:szCs w:val="20"/>
                <w:lang w:val="en-US"/>
              </w:rPr>
              <w:t>的电源。</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10. ▲所投标的产品的生产厂家必须是自主研发产品，非OEM或贴牌产品，不允许借用第三方软件的整合，以保证功能的可靠性和安全性。</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11. ▲为保证教学系统的兼容性，便于管理维护，要求所投云主机服务器、教师管理云终端、学生终端、教学管理软件、云桌面管理平台、交换机为同一品牌。。</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12. ▲云主机产品需通过CCC认证.节能认证和环保认证。提供证书复印件并加盖原厂商公章。</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13. ▲云桌面系统厂商具备国家信息安全服务资质认证（安全工程类一级），需提供复印件并加盖原厂商公章。</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660"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14. ▲为体现云桌面系统生产厂商的软件研发和管理实力，须获得CMMI认证证书，认证国家为China，通过5级及以上且能提供CMMI官网链接“http://www.cmmirz.com”及截图并加盖原厂商公章。</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15. ▲云桌面系统厂商具备信息安全应急处理服务资质一级，需提供复印件并加盖原厂商公章。</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16. ▲提供3年售后维保服务。</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17. ▲为保证售后服务的及时性，原厂商必须在新疆设有办事处，提供相关证明文件。</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w:t>
            </w:r>
          </w:p>
        </w:tc>
        <w:tc>
          <w:tcPr>
            <w:tcW w:w="367"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云服务管理软件</w:t>
            </w: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 ★支持统一界面集成管理，可以在同一个管理页面中完成硬件.虚拟化.存储.云桌面和云终端的统一管理，统一告警，统一日志查询。（投标文件提供完整产品功能界面截图）</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28</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套</w:t>
            </w: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 ★系统自带云盘服务，无需增加网盘服务器及软件或系统授权，实现用户数据在不同桌面或者</w:t>
            </w:r>
            <w:r>
              <w:rPr>
                <w:rFonts w:ascii="Calibri" w:hAnsi="Calibri" w:eastAsia="宋体" w:cs="Calibri"/>
                <w:color w:val="000000"/>
                <w:sz w:val="20"/>
                <w:szCs w:val="20"/>
                <w:lang w:val="en-US"/>
              </w:rPr>
              <w:t>PC</w:t>
            </w:r>
            <w:r>
              <w:rPr>
                <w:rFonts w:hint="eastAsia" w:ascii="宋体" w:hAnsi="宋体" w:eastAsia="宋体" w:cs="宋体"/>
                <w:color w:val="000000"/>
                <w:sz w:val="20"/>
                <w:szCs w:val="20"/>
                <w:lang w:val="en-US"/>
              </w:rPr>
              <w:t>电脑上数据漫游及共享。（投标文件提供完整产品功能界面截图）</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660"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 系统支持服务器自带硬盘的存储方式外，同时也支持外连存储设备的方案，可对接多种存储，包括GlusterFS.Ceph.独立外挂存储，以用作课程镜像母盘的存储介质。（投标文件提供完整产品功能界面截图）</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870"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 为了直观展示现有资源的使用情况，便于集中运维管理，要求云桌面管理平台支持通过大屏展示主机.学生桌面.在线用户，在线终端的运行状态在线用户等信息，同时可以提供用户登录历史信息，帮助管理员清晰地监控和分析关键数据，快速掌握系统环境的资源使用现状。（投标文件提供完整产品功能界面截图）</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660"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 ★当主机集群的CPU利用率.内存利用率.磁盘利用率或主机.网络吞吐量等达到预设值的阈值时，触发相应告警。将指定的告警信息以邮件方式发送给指定接收邮箱，或者以短信方式发送给指定短信接收电话。（投标文件提供完整产品功能界面截图）</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660"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6. ★支持一键检测功能，帮助管理员快速了解整个平台的运行状态.性能以及可能存在的隐患。对于检测异常的指标项，系统会提供有效的改进建议，确保业务系统稳定可靠的运行。（投标文件提供完整产品功能界面截图）</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660"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7. 管理员可对单个终端及终端分组进行维护与管理，控制终端开关机.导出终端.转移终端分组。桌面池可以预授权终端。设置终端执行开关机任务的频率和日期等。（投标文件提供完整产品功能界面截图）</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660"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8. 支持显示桌面开关机画面，支持分辨率自适应和更改分辨率，操作时要求与PC一样，即在桌面右键点击“个性化分辨率”进行设置，需提供完整界面的截图，保留中标后测试的权利。（投标文件提供完整产品功能界面截图）</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9. 通过管理平台直接制作镜像，直接下发镜像时，可以通过BT方式下载，加速用户更新及获取镜像的效率。</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10. 可通过管理平台直接设置用户桌面使用模式，至少包括还原和关机不还原两种模式，满足用户日常各种场景的需求。</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660"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11. ★单台业务服务器支持1000个及以上桌面同时播放1080P离线视频（每桌面均复制一份大小超过2GB的视频文件），播放器采用主流的如MPC.暴风影音.QQ影音等播放器，运行流畅无卡顿，快进退与PC机体验一致，不得使用屏幕广播或视频广播等方式。</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12. 管理平台支持双机热备，一台服务器出现故障问题，另一台服务器会自动接替故障服务器进行桌面管控，整个操作无需人工参与，可自动实现。（投标文件提供完整产品功能界面截图）</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13. 管理平台实时监测镜像存储池的容量状态，当达到一定阈值时，予以磁盘告警和建议，且不允许发布新镜像，以确保平台已有环境稳定运行。（投标文件提供完整产品功能界面截图）</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660"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14. 对管理员角色.管理员用户的管理与维护。管理员角色分为超级管理员.系统管理员.安全审计员.安全保密管理员，不同角色的管理员具有不同的操作权限。可设置管理员闲置时长.最大在线管理员数.单个管理员并发连接数等，并支持详细记录操作员及管理员的操作行为。</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15. ★提供免费桌面云镜像优化工具，用于优化客户桌面性能和体验，包括驱动.图形图像优化.操作系统调优等。</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16. 支持设置终端黑名单，不允许用户通过非法终端接入到虚拟桌面。（投标文件提供完整产品功能界面截图）</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17. 支持设置用户黑名单，不允许非法用户（如：未经授权员工）以任何方式登录到用户桌面。（投标文件提供完整产品功能界面截图）</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660"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18. 支持设置管理员及普通用户密码策略，首次登录强制修改密码，密码有效期，密码长度，复杂度及密码到期提醒等安全策略，以保障认证密码安全性，避免越权访问行为。（投标文件提供完整产品功能界面截图）</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19. 支持管理平台关键信息备份，包括数据库.版本信息和配置文件等，当系统故障时，可通过历史备份数据对当前的系统进行数据和配置文件的还原。（投标文件提供完整产品功能界面截图）</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20. 为了便于管理员对学校机房进行管理，可以通过管理平台远程对学生终端的IP地址进行修改。</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660"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21. ★支持支持通过管理平台集中.批量控制外接设备，包括外设黑白名单的管理，提供常用的外设控制类型，包括但不限于USB存储.打印机.扫描仪。管理员还可以自定义外设禁用和启用策略，用户重启后生效。（投标文件提供完整产品功能界面截图）</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660"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22. 所投标的产品的生产厂家必须是自主研发产品，非OEM或贴牌产品，不允许借用第三方软件的整合，需要提供国家版权局颁发的《计算机软件著作权登记证书》，并提供证书复印件，以保证功能的可靠性和安全性。</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23. 为保证教学系统的兼容性，便于管理维护，要求所投云主机服务器.教师管理云终端.学生终端.教学管理软件.云桌面管理平台.交换机为同一品牌。</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1080" w:hRule="atLeast"/>
        </w:trPr>
        <w:tc>
          <w:tcPr>
            <w:tcW w:w="251" w:type="pct"/>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w:t>
            </w:r>
          </w:p>
        </w:tc>
        <w:tc>
          <w:tcPr>
            <w:tcW w:w="367"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教学管理软件</w:t>
            </w: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 ★支持强制模式，即学生无法自主选择课程，由老师控制学生端统一进入指定课程环境，以及账号模式，即学生必须通过学号和密码登录桌面，非法人员无法连接到虚拟机。以上模式之外，将自动进入自习模式，允许学生自行选择要加载的操作系统，无需账号密码。以上模式，学生在上课期间误操作，如关机.重启，或关闭终端电源，桌面不还原，数据仍然保留，只有教师端点击“下课”，所有虚拟桌面才会回收。（投标文件提供完整产品功能界面截图）</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28</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套</w:t>
            </w:r>
          </w:p>
        </w:tc>
      </w:tr>
      <w:tr>
        <w:tblPrEx>
          <w:tblCellMar>
            <w:top w:w="15" w:type="dxa"/>
            <w:left w:w="15" w:type="dxa"/>
            <w:bottom w:w="15" w:type="dxa"/>
            <w:right w:w="15" w:type="dxa"/>
          </w:tblCellMar>
        </w:tblPrEx>
        <w:trPr>
          <w:trHeight w:val="660"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 教师机屏幕可实时广播给单一.部分或全体学生，可选择全屏或窗口方式。窗口模式下或教师机与学生机分辨率不同情况下，学生机可以以不同的窗口方式接收广播。同时支持开启语音广播，不允许学生发言打乱老师讲课的节奏。（投标文件提供完整产品功能界面截图）</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870"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 支持将教师机或指定学生的屏幕图像广播给其他所有学生。为保证课程的灵活性，无论学生加载什么类型的操作系统，包括但不限于Windows.Linux等，屏幕广播功能都必须可以正常使用，且可选择声音（包括系统声音和麦克风声音）是否同步广播，是否可窗口化。（投标文件提供完整产品功能界面截图）</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130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 ★老师可创建自己的课程组，组内包含上这门课的学生账户。老师可在此课程组里发布作业，作业可按照时间排序，可编辑文字，上传附件，可设置作业提交截止日期。作业发布后，所有课程内的学生均可见，截止日期前可在平台完成作业提交。老师权限可以查看提交的人数，在平台批改.打分，并查看每个学生的得分，以及班级平均分。作业能够保存为模板，供后续快速布置。与此同时老师可选择评分优秀的作业进行公开展示，学生可对其评论和留言。（投标文件提供实际环境下完整产品功能演示的视频）</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 支持屏幕广播时电子教鞭，以便老师上课期间将所讲重点涂鸦，聚焦学生听课专注力。（投标文件提供完整产品功能界面截图）</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870"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6. 老师可以发起多种类型的随堂测试，包括：抢答.全班答题.随机答题等形式。题库可支持直接录入和文档导入。测试完成支持自动阅卷打分。测试的结果可计入学生积分系统，在校园空间的积分墙进行排名展示，任课老师可以此为参考，对学生的上课情况进行评估。（投标文件提供实际环境下完整产品功能演示的视频）</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7. 支持收发作业，可针对单个或多个学生收发作业，学生端通过UI界面主动提交作业发送到教师端，教师端可展示发送总的进度条。（投标文件提供完整产品功能界面截图）</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660"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8. ★支持教师端批量远程命令，可对全体学生的虚拟桌面进行远程控制，如同时全体打开IE浏览器.打开画板.关闭某程序等，且支持用户新增自定义远程命令。（投标文件提供完整产品功能界面截图）</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660"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9. 教师端可随时启用学生之间进行个别语音通话，无论学生是否进入了桌面都可以通过语音和其他学生进行一对一交流，同时学生也可以看到通话时间，教师端可看到学生通话状态。（投标文件提供完整产品功能界面截图）</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10. 教师端可随时开启自由发言模式，被指定的同学发言可以被全班同学听到，支持不少于4个人同时发言。（投标文件提供完整产品功能界面截图）</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660"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11. 教师端可随时开启电话会议模式，点击任意学生即可加入电话会议讨论组，且讨论内容不会被其他学生听到，最大支持不少于12个学生同时电话会议。（投标文件提供完整产品功能界面截图）</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660"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12. ★教师端可随时开启小组语音讨论模式。开启小组语音讨论后，各个小组内部交流的语音内容不会被其他学生听到。老师可以选择听取小组讨论的内容或者直接加入某个小组讨论。单个小组需要支持不少于</w:t>
            </w:r>
            <w:r>
              <w:rPr>
                <w:rFonts w:ascii="Calibri" w:hAnsi="Calibri" w:eastAsia="宋体" w:cs="Calibri"/>
                <w:color w:val="000000"/>
                <w:sz w:val="20"/>
                <w:szCs w:val="20"/>
                <w:lang w:val="en-US"/>
              </w:rPr>
              <w:t>10</w:t>
            </w:r>
            <w:r>
              <w:rPr>
                <w:rFonts w:hint="eastAsia" w:ascii="宋体" w:hAnsi="宋体" w:eastAsia="宋体" w:cs="宋体"/>
                <w:color w:val="000000"/>
                <w:sz w:val="20"/>
                <w:szCs w:val="20"/>
                <w:lang w:val="en-US"/>
              </w:rPr>
              <w:t>个学生同时讨论。（投标文件提供完整产品功能界面截图）</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660"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13. ★教师端可上课期间进行录屏，将上课内容完整上传至微课空间，以作为公开课或复习视频共享。学生登录微课空间后，可以查看微课视频点播进行学习，并可以进行点赞和评论，讨论。（投标文件提供完整产品功能界面截图）</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870"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14. ★老师可以选择多个教室组合进行统一上课。上课后，多个教室的学生被教师端集中管理，统一连接指定的虚拟桌面，老师可以查看各个教室学生的桌面情况。并实现跨教室的屏幕广播，远程协助等功能。下课后，教室里的终端又恢复受控于各个教室所属的教师端。（投标文件提供实际环境下完整产品功能演示的视频）</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660"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15. 教师端可新建画板，绘制白板，并共享给学生观看。可邀请学生一起绘制白板。教师绘制的白板，可选择让每个学生独立个人绘制，并且可让该学生的个人绘制共享给其他学生观看。（投标文件提供完整产品功能界面截图）</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16. 教师端支持一键将学生机开机.关机.重启.黑屏肃静.禁用USB.禁用互联网等操作。（投标文件提供完整产品功能界面截图）</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660"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17. 所投标的产品的生产厂家必须是自主研发产品，非OEM或贴牌产品，不允许借用第三方软件的整合，需要提供国家版权局颁发的《计算机软件著作权登记证书》，并提供证书复印件，以保证功能的可靠性和安全性。</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18. 为保证教学系统的兼容性，便于管理维护，要求所投云主机服务器.教师管理云终端.学生终端.教学管理软件.云桌面管理平台.交换机为同一品牌。</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19. ▲教师机终端产品需通过CCC认证、节能认证。提供证书复印件加盖原厂商公章。</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6</w:t>
            </w:r>
          </w:p>
        </w:tc>
        <w:tc>
          <w:tcPr>
            <w:tcW w:w="367"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键盘+鼠标</w:t>
            </w:r>
          </w:p>
        </w:tc>
        <w:tc>
          <w:tcPr>
            <w:tcW w:w="3842" w:type="pct"/>
            <w:tcBorders>
              <w:top w:val="single" w:color="000000" w:sz="12" w:space="0"/>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无线鼠标键盘套装</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1596</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套</w:t>
            </w:r>
          </w:p>
        </w:tc>
      </w:tr>
      <w:tr>
        <w:tblPrEx>
          <w:tblCellMar>
            <w:top w:w="15" w:type="dxa"/>
            <w:left w:w="15" w:type="dxa"/>
            <w:bottom w:w="15" w:type="dxa"/>
            <w:right w:w="15" w:type="dxa"/>
          </w:tblCellMar>
        </w:tblPrEx>
        <w:trPr>
          <w:trHeight w:val="285" w:hRule="atLeast"/>
        </w:trPr>
        <w:tc>
          <w:tcPr>
            <w:tcW w:w="251" w:type="pct"/>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7</w:t>
            </w:r>
          </w:p>
        </w:tc>
        <w:tc>
          <w:tcPr>
            <w:tcW w:w="367"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交换机</w:t>
            </w:r>
          </w:p>
        </w:tc>
        <w:tc>
          <w:tcPr>
            <w:tcW w:w="3842" w:type="pct"/>
            <w:tcBorders>
              <w:top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 国产品牌，交换容量≥</w:t>
            </w:r>
            <w:r>
              <w:rPr>
                <w:rFonts w:ascii="Calibri" w:hAnsi="Calibri" w:eastAsia="宋体" w:cs="Calibri"/>
                <w:color w:val="000000"/>
                <w:sz w:val="20"/>
                <w:szCs w:val="20"/>
                <w:lang w:val="en-US"/>
              </w:rPr>
              <w:t>330Gbps</w:t>
            </w:r>
            <w:r>
              <w:rPr>
                <w:rFonts w:hint="eastAsia" w:ascii="宋体" w:hAnsi="宋体" w:eastAsia="宋体" w:cs="宋体"/>
                <w:color w:val="000000"/>
                <w:sz w:val="20"/>
                <w:szCs w:val="20"/>
                <w:lang w:val="en-US"/>
              </w:rPr>
              <w:t>，包转发率≥</w:t>
            </w:r>
            <w:r>
              <w:rPr>
                <w:rFonts w:ascii="Calibri" w:hAnsi="Calibri" w:eastAsia="宋体" w:cs="Calibri"/>
                <w:color w:val="000000"/>
                <w:sz w:val="20"/>
                <w:szCs w:val="20"/>
                <w:lang w:val="en-US"/>
              </w:rPr>
              <w:t>50Mpps</w:t>
            </w:r>
            <w:r>
              <w:rPr>
                <w:rFonts w:hint="eastAsia" w:ascii="宋体" w:hAnsi="宋体" w:eastAsia="宋体" w:cs="宋体"/>
                <w:color w:val="000000"/>
                <w:sz w:val="20"/>
                <w:szCs w:val="20"/>
                <w:lang w:val="en-US"/>
              </w:rPr>
              <w:t>：</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84</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台</w:t>
            </w: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 MAC地址表≥</w:t>
            </w:r>
            <w:r>
              <w:rPr>
                <w:rFonts w:ascii="Calibri" w:hAnsi="Calibri" w:eastAsia="宋体" w:cs="Calibri"/>
                <w:color w:val="000000"/>
                <w:sz w:val="20"/>
                <w:szCs w:val="20"/>
                <w:lang w:val="en-US"/>
              </w:rPr>
              <w:t>16K</w:t>
            </w:r>
            <w:r>
              <w:rPr>
                <w:rFonts w:hint="eastAsia" w:ascii="宋体" w:hAnsi="宋体" w:eastAsia="宋体" w:cs="宋体"/>
                <w:color w:val="000000"/>
                <w:sz w:val="20"/>
                <w:szCs w:val="20"/>
                <w:lang w:val="en-US"/>
              </w:rPr>
              <w:t>，路由表容量≥</w:t>
            </w:r>
            <w:r>
              <w:rPr>
                <w:rFonts w:ascii="Calibri" w:hAnsi="Calibri" w:eastAsia="宋体" w:cs="Calibri"/>
                <w:color w:val="000000"/>
                <w:sz w:val="20"/>
                <w:szCs w:val="20"/>
                <w:lang w:val="en-US"/>
              </w:rPr>
              <w:t>512</w:t>
            </w:r>
            <w:r>
              <w:rPr>
                <w:rFonts w:hint="eastAsia" w:ascii="宋体" w:hAnsi="宋体" w:eastAsia="宋体" w:cs="宋体"/>
                <w:color w:val="000000"/>
                <w:sz w:val="20"/>
                <w:szCs w:val="20"/>
                <w:lang w:val="en-US"/>
              </w:rPr>
              <w:t>（支持</w:t>
            </w:r>
            <w:r>
              <w:rPr>
                <w:rFonts w:ascii="Calibri" w:hAnsi="Calibri" w:eastAsia="宋体" w:cs="Calibri"/>
                <w:color w:val="000000"/>
                <w:sz w:val="20"/>
                <w:szCs w:val="20"/>
                <w:lang w:val="en-US"/>
              </w:rPr>
              <w:t>OSPF</w:t>
            </w:r>
            <w:r>
              <w:rPr>
                <w:rFonts w:hint="eastAsia" w:ascii="宋体" w:hAnsi="宋体" w:eastAsia="宋体" w:cs="宋体"/>
                <w:color w:val="000000"/>
                <w:sz w:val="20"/>
                <w:szCs w:val="20"/>
                <w:lang w:val="en-US"/>
              </w:rPr>
              <w:t>）；</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 千兆电口≥</w:t>
            </w:r>
            <w:r>
              <w:rPr>
                <w:rFonts w:ascii="Calibri" w:hAnsi="Calibri" w:eastAsia="宋体" w:cs="Calibri"/>
                <w:color w:val="000000"/>
                <w:sz w:val="20"/>
                <w:szCs w:val="20"/>
                <w:lang w:val="en-US"/>
              </w:rPr>
              <w:t>24</w:t>
            </w:r>
            <w:r>
              <w:rPr>
                <w:rFonts w:hint="eastAsia" w:ascii="宋体" w:hAnsi="宋体" w:eastAsia="宋体" w:cs="宋体"/>
                <w:color w:val="000000"/>
                <w:sz w:val="20"/>
                <w:szCs w:val="20"/>
                <w:lang w:val="en-US"/>
              </w:rPr>
              <w:t>个，千兆</w:t>
            </w:r>
            <w:r>
              <w:rPr>
                <w:rFonts w:ascii="Calibri" w:hAnsi="Calibri" w:eastAsia="宋体" w:cs="Calibri"/>
                <w:color w:val="000000"/>
                <w:sz w:val="20"/>
                <w:szCs w:val="20"/>
                <w:lang w:val="en-US"/>
              </w:rPr>
              <w:t>SFP</w:t>
            </w:r>
            <w:r>
              <w:rPr>
                <w:rFonts w:hint="eastAsia" w:ascii="宋体" w:hAnsi="宋体" w:eastAsia="宋体" w:cs="宋体"/>
                <w:color w:val="000000"/>
                <w:sz w:val="20"/>
                <w:szCs w:val="20"/>
                <w:lang w:val="en-US"/>
              </w:rPr>
              <w:t>光口≥</w:t>
            </w:r>
            <w:r>
              <w:rPr>
                <w:rFonts w:ascii="Calibri" w:hAnsi="Calibri" w:eastAsia="宋体" w:cs="Calibri"/>
                <w:color w:val="000000"/>
                <w:sz w:val="20"/>
                <w:szCs w:val="20"/>
                <w:lang w:val="en-US"/>
              </w:rPr>
              <w:t>4</w:t>
            </w:r>
            <w:r>
              <w:rPr>
                <w:rFonts w:hint="eastAsia" w:ascii="宋体" w:hAnsi="宋体" w:eastAsia="宋体" w:cs="宋体"/>
                <w:color w:val="000000"/>
                <w:sz w:val="20"/>
                <w:szCs w:val="20"/>
                <w:lang w:val="en-US"/>
              </w:rPr>
              <w:t>个；</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 支持跨设备链路聚合，单一IP管理，分布式弹性路由</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 支持横向.纵向虚拟化技术，支持做PE端设备；</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6. 支持本地端口镜像和远程端口镜像RSPAN；</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7. 支持流镜像；</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8. 支持IPv4静态路由.RIP V1/V2.OSPF；</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9. 支持IPv6静态路由.RIPng；</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 xml:space="preserve">10. 支持RRPP， </w:t>
            </w:r>
            <w:r>
              <w:rPr>
                <w:rFonts w:ascii="Calibri" w:hAnsi="Calibri" w:eastAsia="宋体" w:cs="Calibri"/>
                <w:color w:val="000000"/>
                <w:sz w:val="20"/>
                <w:szCs w:val="20"/>
                <w:lang w:val="en-US"/>
              </w:rPr>
              <w:t>Smartlink</w:t>
            </w:r>
            <w:r>
              <w:rPr>
                <w:rFonts w:hint="eastAsia" w:ascii="宋体" w:hAnsi="宋体" w:eastAsia="宋体" w:cs="宋体"/>
                <w:color w:val="000000"/>
                <w:sz w:val="20"/>
                <w:szCs w:val="20"/>
                <w:lang w:val="en-US"/>
              </w:rPr>
              <w:t>，</w:t>
            </w:r>
            <w:r>
              <w:rPr>
                <w:rFonts w:ascii="Calibri" w:hAnsi="Calibri" w:eastAsia="宋体" w:cs="Calibri"/>
                <w:color w:val="000000"/>
                <w:sz w:val="20"/>
                <w:szCs w:val="20"/>
                <w:lang w:val="en-US"/>
              </w:rPr>
              <w:t>RSTP</w:t>
            </w:r>
            <w:r>
              <w:rPr>
                <w:rFonts w:hint="eastAsia" w:ascii="宋体" w:hAnsi="宋体" w:eastAsia="宋体" w:cs="宋体"/>
                <w:color w:val="000000"/>
                <w:sz w:val="20"/>
                <w:szCs w:val="20"/>
                <w:lang w:val="en-US"/>
              </w:rPr>
              <w:t>，</w:t>
            </w:r>
            <w:r>
              <w:rPr>
                <w:rFonts w:ascii="Calibri" w:hAnsi="Calibri" w:eastAsia="宋体" w:cs="Calibri"/>
                <w:color w:val="000000"/>
                <w:sz w:val="20"/>
                <w:szCs w:val="20"/>
                <w:lang w:val="en-US"/>
              </w:rPr>
              <w:t>MSTP</w:t>
            </w:r>
            <w:r>
              <w:rPr>
                <w:rFonts w:hint="eastAsia" w:ascii="宋体" w:hAnsi="宋体" w:eastAsia="宋体" w:cs="宋体"/>
                <w:color w:val="000000"/>
                <w:sz w:val="20"/>
                <w:szCs w:val="20"/>
                <w:lang w:val="en-US"/>
              </w:rPr>
              <w:t>，</w:t>
            </w:r>
            <w:r>
              <w:rPr>
                <w:rFonts w:ascii="Calibri" w:hAnsi="Calibri" w:eastAsia="宋体" w:cs="Calibri"/>
                <w:color w:val="000000"/>
                <w:sz w:val="20"/>
                <w:szCs w:val="20"/>
                <w:lang w:val="en-US"/>
              </w:rPr>
              <w:t>PVST</w:t>
            </w:r>
            <w:r>
              <w:rPr>
                <w:rFonts w:hint="eastAsia" w:ascii="宋体" w:hAnsi="宋体" w:eastAsia="宋体" w:cs="宋体"/>
                <w:color w:val="000000"/>
                <w:sz w:val="20"/>
                <w:szCs w:val="20"/>
                <w:lang w:val="en-US"/>
              </w:rPr>
              <w:t>功能；</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11. 整机提供ACl条目数不小于</w:t>
            </w:r>
            <w:r>
              <w:rPr>
                <w:rFonts w:ascii="Calibri" w:hAnsi="Calibri" w:eastAsia="宋体" w:cs="Calibri"/>
                <w:color w:val="000000"/>
                <w:sz w:val="20"/>
                <w:szCs w:val="20"/>
                <w:lang w:val="en-US"/>
              </w:rPr>
              <w:t>1K/512</w:t>
            </w:r>
            <w:r>
              <w:rPr>
                <w:rFonts w:hint="eastAsia" w:ascii="宋体" w:hAnsi="宋体" w:eastAsia="宋体" w:cs="宋体"/>
                <w:color w:val="000000"/>
                <w:sz w:val="20"/>
                <w:szCs w:val="20"/>
                <w:lang w:val="en-US"/>
              </w:rPr>
              <w:t>条，支持基于端口和</w:t>
            </w:r>
            <w:r>
              <w:rPr>
                <w:rFonts w:ascii="Calibri" w:hAnsi="Calibri" w:eastAsia="宋体" w:cs="Calibri"/>
                <w:color w:val="000000"/>
                <w:sz w:val="20"/>
                <w:szCs w:val="20"/>
                <w:lang w:val="en-US"/>
              </w:rPr>
              <w:t>VLAN</w:t>
            </w:r>
            <w:r>
              <w:rPr>
                <w:rFonts w:hint="eastAsia" w:ascii="宋体" w:hAnsi="宋体" w:eastAsia="宋体" w:cs="宋体"/>
                <w:color w:val="000000"/>
                <w:sz w:val="20"/>
                <w:szCs w:val="20"/>
                <w:lang w:val="en-US"/>
              </w:rPr>
              <w:t xml:space="preserve">的 </w:t>
            </w:r>
            <w:r>
              <w:rPr>
                <w:rFonts w:ascii="Calibri" w:hAnsi="Calibri" w:eastAsia="宋体" w:cs="Calibri"/>
                <w:color w:val="000000"/>
                <w:sz w:val="20"/>
                <w:szCs w:val="20"/>
                <w:lang w:val="en-US"/>
              </w:rPr>
              <w:t>ACL</w:t>
            </w:r>
            <w:r>
              <w:rPr>
                <w:rFonts w:hint="eastAsia" w:ascii="宋体" w:hAnsi="宋体" w:eastAsia="宋体" w:cs="宋体"/>
                <w:color w:val="000000"/>
                <w:sz w:val="20"/>
                <w:szCs w:val="20"/>
                <w:lang w:val="en-US"/>
              </w:rPr>
              <w:t>，支持</w:t>
            </w:r>
            <w:r>
              <w:rPr>
                <w:rFonts w:ascii="Calibri" w:hAnsi="Calibri" w:eastAsia="宋体" w:cs="Calibri"/>
                <w:color w:val="000000"/>
                <w:sz w:val="20"/>
                <w:szCs w:val="20"/>
                <w:lang w:val="en-US"/>
              </w:rPr>
              <w:t>IPv6 ACL</w:t>
            </w:r>
            <w:r>
              <w:rPr>
                <w:rFonts w:hint="eastAsia" w:ascii="宋体" w:hAnsi="宋体" w:eastAsia="宋体" w:cs="宋体"/>
                <w:color w:val="000000"/>
                <w:sz w:val="20"/>
                <w:szCs w:val="20"/>
                <w:lang w:val="en-US"/>
              </w:rPr>
              <w:t>，支持出方向</w:t>
            </w:r>
            <w:r>
              <w:rPr>
                <w:rFonts w:ascii="Calibri" w:hAnsi="Calibri" w:eastAsia="宋体" w:cs="Calibri"/>
                <w:color w:val="000000"/>
                <w:sz w:val="20"/>
                <w:szCs w:val="20"/>
                <w:lang w:val="en-US"/>
              </w:rPr>
              <w:t>ACL</w:t>
            </w:r>
            <w:r>
              <w:rPr>
                <w:rFonts w:hint="eastAsia" w:ascii="宋体" w:hAnsi="宋体" w:eastAsia="宋体" w:cs="宋体"/>
                <w:color w:val="000000"/>
                <w:sz w:val="20"/>
                <w:szCs w:val="20"/>
                <w:lang w:val="en-US"/>
              </w:rPr>
              <w:t>，以便于灵活实现数据包过滤；</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12. 支持802.1x认证，支持集中式</w:t>
            </w:r>
            <w:r>
              <w:rPr>
                <w:rFonts w:ascii="Calibri" w:hAnsi="Calibri" w:eastAsia="宋体" w:cs="Calibri"/>
                <w:color w:val="000000"/>
                <w:sz w:val="20"/>
                <w:szCs w:val="20"/>
                <w:lang w:val="en-US"/>
              </w:rPr>
              <w:t>MAC</w:t>
            </w:r>
            <w:r>
              <w:rPr>
                <w:rFonts w:hint="eastAsia" w:ascii="宋体" w:hAnsi="宋体" w:eastAsia="宋体" w:cs="宋体"/>
                <w:color w:val="000000"/>
                <w:sz w:val="20"/>
                <w:szCs w:val="20"/>
                <w:lang w:val="en-US"/>
              </w:rPr>
              <w:t>地址认证；</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13. 支持OPENFLOW 1.3标准支持普通模式和</w:t>
            </w:r>
            <w:r>
              <w:rPr>
                <w:rFonts w:ascii="Calibri" w:hAnsi="Calibri" w:eastAsia="宋体" w:cs="Calibri"/>
                <w:color w:val="000000"/>
                <w:sz w:val="20"/>
                <w:szCs w:val="20"/>
                <w:lang w:val="en-US"/>
              </w:rPr>
              <w:t xml:space="preserve">Openflow </w:t>
            </w:r>
            <w:r>
              <w:rPr>
                <w:rFonts w:hint="eastAsia" w:ascii="宋体" w:hAnsi="宋体" w:eastAsia="宋体" w:cs="宋体"/>
                <w:color w:val="000000"/>
                <w:sz w:val="20"/>
                <w:szCs w:val="20"/>
                <w:lang w:val="en-US"/>
              </w:rPr>
              <w:t>模式切换；</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14. 提供工信部入网证和检测报告复印件加盖原厂商公章。</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8</w:t>
            </w:r>
          </w:p>
        </w:tc>
        <w:tc>
          <w:tcPr>
            <w:tcW w:w="367" w:type="pct"/>
            <w:vMerge w:val="restar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教师桌椅</w:t>
            </w: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讲台台面高80厘米，长120厘米，宽60厘米。截面PVC封边条全自动封边机封边，颜色可定制 。</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28</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套</w:t>
            </w: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配合教师桌使用，钢制电镀，脚钉型（不含转轮），无靠背.非气动调高</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660" w:hRule="atLeast"/>
        </w:trPr>
        <w:tc>
          <w:tcPr>
            <w:tcW w:w="251" w:type="pc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9</w:t>
            </w:r>
          </w:p>
        </w:tc>
        <w:tc>
          <w:tcPr>
            <w:tcW w:w="367"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学生桌椅</w:t>
            </w: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学生桌符合QB/T 4071-2010课桌椅标准，环保达到E1级环保产品认证要求。桌面热压封边，边角光滑，全部使用环保材料，不得使用含塑化剂及苯甲醛类的材料。学生椅配合云教室学生电脑桌使用，木质面板钢制腿，脚钉型（不含转轮），无靠背.非气动调高</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1568</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套</w:t>
            </w:r>
          </w:p>
        </w:tc>
      </w:tr>
      <w:tr>
        <w:tblPrEx>
          <w:tblCellMar>
            <w:top w:w="15" w:type="dxa"/>
            <w:left w:w="15" w:type="dxa"/>
            <w:bottom w:w="15" w:type="dxa"/>
            <w:right w:w="15" w:type="dxa"/>
          </w:tblCellMar>
        </w:tblPrEx>
        <w:trPr>
          <w:trHeight w:val="435" w:hRule="atLeast"/>
        </w:trPr>
        <w:tc>
          <w:tcPr>
            <w:tcW w:w="251" w:type="pc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10</w:t>
            </w:r>
          </w:p>
        </w:tc>
        <w:tc>
          <w:tcPr>
            <w:tcW w:w="367"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设备机柜</w:t>
            </w: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22U机柜 尺寸约1200*600*1000 框架≥1.2mm，立柱≥2.0mm，带风扇，2个托盘</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28</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台</w:t>
            </w:r>
          </w:p>
        </w:tc>
      </w:tr>
      <w:tr>
        <w:tblPrEx>
          <w:tblCellMar>
            <w:top w:w="15" w:type="dxa"/>
            <w:left w:w="15" w:type="dxa"/>
            <w:bottom w:w="15" w:type="dxa"/>
            <w:right w:w="15" w:type="dxa"/>
          </w:tblCellMar>
        </w:tblPrEx>
        <w:trPr>
          <w:trHeight w:val="435" w:hRule="atLeast"/>
        </w:trPr>
        <w:tc>
          <w:tcPr>
            <w:tcW w:w="251" w:type="pc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11</w:t>
            </w:r>
          </w:p>
        </w:tc>
        <w:tc>
          <w:tcPr>
            <w:tcW w:w="367"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地板龙骨</w:t>
            </w: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地面方管合金龙骨 机柜处预留安装基础及方钢管散力加固。</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2240</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m2</w:t>
            </w:r>
          </w:p>
        </w:tc>
      </w:tr>
      <w:tr>
        <w:tblPrEx>
          <w:tblCellMar>
            <w:top w:w="15" w:type="dxa"/>
            <w:left w:w="15" w:type="dxa"/>
            <w:bottom w:w="15" w:type="dxa"/>
            <w:right w:w="15" w:type="dxa"/>
          </w:tblCellMar>
        </w:tblPrEx>
        <w:trPr>
          <w:trHeight w:val="285" w:hRule="atLeast"/>
        </w:trPr>
        <w:tc>
          <w:tcPr>
            <w:tcW w:w="251" w:type="pct"/>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12</w:t>
            </w:r>
          </w:p>
        </w:tc>
        <w:tc>
          <w:tcPr>
            <w:tcW w:w="367" w:type="pct"/>
            <w:vMerge w:val="restar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防静电地板</w:t>
            </w: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规格要求：PVC面全钢活动防尘防静电地板</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2240</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m2</w:t>
            </w: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面厚度≥35mm</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承重≥4000N/M2</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架空高度要求88-250mm可调</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要求防尘处理</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13</w:t>
            </w:r>
          </w:p>
        </w:tc>
        <w:tc>
          <w:tcPr>
            <w:tcW w:w="367"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辅材及安装</w:t>
            </w: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含网线.电源线及线路管材等辅材，具体需求请潜在投标人联系业主代表，现场踏勘。</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批</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批</w:t>
            </w:r>
          </w:p>
        </w:tc>
      </w:tr>
      <w:tr>
        <w:tblPrEx>
          <w:tblCellMar>
            <w:top w:w="15" w:type="dxa"/>
            <w:left w:w="15" w:type="dxa"/>
            <w:bottom w:w="15" w:type="dxa"/>
            <w:right w:w="15" w:type="dxa"/>
          </w:tblCellMar>
        </w:tblPrEx>
        <w:trPr>
          <w:trHeight w:val="285" w:hRule="atLeast"/>
        </w:trPr>
        <w:tc>
          <w:tcPr>
            <w:tcW w:w="5000" w:type="pct"/>
            <w:gridSpan w:val="5"/>
            <w:tcBorders>
              <w:left w:val="single" w:color="000000" w:sz="12" w:space="0"/>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四.精品录播教室</w:t>
            </w:r>
          </w:p>
        </w:tc>
      </w:tr>
      <w:tr>
        <w:tblPrEx>
          <w:tblCellMar>
            <w:top w:w="15" w:type="dxa"/>
            <w:left w:w="15" w:type="dxa"/>
            <w:bottom w:w="15" w:type="dxa"/>
            <w:right w:w="15" w:type="dxa"/>
          </w:tblCellMar>
        </w:tblPrEx>
        <w:trPr>
          <w:trHeight w:val="285" w:hRule="atLeast"/>
        </w:trPr>
        <w:tc>
          <w:tcPr>
            <w:tcW w:w="251" w:type="pct"/>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w:t>
            </w:r>
          </w:p>
        </w:tc>
        <w:tc>
          <w:tcPr>
            <w:tcW w:w="367" w:type="pct"/>
            <w:vMerge w:val="restart"/>
            <w:tcBorders>
              <w:top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校级资源管理平台</w:t>
            </w:r>
          </w:p>
        </w:tc>
        <w:tc>
          <w:tcPr>
            <w:tcW w:w="3842" w:type="pct"/>
            <w:tcBorders>
              <w:top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基础管理</w:t>
            </w:r>
          </w:p>
        </w:tc>
        <w:tc>
          <w:tcPr>
            <w:tcW w:w="269" w:type="pct"/>
            <w:vMerge w:val="restart"/>
            <w:tcBorders>
              <w:top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19</w:t>
            </w:r>
          </w:p>
        </w:tc>
        <w:tc>
          <w:tcPr>
            <w:tcW w:w="269" w:type="pct"/>
            <w:vMerge w:val="restart"/>
            <w:tcBorders>
              <w:top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套</w:t>
            </w: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1.★录播管理：支持把录播设备接入平台，实现自动转码、无缝直播点播，并具备多画面直播和点播功能。</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2.用户管理：支持用户的初始化导入.用户组管理.用户权限管理，为教师.学生提供注册.个人信息管理等服务，提供注册审核机制.班级管理，可查看相关班级的学生和查看课表等功能。</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660"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3.数据存储：要求平台采用引用计数和垃圾回收技术，实现一个物理文件可多级平台共同使用，该文件被某处删除不影响其他用户使用。系统自动判断当每级平台都不需要此资源时再自动删除。</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4.运行支持：支持定义当前站点的服务器配置参数，维护使用手册,方便下载使用等。</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5.基础数据：支持对学科.学段.年级.目录等相关的维护，用于门户面资源目录的筛选，减轻用户手动修改目录等工作。</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6.教室管理：支持对当前平台的教室进行管理.以及相关设备的查看。</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7.一键置灰：国家重大事件发生时，可一键将平台设置为灰色风格。</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8.平台信息设置：中英文名称.平台logo等相关配置。</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个人空间</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1.个人信息服务：支持用户对个人资料.登录密码进行编辑管理。</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2.消息服务：支持消息的自动发送和接收，并要求系统自动区分消息的来源如系统消息，便于分类管理。</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3.资源服务：支持用户在个人空间上传.管理及搜索自己的资源。支持用户对资源进行收藏，将课件.教案等资源与课堂录像进行关联。</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4.★录播预约：支持教师通过课表对录播教室进行预约，并可设置是否直播。设置为直播后，首页会显示直播预告。预约成功后，课堂录像将自动上传至主讲人个人空间。</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5.★在线编辑：对原视频进行裁剪，自由拼接.生成新视频并发布；要求提供文字轨道.视频轨道.台标等编辑功能。</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6.我的课表：支持我的课表查询.课表约课和自主约课等功能；我的班级：授课班级，并且可以查看授课班级的学生.编辑.训练模型等操作。</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7.我的教研：支持查看听课任务，以及记录听课进度等；我申请的优课评选，以及得奖的课程；创建/编辑磨课组，并添加课例等功能；</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8.我的评审</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1）我的评审：汇总我的评审任务，包含优课评选评审.听课评审和磨课等；</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2）我的被评：汇总了我被评的课程，包含优课评选.听课评审和磨课等；</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资源管理</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1.资源目录：要求资源目录按照要求版本学科册章节分类预制，减轻管理员工作量，用户可根据实际需求手动修改目录。</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2.★资源统计：要求统计区域下属学校的资源数量及排行，以及按学科统计平台的资源情况及学科资源数排行。</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3.★文档预览：支持对教案.课件.习题等文档及图片作为附件进行在线预览，类似百度文库的展示效果。</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4.资源应用：</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1)用户可对资源进行收藏.下载.分享等操作，支持用户对资源进行评论和在线交流。</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2)量表评分：支持用户在点播观看的视频可以通过系统提供的量表进行在线打分评价。</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3)★打点和片段评议：支持用户在点播观看课程录像的同时可以对精彩的教学环节点和片段进行在线打点记录。</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4)扫码观看：支持通过使用移动端的设备进行扫码分享和手机观看。</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5)标签管理：资源发布时，用户可以选择手动填写标签，为资源的搜索提供便利</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6)资源搜索：支持多种搜索条件进行组合搜索，同时也支持用户可通过标题.主讲人.标签的文本快速搜索资源。</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660"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7)★资源评估：支持用户对课堂视频录像进行量化评估，可根据实际的教学评估要求设置多套评估标准，每套评估标准可设置不同的总分，可设置多项评估项目，每项评估项目可设置多项评估子项，可满足不同的评估要求。</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8)管理员可设置资源分类审核，使学科管理员只管理本学科资源。管理员可关闭审核开关，设置免审核模式，教师提交的资源可自动发布到优课中心。</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课表管理</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1.教室课表：可根据日历.课表查看和添加相应的课表，也可批量导入相应课表。</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2.教室课表：可根据不同教师查看课表，也可进行约课。</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3.课表查询：对课程预约的课程查询以及管理。</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4.节次方案：设置教室相应的时间节次方案。</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5.预约设置：设置教师自主预约教室的权限及限制条件。</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视频点播</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视频资源特性：</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1）flash播放器：支持基于flash播放器视频播放，用户不需要再额外安装其它播放器等。</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2）无缓冲播放：支持视频直接拖拽播放，不需缓冲。</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3）资源模式：支持多画面资源模式点播，如以三分屏的方式同步播放教师画面.学生画面.课件画面。</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4）台标：播放器可以加台标,台标格式支持PNG图片格式文件。</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5）★视频索引：支持平台按照PPT索引，自动或手动生成知识点片段视频，知识点标识内嵌于视频播放口界面，观看视频时可以通过点击索引自动播放相应时间点视频片段。</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6）★多码率支持：要求转码时支持标清.高清.超清等多种清晰度设置，播放时可在播放器窗口进行切换。</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视频直播</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.课程视图：除支持直播协议.直播预约.检索等通用直播功能外，还要求平台具有教育行业特性</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1）★S-T分析：平台根据直播课堂实况，自动分析本节课的课堂行为，教师.学生.及互动行为占比并自动画出行为曲线；根据数据自动分析本节课的课堂类型，给教师提供参考。</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2）直播互动：支持直播过程中，同时在线的用户之间进行在线探讨，类似QQ群聊的互动效果，支持量表打分。</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3）直播反馈：直播结束后系统会将视频和评论记录自动上传到教师的个人空间，供教师进行课后反思。</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4）直播分享：直播过程中，用户可分享所观看的直播，系统会自动生成二维码和链接地址。</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5）匿名观看：支持匿名用户可以观看直播的权限，满足不同区域.学校的需求。</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6）上推下达：区域内各个学校预约的直播信息可以直接推送到区平台中显示，实现子站直播预告信息的父站推送显示。便于区领导随时进入直播进行观看。</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7）自定义预约时间：支持用户可以自选直播的开始时间和结束时间，不局限于只能按课表预约，方便用户灵活使用。</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8）量表评分：支持为直播设置评分量表，在看直播时对课程进行量表打分。</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9）★直播时移：直播开始后，支持拖动播放器的时间轴，回放直播。</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2.预约直播时可设置观看密码，看直播时需要输入正确的密码才能看。</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通知公告</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1.公告编辑：支持管理员在后台进行公告的编辑和修改功能，支持设定不同的公告类型。</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2.发布公告：支持公告的快速发布，发布的公告直接在首页面显示，也支持可以将父站公告推送到下级子站点，方便用户能够快速的了解。</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专辑</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支持用户可以按资源的自定义专辑分类，且可以对资源进行提交与发布。</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要求具有以下功能：</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1.自定义专辑分类：支持用户可以实现频道加专题的两级资源分类，便于用户实现资源的细分管理和展示。</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2.资源提交与发布：支持用户可将资源提交通过审核后发布展示在对应的专辑模块供其它用户学习观看。</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3.支持将发布的专题在首页展示，用户登陆平台后可直接进入自己喜爱的专辑进行浏览和点播观看</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智播</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660"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1.★支持通过ios和android移动设备如：手机的摄像头将正在进行的活动实况画面推送至平台实现现场直播，用户可以随时随地的登陆平台观看，并且这种直播方式不需要借助录播设备即可开展。</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2.★用户可在web端观看移动端推送的直播流，并支持在线讨论。</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3.支持在线查看优课.微课.专辑.名师.精品推荐等课程。</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4.支持对视频的点赞.收藏.分享等操作。</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5.支持查看平台以及手机相关直播，支持点赞，评论等。</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微信平台</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微信平台具有二维码扫描.支持点播直播评论等多种功能。可以发表学校的官方公告。</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要求具有以下功能：</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1.★微信平台直播：支持通过微信平台可以查看到直播预约的课堂信息，直播开始后可以直接通过微信观看直播，同时且可以发表相关的评论。</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2.微信平台点播：支持通过资源目录显示所有资源的分类，用户可快速查找并点播录像视频进行观看，观看同时也可以发表相关的评论。</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3.微信平台微课：支持用户在线观看微课，支持对微课进行资源目录的分类筛选，支持对微课进行评论。</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4.★微信平台分享和收藏：支持用户可将课程录像或者直播预告发送的朋友圈或者推送给指定的好友，并且可以进行直播预告以及录像的收藏以便快速查看。</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5.微信平台公告：支持用户通过微信平台也可以浏览发布的通知公告。</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660" w:hRule="atLeast"/>
        </w:trPr>
        <w:tc>
          <w:tcPr>
            <w:tcW w:w="251" w:type="pc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w:t>
            </w:r>
          </w:p>
        </w:tc>
        <w:tc>
          <w:tcPr>
            <w:tcW w:w="367"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互动服务器</w:t>
            </w: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CPU:Intel Xeon Silver 4210 2颗  主频2.2GHZ, 十核心</w:t>
            </w:r>
            <w:r>
              <w:rPr>
                <w:rFonts w:hint="eastAsia" w:ascii="宋体" w:hAnsi="宋体" w:eastAsia="宋体" w:cs="宋体"/>
                <w:color w:val="000000"/>
                <w:sz w:val="20"/>
                <w:szCs w:val="20"/>
                <w:lang w:val="en-US"/>
              </w:rPr>
              <w:br w:type="textWrapping"/>
            </w:r>
            <w:r>
              <w:rPr>
                <w:rFonts w:hint="eastAsia" w:ascii="宋体" w:hAnsi="宋体" w:eastAsia="宋体" w:cs="宋体"/>
                <w:color w:val="000000"/>
                <w:sz w:val="20"/>
                <w:szCs w:val="20"/>
                <w:lang w:val="en-US"/>
              </w:rPr>
              <w:t>内存：2*32GB  DDR4-2933</w:t>
            </w:r>
            <w:r>
              <w:rPr>
                <w:rFonts w:hint="eastAsia" w:ascii="宋体" w:hAnsi="宋体" w:eastAsia="宋体" w:cs="宋体"/>
                <w:color w:val="000000"/>
                <w:sz w:val="20"/>
                <w:szCs w:val="20"/>
                <w:lang w:val="en-US"/>
              </w:rPr>
              <w:br w:type="textWrapping"/>
            </w:r>
            <w:r>
              <w:rPr>
                <w:rFonts w:hint="eastAsia" w:ascii="宋体" w:hAnsi="宋体" w:eastAsia="宋体" w:cs="宋体"/>
                <w:color w:val="000000"/>
                <w:sz w:val="20"/>
                <w:szCs w:val="20"/>
                <w:lang w:val="en-US"/>
              </w:rPr>
              <w:t>硬盘：2.4T (600GB  SAS HDD 4片)</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台</w:t>
            </w:r>
          </w:p>
        </w:tc>
      </w:tr>
      <w:tr>
        <w:tblPrEx>
          <w:tblCellMar>
            <w:top w:w="15" w:type="dxa"/>
            <w:left w:w="15" w:type="dxa"/>
            <w:bottom w:w="15" w:type="dxa"/>
            <w:right w:w="15" w:type="dxa"/>
          </w:tblCellMar>
        </w:tblPrEx>
        <w:trPr>
          <w:trHeight w:val="435" w:hRule="atLeast"/>
        </w:trPr>
        <w:tc>
          <w:tcPr>
            <w:tcW w:w="251" w:type="pct"/>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w:t>
            </w:r>
          </w:p>
        </w:tc>
        <w:tc>
          <w:tcPr>
            <w:tcW w:w="367" w:type="pct"/>
            <w:vMerge w:val="restar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录播主机</w:t>
            </w: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1.★专业一体化嵌入式设计，1U机箱，ARM 双核处理器 Linux系统 ，内置2T硬盘，最大可扩展4T；</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19</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台</w:t>
            </w:r>
          </w:p>
        </w:tc>
      </w:tr>
      <w:tr>
        <w:tblPrEx>
          <w:tblCellMar>
            <w:top w:w="15" w:type="dxa"/>
            <w:left w:w="15" w:type="dxa"/>
            <w:bottom w:w="15" w:type="dxa"/>
            <w:right w:w="15" w:type="dxa"/>
          </w:tblCellMar>
        </w:tblPrEx>
        <w:trPr>
          <w:trHeight w:val="870"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2.★具备前置≥2.2寸LED彩色液晶屏，配合前置按键可直接设置主机的IP地址.导出录像文件，可以查看主机的系统信息.基本信息.通道信息.云平台信息等；前置开始.暂停.停止按键，控制录制进程并有相应LED灯显示当前工作状态；前置4个USB端口（USB3.0*1，USB2.0*3），插入USB存储设备后可导出录像资源；前置音频监听输出；</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3.★视频模块：支持5路HD-SDI输入，1路DVI-I输入，2路HDMI输入，支持1路VGA输出，1路HDMI输出，一路DVI环出输出，1路SDI输出；</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4.视频采集方式：硬件采集.编码；</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5.视频编码类型：H.264；</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6.输入3G/HD-SDI视频格式：1920*1080p/1280*720p@60/50/30/25fps，1920*1080i@60/50fps.1280*720p@60/50/30/25fps；</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7.输入HDMI/VGA格式：支持1024*768p@60到1920x1080p@60；</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8.视频编码帧率：25fps 5/10/15/20/25/30可选；</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9.视频编码分辨率：最高1920 x 1080；</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10.视频编码码率：256k~8M可调；主码流（录制）1M~8Mbps，副码流（直播）256K~1Mbps；</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870"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11.★音频模块：录播工作站内置音频采集模块，话筒输入（48V幻象）*6.MIC输入*1话筒，频响 100hz-10Khz  -3db；1路线路输入，线路频响 20hz-19khz  ±1db；信噪比 ＞65db，失真度＜0.1%，音频编码类型：AAC，音频采样率32KHz ，1路音频监听（前面板），具有自动增益功能：控制范围≥40db ，起控点-30db，自带增益时间常数 ＜1秒；</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12. ★控制模块：6路RS232可外接跟踪机.控制面板.摄像机云台等.1路RS422或RS485可控制摄像机等外部设备；</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13. ★网络模块：具备2个10/100/1000Mbps自适应网口；</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14.直播协议支持标准的RTMP协议，支持RTSP实时协议流；网络协议支持TCP.UDP.RTMP.RTSP.FTP协议等；</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15.★支持本地导播方式，插上显示屏，鼠标键盘就可以完成本地无延迟导播，可扩展硬件导播台；</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16.★设备支持POC供电，实现高清视频.同轴等信号与供电电源复合一起，在一根同轴线上传输为摄像机供电；</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17. ★支持EPTZ电子云台，在采用两台4K高清摄像机的情况下，可实现教师全景.教师特写.学生全景.学生特写四个画面的拍摄；</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18.★互动功能：支持设备之间点对点互动功能，实现1拖3教学互动；</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19.★支持扩展AI功能，实现对课堂教学行为的分析；</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bottom w:val="single" w:color="000000" w:sz="12" w:space="0"/>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20.▲为确保产品可用性，要求录播主机平均无故障运行时间(MTBF)不低于 12 万小时,需提供第三方权威检测机构出具的检测报告复印件加盖原厂商公章</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w:t>
            </w:r>
          </w:p>
        </w:tc>
        <w:tc>
          <w:tcPr>
            <w:tcW w:w="367" w:type="pct"/>
            <w:vMerge w:val="restar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高清录播系统软件</w:t>
            </w: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1.★支持对设备的录制编码.帧率.IP地址.内置时间.视频输出.互动功能等参数进行设置；(提供对应的软件截图及权威机构出具的功能检测报告)</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19</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套</w:t>
            </w: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2.支持本地导播和web远程导播两种导播方式，两种导播方式中设置操作及相关信息一致；支持云台控制.画中画设置.特效切换.台标字幕及片头片尾设置.录播开始.暂停.停止等设置操作。</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870"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3.★支持电影模式.资源模式及“电影+资源”模式三种直播模式，其中资源模式最多支持6路视频图像，“电影+资源”模式最多支持7路视频图像，包含6路资源模式视频图像及1路电影模式视频图像；直播是采用Flash Player进行播放，支持多用户操作；支持标准的RTMP直播协议，可推送到FMS服务器进行大规模的直播观看；(提供对应的软件截图及权威机构出具的功能检测报告)</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660"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4.支持单流单画面的电影模式.多流多画面的资源模式以及单流多画面的“电影+资源”模式，可以单独录制也可以同时录制；支持在同一设备完成6路视频同时录制，所生成文件在同一文件夹。(提供对应的软件截图及权威机构出具的功能检测报告)</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870"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5. ★具备独立的页面可以显示系统当前的录像模式.录像状态.录像时间.直播状态.磁盘空间信息.视频源是否启用等信息，此页面亦包含电影模式画面.VGA信号及4路SDI视频信号的分辨率.录制编码.录制帧率.I帧间隔及直播地址等信息，满足管理人员基于一个页面即可查询到上述信息。(提供对应的软件截图及权威机构出具的功能检测报告)</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6.支持在电影画面中添加台标.字幕，可以插入片头.片尾；支持台标更换及台标位置选择；支持图片.视频等格式文件的片头片尾，支持片头片尾时间选择：1-5s；</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660"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7.★可以提供多种画中画模式，支持提供15种已设定好的画中画模式，如大小.左右.平铺.三分屏.四分屏.全景等画中画模式，支持交换功能，方便画面快速对调；(提供对应的软件截图及权威机构出具的功能检测报告)</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660"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8.★支持直切.擦除.覆盖.推拉模式的特效，每种模式提供8种特效；系统亦具备提供4种不同上述方式的特效，所有特效为系统自带，无须手动定义；特效的过渡时间支持设定为0.5S.0.8S.1.0S.1.2S。(提供对应的软件截图及权威机构出具的功能检测报告)</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660"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9. 可以提供预编辑录制窗口（PVW）和录制窗口（PGM），录制时辅助人员可在预编辑窗口完成对视频的编辑，如添加字幕.台标.设置画中画等，设置完成后可直接推送到直播/电影模式窗口，进行录制及直播。(提供对应的软件截图及权威机构出具的功能检测报告)</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10.只需要一根VGA或HDMI线缆即可完成教师机画面采集与侦测，无需安装辅助软件。</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1.录像文件支持设置对应的学年学期.课程名称.学校院系.授课地点.学校代码.学科名称.授课教师.开课时间.授课年级.授课课时及课程描述等教学信息。</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660"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12.具备录像管理功能，支持显示已有文件的列表，并进行点播.下载.修改属性.删除等操作；录制后的视频可支持自动上传云平台个人空间且自动删除本地文件；支持磁盘格式化.磁盘满载后不录制或覆盖。</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660"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13.支持5路摄像机云台控制，可对摄像机进行上下左右.变倍.聚焦.光圈控制，系统针对每路摄像机均提供5种固定位变焦，用户可以直接调用，无需手动调节；每个摄像机可设置8个预置位；摄像机光圈和聚焦设置提供手动和自动设置按钮。</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14.跟踪功能支持自动.手动及半自动三种跟踪模式；</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15. ★具备POC供电功能是否启用的总开关和5路摄像机的POC供电功能的独立开关设置。(提供对应的软件截图及权威机构出具的功能检测报告)</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16. ★具备互动设置功能，可以实现录播工作站之间直接进行教学互动，支持1台录播工作站同时和3台录播工作站进行互动。(提供权威机构出具的功能检测报告)</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870"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17.★具备公网互动设置窗口，可以设定本机ID.本地端口.服务器IP及服务器端口；可以手动增加本地互动用户信息，可以实现本地用户列表的导入导出；系统可以保存常用互动用户的列表，用户可以任意选择在线的用户进行教学互动；(提供对应的软件截图及权威机构出具的功能检测报告)</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660"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bottom w:val="single" w:color="000000" w:sz="12" w:space="0"/>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18. ★可以设置互动时采用单屏显示或是双屏显示，具备本地显示设置功能；互动时主讲端和听讲端的画面可以从设备输入的摄像机画面或VGA画面中自定义选择；(提供对应的软件截图及权威机构出具的功能检测报告)</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w:t>
            </w:r>
          </w:p>
        </w:tc>
        <w:tc>
          <w:tcPr>
            <w:tcW w:w="367" w:type="pct"/>
            <w:vMerge w:val="restar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在线互动课堂</w:t>
            </w: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1.基础要求</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19</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套</w:t>
            </w: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★支持不少于1对8的教学互动应用，听讲教室超过8间时，主讲教室抬头屏可以通过定时轮询的方式进行听讲教室画面的显示；主讲教师可以控制参与互动的听讲教室；</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系统支持授课模式，互动模式及讨论模式三种应用模式；</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★系统支持同屏互动功能，实现主讲端与听讲端在相同的课件内容上进行同屏批注互动；</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系统支持标准的SIP或H.323协议，支持与第三方互动产品进行对接实现互联互通；</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2.系统功能：</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★一键上课：点击按钮，系统自动获取服务器互动预约信息，查找当前时间段该教室能够加入的课堂。如果有可加入的课堂，则会自动加入，否则会提示：很遗憾，该时间段无预约互动课程；</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课表：在“课表”功能项可以查看当前教室的所有课程表安排以及课程状态；</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通过课表可清晰查看本周的课程信息，1 哪些已经结束，点击可进行课程回放，2 哪些与本教室相关课程正在进行中，点击后可进入互动课堂，3 未开始的都哪些课程在预约中；</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创建课堂：点击“创建课堂”显示当前互动平台注册的终端设备，可点击进行选中和删除，选中后确认无误，点确定进行开课；</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进入课堂：加入互动课堂的方式有2 种，1）通过获取的互动课程号，输入后即刻加入；2）查阅下方互动课堂开启记录，如该互动课程还未结束，可点击“进入课堂”即刻加入互动；</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拨号直呼：在此页面可输入设备的IP或SIP账号，进行局域网间音视频互动的功能。</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3.教学功能：</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★课件投屏：点击后可将本地课件画面显示在一体机屏幕上，同时远端学生也可看到，此时教师端可使用触控功能操控该教学大屏的所有功能，比如页面内的文本，音频，视频，网页等；</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笔记标注：点击后可使用鼠标/触控进行笔记的轨迹标注，可设定画笔颜色进行划线，圈，框，以及擦除等功能；</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电子白板：点击后自动生成电子白板，使用一体机触屏操作开展互动教学，无需键鼠.遥控等额外繁琐设备的使用，触屏操作是最适应教师讲课习惯的操作方式；</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互动听讲：点击后显示本地互动课堂中所有的听讲端，点击听讲端名称，切换为互动模式，画面布局为平铺模式；</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讨论模式：点击后，将所有参与端进行平铺窗口显示，此时，大家的音视频均能互通，实现即时讨论的效果；</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授课模式：点击后即进入授课模式，页面布局变化为主讲模式；</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bottom w:val="single" w:color="000000" w:sz="12" w:space="0"/>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离开课堂：点击后将离开课堂。</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6</w:t>
            </w:r>
          </w:p>
        </w:tc>
        <w:tc>
          <w:tcPr>
            <w:tcW w:w="367" w:type="pct"/>
            <w:vMerge w:val="restar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高清摄像机</w:t>
            </w: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1.信号系统：HD: 1080P60/50/30/25, 1080i60/50,720P60/50/30/25,SD: 480i, 576i；</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76</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台</w:t>
            </w: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2.★成像器件：1/2.7英寸 CMOS；有效像素：207万；</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3.扫描方式：逐行；</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4.镜头：12x, f3.5mm ~ 42.3mm, F1.8 ~ F2.8，32x数字变焦(可选)；</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lang w:val="en-US"/>
              </w:rPr>
            </w:pPr>
            <w:r>
              <w:rPr>
                <w:rFonts w:hint="eastAsia" w:ascii="宋体" w:hAnsi="宋体" w:eastAsia="宋体" w:cs="宋体"/>
                <w:color w:val="000000"/>
                <w:sz w:val="20"/>
                <w:szCs w:val="20"/>
                <w:lang w:val="en-US"/>
              </w:rPr>
              <w:t>5.最低照度：0.5Lux @ (F1.8, AGC ON)；</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lang w:val="en-US"/>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lang w:val="en-US"/>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lang w:val="en-US"/>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lang w:val="en-US"/>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6.快门：1/30s ~ 1/10000s；</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7.白平衡：自动, 3000K/室内, 4000K, 5000K/室外, 6500K_1, 6500K_2, 6500K_3, 一键式, 手动；</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8.背光补偿：支持；</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9.数字降噪：2D&amp;3D数字降噪；</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10.信噪比：≥55Db；</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11.水平转动范围：±170°，水平转动速度范围：1.7° ~ 100°/s；</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12.垂直转动范围：-30° ~ +90°，垂直转动速度范围：1.7° ~ 69.9°/s；</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13.图像冻结：支持；</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14.本地存储：支持；</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15.预置位数量：255；</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16.视频编码：H.265/H.264/MJEPG；</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17.视频码流：主码流，辅码流；主码流分辨率支持1920x1080, 1280x720, 1024x576，辅码流分辨率支持720x576, 720x480, 320x240；</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18.视频码率及控制：128Kbps ~ 8192Kbps， 支持可变码率, 固定码率；</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19.帧率：50Hz: 1fps ~ 50fps, 60Hz: 1fps ~ 60fps；</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20.音频压缩标准及码率：AAC，码率支持96Kbps, 128Kbps, 256Kbps可调；</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2.支持协议：TCP/IP, HTTP, RTSP, RTMP, Onvif, DHCP, 组播等；</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22.★视频输出：1路3G-SDI.HDMI.RJ45网络，三路接口可同时输出，支持1路CVBS输出；</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23.音频输出：1路 Line In, 3.5mm 音频接口；</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24.USB接口：1路USB 2.0, A型插座；</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bottom w:val="single" w:color="000000" w:sz="12" w:space="0"/>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25.通讯接口:1路RS232输入和输出，1路RS485；26) 电源：DC12V；</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7</w:t>
            </w:r>
          </w:p>
        </w:tc>
        <w:tc>
          <w:tcPr>
            <w:tcW w:w="367" w:type="pct"/>
            <w:vMerge w:val="restar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跟踪主机</w:t>
            </w: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1.嵌入式硬件结构，ARM处理器，Linux系统；</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19</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台</w:t>
            </w: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2.主机前置面板具备开关按钮，通电后可以手动开启设备，配备相关指示灯显示主机当前工作状态；</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3.★1U，19英寸标准机架式设计；</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4.内置Web平台，可根据教学现场定义跟踪策略和各种不同模式；</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660"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5.支持空间网格跟踪技术，老师授课的同时，不需要他人帮助而自动完成授课全过程的录制，老师身上无需佩戴任何设备便可实现在全教室无盲区自动跟踪，在录播过程中，授课教师可以自主的控制开始和结束；</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6.★10个串口，1路VGA out，1路HDMI out，1个USB口，1个console，6个RJ45网口（带POE供电）；</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7.★主机背板有三孔电源接口直接采用交流220V供电，不接受电源适配器直流供电。</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bottom w:val="single" w:color="000000" w:sz="12" w:space="0"/>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8.▲为了兼容性.稳定性及后期的升级维护，要求与录播主机同品牌，提供检测报告复印件并加盖厂家公章。</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1305" w:hRule="atLeast"/>
        </w:trPr>
        <w:tc>
          <w:tcPr>
            <w:tcW w:w="251" w:type="pc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8</w:t>
            </w:r>
          </w:p>
        </w:tc>
        <w:tc>
          <w:tcPr>
            <w:tcW w:w="367"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图像探测器（教师）</w:t>
            </w:r>
          </w:p>
        </w:tc>
        <w:tc>
          <w:tcPr>
            <w:tcW w:w="3842" w:type="pct"/>
            <w:tcBorders>
              <w:bottom w:val="single" w:color="000000" w:sz="12" w:space="0"/>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1.图像跟踪定位.彩色小半球摄像机，方便上下左右全方位调节；</w:t>
            </w:r>
            <w:r>
              <w:rPr>
                <w:rFonts w:hint="eastAsia" w:ascii="宋体" w:hAnsi="宋体" w:eastAsia="宋体" w:cs="宋体"/>
                <w:color w:val="000000"/>
                <w:sz w:val="20"/>
                <w:szCs w:val="20"/>
                <w:lang w:val="en-US"/>
              </w:rPr>
              <w:br w:type="textWrapping"/>
            </w:r>
            <w:r>
              <w:rPr>
                <w:rFonts w:hint="eastAsia" w:ascii="宋体" w:hAnsi="宋体" w:eastAsia="宋体" w:cs="宋体"/>
                <w:color w:val="000000"/>
                <w:sz w:val="20"/>
                <w:szCs w:val="20"/>
                <w:lang w:val="en-US"/>
              </w:rPr>
              <w:t>2.探测角度：90°；</w:t>
            </w:r>
            <w:r>
              <w:rPr>
                <w:rFonts w:hint="eastAsia" w:ascii="宋体" w:hAnsi="宋体" w:eastAsia="宋体" w:cs="宋体"/>
                <w:color w:val="000000"/>
                <w:sz w:val="20"/>
                <w:szCs w:val="20"/>
                <w:lang w:val="en-US"/>
              </w:rPr>
              <w:br w:type="textWrapping"/>
            </w:r>
            <w:r>
              <w:rPr>
                <w:rFonts w:hint="eastAsia" w:ascii="宋体" w:hAnsi="宋体" w:eastAsia="宋体" w:cs="宋体"/>
                <w:color w:val="000000"/>
                <w:sz w:val="20"/>
                <w:szCs w:val="20"/>
                <w:lang w:val="en-US"/>
              </w:rPr>
              <w:t>3.成像器件：1/3 SONY super HAD CCD; 420TVL；自动增益，自动白平衡，EV补偿；</w:t>
            </w:r>
            <w:r>
              <w:rPr>
                <w:rFonts w:hint="eastAsia" w:ascii="宋体" w:hAnsi="宋体" w:eastAsia="宋体" w:cs="宋体"/>
                <w:color w:val="000000"/>
                <w:sz w:val="20"/>
                <w:szCs w:val="20"/>
                <w:lang w:val="en-US"/>
              </w:rPr>
              <w:br w:type="textWrapping"/>
            </w:r>
            <w:r>
              <w:rPr>
                <w:rFonts w:hint="eastAsia" w:ascii="宋体" w:hAnsi="宋体" w:eastAsia="宋体" w:cs="宋体"/>
                <w:color w:val="000000"/>
                <w:sz w:val="20"/>
                <w:szCs w:val="20"/>
                <w:lang w:val="en-US"/>
              </w:rPr>
              <w:t>4.水平清晰度：420TVL；</w:t>
            </w:r>
            <w:r>
              <w:rPr>
                <w:rFonts w:hint="eastAsia" w:ascii="宋体" w:hAnsi="宋体" w:eastAsia="宋体" w:cs="宋体"/>
                <w:color w:val="000000"/>
                <w:sz w:val="20"/>
                <w:szCs w:val="20"/>
                <w:lang w:val="en-US"/>
              </w:rPr>
              <w:br w:type="textWrapping"/>
            </w:r>
            <w:r>
              <w:rPr>
                <w:rFonts w:hint="eastAsia" w:ascii="宋体" w:hAnsi="宋体" w:eastAsia="宋体" w:cs="宋体"/>
                <w:color w:val="000000"/>
                <w:sz w:val="20"/>
                <w:szCs w:val="20"/>
                <w:lang w:val="en-US"/>
              </w:rPr>
              <w:t>5.图像制式：PAL；</w:t>
            </w:r>
            <w:r>
              <w:rPr>
                <w:rFonts w:hint="eastAsia" w:ascii="宋体" w:hAnsi="宋体" w:eastAsia="宋体" w:cs="宋体"/>
                <w:color w:val="000000"/>
                <w:sz w:val="20"/>
                <w:szCs w:val="20"/>
                <w:lang w:val="en-US"/>
              </w:rPr>
              <w:br w:type="textWrapping"/>
            </w:r>
            <w:r>
              <w:rPr>
                <w:rFonts w:hint="eastAsia" w:ascii="宋体" w:hAnsi="宋体" w:eastAsia="宋体" w:cs="宋体"/>
                <w:color w:val="000000"/>
                <w:sz w:val="20"/>
                <w:szCs w:val="20"/>
                <w:lang w:val="en-US"/>
              </w:rPr>
              <w:t>6.电源：DC 12V 200MA；拍摄角度：56°。</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38</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个</w:t>
            </w:r>
          </w:p>
        </w:tc>
      </w:tr>
      <w:tr>
        <w:tblPrEx>
          <w:tblCellMar>
            <w:top w:w="15" w:type="dxa"/>
            <w:left w:w="15" w:type="dxa"/>
            <w:bottom w:w="15" w:type="dxa"/>
            <w:right w:w="15" w:type="dxa"/>
          </w:tblCellMar>
        </w:tblPrEx>
        <w:trPr>
          <w:trHeight w:val="435" w:hRule="atLeast"/>
        </w:trPr>
        <w:tc>
          <w:tcPr>
            <w:tcW w:w="251" w:type="pct"/>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9</w:t>
            </w:r>
          </w:p>
        </w:tc>
        <w:tc>
          <w:tcPr>
            <w:tcW w:w="367" w:type="pct"/>
            <w:vMerge w:val="restar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图像探测器（学生）</w:t>
            </w: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分左右两款，配套使用。适用于图像跟踪录播系统，安装方式需嵌入墙体，与墙体成一个平面，满足客户对安全与美观的要求，按安装位置分为左右两款，内置探测器。</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76</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个</w:t>
            </w:r>
          </w:p>
        </w:tc>
      </w:tr>
      <w:tr>
        <w:tblPrEx>
          <w:tblCellMar>
            <w:top w:w="15" w:type="dxa"/>
            <w:left w:w="15" w:type="dxa"/>
            <w:bottom w:w="15" w:type="dxa"/>
            <w:right w:w="15" w:type="dxa"/>
          </w:tblCellMar>
        </w:tblPrEx>
        <w:trPr>
          <w:trHeight w:val="870"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bottom w:val="single" w:color="000000" w:sz="12" w:space="0"/>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结构参数：</w:t>
            </w:r>
            <w:r>
              <w:rPr>
                <w:rFonts w:hint="eastAsia" w:ascii="宋体" w:hAnsi="宋体" w:eastAsia="宋体" w:cs="宋体"/>
                <w:color w:val="000000"/>
                <w:sz w:val="20"/>
                <w:szCs w:val="20"/>
                <w:lang w:val="en-US"/>
              </w:rPr>
              <w:br w:type="textWrapping"/>
            </w:r>
            <w:r>
              <w:rPr>
                <w:rFonts w:hint="eastAsia" w:ascii="宋体" w:hAnsi="宋体" w:eastAsia="宋体" w:cs="宋体"/>
                <w:color w:val="000000"/>
                <w:sz w:val="20"/>
                <w:szCs w:val="20"/>
                <w:lang w:val="en-US"/>
              </w:rPr>
              <w:t>1.结构参数：形状：86盒式；</w:t>
            </w:r>
            <w:r>
              <w:rPr>
                <w:rFonts w:hint="eastAsia" w:ascii="宋体" w:hAnsi="宋体" w:eastAsia="宋体" w:cs="宋体"/>
                <w:color w:val="000000"/>
                <w:sz w:val="20"/>
                <w:szCs w:val="20"/>
                <w:lang w:val="en-US"/>
              </w:rPr>
              <w:br w:type="textWrapping"/>
            </w:r>
            <w:r>
              <w:rPr>
                <w:rFonts w:hint="eastAsia" w:ascii="宋体" w:hAnsi="宋体" w:eastAsia="宋体" w:cs="宋体"/>
                <w:color w:val="000000"/>
                <w:sz w:val="20"/>
                <w:szCs w:val="20"/>
                <w:lang w:val="en-US"/>
              </w:rPr>
              <w:t>2.安装方式：墙体内嵌安装式；</w:t>
            </w:r>
            <w:r>
              <w:rPr>
                <w:rFonts w:hint="eastAsia" w:ascii="宋体" w:hAnsi="宋体" w:eastAsia="宋体" w:cs="宋体"/>
                <w:color w:val="000000"/>
                <w:sz w:val="20"/>
                <w:szCs w:val="20"/>
                <w:lang w:val="en-US"/>
              </w:rPr>
              <w:br w:type="textWrapping"/>
            </w:r>
            <w:r>
              <w:rPr>
                <w:rFonts w:hint="eastAsia" w:ascii="宋体" w:hAnsi="宋体" w:eastAsia="宋体" w:cs="宋体"/>
                <w:color w:val="000000"/>
                <w:sz w:val="20"/>
                <w:szCs w:val="20"/>
                <w:lang w:val="en-US"/>
              </w:rPr>
              <w:t>3.电源：DC 12V 200MA；拍摄角度：52°。</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3465" w:hRule="atLeast"/>
        </w:trPr>
        <w:tc>
          <w:tcPr>
            <w:tcW w:w="251" w:type="pc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10</w:t>
            </w:r>
          </w:p>
        </w:tc>
        <w:tc>
          <w:tcPr>
            <w:tcW w:w="367"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图像定位系统</w:t>
            </w:r>
          </w:p>
        </w:tc>
        <w:tc>
          <w:tcPr>
            <w:tcW w:w="3842" w:type="pct"/>
            <w:tcBorders>
              <w:bottom w:val="single" w:color="000000" w:sz="12" w:space="0"/>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1.视频图像：可以显示跟踪机采集的静态图，同时可以设置检测图像的区域。</w:t>
            </w:r>
            <w:r>
              <w:rPr>
                <w:rFonts w:hint="eastAsia" w:ascii="宋体" w:hAnsi="宋体" w:eastAsia="宋体" w:cs="宋体"/>
                <w:color w:val="000000"/>
                <w:sz w:val="20"/>
                <w:szCs w:val="20"/>
                <w:lang w:val="en-US"/>
              </w:rPr>
              <w:br w:type="textWrapping"/>
            </w:r>
            <w:r>
              <w:rPr>
                <w:rFonts w:hint="eastAsia" w:ascii="宋体" w:hAnsi="宋体" w:eastAsia="宋体" w:cs="宋体"/>
                <w:color w:val="000000"/>
                <w:sz w:val="20"/>
                <w:szCs w:val="20"/>
                <w:lang w:val="en-US"/>
              </w:rPr>
              <w:t>2.信息显示：可以显示通信.操作过程的一些状态信息。</w:t>
            </w:r>
            <w:r>
              <w:rPr>
                <w:rFonts w:hint="eastAsia" w:ascii="宋体" w:hAnsi="宋体" w:eastAsia="宋体" w:cs="宋体"/>
                <w:color w:val="000000"/>
                <w:sz w:val="20"/>
                <w:szCs w:val="20"/>
                <w:lang w:val="en-US"/>
              </w:rPr>
              <w:br w:type="textWrapping"/>
            </w:r>
            <w:r>
              <w:rPr>
                <w:rFonts w:hint="eastAsia" w:ascii="宋体" w:hAnsi="宋体" w:eastAsia="宋体" w:cs="宋体"/>
                <w:color w:val="000000"/>
                <w:sz w:val="20"/>
                <w:szCs w:val="20"/>
                <w:lang w:val="en-US"/>
              </w:rPr>
              <w:t>3.轨迹显示：可以连续显示学生和教师的跟踪点。</w:t>
            </w:r>
            <w:r>
              <w:rPr>
                <w:rFonts w:hint="eastAsia" w:ascii="宋体" w:hAnsi="宋体" w:eastAsia="宋体" w:cs="宋体"/>
                <w:color w:val="000000"/>
                <w:sz w:val="20"/>
                <w:szCs w:val="20"/>
                <w:lang w:val="en-US"/>
              </w:rPr>
              <w:br w:type="textWrapping"/>
            </w:r>
            <w:r>
              <w:rPr>
                <w:rFonts w:hint="eastAsia" w:ascii="宋体" w:hAnsi="宋体" w:eastAsia="宋体" w:cs="宋体"/>
                <w:color w:val="000000"/>
                <w:sz w:val="20"/>
                <w:szCs w:val="20"/>
                <w:lang w:val="en-US"/>
              </w:rPr>
              <w:t>4.连接DSP：可以通过网口连接跟踪机。</w:t>
            </w:r>
            <w:r>
              <w:rPr>
                <w:rFonts w:hint="eastAsia" w:ascii="宋体" w:hAnsi="宋体" w:eastAsia="宋体" w:cs="宋体"/>
                <w:color w:val="000000"/>
                <w:sz w:val="20"/>
                <w:szCs w:val="20"/>
                <w:lang w:val="en-US"/>
              </w:rPr>
              <w:br w:type="textWrapping"/>
            </w:r>
            <w:r>
              <w:rPr>
                <w:rFonts w:hint="eastAsia" w:ascii="宋体" w:hAnsi="宋体" w:eastAsia="宋体" w:cs="宋体"/>
                <w:color w:val="000000"/>
                <w:sz w:val="20"/>
                <w:szCs w:val="20"/>
                <w:lang w:val="en-US"/>
              </w:rPr>
              <w:t>5.获取图像：可以实时获取教师和学生的视频图像。</w:t>
            </w:r>
            <w:r>
              <w:rPr>
                <w:rFonts w:hint="eastAsia" w:ascii="宋体" w:hAnsi="宋体" w:eastAsia="宋体" w:cs="宋体"/>
                <w:color w:val="000000"/>
                <w:sz w:val="20"/>
                <w:szCs w:val="20"/>
                <w:lang w:val="en-US"/>
              </w:rPr>
              <w:br w:type="textWrapping"/>
            </w:r>
            <w:r>
              <w:rPr>
                <w:rFonts w:hint="eastAsia" w:ascii="宋体" w:hAnsi="宋体" w:eastAsia="宋体" w:cs="宋体"/>
                <w:color w:val="000000"/>
                <w:sz w:val="20"/>
                <w:szCs w:val="20"/>
                <w:lang w:val="en-US"/>
              </w:rPr>
              <w:t>6.获取参数：可以获取跟踪主机里设定的跟踪区域的坐标参数。</w:t>
            </w:r>
            <w:r>
              <w:rPr>
                <w:rFonts w:hint="eastAsia" w:ascii="宋体" w:hAnsi="宋体" w:eastAsia="宋体" w:cs="宋体"/>
                <w:color w:val="000000"/>
                <w:sz w:val="20"/>
                <w:szCs w:val="20"/>
                <w:lang w:val="en-US"/>
              </w:rPr>
              <w:br w:type="textWrapping"/>
            </w:r>
            <w:r>
              <w:rPr>
                <w:rFonts w:hint="eastAsia" w:ascii="宋体" w:hAnsi="宋体" w:eastAsia="宋体" w:cs="宋体"/>
                <w:color w:val="000000"/>
                <w:sz w:val="20"/>
                <w:szCs w:val="20"/>
                <w:lang w:val="en-US"/>
              </w:rPr>
              <w:t>7.修改区域：可以通过鼠标调整红色检测区域。</w:t>
            </w:r>
            <w:r>
              <w:rPr>
                <w:rFonts w:hint="eastAsia" w:ascii="宋体" w:hAnsi="宋体" w:eastAsia="宋体" w:cs="宋体"/>
                <w:color w:val="000000"/>
                <w:sz w:val="20"/>
                <w:szCs w:val="20"/>
                <w:lang w:val="en-US"/>
              </w:rPr>
              <w:br w:type="textWrapping"/>
            </w:r>
            <w:r>
              <w:rPr>
                <w:rFonts w:hint="eastAsia" w:ascii="宋体" w:hAnsi="宋体" w:eastAsia="宋体" w:cs="宋体"/>
                <w:color w:val="000000"/>
                <w:sz w:val="20"/>
                <w:szCs w:val="20"/>
                <w:lang w:val="en-US"/>
              </w:rPr>
              <w:t>8.保存参数文件：可以把用户在控制界面上的所有设置保存到软件目录下的ini配置文件中。</w:t>
            </w:r>
            <w:r>
              <w:rPr>
                <w:rFonts w:hint="eastAsia" w:ascii="宋体" w:hAnsi="宋体" w:eastAsia="宋体" w:cs="宋体"/>
                <w:color w:val="000000"/>
                <w:sz w:val="20"/>
                <w:szCs w:val="20"/>
                <w:lang w:val="en-US"/>
              </w:rPr>
              <w:br w:type="textWrapping"/>
            </w:r>
            <w:r>
              <w:rPr>
                <w:rFonts w:hint="eastAsia" w:ascii="宋体" w:hAnsi="宋体" w:eastAsia="宋体" w:cs="宋体"/>
                <w:color w:val="000000"/>
                <w:sz w:val="20"/>
                <w:szCs w:val="20"/>
                <w:lang w:val="en-US"/>
              </w:rPr>
              <w:t>9.显示区域：可以把内存中的参数加载到用户界面中显示出来。</w:t>
            </w:r>
            <w:r>
              <w:rPr>
                <w:rFonts w:hint="eastAsia" w:ascii="宋体" w:hAnsi="宋体" w:eastAsia="宋体" w:cs="宋体"/>
                <w:color w:val="000000"/>
                <w:sz w:val="20"/>
                <w:szCs w:val="20"/>
                <w:lang w:val="en-US"/>
              </w:rPr>
              <w:br w:type="textWrapping"/>
            </w:r>
            <w:r>
              <w:rPr>
                <w:rFonts w:hint="eastAsia" w:ascii="宋体" w:hAnsi="宋体" w:eastAsia="宋体" w:cs="宋体"/>
                <w:color w:val="000000"/>
                <w:sz w:val="20"/>
                <w:szCs w:val="20"/>
                <w:lang w:val="en-US"/>
              </w:rPr>
              <w:t>10.恢复出厂设置：可以把跟踪机的参数，统一恢复为出厂的参数。</w:t>
            </w:r>
            <w:r>
              <w:rPr>
                <w:rFonts w:hint="eastAsia" w:ascii="宋体" w:hAnsi="宋体" w:eastAsia="宋体" w:cs="宋体"/>
                <w:color w:val="000000"/>
                <w:sz w:val="20"/>
                <w:szCs w:val="20"/>
                <w:lang w:val="en-US"/>
              </w:rPr>
              <w:br w:type="textWrapping"/>
            </w:r>
            <w:r>
              <w:rPr>
                <w:rFonts w:hint="eastAsia" w:ascii="宋体" w:hAnsi="宋体" w:eastAsia="宋体" w:cs="宋体"/>
                <w:color w:val="000000"/>
                <w:sz w:val="20"/>
                <w:szCs w:val="20"/>
                <w:lang w:val="en-US"/>
              </w:rPr>
              <w:t>1.接受坐标：可以实时显示检测到的学生.教师目标的坐标。</w:t>
            </w:r>
            <w:r>
              <w:rPr>
                <w:rFonts w:hint="eastAsia" w:ascii="宋体" w:hAnsi="宋体" w:eastAsia="宋体" w:cs="宋体"/>
                <w:color w:val="000000"/>
                <w:sz w:val="20"/>
                <w:szCs w:val="20"/>
                <w:lang w:val="en-US"/>
              </w:rPr>
              <w:br w:type="textWrapping"/>
            </w:r>
            <w:r>
              <w:rPr>
                <w:rFonts w:hint="eastAsia" w:ascii="宋体" w:hAnsi="宋体" w:eastAsia="宋体" w:cs="宋体"/>
                <w:color w:val="000000"/>
                <w:sz w:val="20"/>
                <w:szCs w:val="20"/>
                <w:lang w:val="en-US"/>
              </w:rPr>
              <w:t>12.上传程序：可以用来升级跟踪主机的firmware程序。</w:t>
            </w:r>
            <w:r>
              <w:rPr>
                <w:rFonts w:hint="eastAsia" w:ascii="宋体" w:hAnsi="宋体" w:eastAsia="宋体" w:cs="宋体"/>
                <w:color w:val="000000"/>
                <w:sz w:val="20"/>
                <w:szCs w:val="20"/>
                <w:lang w:val="en-US"/>
              </w:rPr>
              <w:br w:type="textWrapping"/>
            </w:r>
            <w:r>
              <w:rPr>
                <w:rFonts w:hint="eastAsia" w:ascii="宋体" w:hAnsi="宋体" w:eastAsia="宋体" w:cs="宋体"/>
                <w:color w:val="000000"/>
                <w:sz w:val="20"/>
                <w:szCs w:val="20"/>
                <w:lang w:val="en-US"/>
              </w:rPr>
              <w:t>13.退出：可以退出关闭软件。</w:t>
            </w:r>
            <w:r>
              <w:rPr>
                <w:rFonts w:hint="eastAsia" w:ascii="宋体" w:hAnsi="宋体" w:eastAsia="宋体" w:cs="宋体"/>
                <w:color w:val="000000"/>
                <w:sz w:val="20"/>
                <w:szCs w:val="20"/>
                <w:lang w:val="en-US"/>
              </w:rPr>
              <w:br w:type="textWrapping"/>
            </w:r>
            <w:r>
              <w:rPr>
                <w:rFonts w:hint="eastAsia" w:ascii="宋体" w:hAnsi="宋体" w:eastAsia="宋体" w:cs="宋体"/>
                <w:color w:val="000000"/>
                <w:sz w:val="20"/>
                <w:szCs w:val="20"/>
                <w:lang w:val="en-US"/>
              </w:rPr>
              <w:t>14.学生：可以控制调试输出的视频是学生目标的视频。</w:t>
            </w:r>
            <w:r>
              <w:rPr>
                <w:rFonts w:hint="eastAsia" w:ascii="宋体" w:hAnsi="宋体" w:eastAsia="宋体" w:cs="宋体"/>
                <w:color w:val="000000"/>
                <w:sz w:val="20"/>
                <w:szCs w:val="20"/>
                <w:lang w:val="en-US"/>
              </w:rPr>
              <w:br w:type="textWrapping"/>
            </w:r>
            <w:r>
              <w:rPr>
                <w:rFonts w:hint="eastAsia" w:ascii="宋体" w:hAnsi="宋体" w:eastAsia="宋体" w:cs="宋体"/>
                <w:color w:val="000000"/>
                <w:sz w:val="20"/>
                <w:szCs w:val="20"/>
                <w:lang w:val="en-US"/>
              </w:rPr>
              <w:t>15.教师：可以控制调试输出的视频是教师目标的视频。</w:t>
            </w:r>
            <w:r>
              <w:rPr>
                <w:rFonts w:hint="eastAsia" w:ascii="宋体" w:hAnsi="宋体" w:eastAsia="宋体" w:cs="宋体"/>
                <w:color w:val="000000"/>
                <w:sz w:val="20"/>
                <w:szCs w:val="20"/>
                <w:lang w:val="en-US"/>
              </w:rPr>
              <w:br w:type="textWrapping"/>
            </w:r>
            <w:r>
              <w:rPr>
                <w:rFonts w:hint="eastAsia" w:ascii="宋体" w:hAnsi="宋体" w:eastAsia="宋体" w:cs="宋体"/>
                <w:color w:val="000000"/>
                <w:sz w:val="20"/>
                <w:szCs w:val="20"/>
                <w:lang w:val="en-US"/>
              </w:rPr>
              <w:t>16.▲须提供软件著作权及权威机构出具的检测报告复印件并加盖生产厂商公章。</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19</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套</w:t>
            </w:r>
          </w:p>
        </w:tc>
      </w:tr>
      <w:tr>
        <w:tblPrEx>
          <w:tblCellMar>
            <w:top w:w="15" w:type="dxa"/>
            <w:left w:w="15" w:type="dxa"/>
            <w:bottom w:w="15" w:type="dxa"/>
            <w:right w:w="15" w:type="dxa"/>
          </w:tblCellMar>
        </w:tblPrEx>
        <w:trPr>
          <w:trHeight w:val="285" w:hRule="atLeast"/>
        </w:trPr>
        <w:tc>
          <w:tcPr>
            <w:tcW w:w="251" w:type="pct"/>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11</w:t>
            </w:r>
          </w:p>
        </w:tc>
        <w:tc>
          <w:tcPr>
            <w:tcW w:w="367" w:type="pct"/>
            <w:vMerge w:val="restar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空间网格自动跟踪系统</w:t>
            </w: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1.更新参数：可以根据跟踪环境输入不同的跟踪参数，框图位置发生相应的变化。</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19</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套</w:t>
            </w: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2.提交到跟踪机：可以把新数据写入跟踪机。</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3.恢复默认设置：可以把所有的参数都恢复出厂设置。</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4.配置文件导入导出：将跟踪主机设置完成，可将配置文件导出到本地保存，也可将配置文件导入，实现一键恢复配置。</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5.配置导出至邮件：可以将教室内的跟踪参数上传至自己的邮箱中，方便存储。</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6.一键检索：调试软件支持搜索探测器的IP，并统一进行IPC配置和管理，部署时不需要单独连线去修改IPC信息。</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7.一线通探测：施工布线精简，探测器支持POE供电只需要部署网线，方便现场灵活部署。</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8.一线通POC跟踪：施工布线精简，摄像机支持POC供电只需要部署SDI线缆，就可以实现跟踪效果，方便现场灵活部署。</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660"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9.多样性跟踪策略：支持灵活的多机位组合导播策略，可以根据需要启用学生和教师的全景机位，采用丰富的全景导播策略，在教师或者学生特写镜头的移动推拉过程中加入稳定的全景镜头，全面提升录播画面的稳定感</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10.基础数据设置：</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1) ★工作模式：可以根据需求来选择不同的跟踪模式，包括教师跟踪模式，学生跟踪模式，教师学生跟踪模式，教师学生板书跟踪模式，互动跟踪等模式；</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2) 探测器类型：可以根据实际搭配选择教师摄像机.学生摄像机以及板书摄像机的探测器类型；</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3) 摄像机的坐标：可以根据需求设置教师摄像机.学生摄像机以及板书摄像机的默认位置，默认变倍大小；</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策略的自动探测和画面跟踪拍摄。</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1.跟踪画面效果调节：</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1）学生特写画面显示时间：可以根据需求调整特写画面显示的时间；</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2）最短切换命令发送间隔：可以在电影模式录像时，设置各个镜头切换时的最短时间间隔；</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bottom w:val="single" w:color="000000" w:sz="12" w:space="0"/>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1.▲提供空间网格跟踪软件著作权证书复印件并加盖公章(投标时提供可查询真伪的国家权威官网截图）及权威机构出具的检测报告复印件并加盖生产厂商公章。</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12</w:t>
            </w:r>
          </w:p>
        </w:tc>
        <w:tc>
          <w:tcPr>
            <w:tcW w:w="367" w:type="pct"/>
            <w:vMerge w:val="restar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导播控制台</w:t>
            </w: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1.★支持对5路摄像机的云台控制，实现“上下翻转.左右翻转.放大缩小翻转”等操控，操控期间镜头变化的速度可自行调整，可为每个摄像机设定不少于7个 预置位，完成快速定位功能；</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19</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台</w:t>
            </w:r>
          </w:p>
        </w:tc>
      </w:tr>
      <w:tr>
        <w:tblPrEx>
          <w:tblCellMar>
            <w:top w:w="15" w:type="dxa"/>
            <w:left w:w="15" w:type="dxa"/>
            <w:bottom w:w="15" w:type="dxa"/>
            <w:right w:w="15" w:type="dxa"/>
          </w:tblCellMar>
        </w:tblPrEx>
        <w:trPr>
          <w:trHeight w:val="660"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2.★提供空间网格跟踪软件著作权证书复印件并加盖公章(投标时提供可查询真伪的国家权威官网地址及截图）。支持对主.副各6路视频画面的切换控制，完成各种画中画模式的开启与关闭.画中画副画面的切换.主副画面的切换等功能，可完成简单特技的添加和去除；</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3.★可与自动跟踪设备联动，具备手动.自动切换功能，可控制录像的开始.暂停.停止，在无需键盘鼠标配合下，即可完成操作；</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4.★2路DB9标准RS232用于录播机及跟踪机控制，1路DB15专用接口可接5路摄像机控制，5路RJ45摄像机控制口（串口），1路USB 2.0，可提供供电；</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bottom w:val="single" w:color="000000" w:sz="12" w:space="0"/>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5.▲为了兼容性.稳定性及后期的升级维护，要求与录播主机同品牌，以上标星号项属于重要功能，需提供第三方权威检测机构出具的满足此项功能内容的检测报告复印件并加盖原厂商公章。</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1305" w:hRule="atLeast"/>
        </w:trPr>
        <w:tc>
          <w:tcPr>
            <w:tcW w:w="251" w:type="pct"/>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13</w:t>
            </w:r>
          </w:p>
        </w:tc>
        <w:tc>
          <w:tcPr>
            <w:tcW w:w="367" w:type="pct"/>
            <w:vMerge w:val="restar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吊装话筒</w:t>
            </w: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1.频率范围：100—16000 Hz；</w:t>
            </w:r>
            <w:r>
              <w:rPr>
                <w:rFonts w:hint="eastAsia" w:ascii="宋体" w:hAnsi="宋体" w:eastAsia="宋体" w:cs="宋体"/>
                <w:color w:val="000000"/>
                <w:sz w:val="20"/>
                <w:szCs w:val="20"/>
                <w:lang w:val="en-US"/>
              </w:rPr>
              <w:br w:type="textWrapping"/>
            </w:r>
            <w:r>
              <w:rPr>
                <w:rFonts w:hint="eastAsia" w:ascii="宋体" w:hAnsi="宋体" w:eastAsia="宋体" w:cs="宋体"/>
                <w:color w:val="000000"/>
                <w:sz w:val="20"/>
                <w:szCs w:val="20"/>
                <w:lang w:val="en-US"/>
              </w:rPr>
              <w:t>2.灵敏度：-34dB（@1kHz）；</w:t>
            </w:r>
            <w:r>
              <w:rPr>
                <w:rFonts w:hint="eastAsia" w:ascii="宋体" w:hAnsi="宋体" w:eastAsia="宋体" w:cs="宋体"/>
                <w:color w:val="000000"/>
                <w:sz w:val="20"/>
                <w:szCs w:val="20"/>
                <w:lang w:val="en-US"/>
              </w:rPr>
              <w:br w:type="textWrapping"/>
            </w:r>
            <w:r>
              <w:rPr>
                <w:rFonts w:hint="eastAsia" w:ascii="宋体" w:hAnsi="宋体" w:eastAsia="宋体" w:cs="宋体"/>
                <w:color w:val="000000"/>
                <w:sz w:val="20"/>
                <w:szCs w:val="20"/>
                <w:lang w:val="en-US"/>
              </w:rPr>
              <w:t>3.指向性：超窄指向；</w:t>
            </w:r>
            <w:r>
              <w:rPr>
                <w:rFonts w:hint="eastAsia" w:ascii="宋体" w:hAnsi="宋体" w:eastAsia="宋体" w:cs="宋体"/>
                <w:color w:val="000000"/>
                <w:sz w:val="20"/>
                <w:szCs w:val="20"/>
                <w:lang w:val="en-US"/>
              </w:rPr>
              <w:br w:type="textWrapping"/>
            </w:r>
            <w:r>
              <w:rPr>
                <w:rFonts w:hint="eastAsia" w:ascii="宋体" w:hAnsi="宋体" w:eastAsia="宋体" w:cs="宋体"/>
                <w:color w:val="000000"/>
                <w:sz w:val="20"/>
                <w:szCs w:val="20"/>
                <w:lang w:val="en-US"/>
              </w:rPr>
              <w:t>4.拾音角度：100°；</w:t>
            </w:r>
            <w:r>
              <w:rPr>
                <w:rFonts w:hint="eastAsia" w:ascii="宋体" w:hAnsi="宋体" w:eastAsia="宋体" w:cs="宋体"/>
                <w:color w:val="000000"/>
                <w:sz w:val="20"/>
                <w:szCs w:val="20"/>
                <w:lang w:val="en-US"/>
              </w:rPr>
              <w:br w:type="textWrapping"/>
            </w:r>
            <w:r>
              <w:rPr>
                <w:rFonts w:hint="eastAsia" w:ascii="宋体" w:hAnsi="宋体" w:eastAsia="宋体" w:cs="宋体"/>
                <w:color w:val="000000"/>
                <w:sz w:val="20"/>
                <w:szCs w:val="20"/>
                <w:lang w:val="en-US"/>
              </w:rPr>
              <w:t>5.最大声压级：128dB(@THD≤0.5%,1KHz)；</w:t>
            </w:r>
            <w:r>
              <w:rPr>
                <w:rFonts w:hint="eastAsia" w:ascii="宋体" w:hAnsi="宋体" w:eastAsia="宋体" w:cs="宋体"/>
                <w:color w:val="000000"/>
                <w:sz w:val="20"/>
                <w:szCs w:val="20"/>
                <w:lang w:val="en-US"/>
              </w:rPr>
              <w:br w:type="textWrapping"/>
            </w:r>
            <w:r>
              <w:rPr>
                <w:rFonts w:hint="eastAsia" w:ascii="宋体" w:hAnsi="宋体" w:eastAsia="宋体" w:cs="宋体"/>
                <w:color w:val="000000"/>
                <w:sz w:val="20"/>
                <w:szCs w:val="20"/>
                <w:lang w:val="en-US"/>
              </w:rPr>
              <w:t>6.阻抗：200Ω</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152</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只</w:t>
            </w:r>
          </w:p>
        </w:tc>
      </w:tr>
      <w:tr>
        <w:tblPrEx>
          <w:tblCellMar>
            <w:top w:w="15" w:type="dxa"/>
            <w:left w:w="15" w:type="dxa"/>
            <w:bottom w:w="15" w:type="dxa"/>
            <w:right w:w="15" w:type="dxa"/>
          </w:tblCellMar>
        </w:tblPrEx>
        <w:trPr>
          <w:trHeight w:val="1950"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bottom w:val="single" w:color="000000" w:sz="12" w:space="0"/>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7.工作电压： 48V；</w:t>
            </w:r>
            <w:r>
              <w:rPr>
                <w:rFonts w:hint="eastAsia" w:ascii="宋体" w:hAnsi="宋体" w:eastAsia="宋体" w:cs="宋体"/>
                <w:color w:val="000000"/>
                <w:sz w:val="20"/>
                <w:szCs w:val="20"/>
                <w:lang w:val="en-US"/>
              </w:rPr>
              <w:br w:type="textWrapping"/>
            </w:r>
            <w:r>
              <w:rPr>
                <w:rFonts w:hint="eastAsia" w:ascii="宋体" w:hAnsi="宋体" w:eastAsia="宋体" w:cs="宋体"/>
                <w:color w:val="000000"/>
                <w:sz w:val="20"/>
                <w:szCs w:val="20"/>
                <w:lang w:val="en-US"/>
              </w:rPr>
              <w:t>8.等效噪声级：26dBA；</w:t>
            </w:r>
            <w:r>
              <w:rPr>
                <w:rFonts w:hint="eastAsia" w:ascii="宋体" w:hAnsi="宋体" w:eastAsia="宋体" w:cs="宋体"/>
                <w:color w:val="000000"/>
                <w:sz w:val="20"/>
                <w:szCs w:val="20"/>
                <w:lang w:val="en-US"/>
              </w:rPr>
              <w:br w:type="textWrapping"/>
            </w:r>
            <w:r>
              <w:rPr>
                <w:rFonts w:hint="eastAsia" w:ascii="宋体" w:hAnsi="宋体" w:eastAsia="宋体" w:cs="宋体"/>
                <w:color w:val="000000"/>
                <w:sz w:val="20"/>
                <w:szCs w:val="20"/>
                <w:lang w:val="en-US"/>
              </w:rPr>
              <w:t>9.话筒外形：</w:t>
            </w:r>
            <w:r>
              <w:rPr>
                <w:rFonts w:hint="eastAsia" w:ascii="宋体" w:hAnsi="宋体" w:eastAsia="宋体" w:cs="宋体"/>
                <w:color w:val="000000"/>
                <w:sz w:val="20"/>
                <w:szCs w:val="20"/>
                <w:lang w:val="en-US"/>
              </w:rPr>
              <w:br w:type="textWrapping"/>
            </w:r>
            <w:r>
              <w:rPr>
                <w:rFonts w:hint="eastAsia" w:ascii="宋体" w:hAnsi="宋体" w:eastAsia="宋体" w:cs="宋体"/>
                <w:color w:val="000000"/>
                <w:sz w:val="20"/>
                <w:szCs w:val="20"/>
                <w:lang w:val="en-US"/>
              </w:rPr>
              <w:t>10.话筒直径 8.24mm；</w:t>
            </w:r>
            <w:r>
              <w:rPr>
                <w:rFonts w:hint="eastAsia" w:ascii="宋体" w:hAnsi="宋体" w:eastAsia="宋体" w:cs="宋体"/>
                <w:color w:val="000000"/>
                <w:sz w:val="20"/>
                <w:szCs w:val="20"/>
                <w:lang w:val="en-US"/>
              </w:rPr>
              <w:br w:type="textWrapping"/>
            </w:r>
            <w:r>
              <w:rPr>
                <w:rFonts w:hint="eastAsia" w:ascii="宋体" w:hAnsi="宋体" w:eastAsia="宋体" w:cs="宋体"/>
                <w:color w:val="000000"/>
                <w:sz w:val="20"/>
                <w:szCs w:val="20"/>
                <w:lang w:val="en-US"/>
              </w:rPr>
              <w:t>11.话筒长度（不含插头） 210mm；</w:t>
            </w:r>
            <w:r>
              <w:rPr>
                <w:rFonts w:hint="eastAsia" w:ascii="宋体" w:hAnsi="宋体" w:eastAsia="宋体" w:cs="宋体"/>
                <w:color w:val="000000"/>
                <w:sz w:val="20"/>
                <w:szCs w:val="20"/>
                <w:lang w:val="en-US"/>
              </w:rPr>
              <w:br w:type="textWrapping"/>
            </w:r>
            <w:r>
              <w:rPr>
                <w:rFonts w:hint="eastAsia" w:ascii="宋体" w:hAnsi="宋体" w:eastAsia="宋体" w:cs="宋体"/>
                <w:color w:val="000000"/>
                <w:sz w:val="20"/>
                <w:szCs w:val="20"/>
                <w:lang w:val="en-US"/>
              </w:rPr>
              <w:t>12.话筒插头（带锁紧） 3.5mm；注：话筒后部有50mm一段蛇皮管，可任意角度弯曲），吊杆尺寸：吊杆长度（可伸缩）650-1200mm，吊杆直径：外管-12.3mm，内管-8.2mm，话筒颜色：黑.白；</w:t>
            </w:r>
            <w:r>
              <w:rPr>
                <w:rFonts w:hint="eastAsia" w:ascii="宋体" w:hAnsi="宋体" w:eastAsia="宋体" w:cs="宋体"/>
                <w:color w:val="000000"/>
                <w:sz w:val="20"/>
                <w:szCs w:val="20"/>
                <w:lang w:val="en-US"/>
              </w:rPr>
              <w:br w:type="textWrapping"/>
            </w:r>
            <w:r>
              <w:rPr>
                <w:rFonts w:hint="eastAsia" w:ascii="宋体" w:hAnsi="宋体" w:eastAsia="宋体" w:cs="宋体"/>
                <w:color w:val="000000"/>
                <w:sz w:val="20"/>
                <w:szCs w:val="20"/>
                <w:lang w:val="en-US"/>
              </w:rPr>
              <w:t>13.▲须提供录播专用话筒专利复印件并加盖生产厂商公章；</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14</w:t>
            </w:r>
          </w:p>
        </w:tc>
        <w:tc>
          <w:tcPr>
            <w:tcW w:w="367" w:type="pct"/>
            <w:vMerge w:val="restar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音频处理器</w:t>
            </w: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1.采用工业级嵌入式架构，采用专用芯片和嵌入式操作系统，稳定可靠</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19</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台</w:t>
            </w: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2.可通过网络进行监听，软件升级和参数配置（支持局域网和公网）</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3.集成自动噪音抑制技术（去除包含空调.排气扇等噪音干扰）,保证声音质量</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4.8路差分输入，支持软硬件48V幻象供电开启关闭</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5.4路单声道Line-IN输入,分别为：1—远程音频输入；2&amp;4—课件；3—无线麦；</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6.4路平衡输出，具体定义为：1，输出至远程（包含无线麦.吊麦.课件）；2，录音（包含无线麦.吊麦.课件.远程音频输入）；3&amp;4，输出至音箱（包含无线麦.课件.远程音频输入）</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8路平衡输入可做16段EQ处理（其他输入.输出不作EQ处理）；</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7.智能混音功能（8路平衡输入可任意组合）；</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8.NOMA 功能～根据开启的MIC 数量自动调整系统的输出电平，不会因为输入电平的叠加而使系统的输出增益提高，有效地抑制声反馈的形成（可选）；</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9.语音抗混响功能，避免多路语音互相干扰，突出重要语音信号；</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10.回声消除功能：无线麦克风.吊麦的混音需要进行AEC处理，参考信号为远程音频信号；</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bottom w:val="single" w:color="000000" w:sz="12" w:space="0"/>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11.除网口外，还可通过RS485接口进行软件升级和参数配置输入/输出增益.EQ.AGC.降噪等级等参数</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15</w:t>
            </w:r>
          </w:p>
        </w:tc>
        <w:tc>
          <w:tcPr>
            <w:tcW w:w="367" w:type="pct"/>
            <w:vMerge w:val="restar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线阵列音箱</w:t>
            </w: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极佳的方向性和强大的功率输出，可以轻松应对大中型（混响）室内环境，特别是对声效有着严格要求的环境。</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114</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台</w:t>
            </w:r>
          </w:p>
        </w:tc>
      </w:tr>
      <w:tr>
        <w:tblPrEx>
          <w:tblCellMar>
            <w:top w:w="15" w:type="dxa"/>
            <w:left w:w="15" w:type="dxa"/>
            <w:bottom w:w="15" w:type="dxa"/>
            <w:right w:w="15" w:type="dxa"/>
          </w:tblCellMar>
        </w:tblPrEx>
        <w:trPr>
          <w:trHeight w:val="1080"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bottom w:val="single" w:color="000000" w:sz="12" w:space="0"/>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1） 最大功率60 W.额定功率30 W；声压级：1 W（1 kHz，1 米）时，92 dB (SPL)，有效频率范围(-10 dB)，190 Hz 至 18 kHz；2） 开放角度1 kHz / 4 kHz (-6 dB)，水平210°/132°，垂直50°/22°，额定阻抗6 欧姆；3） 机械指标：尺寸（高 x 宽 x 深） 800 x 80 x 90 毫米，重量6.4 千克（14.1 磅）；4） 环境要求：操作温度-25°C 至 +55°C（-13°F 至 +131°F）存储温度-40 ºC 至 +70 ºC（-40 ºF 至 +158 ºF）相对湿度&lt;95%。</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16</w:t>
            </w:r>
          </w:p>
        </w:tc>
        <w:tc>
          <w:tcPr>
            <w:tcW w:w="367" w:type="pct"/>
            <w:vMerge w:val="restar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嵌入式网络中控</w:t>
            </w: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采用嵌入式技术，ARM处理器，可灵活配置端口.自定义使用模式。</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19</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台</w:t>
            </w: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支持4×2的视频信号输入输出；</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具备6路千兆交换机端口；</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具备语音与主控中心对讲；</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★具备无线投屏功能，支持用户的手机直接连接中控并投射显示；</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内置功放，可满足小面积教室的扩音；</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带有强电控制端口，可以控制投影机.幕布或其他外设的电源。</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接口：</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1)★前面板具备如下LED指示灯：VGA指示灯.高清指示灯.标清指示灯.工作指示灯.录像指示灯.电源指示灯可以分别显示当前工作的状态；</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2)★具备2路VGA信号输入，2路HDMI信号输入，1路VGA信号输出并具有掉线检测，1路HDMI信号输出；</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660"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3)★具备4路左右声道音频信号输入，1路LINE OUT，1路MIC输入，1路LINE IN，1路8欧/8W音频功率输出，并支持音量调节旋钮；1路语音对讲输入，1路语音对讲输出，1路按键控制用于对讲的开始和停止；</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4)★具备6个千兆网络接口；</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5)具备1路串口用于连接液晶面板，RS232电平，1路串口用于连接读卡器，RS232电平；1路串口用于连接投影机，RS232电平；1路串口预留，RS232电平；1路console调试串口，RS232电平。</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I/O输入.输出：具备2路开关量输入.2路5V/12V输入；具备2路开关量输出.2路5V/12V输出；</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具备1路控制面板接口；</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具备1路PC开关控制；</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具备1路红外输出；</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6)具备两路USB2.0接口；</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7)低压直流输出具备1路12V低压输出，1路5V低压输出，1路12V电控锁控制输出；</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bottom w:val="single" w:color="000000" w:sz="12" w:space="0"/>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▲为了兼容性.稳定性及后期的升级维护，要求与录播主机同品牌，并提供第三方权威机构出具的质量检验报告复印件及3C认证证书复印件加盖原厂商公章。</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160" w:hRule="atLeast"/>
        </w:trPr>
        <w:tc>
          <w:tcPr>
            <w:tcW w:w="251" w:type="pc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17</w:t>
            </w:r>
          </w:p>
        </w:tc>
        <w:tc>
          <w:tcPr>
            <w:tcW w:w="367"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网络中控系统软件</w:t>
            </w:r>
          </w:p>
        </w:tc>
        <w:tc>
          <w:tcPr>
            <w:tcW w:w="3842" w:type="pct"/>
            <w:tcBorders>
              <w:bottom w:val="single" w:color="000000" w:sz="12" w:space="0"/>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1.提供B/S配置界面，可以查看系统概览，包括系统当前时间.网络配置.固件信息；</w:t>
            </w:r>
            <w:r>
              <w:rPr>
                <w:rFonts w:hint="eastAsia" w:ascii="宋体" w:hAnsi="宋体" w:eastAsia="宋体" w:cs="宋体"/>
                <w:color w:val="000000"/>
                <w:sz w:val="20"/>
                <w:szCs w:val="20"/>
                <w:lang w:val="en-US"/>
              </w:rPr>
              <w:br w:type="textWrapping"/>
            </w:r>
            <w:r>
              <w:rPr>
                <w:rFonts w:hint="eastAsia" w:ascii="宋体" w:hAnsi="宋体" w:eastAsia="宋体" w:cs="宋体"/>
                <w:color w:val="000000"/>
                <w:sz w:val="20"/>
                <w:szCs w:val="20"/>
                <w:lang w:val="en-US"/>
              </w:rPr>
              <w:t>2.具备网络配置，网络跟踪配置.管理平台.语音平台设置功能；</w:t>
            </w:r>
            <w:r>
              <w:rPr>
                <w:rFonts w:hint="eastAsia" w:ascii="宋体" w:hAnsi="宋体" w:eastAsia="宋体" w:cs="宋体"/>
                <w:color w:val="000000"/>
                <w:sz w:val="20"/>
                <w:szCs w:val="20"/>
                <w:lang w:val="en-US"/>
              </w:rPr>
              <w:br w:type="textWrapping"/>
            </w:r>
            <w:r>
              <w:rPr>
                <w:rFonts w:hint="eastAsia" w:ascii="宋体" w:hAnsi="宋体" w:eastAsia="宋体" w:cs="宋体"/>
                <w:color w:val="000000"/>
                <w:sz w:val="20"/>
                <w:szCs w:val="20"/>
                <w:lang w:val="en-US"/>
              </w:rPr>
              <w:t>3.支持时间同步服务器.PDUIP设置，支持USB电话声音设置；</w:t>
            </w:r>
            <w:r>
              <w:rPr>
                <w:rFonts w:hint="eastAsia" w:ascii="宋体" w:hAnsi="宋体" w:eastAsia="宋体" w:cs="宋体"/>
                <w:color w:val="000000"/>
                <w:sz w:val="20"/>
                <w:szCs w:val="20"/>
                <w:lang w:val="en-US"/>
              </w:rPr>
              <w:br w:type="textWrapping"/>
            </w:r>
            <w:r>
              <w:rPr>
                <w:rFonts w:hint="eastAsia" w:ascii="宋体" w:hAnsi="宋体" w:eastAsia="宋体" w:cs="宋体"/>
                <w:color w:val="000000"/>
                <w:sz w:val="20"/>
                <w:szCs w:val="20"/>
                <w:lang w:val="en-US"/>
              </w:rPr>
              <w:t>4.可自定义设定时间，选择控制面板类型，支持摄像机云台设置；</w:t>
            </w:r>
            <w:r>
              <w:rPr>
                <w:rFonts w:hint="eastAsia" w:ascii="宋体" w:hAnsi="宋体" w:eastAsia="宋体" w:cs="宋体"/>
                <w:color w:val="000000"/>
                <w:sz w:val="20"/>
                <w:szCs w:val="20"/>
                <w:lang w:val="en-US"/>
              </w:rPr>
              <w:br w:type="textWrapping"/>
            </w:r>
            <w:r>
              <w:rPr>
                <w:rFonts w:hint="eastAsia" w:ascii="宋体" w:hAnsi="宋体" w:eastAsia="宋体" w:cs="宋体"/>
                <w:color w:val="000000"/>
                <w:sz w:val="20"/>
                <w:szCs w:val="20"/>
                <w:lang w:val="en-US"/>
              </w:rPr>
              <w:t>5.具备固件升级及远程重启功能；</w:t>
            </w:r>
            <w:r>
              <w:rPr>
                <w:rFonts w:hint="eastAsia" w:ascii="宋体" w:hAnsi="宋体" w:eastAsia="宋体" w:cs="宋体"/>
                <w:color w:val="000000"/>
                <w:sz w:val="20"/>
                <w:szCs w:val="20"/>
                <w:lang w:val="en-US"/>
              </w:rPr>
              <w:br w:type="textWrapping"/>
            </w:r>
            <w:r>
              <w:rPr>
                <w:rFonts w:hint="eastAsia" w:ascii="宋体" w:hAnsi="宋体" w:eastAsia="宋体" w:cs="宋体"/>
                <w:color w:val="000000"/>
                <w:sz w:val="20"/>
                <w:szCs w:val="20"/>
                <w:lang w:val="en-US"/>
              </w:rPr>
              <w:t>6.提供高级配置功能，具备控制台，可选择中控控制命令并显示中控系统状态；可以查看中控的原始命令和原始状态；可以查看定制状态信息，可以管理中控组合命令；可以设置智能开关.面板键命令映射.面板灯.PC控制参数.功放参数.投影机型号及控制参数；可以查看投影机灯泡状态，卡号信息及系统综合信息等；）</w:t>
            </w:r>
            <w:r>
              <w:rPr>
                <w:rFonts w:hint="eastAsia" w:ascii="宋体" w:hAnsi="宋体" w:eastAsia="宋体" w:cs="宋体"/>
                <w:color w:val="000000"/>
                <w:sz w:val="20"/>
                <w:szCs w:val="20"/>
                <w:lang w:val="en-US"/>
              </w:rPr>
              <w:br w:type="textWrapping"/>
            </w:r>
            <w:r>
              <w:rPr>
                <w:rFonts w:hint="eastAsia" w:ascii="宋体" w:hAnsi="宋体" w:eastAsia="宋体" w:cs="宋体"/>
                <w:color w:val="000000"/>
                <w:sz w:val="20"/>
                <w:szCs w:val="20"/>
                <w:lang w:val="en-US"/>
              </w:rPr>
              <w:t>7.▲提供软件著作权及权威机构出具的检测报告复印件并加盖生产厂商公章。</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19</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套</w:t>
            </w:r>
          </w:p>
        </w:tc>
      </w:tr>
      <w:tr>
        <w:tblPrEx>
          <w:tblCellMar>
            <w:top w:w="15" w:type="dxa"/>
            <w:left w:w="15" w:type="dxa"/>
            <w:bottom w:w="15" w:type="dxa"/>
            <w:right w:w="15" w:type="dxa"/>
          </w:tblCellMar>
        </w:tblPrEx>
        <w:trPr>
          <w:trHeight w:val="435" w:hRule="atLeast"/>
        </w:trPr>
        <w:tc>
          <w:tcPr>
            <w:tcW w:w="251" w:type="pct"/>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18</w:t>
            </w:r>
          </w:p>
        </w:tc>
        <w:tc>
          <w:tcPr>
            <w:tcW w:w="367" w:type="pct"/>
            <w:vMerge w:val="restar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电源时序控制器</w:t>
            </w: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1.可以管理8台220V交流供电设备，电源输出端口：8路;输入电压：220VAC±10% ；频率：50Hz;输入电流：≤15A;输出电流：每个端口：≤10A;总电流：≤15A；</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19</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台</w:t>
            </w: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2.设备具有电源输出状态指示灯，与电源输出插孔一一对应，通电后长亮；</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3.设备具备显示模块，实时循环显示设备IP地址.输入电压.输出电流等相关信息；</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4.设备具有复位键，可初始化设备IP地址；支持1路I/O接口，1路RS232控制接口；</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5.设备接口采用RJ45端口，通过网络可方便地将产品连接到控制平台，对设备进行远程控制；</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6.可以选择对接入每个端口的设备分别选择实施开启.关闭.延时开启.延时关闭.延时重启；对于延时操作，通过设备管理软件可以设置延时时间；</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7.为了更方便的管理设备，可以在设备管理软件页面上添加一些定时任务。如设备“每天”“每周”“每月”进行“重启”“开机”“关机”等相关操作，都可通过页面上进行设置，也可以灵活删除；</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8.电源输入：电压：AC 220V 15A  频率：50Hz</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9.网口：10M/100M自适应</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10.重量：2.1kg</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bottom w:val="single" w:color="000000" w:sz="12" w:space="0"/>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11.功率：5W</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19</w:t>
            </w:r>
          </w:p>
        </w:tc>
        <w:tc>
          <w:tcPr>
            <w:tcW w:w="367" w:type="pct"/>
            <w:vMerge w:val="restar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录播专业控制柜</w:t>
            </w: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1.为录播系统专业定制，录播系统后台承载系统，完成电源管理，电源时序管理，网络集中管理，综合线路管理，使录播使用和管理更简单。</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19</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套</w:t>
            </w: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2.一体式设计，对录播设备集中控制管理，含电源控制模块.VGA分配模块.网络模块。外观：全框架结构, 配可调节支撑行走脚轮4只；</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3.散热：旋转式散热风口，符合19英寸标准；</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4.规格：≤550MM×600MM×1000MM；</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5.标准：符合ANSI/EIA RS-310-D.IEC297-2.DIN41491；PART.DIN41494； PART7. GB/T3047.2- 92；兼容ETSI；</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6.材质：SPCC优质冷扎钢板制作；厚度：方孔条≥2.0mm,其他≥1.2mm；</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7.内置集成电源控制箱，具备网络交换模块实现机柜内网络互联互通，整体网络调试的作用，RJ45接口可控制摄像机；</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8.内置专用插排8组三相插头，220V；电源控制箱具备4组DC12V电源输出可控制12V设备供电（摄像机.探测器），总电源输出控制整个机柜内设备的供电情况；</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bottom w:val="single" w:color="000000" w:sz="12" w:space="0"/>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9.机柜内所有线缆分类处理，专业设计固定槽，综合布线，且机柜内设备安装顺序严密，设备之间线缆直接连接，避免部署多余线缆，减少故障点。</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20</w:t>
            </w:r>
          </w:p>
        </w:tc>
        <w:tc>
          <w:tcPr>
            <w:tcW w:w="367"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高清显示器</w:t>
            </w: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21.5寸以上，支持1080，含键盘鼠标</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19</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台</w:t>
            </w:r>
          </w:p>
        </w:tc>
      </w:tr>
      <w:tr>
        <w:tblPrEx>
          <w:tblCellMar>
            <w:top w:w="15" w:type="dxa"/>
            <w:left w:w="15" w:type="dxa"/>
            <w:bottom w:w="15" w:type="dxa"/>
            <w:right w:w="15" w:type="dxa"/>
          </w:tblCellMar>
        </w:tblPrEx>
        <w:trPr>
          <w:trHeight w:val="285" w:hRule="atLeast"/>
        </w:trPr>
        <w:tc>
          <w:tcPr>
            <w:tcW w:w="251" w:type="pct"/>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21</w:t>
            </w:r>
          </w:p>
        </w:tc>
        <w:tc>
          <w:tcPr>
            <w:tcW w:w="367" w:type="pct"/>
            <w:vMerge w:val="restart"/>
            <w:tcBorders>
              <w:top w:val="single" w:color="000000" w:sz="12" w:space="0"/>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交互智能平板</w:t>
            </w: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一、屏体规格</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19</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台</w:t>
            </w: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1.LED液晶屏体：A规屏</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2.显示尺寸：≥85英寸</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3.背光类型：LED</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4.显示比例：16：9</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5.分辨率：3840×2160"</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二、接口端子</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1.前置输入接口：</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HDMI（高清输入）≥1，安卓/电脑双通道（USB-A3.0）≥1，电脑（USB-A3.0）≥2；</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2.后置输入/输出接口：</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660"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多媒体（USB-A）≥2，触摸（USB-B）≥1，VGA（输入）≥1，立体声音频≥1，HDMI（高清输入）≥2，YPbPr/YCbCr/音频(3合1）≥1，TV×1，AV（视频输入）≥1，RS232≥1，RJ45≥1，AV（输出）≥1，耳机输出≥1，VGA（输出）≥1，COAX（数字音频同轴）≥1</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3.整机内置无线网络模块，无任何外接、转接天线及网卡可实现正常网络连接。</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4.整机具备RJ45双系统网口：部署单根网线可实现Android、Windows双系统有线网络联通。</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三、一体化电脑</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1.内置插拔式模块化电脑，易拆卸维修。</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2.CPU采用Intel第8代酷睿I5处理器；</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3.内存：8G DDR4；</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4.硬盘：256G SSD；</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5.具备6个USB接口（其中至少包含2路USB3.0接口）；</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6.具有独立非外扩展的视频输出接口：≥1路HDMI ；≥1路DP等。</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四、触摸功能</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采用红外触控技术，支持在Windows系统中进行10点或以上触控。支持在Android系统中进行10点或以上触控。</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五、教学应用软件</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（一）白板软件功能</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1.一键进行备授课及屏幕书写场景切换。菜单功能按钮/图标配备明确中文标识。</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2.书写：软件提供不少于10支书写笔；可根据手势实现上下翻页、擦除对象、手势识别聚光灯、放大镜等教学工具；</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3.提供多种擦除方式，包括橡皮擦除，智能擦除，科根据手掌接触屏幕的面积识别擦除面积的大小；</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4.页面设置：可一键设置页面背景，切换背景颜色、图片或学科背景如五线谱、田字格米字格等。</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660"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5.思维导图：提供多种思维导图模板如逻辑图、鱼骨图、组织结构图，可轻松增删或拖拽编辑内容、节点，并支持在节点上插入图片、音频、视频、文档等附件、及网页链接、课件页面、聚光灯等。</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6.工具箱：提供包含但不止于以下教学辅助工具：例如直尺、圆规、三角板、聚光灯、放大镜、屏幕截图、展台、草稿纸等；</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7.PPT课件批注功能：PPT全屏播放时可自动开启工具菜单，提供PPT课件的播放控制(如前后翻页)、聚光灯、放大镜、草稿纸和书写批注等功能。</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870"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8.大小屏互动功能：支持手机、pad移动端与智能黑板连接后，可实现常用功能如影像上传、投屏、播放课件、直播。支持对上传的图片内容再次编辑，可同时上传多张照片进行同屏对比，双向批注；一键打开电脑桌面课件并播放，课件支持播放列表，可快速选择PPT或白板课件进行播放。</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9.图库：提供如乐器、交通运输、人物、军事、动物、办公用品、服装、节日、天气季节本地图片素材，支持用户保存页面中的图片到个人图库。</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660"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10.PPT课件批注功能：PPT全屏播放时可自动开启工具菜单，支持工具菜单收起与打开，提供PPT课件的播放控制(如前后翻页)、聚光灯、放大镜和书写批注等功能,支持生成二维码，快速分享课件；</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660"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 xml:space="preserve">11.PPT导入及插入：PPT导入可保留原文档中的音频、视频、图片、文字及动画，并可根据需要编辑、修改,最终生成白板格式的课件；支持以原生态的形式插入一个或多个PPT文档，并可在白板软件当中直接打开; </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(二)、教学资源</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660"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提供数字教材覆盖小学、初中、高中三个学段各个年级各个学科；符合当前教育理念，数字教材资源内容与课程标准及现行课改教材完全配套相符，能够满足广大中小学教师同步教学、备课、授课及教务管理等需求。</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2.素材资源，12学科按照教材章节分类，每个素材都具备关键字描述及知识点描述。</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六、集控管理平台</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 管理平台实时监测已连接的交互智能设备状态；可远程监测交互智能设备开关机状态、CPU温度、CPU使用率、硬盘空间、硬盘使用状况、内存容量、内存使用率、设备ID等设备数据。</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 管理平台可对局域网内的交互智能终端进行远程实时控制，能够监测设备当前运行界面，并远程对设备操作界面进行控制。</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 管理平台可控制连接局域网的交互智能设备整机关机、开机和重启；可批量设定智能设备开关机的执行时间，并支持自定义日循环执行，预约定时执行。</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七、为确保产品可用性，需提供以下证书及文件</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1.▲所投标的产品须为原厂商制造，不接受OEM产品。电脑模块及一体机/交互式智能平板的国家强制3C认证应为同一厂家。</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2.▲生产厂家需出具ISO9001认证、ISO14001认证、OHSAS18001认证。</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3.▲产品生产厂家满足国家强制性3C认证、节能认证证书、白板软件产品需提供软件登记证和软件著作权系列证书。</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4.▲提供产品厂家针对此项目的授权书及三年质保承诺书原件，软件终身免费在线升级。</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以上证书需提供复印件加盖原厂商公章。</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22</w:t>
            </w:r>
          </w:p>
        </w:tc>
        <w:tc>
          <w:tcPr>
            <w:tcW w:w="367" w:type="pct"/>
            <w:vMerge w:val="restar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组合黑板</w:t>
            </w: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 结构：双层结构，内层为固定书写板，外层为滑动书写板，滑动板配装刻有黑板品牌LOGO标识的挂锁，开闭自如确保一体机的安全管理，支持电子产品居中放置；</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19</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块</w:t>
            </w: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 规格：长度≥4000mm，高度可根据所配电子产品适当调整，确保与电子产品的有效配套；</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660"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 板面：采用金属烤漆书写板面，亚光.墨绿色/米黄色，厚度≥0.3mm，光泽度≤12光泽单位，没有因黑板本身原因产生的眩光，书写流畅字迹清晰.色彩协调可视效果佳，有效的缓解学生视觉疲劳；板面表面附有一层透明保护膜，符合GB28231-2011《书写板安全卫生要求》；</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 衬板：选用高强度.吸音.防潮.阻燃聚苯乙烯板，厚度≥14mm；</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 背板：采用优质镀锌钢板，厚度≥0.2mm，机械化流水线一次成型，设有凹槽加强筋，增加板体强度；</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6. 覆板：采用环保型双组份聚氨酯胶水，自动化流水线覆板作业，确保粘接牢固板面平整，甲醛释放量≤0.2mg/L，符合GB 28231-2011《书写板安全卫生要求》；</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870"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7. 边框：采用高强度香槟色电泳铝合金型材，性能符合GB 5237.3-2008标准，横框规格≥57mm×100mm，立框规格≥29mm×100mm。轨道上置隐藏式滑动系统，杜绝灰尘及杂物进入，结构性解决滑动受灰尘影响的问题。配有宽度≥30mm的多用槽，多用槽与滑动系统分离，与边框一次模具成形，可放置书写笔.教鞭等教具，不影响滑动板滑动，也可用于灰尘集中处理；</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8. 包角：采用抗老化高强度ABS工程塑料注塑成型，采用双壁成腔流线型设计，黑板品牌标识与包角一次模具成型，无尖角毛刺，符合GB 21027-2007《学生用品的安全通用要求》；</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9. 滑轮：双组高精度轴承上吊轮，下平滑动系统，上下均匀安装，滑动流畅.噪音小.前后定位精确；</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10.安全性：一把锁实现对滑动黑板的锁定，钥匙通用，方便实用；</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23</w:t>
            </w:r>
          </w:p>
        </w:tc>
        <w:tc>
          <w:tcPr>
            <w:tcW w:w="367" w:type="pct"/>
            <w:vMerge w:val="restar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高清数字展台</w:t>
            </w: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 支持壁挂和台式两种安装方式，为保证产品稳定性，台式安装需与桌面贴合，托板边角采用圆弧倒角设计。</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19</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台</w:t>
            </w: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2.为保证托板表面平整性，托板采用单板结构。</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3.拍摄幅面不小于A4。</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 要求采用不小于800万定焦镜头。</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 工作电压：5 V，工作电流：小于500mA</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6. 图像色彩：24位</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 xml:space="preserve">7. 输出格式：图片JPG，文档PDF，视频MP4 </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8. 光源： LED灯补光</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9.动态视频帧率：30帧/秒（1080P）。</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10.对焦/白平衡：自动</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11.供电方式：USB供电</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24</w:t>
            </w:r>
          </w:p>
        </w:tc>
        <w:tc>
          <w:tcPr>
            <w:tcW w:w="367" w:type="pct"/>
            <w:vMerge w:val="restar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智能电子教鞭</w:t>
            </w: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 采用蓝牙技术，无需接收器；采用锂电池供电. 支持通用USB Type-C接口充电，带自动休眠节电设计；</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19</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个</w:t>
            </w: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 按键实现ppt播放和结束播放，实现上下翻页；支持所有页面的包括office. 网页. 白板软件的翻页功能；</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 支持自动连接，可自动识别并连接，无需手动连接；</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25</w:t>
            </w:r>
          </w:p>
        </w:tc>
        <w:tc>
          <w:tcPr>
            <w:tcW w:w="367" w:type="pct"/>
            <w:vMerge w:val="restar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讲台</w:t>
            </w: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1.讲台整体采用分体式结构，长1100（1200）mm.宽700mm.高1000mm；底座为60mm。</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19</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台</w:t>
            </w: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2.采用≥1.0mm优质冷轧钢板液压拉伸成型；桌面两侧配备木扶手。</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3.颜色为哑光灰白色， 装饰板可选配木纹色或深蓝色； 表面经酸洗.磷化.静电喷涂.高温固化处理而成，静电喷涂选用优质塑粉，不含溶剂。</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26</w:t>
            </w:r>
          </w:p>
        </w:tc>
        <w:tc>
          <w:tcPr>
            <w:tcW w:w="367" w:type="pct"/>
            <w:vMerge w:val="restar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学生桌椅</w:t>
            </w: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1.满足规格：≥650*450*760mm,满足桌面采用ABS塑钢注塑尺寸：650mm*450mm</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1064</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套</w:t>
            </w: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2.采用PP塑料注塑尺寸：550mm*140mm, , 满足重量≥1550g；</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3.桌椅立柱采用60*30*1.2mm和55*25*1.2mm椭圆管组合结构，横脚均为30*60*1.2mm椭圆管；</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4.课桌斗支架采用20*40*1.2mm；满足椅背架采用20*40*1.2mm椭圆管；</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5.课桌椅背座板采用全新PP工程塑料，座板尺寸：408*371mm,重量≥700g，背板尺寸：≥406*350mm,支持自由分组学习摆放模式.满足国家环保标准要求</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27</w:t>
            </w:r>
          </w:p>
        </w:tc>
        <w:tc>
          <w:tcPr>
            <w:tcW w:w="367"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电视</w:t>
            </w: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55寸以上，用于远程互动。</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19</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台</w:t>
            </w:r>
          </w:p>
        </w:tc>
      </w:tr>
      <w:tr>
        <w:tblPrEx>
          <w:tblCellMar>
            <w:top w:w="15" w:type="dxa"/>
            <w:left w:w="15" w:type="dxa"/>
            <w:bottom w:w="15" w:type="dxa"/>
            <w:right w:w="15" w:type="dxa"/>
          </w:tblCellMar>
        </w:tblPrEx>
        <w:trPr>
          <w:trHeight w:val="2385" w:hRule="atLeast"/>
        </w:trPr>
        <w:tc>
          <w:tcPr>
            <w:tcW w:w="251" w:type="pc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28</w:t>
            </w:r>
          </w:p>
        </w:tc>
        <w:tc>
          <w:tcPr>
            <w:tcW w:w="367"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辅材及安装</w:t>
            </w: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 顶面工程：顶棚基层结构采用轻钢龙骨搭架，顶棚封面采用矿棉吸音板。建议使用标准600*600规格的矿棉吸音板。2.墙面工程：1）.四周1米以下使用环保阻燃玻璃纤维吸音棉及环保.阻燃多孔结构的木质吸音板作为墙裙。要求具有吸音.静音.降噪.阻燃.隔热.保温等，材质富有弹性.韧性.耐磨.抗冲击.不易划破,其与空腔构成的薄板共振吸声体具有宽频带的高效吸声功能，甲醛0.05㎎/1的释放量标准，噪音NR&lt;30dB，混响时间T60&lt;0.6s。2）.1米以上部分采用聚酯纤维吸音板，吸音.静音.降噪.阻燃.隔热.保温等，材质富有弹性.韧性.耐磨.抗冲击.不易划破。3）.窗帘的选择：窗帘选用厚重，表面粗糙的窗帘。这种窗帘一方面遮光，一方面吸音。3.地板处理：采用4.5mm厚的运动静音胶垫，采用主要原料为聚氯乙烯，符合国家环保要求，耐磨，可有效降低噪音，噪音NR&lt;30dB，混响时间T60&lt;0.6s。4.光学工程：总原则教室遵循均匀布光原则。灯光为冷光源灯，光线柔和.阴影淡化.不炫目.无频闪，对室内温度影响小；照度：教室区域，不小于平均照度550LX；学生区域，不小于300LX；</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19</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间</w:t>
            </w:r>
          </w:p>
        </w:tc>
      </w:tr>
      <w:tr>
        <w:tblPrEx>
          <w:tblCellMar>
            <w:top w:w="15" w:type="dxa"/>
            <w:left w:w="15" w:type="dxa"/>
            <w:bottom w:w="15" w:type="dxa"/>
            <w:right w:w="15" w:type="dxa"/>
          </w:tblCellMar>
        </w:tblPrEx>
        <w:trPr>
          <w:trHeight w:val="285" w:hRule="atLeast"/>
        </w:trPr>
        <w:tc>
          <w:tcPr>
            <w:tcW w:w="5000" w:type="pct"/>
            <w:gridSpan w:val="5"/>
            <w:tcBorders>
              <w:left w:val="single" w:color="000000" w:sz="12" w:space="0"/>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五.AI智课系统</w:t>
            </w:r>
          </w:p>
        </w:tc>
      </w:tr>
      <w:tr>
        <w:tblPrEx>
          <w:tblCellMar>
            <w:top w:w="15" w:type="dxa"/>
            <w:left w:w="15" w:type="dxa"/>
            <w:bottom w:w="15" w:type="dxa"/>
            <w:right w:w="15" w:type="dxa"/>
          </w:tblCellMar>
        </w:tblPrEx>
        <w:trPr>
          <w:trHeight w:val="285" w:hRule="atLeast"/>
        </w:trPr>
        <w:tc>
          <w:tcPr>
            <w:tcW w:w="251" w:type="pct"/>
            <w:vMerge w:val="restart"/>
            <w:tcBorders>
              <w:left w:val="single" w:color="000000" w:sz="12" w:space="0"/>
              <w:bottom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w:t>
            </w:r>
          </w:p>
        </w:tc>
        <w:tc>
          <w:tcPr>
            <w:tcW w:w="367" w:type="pct"/>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校级资源管理平台</w:t>
            </w:r>
          </w:p>
        </w:tc>
        <w:tc>
          <w:tcPr>
            <w:tcW w:w="3842" w:type="pct"/>
            <w:tcBorders>
              <w:top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基础管理</w:t>
            </w:r>
          </w:p>
        </w:tc>
        <w:tc>
          <w:tcPr>
            <w:tcW w:w="269" w:type="pct"/>
            <w:vMerge w:val="restart"/>
            <w:tcBorders>
              <w:top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w:t>
            </w:r>
          </w:p>
        </w:tc>
        <w:tc>
          <w:tcPr>
            <w:tcW w:w="269" w:type="pct"/>
            <w:vMerge w:val="restart"/>
            <w:tcBorders>
              <w:top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套</w:t>
            </w: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1.★录播管理：支持把录播设备接入平台，实现自动转码.无缝直播点播，并具备多画面直播和点播功能。</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2.用户管理：支持用户的初始化导入.用户组管理.用户权限管理，为教师.学生提供注册.个人信息管理等服务，提供注册审核机制.班级管理，可查看相关班级的学生和查看课表等功能。</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660"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3.数据存储：要求平台采用引用计数和垃圾回收技术，实现一个物理文件可多级平台共同使用，该文件被某处删除不影响其他用户使用。系统自动判断当每级平台都不需要此资源时再自动删除。</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4.运行支持：支持定义当前站点的服务器配置参数，维护使用手册,方便下载使用等。</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5.基础数据：支持对学科.学段.年级.目录等相关的维护，用于门户面资源目录的筛选，减轻用户手动修改目录等工作。</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6.教室管理：支持对当前平台的教室进行管理.以及相关设备的查看。</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7.一键置灰：国家重大事件发生时，可一键将平台设置为灰色风格。</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8.平台信息设置：中英文名称.平台logo等相关配置。</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个人空间</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1.个人信息服务：支持用户对个人资料.登录密码进行编辑管理。</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2.消息服务：支持消息的自动发送和接收，并要求系统自动区分消息的来源如系统消息，便于分类管理。</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3.资源服务：支持用户在个人空间上传.管理及搜索自己的资源。支持用户对资源进行收藏，将课件.教案等资源与课堂录像进行关联。</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4.★录播预约：支持教师通过课表对录播教室进行预约，并可设置是否直播。设置为直播后，首页会显示直播预告。预约成功后，课堂录像将自动上传至主讲人个人空间。</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5.★在线编辑：对原视频进行裁剪，自由拼接.生成新视频并发布；要求提供文字轨道.视频轨道.台标等编辑功能。</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6.我的课表：支持我的课表查询.课表约课和自主约课等功能；我的班级：授课班级，并且可以查看授课班级的学生.编辑.训练模型等操作。</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7.我的教研：支持查看听课任务，以及记录听课进度等；我申请的优课评选，以及得奖的课程；创建/编辑磨课组，并添加课例等功能；</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8.我的评审</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1）我的评审：汇总我的评审任务，包含优课评选评审.听课评审和磨课等；</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2）我的被评：汇总了我被评的课程，包含优课评选.听课评审和磨课等；</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资源管理</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1.资源目录：要求资源目录按照要求版本学科册章节分类预制，减轻管理员工作量，用户可根据实际需求手动修改目录。</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2.★资源统计：要求统计区域下属学校的资源数量及排行，以及按学科统计平台的资源情况及学科资源数排行。</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3.★文档预览：支持对教案.课件.习题等文档及图片作为附件进行在线预览，类似百度文库的展示效果。</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4.资源应用：</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1）用户可对资源进行收藏.下载.分享等操作，支持用户对资源进行评论和在线交流。</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2）量表评分：支持用户在点播观看的视频可以通过系统提供的量表进行在线打分评价。</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3）★打点和片段评议：支持用户在点播观看课程录像的同时可以对精彩的教学环节点和片段进行在线打点记录。</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4）扫码观看：支持通过使用移动端的设备进行扫码分享和手机观看。</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5.标签管理：资源发布时，用户可以选择手动填写标签，为资源的搜索提供便利</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6.资源搜索：支持多种搜索条件进行组合搜索，同时也支持用户可通过标题.主讲人.标签的文本快速搜索资源。</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660"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7.★资源评估：支持用户对课堂视频录像进行量化评估，可根据实际的教学评估要求设置多套评估标准，每套评估标准可设置不同的总分，可设置多项评估项目，每项评估项目可设置多项评估子项，可满足不同的评估要求。</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8.管理员可设置资源分类审核，使学科管理员只管理本学科资源。管理员可关闭审核开关，设置免审核模式，教师提交的资源可自动发布到优课中心。</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课表管理</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1.教室课表：可根据日历.课表查看和添加相应的课表，也可批量导入相应课表。</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2.教室课表：可根据不同教师查看课表，也可进行约课。</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3.课表查询：对课程预约的课程查询以及管理。</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4.节次方案：设置教室相应的时间节次方案。</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5.预约设置：设置教师自主预约教室的权限及限制条件。</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视频点播</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视频资源特性：</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1）flash播放器：支持基于flash播放器视频播放，用户不需要再额外安装其它播放器等。</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2）无缓冲播放：支持视频直接拖拽播放，不需缓冲。</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3）资源模式：支持多画面资源模式点播，如以三分屏的方式同步播放教师画面.学生画面.课件画面。</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4）台标：播放器可以加台标,台标格式支持PNG图片格式文件。</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5）★视频索引：支持平台按照PPT索引，自动或手动生成知识点片段视频，知识点标识内嵌于视频播放口界面，观看视频时可以通过点击索引自动播放相应时间点视频片段。</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6）★多码率支持：要求转码时支持标清.高清.超清等多种清晰度设置，播放时可在播放器窗口进行切换。</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视频直播</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1.课程视图：除支持直播协议.直播预约.检索等通用直播功能外，还要求平台具有教育行业特性</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1）★S-T分析：平台根据直播课堂实况，自动分析本节课的课堂行为，教师.学生.及互动行为占比并自动画出行为曲线；根据数据自动分析本节课的课堂类型，给教师提供参考。</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2）直播互动：支持直播过程中，同时在线的用户之间进行在线探讨，类似QQ群聊的互动效果，支持量表打分。</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3）直播反馈：直播结束后系统会将视频和评论记录自动上传到教师的个人空间，供教师进行课后反思。</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4）直播分享：直播过程中，用户可分享所观看的直播，系统会自动生成二维码和链接地址。</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5）匿名观看：支持匿名用户可以观看直播的权限，满足不同区域.学校的需求。</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6）上推下达：区域内各个学校预约的直播信息可以直接推送到区平台中显示，实现子站直播预告信息的父站推送显示。便于区领导随时进入直播进行观看。</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7）自定义预约时间：支持用户可以自选直播的开始时间和结束时间，不局限于只能按课表预约，方便用户灵活使用。</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8）量表评分：支持为直播设置评分量表，在看直播时对课程进行量表打分。</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9）★直播时移：直播开始后，支持拖动播放器的时间轴，回放直播。</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2.预约直播时可设置观看密码，看直播时需要输入正确的密码才能看。</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通知公告</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1.公告编辑：支持管理员在后台进行公告的编辑和修改功能，支持设定不同的公告类型。</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2.发布公告：支持公告的快速发布，发布的公告直接在首页面显示，也支持可以将父站公告推送到下级子站点，方便用户能够快速的了解。</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专辑</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支持用户可以按资源的自定义专辑分类，且可以对资源进行提交与发布。</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要求具有以下功能：</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1.自定义专辑分类：支持用户可以实现频道加专题的两级资源分类，便于用户实现资源的细分管理和展示。</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2.资源提交与发布：支持用户可将资源提交通过审核后发布展示在对应的专辑模块供其它用户学习观看。</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3.支持将发布的专题在首页展示，用户登陆平台后可直接进入自己喜爱的专辑进行浏览和点播观看</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智播</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660"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1.★支持通过ios和android移动设备如：手机的摄像头将正在进行的活动实况画面推送至平台实现现场直播，用户可以随时随地的登陆平台观看，并且这种直播方式不需要借助录播设备即可开展。</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2.★用户可在web端观看移动端推送的直播流，并支持在线讨论。</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3.支持在线查看优课.微课.专辑.名师.精品推荐等课程。</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4.支持对视频的点赞.收藏.分享等操作。</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5.支持查看平台以及手机相关直播，支持点赞，评论等。</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微信平台</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微信平台具有二维码扫描.支持点播直播评论等多种功能。可以发表学校的官方公告。</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要求具有以下功能：</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1.★微信平台直播：支持通过微信平台可以查看到直播预约的课堂信息，直播开始后可以直接通过微信观看直播，同时且可以发表相关的评论。</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2.微信平台点播：支持通过资源目录显示所有资源的分类，用户可快速查找并点播录像视频进行观看，观看同时也可以发表相关的评论。</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3.微信平台微课：支持用户在线观看微课，支持对微课进行资源目录的分类筛选，支持对微课进行评论。</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4.★微信平台分享和收藏：支持用户可将课程录像或者直播预告发送的朋友圈或者推送给指定的好友，并且可以进行直播预告以及录像的收藏以便快速查看。</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5.微信平台公告：支持用户通过微信平台也可以浏览发布的通知公告。</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restart"/>
            <w:tcBorders>
              <w:left w:val="single" w:color="000000" w:sz="12" w:space="0"/>
              <w:bottom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w:t>
            </w:r>
          </w:p>
        </w:tc>
        <w:tc>
          <w:tcPr>
            <w:tcW w:w="367" w:type="pct"/>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集控平台</w:t>
            </w: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1.基础功能：</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套</w:t>
            </w: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 支持用户管理.角色权限管理.课表管理.教室管理.设备管理.服务器管理.录像管理.日志管理等多种基础管理模块；</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 支持自动/手动录播控制两种录播控制方式，支持电影.资源（三分屏）及电影+资源三种模式进行录制.直播.点播；</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 支持摄像机机位自动复位，支持一键复位所有摄像机位置，支持录播主机和云台摄像机实现课程录制之前自动开机；</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 支持通过PDU设备对前端教室端设备集中供电，可对教室内设备批量一键开关机或分组开关机；</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 支持对录播设备进行单个或批量的开.关.重启操作；</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6) 支持远程导播功能，含录像控制（开始录制.暂停.停止）.云台控制（推拉摇移.设置预置位.控制预置位).画中画模式切换等；</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★7) 支持查看每间录播教室内所有设备的状态信息，如在线状态.录像状态.课表安排情况.当前是否有课等，包括录播系统中服务器的状态信息；</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8) 支持查看平台录像回传情况，包括待传录像情况；</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★9) 支持批量导入和手动创建课表，支持基于课表自动录像，录像结束后自动回传，并在配套资源平台生成线上课程；</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10) 支持通过客户端实时巡视教室，查看教师授课.学生听讲及电脑屏幕等，画面来源同时包含录播.IPcamera；</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★11) 巡课界面能将有课教室做特殊标记，方便巡课督察，可自定义根据教室或教学系树形结构进行巡课，支持4.9.16等多种分屏；</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12) 支持手动或自动轮巡，支持设置分组轮巡，支持巡视过程中截图.本地录制.填写督课报告，并生成相应日志；</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13) 巡查课界面可自定义视频源的显示方式，提供老师.学生.PPT.电影模式四个通道；</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14) 支持远程实时查看各教室的上课实况，并可以多角度的查看（包括老师画面.学生画面，PPT画面），可对精彩片段进行本地录制或画面抓取；</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★15) 支持对教室内的网络摄像机.录播主机及录播服务器的统一集中监控；</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16) 支持督导组根据课表对课程进行实时或课后督导，在督导过程中可对该课程进行打分.评论，可以查看教师所在院系，姓名，所在教室，班级信息等信息；</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17) 可自定义考试计划，安排考场，对考试教室进行录像和实时监控（支持抓取截图和本地录像），生成巡考记录，并支持巡考记录和录像的批量下载；</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18) 支持教室图像解码上墙显示；根据区域分组，有课和无课教室可用颜色区分等；</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19) 管理员可依据课程对录制的资源进行管理，支持视频批量下载或删除；</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20) 可同时将多门优秀的课程设置为精品课程永久保存；</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21) 可通过筛选将其他课程批量删除，释放存储空间，在删除之前，支持站内信通知教员，提前做好视频转存工作；</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22) 支持查看服务器上录像资源，并对资源进行点播及删除；</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23) 支持多维的管理方式，根据学生.老师.管理员等不同角色创建的个人空间，支持权限自定义；</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24) 支持根据权限对资源进行删除.下载操作。提供资源回收站功能，可对误删除的资源进行再次恢复；</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★25) 支持基于pc发启全校广播，支持音频广播.直播广播.文件广播.字幕广播；</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26) 支持校管理员对每个班级的电脑进行远程桌面控制；</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27) 支持直播分享：将教室的部分画面生成网页进行分享，页面可设置访问时效及密码，支持对该时段内的课程进行评课，允许同时访问该页面的用户进行实时聊天；</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28) 支持自定义督课的评分量表；</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29) 支持按教室.按时段设定节次方案，以支持按节次预约课表；</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30) 支持信息统计：教室数量.各类设备数量.课表排课数.临时录像课.直播数.直播分享数.监考考场数等信息的统计。</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2.★移动终端APP：</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 支持以教室为维度查看设备数量和运行状态；支持对单个设备进行控制管理，可支持的控制的设备包括录播机，IP摄像头等；</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 支持同时对多台录播设备进行录播集中控制，可以通过移动端创建录播任务，进行课程录制和直播；</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 支持选择多间教室开始画面巡视，对巡视异常支持截图保存上传，生成巡视计划；</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 支持对于学校正在考试的考场进行移动巡考，可以截图并完成巡考任务。</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 支持接收和查看报警消息。</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6) 支持根据不同的角色提供不同的访问权限。</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restart"/>
            <w:tcBorders>
              <w:left w:val="single" w:color="000000" w:sz="12" w:space="0"/>
              <w:bottom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w:t>
            </w:r>
          </w:p>
        </w:tc>
        <w:tc>
          <w:tcPr>
            <w:tcW w:w="367" w:type="pct"/>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多维数据平台</w:t>
            </w: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系统管理</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套</w:t>
            </w: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 平台设置：支持平台信息设置，包含中英文名称.平台logo.平台页脚等相关信息；</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 ★平台组织：定义当前站点的机构组织，支持多级结构，为数据分级提供支持；</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 用户管理：支持用户的初始化导入.用户组管理.用户权限管理，为教师.学生提供注册.个人信息管理等服务，提供注册审核机制.班级管理，可查看相关班级的学生和查看课表等功能；</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 教室管理：支持对当前平台的教室进行管理.以及相关设备的查看；</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 基础设置：支持对学科.学段.年级.教材目录.学期等基础信息的维护，支持应用装载；</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6) 门户管理：支持门户导航自定义设置；</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7) 运行支持：支持定义当前站点的服务器配置参数，维护使用手册，方便下载使用等；</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应用管理</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 通知公告：支持公告定时发布.立即发布.取消发布.公告置顶.编辑.删除等功能，支持设定不同类型的公告形式；</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 学情分析：该应用相关配置，包含行为配置.模型训练.曲线配置等；</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 资源管理：管理平台所产生的视频资源，支持查看.下载等操作，支持回收站还原功能；</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870"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 ★课表管理：a)教室课表：可根据日历.课表查看和添加相应的课表，也可批量导入相应课表；b)教师课表：可根据不同教师查看课表，也可进行约课；c)课表查询：对课程预约的课程查询以及管理；d)节次方案：设置教室相应的时间节次方案；e)预约设置：设置教师自主预约教室的权限及限制条件；</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学情分析</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1.校管理员</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 支持查看大数据页面，校大数据页面，学科.教师长期的教学同级和分析，同样根据不同维度教学风格.教学质量.在线直播进行综合性的统计。</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 支持AI相关的管理</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a) 平台支持管理员通过批量导入的方式，实现校园师生用户信息的导入导出；</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b) 平台支持管理员依据平台提供教学行为分析类型进行筛选，平台即可依据选择的行为分析类型进行对应分析数据的统计与呈现；</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c) 平台支持管理员构建课堂内学生的人脸识别模型，并可针对构建的模型进行增强训练提高学生人脸识别的精度；</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d) 平台可通过导入课表实现课堂教学分析的自动开启与停止；</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2.教师</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 课堂教学行为包括AI分析系统能自动识别的教师和学生行为,如：讲授.板书.听讲.师生互动等多种行为；</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 课程结束后，即可自动生成该教师的课堂观察分析报告，该报告支持在线预览和导出，为教研点评提供客观数据；</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 ★教师可查看每节课的课堂实录，可根据不同的教学行为时序进行智能打点切片，可自动定位到课堂实录的特定时刻，方便进行快速回顾教学环节；</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 平台提供视频检索功能，满足教师依据关键词查找所需的视频文件；</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 教师可查看每节课的教与学课堂行为的占比，以便教师能客观了解自己的教学过程的分布情况，方便进行即时化的教学反思；</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6) 基于结构化的课堂观察方法，自动进行S-T分析，分析每节课的教学模式；如：授课型.练习型.对话型.混合型；</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7) 教师可以查看自己所在班级，所授课程中的学生个体课堂行为分布情况；</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8) ★支持按照时间维度，教师可查看全班学生的课堂关注度趋势数据，以便调整自己的课堂节奏和教学进度；</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9) 基于管理员构建的课堂内学生的人脸识别模型，可进行增量人脸模型训练，可有针对的提高学生人脸识别的精度；</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10) ★如已对接符合标准的知识库，可自动识别出VGA画面的知识点内容；</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11) ★教师可查看班级参与度整体分布，也可查看单个学生的参与度曲线，以便调整自己的教学设计；</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12) 教师可预约相应课程，支持自主约课.课表约课两种模式；</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13) ★支持推课功能，向专家推送自己的课程，得到专家评课进行有效的教学反思；</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14) 支持课堂表情记录，形成课堂表情时序；</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3.领导</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 ★校教学管理者可查看各科教师的课堂观察分析报告，该报告支持在线预览和导出，为教研点评提供客观数据；</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 ★校教学管理者可查看各科教师的课堂实录.教学模式.S-T行为分析.课堂教学行为占比.课堂表现.课堂参与度.课堂关注度等情况；</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660"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 ★校教学管理者可以任选两位教师的授课情况进行同课异构对比，可以查看两位教师的授课过程中的教学行为，S-T.授课类型.学生参与度的对比分析，从而对教师教学方式提供有价值的改进建议，并且可以导出对比报告；</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 校教学管理者可以根据学科.时间等自定义查询导出相应的课程长期数据；</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4.专家</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 教育专家可查看各科教师的课堂观察分析报告，该报告支持在线预览和导出，为教研点评提供客观数据；</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 教育专家可查看各科教师的课堂实录.教学模式.S-T行为分析.课堂教学行为占比.课堂注意力分布等情况；</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660"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 教育专家可以任选两位教师的授课情况进行同课异构对比，可以查看两位教师的授课过程中的教学行为，S-T.授课类型.学生参与度的对比分析，从而对教师教学方式提供有价值的改进建议，并且可以导出对比报告；</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 ★支持教育专家对单节课或对比课程进行主观评价，以便教师通过主观评价和客观数据来调整自己的教学模式；</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5.家长</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 ★基于时间维度，家长可查看学生每节课的课堂行为占比数据.课堂行为个人数据与本班课堂行为数据的对比分析；</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 平台自动生成学生每节课的整体评价信息，为学生家长及时提供学生的课堂表现情况；</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 基于时间维度，家长可查看学生每天每节课的课堂参与度趋势图；</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 基于时间维度，家长可查看学生各门学科的课堂参与度趋势图，以便看出学生的学科兴趣，以利于进行注意力纠偏提醒；</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精准教研</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 可通过创建教研组.加入教研组.针对自动推荐的课程进行评课；</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 ★支持现场评课.在线实时评课.课后评课；</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 ★评课过程中可智能推送该环节的观察点，可支持多种形式的评课操作，如：图片或文字的评价；</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 ★内置课堂教学诊断模型，在评课结束可自动生成教师的能力矩阵和评课时间轴，能力矩阵包含教师教学.教学内容.学生学习.课堂文化四维度；</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 ★评课结束，能自动生成课堂诊断报告，包含课堂行为.授课类型.参与度和教师能力矩阵；</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6) 支持多人评课，评课数据自动汇总；</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7) 支持教研相关数据统计，包括教研组听评课次数统计，教师听评课次数统计等；</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1515" w:hRule="atLeast"/>
        </w:trPr>
        <w:tc>
          <w:tcPr>
            <w:tcW w:w="251" w:type="pc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w:t>
            </w:r>
          </w:p>
        </w:tc>
        <w:tc>
          <w:tcPr>
            <w:tcW w:w="367" w:type="pc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AI+流媒体服务器</w:t>
            </w:r>
          </w:p>
        </w:tc>
        <w:tc>
          <w:tcPr>
            <w:tcW w:w="3842" w:type="pct"/>
            <w:tcBorders>
              <w:top w:val="single" w:color="000000" w:sz="12" w:space="0"/>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 X Intel Xeon Silver 4216 Processor/2.10 GHz/22 MB/16C/32T/100 W/2UPI/2400MHz</w:t>
            </w:r>
            <w:r>
              <w:rPr>
                <w:rFonts w:hint="eastAsia" w:ascii="宋体" w:hAnsi="宋体" w:eastAsia="宋体" w:cs="宋体"/>
                <w:color w:val="000000"/>
                <w:sz w:val="20"/>
                <w:szCs w:val="20"/>
                <w:lang w:val="en-US"/>
              </w:rPr>
              <w:br w:type="textWrapping"/>
            </w:r>
            <w:r>
              <w:rPr>
                <w:rFonts w:hint="eastAsia" w:ascii="宋体" w:hAnsi="宋体" w:eastAsia="宋体" w:cs="宋体"/>
                <w:color w:val="000000"/>
                <w:sz w:val="20"/>
                <w:szCs w:val="20"/>
                <w:lang w:val="en-US"/>
              </w:rPr>
              <w:t>2 X 16GB/DDR4/2400或2666MHz或2933MHz/ECC/REG</w:t>
            </w:r>
            <w:r>
              <w:rPr>
                <w:rFonts w:hint="eastAsia" w:ascii="宋体" w:hAnsi="宋体" w:eastAsia="宋体" w:cs="宋体"/>
                <w:color w:val="000000"/>
                <w:sz w:val="20"/>
                <w:szCs w:val="20"/>
                <w:lang w:val="en-US"/>
              </w:rPr>
              <w:br w:type="textWrapping"/>
            </w:r>
            <w:r>
              <w:rPr>
                <w:rFonts w:hint="eastAsia" w:ascii="宋体" w:hAnsi="宋体" w:eastAsia="宋体" w:cs="宋体"/>
                <w:color w:val="000000"/>
                <w:sz w:val="20"/>
                <w:szCs w:val="20"/>
                <w:lang w:val="en-US"/>
              </w:rPr>
              <w:t>2 X 2TB/SATA/7200PRM/3.5寸/企业级</w:t>
            </w:r>
            <w:r>
              <w:rPr>
                <w:rFonts w:hint="eastAsia" w:ascii="宋体" w:hAnsi="宋体" w:eastAsia="宋体" w:cs="宋体"/>
                <w:color w:val="000000"/>
                <w:sz w:val="20"/>
                <w:szCs w:val="20"/>
                <w:lang w:val="en-US"/>
              </w:rPr>
              <w:br w:type="textWrapping"/>
            </w:r>
            <w:r>
              <w:rPr>
                <w:rFonts w:hint="eastAsia" w:ascii="宋体" w:hAnsi="宋体" w:eastAsia="宋体" w:cs="宋体"/>
                <w:color w:val="000000"/>
                <w:sz w:val="20"/>
                <w:szCs w:val="20"/>
                <w:lang w:val="en-US"/>
              </w:rPr>
              <w:t>1 X 上架导轨套件</w:t>
            </w:r>
            <w:r>
              <w:rPr>
                <w:rFonts w:hint="eastAsia" w:ascii="宋体" w:hAnsi="宋体" w:eastAsia="宋体" w:cs="宋体"/>
                <w:color w:val="000000"/>
                <w:sz w:val="20"/>
                <w:szCs w:val="20"/>
                <w:lang w:val="en-US"/>
              </w:rPr>
              <w:br w:type="textWrapping"/>
            </w:r>
            <w:r>
              <w:rPr>
                <w:rFonts w:hint="eastAsia" w:ascii="宋体" w:hAnsi="宋体" w:eastAsia="宋体" w:cs="宋体"/>
                <w:color w:val="000000"/>
                <w:sz w:val="20"/>
                <w:szCs w:val="20"/>
                <w:lang w:val="en-US"/>
              </w:rPr>
              <w:t>集成双口千兆网卡具有负载均衡，链路汇聚及冗余特性，可有效减少网络延迟；</w:t>
            </w:r>
            <w:r>
              <w:rPr>
                <w:rFonts w:hint="eastAsia" w:ascii="宋体" w:hAnsi="宋体" w:eastAsia="宋体" w:cs="宋体"/>
                <w:color w:val="000000"/>
                <w:sz w:val="20"/>
                <w:szCs w:val="20"/>
                <w:lang w:val="en-US"/>
              </w:rPr>
              <w:br w:type="textWrapping"/>
            </w:r>
            <w:r>
              <w:rPr>
                <w:rFonts w:hint="eastAsia" w:ascii="宋体" w:hAnsi="宋体" w:eastAsia="宋体" w:cs="宋体"/>
                <w:color w:val="000000"/>
                <w:sz w:val="20"/>
                <w:szCs w:val="20"/>
                <w:lang w:val="en-US"/>
              </w:rPr>
              <w:t>2*RTX 2060 6GB GDDR6/双槽/192bit/主动散热/165W/3DP+HDMI</w:t>
            </w:r>
            <w:r>
              <w:rPr>
                <w:rFonts w:hint="eastAsia" w:ascii="宋体" w:hAnsi="宋体" w:eastAsia="宋体" w:cs="宋体"/>
                <w:color w:val="000000"/>
                <w:sz w:val="20"/>
                <w:szCs w:val="20"/>
                <w:lang w:val="en-US"/>
              </w:rPr>
              <w:br w:type="textWrapping"/>
            </w:r>
            <w:r>
              <w:rPr>
                <w:rFonts w:hint="eastAsia" w:ascii="宋体" w:hAnsi="宋体" w:eastAsia="宋体" w:cs="宋体"/>
                <w:color w:val="000000"/>
                <w:sz w:val="20"/>
                <w:szCs w:val="20"/>
                <w:lang w:val="en-US"/>
              </w:rPr>
              <w:t>系统：兼容Ubuntu Server 16.04.3/Ubuntu Server 20.04</w:t>
            </w:r>
          </w:p>
        </w:tc>
        <w:tc>
          <w:tcPr>
            <w:tcW w:w="269" w:type="pct"/>
            <w:tcBorders>
              <w:top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台</w:t>
            </w:r>
          </w:p>
        </w:tc>
      </w:tr>
      <w:tr>
        <w:tblPrEx>
          <w:tblCellMar>
            <w:top w:w="15" w:type="dxa"/>
            <w:left w:w="15" w:type="dxa"/>
            <w:bottom w:w="15" w:type="dxa"/>
            <w:right w:w="15" w:type="dxa"/>
          </w:tblCellMar>
        </w:tblPrEx>
        <w:trPr>
          <w:trHeight w:val="1515" w:hRule="atLeast"/>
        </w:trPr>
        <w:tc>
          <w:tcPr>
            <w:tcW w:w="251" w:type="pc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w:t>
            </w:r>
          </w:p>
        </w:tc>
        <w:tc>
          <w:tcPr>
            <w:tcW w:w="367" w:type="pc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存储服务器</w:t>
            </w:r>
          </w:p>
        </w:tc>
        <w:tc>
          <w:tcPr>
            <w:tcW w:w="3842" w:type="pct"/>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16盘位2.5/3.5寸盘；支持SSD/SAS/SATA硬盘混插；</w:t>
            </w:r>
            <w:r>
              <w:rPr>
                <w:rFonts w:hint="eastAsia" w:ascii="宋体" w:hAnsi="宋体" w:eastAsia="宋体" w:cs="宋体"/>
                <w:color w:val="000000"/>
                <w:sz w:val="20"/>
                <w:szCs w:val="20"/>
                <w:lang w:val="en-US"/>
              </w:rPr>
              <w:br w:type="textWrapping"/>
            </w:r>
            <w:r>
              <w:rPr>
                <w:rFonts w:hint="eastAsia" w:ascii="宋体" w:hAnsi="宋体" w:eastAsia="宋体" w:cs="宋体"/>
                <w:color w:val="000000"/>
                <w:sz w:val="20"/>
                <w:szCs w:val="20"/>
                <w:lang w:val="en-US"/>
              </w:rPr>
              <w:t>支持RAID 0..3.5.6.50.60.10.NRAID级别；最大支持480盘位；</w:t>
            </w:r>
            <w:r>
              <w:rPr>
                <w:rFonts w:hint="eastAsia" w:ascii="宋体" w:hAnsi="宋体" w:eastAsia="宋体" w:cs="宋体"/>
                <w:color w:val="000000"/>
                <w:sz w:val="20"/>
                <w:szCs w:val="20"/>
                <w:lang w:val="en-US"/>
              </w:rPr>
              <w:br w:type="textWrapping"/>
            </w:r>
            <w:r>
              <w:rPr>
                <w:rFonts w:hint="eastAsia" w:ascii="宋体" w:hAnsi="宋体" w:eastAsia="宋体" w:cs="宋体"/>
                <w:color w:val="000000"/>
                <w:sz w:val="20"/>
                <w:szCs w:val="20"/>
                <w:lang w:val="en-US"/>
              </w:rPr>
              <w:t>支持16G/8G FC/10G/40G/千兆 混合接口SAN存储；</w:t>
            </w:r>
            <w:r>
              <w:rPr>
                <w:rFonts w:hint="eastAsia" w:ascii="宋体" w:hAnsi="宋体" w:eastAsia="宋体" w:cs="宋体"/>
                <w:color w:val="000000"/>
                <w:sz w:val="20"/>
                <w:szCs w:val="20"/>
                <w:lang w:val="en-US"/>
              </w:rPr>
              <w:br w:type="textWrapping"/>
            </w:r>
            <w:r>
              <w:rPr>
                <w:rFonts w:hint="eastAsia" w:ascii="宋体" w:hAnsi="宋体" w:eastAsia="宋体" w:cs="宋体"/>
                <w:color w:val="000000"/>
                <w:sz w:val="20"/>
                <w:szCs w:val="20"/>
                <w:lang w:val="en-US"/>
              </w:rPr>
              <w:t>标配4个千兆iSCSI，方便构建IP-SAN；1个千兆网络接口(管理端口);</w:t>
            </w:r>
            <w:r>
              <w:rPr>
                <w:rFonts w:hint="eastAsia" w:ascii="宋体" w:hAnsi="宋体" w:eastAsia="宋体" w:cs="宋体"/>
                <w:color w:val="000000"/>
                <w:sz w:val="20"/>
                <w:szCs w:val="20"/>
                <w:lang w:val="en-US"/>
              </w:rPr>
              <w:br w:type="textWrapping"/>
            </w:r>
            <w:r>
              <w:rPr>
                <w:rFonts w:hint="eastAsia" w:ascii="宋体" w:hAnsi="宋体" w:eastAsia="宋体" w:cs="宋体"/>
                <w:color w:val="000000"/>
                <w:sz w:val="20"/>
                <w:szCs w:val="20"/>
                <w:lang w:val="en-US"/>
              </w:rPr>
              <w:t>标配2GB缓存；最大32G;</w:t>
            </w:r>
            <w:r>
              <w:rPr>
                <w:rFonts w:hint="eastAsia" w:ascii="宋体" w:hAnsi="宋体" w:eastAsia="宋体" w:cs="宋体"/>
                <w:color w:val="000000"/>
                <w:sz w:val="20"/>
                <w:szCs w:val="20"/>
                <w:lang w:val="en-US"/>
              </w:rPr>
              <w:br w:type="textWrapping"/>
            </w:r>
            <w:r>
              <w:rPr>
                <w:rFonts w:hint="eastAsia" w:ascii="宋体" w:hAnsi="宋体" w:eastAsia="宋体" w:cs="宋体"/>
                <w:color w:val="000000"/>
                <w:sz w:val="20"/>
                <w:szCs w:val="20"/>
                <w:lang w:val="en-US"/>
              </w:rPr>
              <w:t>冗余电源和风扇；标准存储机架上架套件；</w:t>
            </w:r>
            <w:r>
              <w:rPr>
                <w:rFonts w:hint="eastAsia" w:ascii="宋体" w:hAnsi="宋体" w:eastAsia="宋体" w:cs="宋体"/>
                <w:color w:val="000000"/>
                <w:sz w:val="20"/>
                <w:szCs w:val="20"/>
                <w:lang w:val="en-US"/>
              </w:rPr>
              <w:br w:type="textWrapping"/>
            </w:r>
            <w:r>
              <w:rPr>
                <w:rFonts w:hint="eastAsia" w:ascii="宋体" w:hAnsi="宋体" w:eastAsia="宋体" w:cs="宋体"/>
                <w:color w:val="000000"/>
                <w:sz w:val="20"/>
                <w:szCs w:val="20"/>
                <w:lang w:val="en-US"/>
              </w:rPr>
              <w:t>16 X 10TB/SATA/7200RPM/3.5寸/企业级</w:t>
            </w:r>
          </w:p>
        </w:tc>
        <w:tc>
          <w:tcPr>
            <w:tcW w:w="269" w:type="pc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台</w:t>
            </w:r>
          </w:p>
        </w:tc>
      </w:tr>
      <w:tr>
        <w:tblPrEx>
          <w:tblCellMar>
            <w:top w:w="15" w:type="dxa"/>
            <w:left w:w="15" w:type="dxa"/>
            <w:bottom w:w="15" w:type="dxa"/>
            <w:right w:w="15" w:type="dxa"/>
          </w:tblCellMar>
        </w:tblPrEx>
        <w:trPr>
          <w:trHeight w:val="255" w:hRule="atLeast"/>
        </w:trPr>
        <w:tc>
          <w:tcPr>
            <w:tcW w:w="251" w:type="pc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6</w:t>
            </w:r>
          </w:p>
        </w:tc>
        <w:tc>
          <w:tcPr>
            <w:tcW w:w="367" w:type="pct"/>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硬盘</w:t>
            </w:r>
          </w:p>
        </w:tc>
        <w:tc>
          <w:tcPr>
            <w:tcW w:w="3842" w:type="pct"/>
            <w:tcBorders>
              <w:top w:val="single" w:color="000000" w:sz="12" w:space="0"/>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企业级8T硬盘。</w:t>
            </w:r>
          </w:p>
        </w:tc>
        <w:tc>
          <w:tcPr>
            <w:tcW w:w="269" w:type="pct"/>
            <w:tcBorders>
              <w:top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48</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块</w:t>
            </w:r>
          </w:p>
        </w:tc>
      </w:tr>
      <w:tr>
        <w:tblPrEx>
          <w:tblCellMar>
            <w:top w:w="15" w:type="dxa"/>
            <w:left w:w="15" w:type="dxa"/>
            <w:bottom w:w="15" w:type="dxa"/>
            <w:right w:w="15" w:type="dxa"/>
          </w:tblCellMar>
        </w:tblPrEx>
        <w:trPr>
          <w:trHeight w:val="285" w:hRule="atLeast"/>
        </w:trPr>
        <w:tc>
          <w:tcPr>
            <w:tcW w:w="251" w:type="pct"/>
            <w:vMerge w:val="restart"/>
            <w:tcBorders>
              <w:left w:val="single" w:color="000000" w:sz="12" w:space="0"/>
              <w:bottom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7</w:t>
            </w:r>
          </w:p>
        </w:tc>
        <w:tc>
          <w:tcPr>
            <w:tcW w:w="367" w:type="pct"/>
            <w:vMerge w:val="restart"/>
            <w:tcBorders>
              <w:left w:val="single" w:color="000000" w:sz="12" w:space="0"/>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AI智课终端</w:t>
            </w: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1、配置、接口及性能：</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123</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台</w:t>
            </w: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 ★考虑到教室没有合适的位置摆放设备，为了避免对教室空间的占用，要求提供的设备须为小于1U机箱的壁挂式终端，嵌入式ARM双核处理器，Linux系统；</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130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 ★壁挂式终端须具备≥7寸触控液晶屏，方便教师和管理人员通过液晶触控屏进行视频画面的预览、摄像机云台的控制；设置及查看主机IP地址、系统信息、网络、编码、云台等参数；可以通过触控屏进行录制的开始、暂停及停止操作；可以通过触控屏针对设备的SDI接口全部或指定某一路进行POC供电的开启或关闭。为了避免学生误操作设备，设备不接受按键的方式进行上述操作，所有操作必须通过液晶触控屏进行触控操作。液晶触控屏须支持输入密码方可进入进入操作界面。</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 设备须内置≥1T硬盘，支持录制课件的本地存储，并提供双USB端口，插入USB存储设备后可拷贝录像资源；支持自锁开关，使设备通电自动开机；</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 ★设备视频模块须支持4路HD-SDI输入、2路VGA或2路HDMI选择输入，支持1路VGA输出、1路HDMI输出；</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 设备须内置音频采集模块，支持2路话筒（48V幻象）输入，1路线性输入，频响 100hz-10Khz -3db；1路线路输出；</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6) 设备控制模块须支持4路RS232接口，可外接摄像机云台等；</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7) 设备网络模块须支持2个10/100/1000Mbps自适应网口；</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8) 设备视频采集方式须采用硬件采集、编码；输入视频格式须支持HD-SDI：1920*1080P 25/30fps、1280*720P 25/30/50/60fps，输入VGA格式须支持1024*768@60到1920x1080@30可调；</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9) 设备视频编码帧率须支持25fps 5/10/15/20/25/30可选，视频编码分辨率须支持最高1920 x 1080；</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10) 设备视频编码码率须支持256k至8M可调，主码流（录制）支持1M~8Mbps可调，副码流（直播）支持256K~1Mbps可调；</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11) 直播协议支持标准的RTMP协议，支持RTSP实时协议流；网络协议支持TCP、UDP、RTMP、RTSP、FTP协议等；</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12) 设备须支持本地导播方式，插上显示屏、鼠标键盘即可完成本地无延迟导播；</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13) ★设备须支持POC供电，实现高清视频、同轴等信号与供电电源复合一起，在一根同轴线上传输为摄像机供电，支持POC摄像机及非POC摄像机视频信号的同时采集；</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14) ★内嵌AI模块，须采用CPU + GPU + ISP的单一芯片，GPU须≥256个SM3.2的CUDA核心；DRAM须采用64位ARM CPU, 内存须≥4GB LPDDR4，存储须≥16GB eMMC 4.51；</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15) ★支持EPTZ电子云台，在采用两台4K高清摄像机的情况下，可实现教师全景、教师特写、学生全景、学生特写四个画面的拍摄；</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16) ★设备须支持扩展教学互动功能，支持1拖8的教学互动；支持设备与设备直接进行教学互动；</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17) 设备须支持采用24V安全电压适配器。</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2、AI分析模块：</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660"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 ★系统须支持基于机器学习算法对课堂场景进行自动捕捉与分析,支持通过浏览器直接访问设备AI模块的IP地址进入AI分析系统界面，通过快速预览功能实时查看教师和学生的实时分析界面，实现教师及学生检测、教师及学生行为分析等；</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 ★系统须提供一键配置向导功能，可自定义配置系统网络及2路分析摄像机信号；教师区及学生区的2路分析视频源设置等功能；</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 系统须支持快速预览，方便用户第一时间了解视频分析状态，及时生成课堂分析报告；</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 系统须支持定时器分析，通过设定课程分析计划后可自动执行分析，做到无人值守下的自动分析；</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 系统可接入多维成长平台，通过远程控制多间教室开始或停止分析，并支持分析结果显示；</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6) 系统须支持实时显示AI分析模块的cpu、内存、硬盘使用率、温度信息，并且可对分析状态、网络及视频通断状态进行实时监测；</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7) 系统须支持设备自诊断功能；</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8) 系统须支持设备日志信息本地查看。</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restart"/>
            <w:tcBorders>
              <w:left w:val="single" w:color="000000" w:sz="12" w:space="0"/>
              <w:bottom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8</w:t>
            </w:r>
          </w:p>
        </w:tc>
        <w:tc>
          <w:tcPr>
            <w:tcW w:w="367" w:type="pct"/>
            <w:vMerge w:val="restart"/>
            <w:tcBorders>
              <w:left w:val="single" w:color="000000" w:sz="12" w:space="0"/>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录播系统软件</w:t>
            </w: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 ★支持对设备的录制编码.帧率.IP地址.内置时间.视频输出.互动功能等参数进行设置；(提供对应的软件截图及权威机构出具的功能检测报告)</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123</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套</w:t>
            </w: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 支持本地导播和web远程导播两种导播方式，两种导播方式中设置操作及相关信息一致；支持云台控制.画中画设置.特效切换.台标字幕及片头片尾设置.录播开始.暂停.停止等设置操作。</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870"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 ★支持电影模式.资源模式及“电影+资源”模式三种直播模式，其中资源模式最多支持6路视频图像，“电影+资源”模式最多支持7路视频图像，包含6路资源模式视频图像及1路电影模式视频图像；直播是采用Flash Player进行播放，支持多用户操作；支持标准的RTMP直播协议，可推送到FMS服务器进行大规模的直播观看；(提供对应的软件截图及权威机构出具的功能检测报告)</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660"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 支持单流单画面的电影模式.多流多画面的资源模式以及单流多画面的“电影+资源”模式，可以单独录制也可以同时录制；支持在同一设备完成6路视频同时录制，所生成文件在同一文件夹。(提供对应的软件截图及权威机构出具的功能检测报告)</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870"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 ★具备独立的页面可以显示系统当前的录像模式.录像状态.录像时间.直播状态.磁盘空间信息.视频源是否启用等信息，此页面亦包含电影模式画面.VGA信号及4路SDI视频信号的分辨率.录制编码.录制帧率.I帧间隔及直播地址等信息，满足管理人员基于一个页面即可查询到上述信息。(提供对应的软件截图及权威机构出具的功能检测报告)</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6) 支持在电影画面中添加台标.字幕，可以插入片头.片尾；支持台标更换及台标位置选择；支持图片.视频等格式文件的片头片尾，支持片头片尾时间选择：1-5s；</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660"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7) ★可以提供多种画中画模式，支持提供15种已设定好的画中画模式，如大小.左右.平铺.三分屏.四分屏.全景等画中画模式，支持交换功能，方便画面快速对调；(提供对应的软件截图及权威机构出具的功能检测报告)</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660"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8) ★支持直切.擦除.覆盖.推拉模式的特效，每种模式提供8种特效；系统亦具备提供4种不同上述方式的特效，所有特效为系统自带，无须手动定义；特效的过渡时间支持设定为0.5S.0.8S.1.0S.1.2S。(提供对应的软件截图及权威机构出具的功能检测报告)</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660"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9) 可以提供预编辑录制窗口（PVW）和录制窗口（PGM），录制时辅助人员可在预编辑窗口完成对视频的编辑，如添加字幕.台标.设置画中画等，设置完成后可直接推送到直播/电影模式窗口，进行录制及直播。(提供对应的软件截图及权威机构出具的功能检测报告)</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10) 只需要一根VGA或HDMI线缆即可完成教师机画面采集与侦测，无需安装辅助软件。</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11) 录像文件支持设置对应的学年学期.课程名称.学校院系.授课地点.学校代码.学科名称.授课教师.开课时间.授课年级.授课课时及课程描述等教学信息。</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660"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12) 具备录像管理功能，支持显示已有文件的列表，并进行点播.下载.修改属性.删除等操作；录制后的视频可支持自动上传云平台个人空间且自动删除本地文件；支持磁盘格式化.磁盘满载后不录制或覆盖。</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660"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13) 支持4路摄像机云台控制，可对摄像机进行上下左右.变倍.聚焦.光圈控制，系统针对每路摄像机均提供5种固定位变焦，用户可以直接调用，无需手动调节；每个摄像机可设置8个预置位；摄像机光圈和聚焦设置提供手动和自动设置按钮。</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14) 跟踪功能支持自动.手动及半自动三种跟踪模式；</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15) ★具备POC供电功能是否启用的总开关和5路摄像机的POC供电功能的独立开关设置。(提供对应的软件截图及权威机构出具的功能检测报告)</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16) ★具备互动设置功能，可以实现录播工作站之间直接进行教学互动，支持1台录播工作站同时和3台录播工作站进行互动。(提供权威机构出具的功能检测报告)</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870"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17) ★具备公网互动设置窗口，可以设定本机ID.本地端口.服务器IP及服务器端口；可以手动增加本地互动用户信息，可以实现本地用户列表的导入导出；系统可以保存常用互动用户的列表，用户可以任意选择在线的用户进行教学互动；(提供对应的软件截图及权威机构出具的功能检测报告)</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660"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18) ★可以设置互动时采用单屏显示或是双屏显示，具备本地显示设置功能；互动时主讲端和听讲端的画面可以从设备输入的摄像机画面或VGA画面中自定义选择；(提供对应的软件截图及权威机构出具的功能检测报告)</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restart"/>
            <w:tcBorders>
              <w:left w:val="single" w:color="000000" w:sz="12" w:space="0"/>
              <w:bottom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9</w:t>
            </w:r>
          </w:p>
        </w:tc>
        <w:tc>
          <w:tcPr>
            <w:tcW w:w="367" w:type="pct"/>
            <w:vMerge w:val="restart"/>
            <w:tcBorders>
              <w:left w:val="single" w:color="000000" w:sz="12" w:space="0"/>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互动课堂系统</w:t>
            </w: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1.基础要求</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123</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套</w:t>
            </w: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★支持不少于1对8的教学互动应用，听讲教室超过8间时，主讲教室抬头屏可以通过定时轮询的方式进行听讲教室画面的显示；主讲教师可以控制参与互动的听讲教室；</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系统支持授课模式，互动模式及讨论模式三种应用模式；</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★系统支持同屏互动功能，实现主讲端与听讲端在相同的课件内容上进行同屏批注互动；</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系统支持标准的SIP或H.323协议，支持与第三方互动产品进行对接实现互联互通；</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2.系统功能：</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★一键上课：点击按钮，系统自动获取服务器互动预约信息，查找当前时间段该教室能够加入的课堂。如果有可加入的课堂，则会自动加入，否则会提示：很遗憾，该时间段无预约互动课程；</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课表：在“课表”功能项可以查看当前教室的所有课程表安排以及课程状态；</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通过课表可清晰查看本周的课程信息，1 哪些已经结束，点击可进行课程回放，2 哪些与本教室相关课程正在进行中，点击后可进入互动课堂，3 未开始的都哪些课程在预约中；</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创建课堂：点击“创建课堂”显示当前互动平台注册的终端设备，可点击进行选中和删除，选中后确认无误，点确定进行开课；</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进入课堂：加入互动课堂的方式有2 种，1）通过获取的互动课程号，输入后即刻加入；2）查阅下方互动课堂开启记录，如该互动课程还未结束，可点击“进入课堂”即刻加入互动；</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拨号直呼：在此页面可输入设备的IP或SIP账号，进行局域网间音视频互动的功能。</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3.教学功能：</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★课件投屏：点击后可将本地课件画面显示在一体机屏幕上，同时远端学生也可看到，此时教师端可使用触控功能操控该教学大屏的所有功能，比如页面内的文本，音频，视频，网页等；</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笔记标注：点击后可使用鼠标/触控进行笔记的轨迹标注，可设定画笔颜色进行划线，圈，框，以及擦除等功能；</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电子白板：点击后自动生成电子白板，使用一体机触屏操作开展互动教学，无需键鼠.遥控等额外繁琐设备的使用，触屏操作是最适应教师讲课习惯的操作方式；</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互动听讲：点击后显示本地互动课堂中所有的听讲端，点击听讲端名称，切换为互动模式，画面布局为平铺模式；</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讨论模式：点击后，将所有参与端进行平铺窗口显示，此时，大家的音视频均能互通，实现即时讨论的效果；</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授课模式：点击后即进入授课模式，页面布局变化为主讲模式；</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bottom w:val="single" w:color="000000" w:sz="12" w:space="0"/>
              <w:right w:val="single" w:color="000000" w:sz="12" w:space="0"/>
            </w:tcBorders>
            <w:shd w:val="clear" w:color="auto" w:fill="auto"/>
          </w:tcPr>
          <w:p>
            <w:pPr>
              <w:widowControl/>
              <w:textAlignment w:val="top"/>
              <w:rPr>
                <w:rFonts w:ascii="宋体" w:hAnsi="宋体" w:eastAsia="宋体" w:cs="宋体"/>
                <w:color w:val="000000"/>
                <w:sz w:val="20"/>
                <w:szCs w:val="20"/>
              </w:rPr>
            </w:pPr>
            <w:r>
              <w:rPr>
                <w:rFonts w:hint="eastAsia" w:ascii="宋体" w:hAnsi="宋体" w:eastAsia="宋体" w:cs="宋体"/>
                <w:color w:val="000000"/>
                <w:sz w:val="20"/>
                <w:szCs w:val="20"/>
                <w:lang w:val="en-US"/>
              </w:rPr>
              <w:t>离开课堂：点击后将离开课堂。</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restart"/>
            <w:tcBorders>
              <w:left w:val="single" w:color="000000" w:sz="12" w:space="0"/>
              <w:bottom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10</w:t>
            </w:r>
          </w:p>
        </w:tc>
        <w:tc>
          <w:tcPr>
            <w:tcW w:w="367" w:type="pct"/>
            <w:vMerge w:val="restart"/>
            <w:tcBorders>
              <w:left w:val="single" w:color="000000" w:sz="12" w:space="0"/>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智能跟踪系统软件</w:t>
            </w: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1.智能图像识别，结合具体的场合能够实现多个活动的过程的识别跟踪，教师和学生无需佩戴任何设备,完全实现常态化教学。(含板书跟踪.鼠标移动侦测)；</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123</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套</w:t>
            </w: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2.抗干扰能力：采用领先的防抖动人体特征跟踪算法，图像识别系统完全不受光线.声音.电磁等外在的环境影响；</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3.系统结构：设计合理，结构简单，实现全自动的跟踪识别；</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4.定位与实时：自动识别目标位置.实时控制摄像头精确定位，并且能够特写模式拍摄。</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5.▲需提供空间网格跟踪系统的著作权证书复印件及第三方权威机构出具的检测报告复印件并加盖原厂商公章。</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restart"/>
            <w:tcBorders>
              <w:left w:val="single" w:color="000000" w:sz="12" w:space="0"/>
              <w:bottom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11</w:t>
            </w:r>
          </w:p>
        </w:tc>
        <w:tc>
          <w:tcPr>
            <w:tcW w:w="367" w:type="pct"/>
            <w:vMerge w:val="restart"/>
            <w:tcBorders>
              <w:left w:val="single" w:color="000000" w:sz="12" w:space="0"/>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教师高清摄像机</w:t>
            </w: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1.★支持1台摄像机输出1路全景和1路特写的1080P视频画面；</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123</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台</w:t>
            </w: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2.传感器：有效像素不低于800万；(提供国家权威机构出具的符合该指标的产品检测报告复印件并加盖原厂商公章</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3.前置/后置摄像机镜头：水平视场角: 84°/46°；(提供国家权威机构出具的符合该指标的产品检测报告复印件并加盖原厂商商公章)</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4.自动对焦：支持；</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lang w:val="en-US"/>
              </w:rPr>
            </w:pPr>
            <w:r>
              <w:rPr>
                <w:rFonts w:hint="eastAsia" w:ascii="宋体" w:hAnsi="宋体" w:eastAsia="宋体" w:cs="宋体"/>
                <w:color w:val="000000"/>
                <w:sz w:val="20"/>
                <w:szCs w:val="20"/>
                <w:lang w:val="en-US"/>
              </w:rPr>
              <w:t>5.最低照度：0.05 Lux @ (F1.8, AGC ON)；</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lang w:val="en-US"/>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lang w:val="en-US"/>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lang w:val="en-US"/>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lang w:val="en-US"/>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6.电子快门：1/30s ~ 1/10000s；</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7.数字降噪：2D, 3D数字降噪；</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8.背光补偿：支持；</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9.教学自动跟踪功能：内置教员或学员跟踪算法；</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10.视频编码标准：H.265 / H.264 / MJEPG；</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11.视频码率：128Kbps ~ 20480Kbps；</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12.音频压缩标准：AAC；</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13.音频码率：96Kbps, 128Kbps, 256Kbps；</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14.支持协议：TCP/IP, HTTP, RTSP, RTMP, Onvif, DHCP, 组播等；</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15.高清输出：1 SDI, 支持PoC；</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16.音频接口：1路, Line In, 3芯凤凰口；</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17.控制接口：1路RS485，2芯凤凰口,支持VISCA/Pelco-D/Pelco-P协议；</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870"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★18) 供电：支持DC12V/PoE/PoC；(提供国家权威机构出具的符合该指标的产品检测报告复印件并加盖供应商鲜章)</w:t>
            </w:r>
            <w:r>
              <w:rPr>
                <w:rFonts w:hint="eastAsia" w:ascii="宋体" w:hAnsi="宋体" w:eastAsia="宋体" w:cs="宋体"/>
                <w:color w:val="000000"/>
                <w:sz w:val="20"/>
                <w:szCs w:val="20"/>
                <w:lang w:val="en-US"/>
              </w:rPr>
              <w:br w:type="textWrapping"/>
            </w:r>
            <w:r>
              <w:rPr>
                <w:rFonts w:hint="eastAsia" w:ascii="宋体" w:hAnsi="宋体" w:eastAsia="宋体" w:cs="宋体"/>
                <w:color w:val="000000"/>
                <w:sz w:val="20"/>
                <w:szCs w:val="20"/>
                <w:lang w:val="en-US"/>
              </w:rPr>
              <w:t>▲高清摄像机平均故障间隔时间不小于30万小时，提供MTBF检测证书复印件并加盖供应商鲜章；</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restart"/>
            <w:tcBorders>
              <w:left w:val="single" w:color="000000" w:sz="12" w:space="0"/>
              <w:bottom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12</w:t>
            </w:r>
          </w:p>
        </w:tc>
        <w:tc>
          <w:tcPr>
            <w:tcW w:w="367" w:type="pct"/>
            <w:vMerge w:val="restart"/>
            <w:tcBorders>
              <w:left w:val="single" w:color="000000" w:sz="12" w:space="0"/>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学生高清摄像机</w:t>
            </w: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 ★支持1台摄像机输出1路教师全景和1路教师特写的1080P视频画面；</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123</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台</w:t>
            </w: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 ★传感器类型：1/2.5英寸, CMOS, 有效像素：851万；</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 扫描方式：逐行</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 镜头卡口类型：M12</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 ★镜头：焦距: f=3.5mm, 水平视场角: 84°</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6) 自动对焦：支持</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lang w:val="en-US"/>
              </w:rPr>
            </w:pPr>
            <w:r>
              <w:rPr>
                <w:rFonts w:hint="eastAsia" w:ascii="宋体" w:hAnsi="宋体" w:eastAsia="宋体" w:cs="宋体"/>
                <w:color w:val="000000"/>
                <w:sz w:val="20"/>
                <w:szCs w:val="20"/>
                <w:lang w:val="en-US"/>
              </w:rPr>
              <w:t>7) 最低照度：0.05 Lux @ (F1.8, AGC ON)</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lang w:val="en-US"/>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lang w:val="en-US"/>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lang w:val="en-US"/>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lang w:val="en-US"/>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8) 电子快门：1/30s ~ 1/10000s</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9) 白平衡：自动, 室内, 室外, 一键式, 手动</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10) 数字降噪：2D, 3D数字降噪</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11) 背光补偿：支持</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12) 教学自动跟踪功能：内置学生跟踪算法；</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13) 视频编码标准：H.265 / H.264 / MJEPG</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14) 视频码流：主码流, 辅码流</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15) 主码流分辨率：3840x2160, 1920x1080, 1280x720, 1024x576等</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16) 辅码流分辨率：1920x1080, 720x576, 720x480, 320x240等</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17) 视频码率：128Kbps ~ 20480Kbps</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18) 码率控制：可变码率, 固定码率</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19) 帧率：50Hz: 1fps ~ 50fps, 60Hz: 1fps ~ 60fps</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20) 音频压缩标准：AAC</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21) 音频码率：96Kbps, 128Kbps, 256Kbps</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22) 支持协议：TCP/IP, HTTP, RTSP, RTMP, Onvif, DHCP, 组播等</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23) ★高清输出：1 SDI, 支持PoC</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24) ★网络接口：1路,  RJ45: 10M/100M/1000M 自适应以太网，支持PoE</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25) 音频接口：1路, Line In, 3芯凤凰口</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26) 控制接口：1路, RS485: 2芯凤凰口, 最大距离: 1200米, VISCA/Pelco-D/Pelco-P协议</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27) 电源接口：DC005类型（DC 12V）</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输入电压：DC 12V / PoE (IEEE802.3af) / PoC</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660" w:hRule="atLeast"/>
        </w:trPr>
        <w:tc>
          <w:tcPr>
            <w:tcW w:w="251" w:type="pct"/>
            <w:vMerge w:val="restart"/>
            <w:tcBorders>
              <w:left w:val="single" w:color="000000" w:sz="12" w:space="0"/>
              <w:bottom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13</w:t>
            </w:r>
          </w:p>
        </w:tc>
        <w:tc>
          <w:tcPr>
            <w:tcW w:w="367" w:type="pct"/>
            <w:vMerge w:val="restart"/>
            <w:tcBorders>
              <w:left w:val="single" w:color="000000" w:sz="12" w:space="0"/>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音频处理器</w:t>
            </w: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音频处理器提供2路话筒输入.4路线路输入，6路线路输出，具有自适应回声消除.自适应噪声抑制和智能混音功能，具有极高的信噪比，音质清晰自然，通过简单的连接，即可达到极好的远程互动效果和本地录音效果。满足远程教育及会议的高音质录音需求。</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123</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台</w:t>
            </w: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2.频率响应 (20Hz~20kHz @ +4dBu): 麦克风通道+0/-2dB，线路输入通道+0/-0.5dB；</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3.THD +N (1kHz @ +4dBu): 麦克风通道&lt; 0.009%，线路输入通道&lt; 0.007%；</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4.等效噪声(20Hz~20kHz, 22dB gain )：&lt; -84dBu；</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5.动态范围 (20Hz~20kHz, 0dB): &gt; 105dB；</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6.最大输入电平： 麦克风通道-2dBu，线路输入通道20dBu；</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7.最大输出电平（平衡）：20dBu；</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8.最大增益：麦克风通道50dB，线路输入通道0dB；</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9.输入阻抗：麦克风通道330欧姆，线路输入通道20千欧姆；</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10.输出阻抗：400欧姆；</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11.A/D-D/A转换器：24比特；</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12.幻象电源：+48 VDC。</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restart"/>
            <w:tcBorders>
              <w:left w:val="single" w:color="000000" w:sz="12" w:space="0"/>
              <w:bottom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14</w:t>
            </w:r>
          </w:p>
        </w:tc>
        <w:tc>
          <w:tcPr>
            <w:tcW w:w="367" w:type="pct"/>
            <w:vMerge w:val="restart"/>
            <w:tcBorders>
              <w:left w:val="single" w:color="000000" w:sz="12" w:space="0"/>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吊装话筒</w:t>
            </w: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1.录播专用强指向吊装话筒；</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246</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支</w:t>
            </w: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2.频率范围：40-18000Hz，灵敏度：-35dB（18mV/Pa），指向性：超窄，拾音角度：120º，最大声压级：132dB，阻抗：200Ω，信噪比：≥70dB</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3.标配3米线长，配60-100cm可伸缩金属吊杆。</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left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4.为便于安装，要求提供配套可伸缩金属吊杆。</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tcBorders>
              <w:left w:val="single" w:color="000000" w:sz="12" w:space="0"/>
              <w:bottom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15</w:t>
            </w:r>
          </w:p>
        </w:tc>
        <w:tc>
          <w:tcPr>
            <w:tcW w:w="367" w:type="pct"/>
            <w:tcBorders>
              <w:left w:val="single" w:color="000000" w:sz="12" w:space="0"/>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RF遥控器</w:t>
            </w: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互动专用，用于一键式互动操作</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123</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支</w:t>
            </w:r>
          </w:p>
        </w:tc>
      </w:tr>
      <w:tr>
        <w:tblPrEx>
          <w:tblCellMar>
            <w:top w:w="15" w:type="dxa"/>
            <w:left w:w="15" w:type="dxa"/>
            <w:bottom w:w="15" w:type="dxa"/>
            <w:right w:w="15" w:type="dxa"/>
          </w:tblCellMar>
        </w:tblPrEx>
        <w:trPr>
          <w:trHeight w:val="435" w:hRule="atLeast"/>
        </w:trPr>
        <w:tc>
          <w:tcPr>
            <w:tcW w:w="251" w:type="pct"/>
            <w:tcBorders>
              <w:left w:val="single" w:color="000000" w:sz="12" w:space="0"/>
              <w:bottom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16</w:t>
            </w:r>
          </w:p>
        </w:tc>
        <w:tc>
          <w:tcPr>
            <w:tcW w:w="367" w:type="pct"/>
            <w:tcBorders>
              <w:left w:val="single" w:color="000000" w:sz="12" w:space="0"/>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互动显示大屏</w:t>
            </w: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55寸LED液晶电视。</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123</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台</w:t>
            </w:r>
          </w:p>
        </w:tc>
      </w:tr>
      <w:tr>
        <w:tblPrEx>
          <w:tblCellMar>
            <w:top w:w="15" w:type="dxa"/>
            <w:left w:w="15" w:type="dxa"/>
            <w:bottom w:w="15" w:type="dxa"/>
            <w:right w:w="15" w:type="dxa"/>
          </w:tblCellMar>
        </w:tblPrEx>
        <w:trPr>
          <w:trHeight w:val="435" w:hRule="atLeast"/>
        </w:trPr>
        <w:tc>
          <w:tcPr>
            <w:tcW w:w="251" w:type="pct"/>
            <w:tcBorders>
              <w:left w:val="single" w:color="000000" w:sz="12" w:space="0"/>
              <w:bottom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17</w:t>
            </w:r>
          </w:p>
        </w:tc>
        <w:tc>
          <w:tcPr>
            <w:tcW w:w="367" w:type="pct"/>
            <w:tcBorders>
              <w:left w:val="single" w:color="000000" w:sz="12" w:space="0"/>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辅材及安装</w:t>
            </w: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含网线.电源线及线路管材等辅材，具体需求请潜在投标人联系业主代表，现场踏勘。</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批</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间</w:t>
            </w:r>
          </w:p>
        </w:tc>
      </w:tr>
      <w:tr>
        <w:tblPrEx>
          <w:tblCellMar>
            <w:top w:w="15" w:type="dxa"/>
            <w:left w:w="15" w:type="dxa"/>
            <w:bottom w:w="15" w:type="dxa"/>
            <w:right w:w="15" w:type="dxa"/>
          </w:tblCellMar>
        </w:tblPrEx>
        <w:trPr>
          <w:trHeight w:val="285" w:hRule="atLeast"/>
        </w:trPr>
        <w:tc>
          <w:tcPr>
            <w:tcW w:w="5000" w:type="pct"/>
            <w:gridSpan w:val="5"/>
            <w:tcBorders>
              <w:left w:val="single" w:color="000000" w:sz="12" w:space="0"/>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六.校园电视台</w:t>
            </w:r>
          </w:p>
        </w:tc>
      </w:tr>
      <w:tr>
        <w:tblPrEx>
          <w:tblCellMar>
            <w:top w:w="15" w:type="dxa"/>
            <w:left w:w="15" w:type="dxa"/>
            <w:bottom w:w="15" w:type="dxa"/>
            <w:right w:w="15" w:type="dxa"/>
          </w:tblCellMar>
        </w:tblPrEx>
        <w:trPr>
          <w:trHeight w:val="285" w:hRule="atLeast"/>
        </w:trPr>
        <w:tc>
          <w:tcPr>
            <w:tcW w:w="5000" w:type="pct"/>
            <w:gridSpan w:val="5"/>
            <w:tcBorders>
              <w:left w:val="single" w:color="000000" w:sz="12" w:space="0"/>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（一）电视台</w:t>
            </w:r>
          </w:p>
        </w:tc>
      </w:tr>
      <w:tr>
        <w:tblPrEx>
          <w:tblCellMar>
            <w:top w:w="15" w:type="dxa"/>
            <w:left w:w="15" w:type="dxa"/>
            <w:bottom w:w="15" w:type="dxa"/>
            <w:right w:w="15" w:type="dxa"/>
          </w:tblCellMar>
        </w:tblPrEx>
        <w:trPr>
          <w:trHeight w:val="285" w:hRule="atLeast"/>
        </w:trPr>
        <w:tc>
          <w:tcPr>
            <w:tcW w:w="251" w:type="pct"/>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w:t>
            </w:r>
          </w:p>
        </w:tc>
        <w:tc>
          <w:tcPr>
            <w:tcW w:w="367" w:type="pct"/>
            <w:vMerge w:val="restart"/>
            <w:tcBorders>
              <w:top w:val="single" w:color="000000" w:sz="12" w:space="0"/>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虚拟演播室系统</w:t>
            </w: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硬件配置：</w:t>
            </w:r>
          </w:p>
        </w:tc>
        <w:tc>
          <w:tcPr>
            <w:tcW w:w="269" w:type="pct"/>
            <w:vMerge w:val="restart"/>
            <w:tcBorders>
              <w:top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13</w:t>
            </w:r>
          </w:p>
        </w:tc>
        <w:tc>
          <w:tcPr>
            <w:tcW w:w="269" w:type="pct"/>
            <w:vMerge w:val="restart"/>
            <w:tcBorders>
              <w:top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台</w:t>
            </w: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w:t>
            </w:r>
            <w:r>
              <w:rPr>
                <w:rFonts w:ascii="Calibri" w:hAnsi="Calibri" w:eastAsia="宋体" w:cs="Calibri"/>
                <w:color w:val="000000"/>
                <w:sz w:val="20"/>
                <w:szCs w:val="20"/>
                <w:lang w:val="en-US"/>
              </w:rPr>
              <w:t>2</w:t>
            </w:r>
            <w:r>
              <w:rPr>
                <w:rFonts w:hint="eastAsia" w:ascii="宋体" w:hAnsi="宋体" w:eastAsia="宋体" w:cs="宋体"/>
                <w:color w:val="000000"/>
                <w:sz w:val="20"/>
                <w:szCs w:val="20"/>
                <w:lang w:val="en-US"/>
              </w:rPr>
              <w:t>路</w:t>
            </w:r>
            <w:r>
              <w:rPr>
                <w:rFonts w:ascii="Calibri" w:hAnsi="Calibri" w:eastAsia="宋体" w:cs="Calibri"/>
                <w:color w:val="000000"/>
                <w:sz w:val="20"/>
                <w:szCs w:val="20"/>
                <w:lang w:val="en-US"/>
              </w:rPr>
              <w:t>HD SDI</w:t>
            </w:r>
            <w:r>
              <w:rPr>
                <w:rFonts w:hint="eastAsia" w:ascii="宋体" w:hAnsi="宋体" w:eastAsia="宋体" w:cs="宋体"/>
                <w:color w:val="000000"/>
                <w:sz w:val="20"/>
                <w:szCs w:val="20"/>
                <w:lang w:val="en-US"/>
              </w:rPr>
              <w:t>或</w:t>
            </w:r>
            <w:r>
              <w:rPr>
                <w:rFonts w:ascii="Calibri" w:hAnsi="Calibri" w:eastAsia="宋体" w:cs="Calibri"/>
                <w:color w:val="000000"/>
                <w:sz w:val="20"/>
                <w:szCs w:val="20"/>
                <w:lang w:val="en-US"/>
              </w:rPr>
              <w:t>HDMI</w:t>
            </w:r>
            <w:r>
              <w:rPr>
                <w:rFonts w:hint="eastAsia" w:ascii="宋体" w:hAnsi="宋体" w:eastAsia="宋体" w:cs="宋体"/>
                <w:color w:val="000000"/>
                <w:sz w:val="20"/>
                <w:szCs w:val="20"/>
                <w:lang w:val="en-US"/>
              </w:rPr>
              <w:t>视频信号同时输入（接口类型可选）；</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w:t>
            </w:r>
            <w:r>
              <w:rPr>
                <w:rFonts w:ascii="Calibri" w:hAnsi="Calibri" w:eastAsia="宋体" w:cs="Calibri"/>
                <w:color w:val="000000"/>
                <w:sz w:val="20"/>
                <w:szCs w:val="20"/>
                <w:lang w:val="en-US"/>
              </w:rPr>
              <w:t>1</w:t>
            </w:r>
            <w:r>
              <w:rPr>
                <w:rFonts w:hint="eastAsia" w:ascii="宋体" w:hAnsi="宋体" w:eastAsia="宋体" w:cs="宋体"/>
                <w:color w:val="000000"/>
                <w:sz w:val="20"/>
                <w:szCs w:val="20"/>
                <w:lang w:val="en-US"/>
              </w:rPr>
              <w:t>路高清</w:t>
            </w:r>
            <w:r>
              <w:rPr>
                <w:rFonts w:ascii="Calibri" w:hAnsi="Calibri" w:eastAsia="宋体" w:cs="Calibri"/>
                <w:color w:val="000000"/>
                <w:sz w:val="20"/>
                <w:szCs w:val="20"/>
                <w:lang w:val="en-US"/>
              </w:rPr>
              <w:t>DVI/HDMI</w:t>
            </w:r>
            <w:r>
              <w:rPr>
                <w:rFonts w:hint="eastAsia" w:ascii="宋体" w:hAnsi="宋体" w:eastAsia="宋体" w:cs="宋体"/>
                <w:color w:val="000000"/>
                <w:sz w:val="20"/>
                <w:szCs w:val="20"/>
                <w:lang w:val="en-US"/>
              </w:rPr>
              <w:t>视音频混合信号输出；</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w:t>
            </w:r>
            <w:r>
              <w:rPr>
                <w:rFonts w:ascii="Calibri" w:hAnsi="Calibri" w:eastAsia="宋体" w:cs="Calibri"/>
                <w:color w:val="000000"/>
                <w:sz w:val="20"/>
                <w:szCs w:val="20"/>
                <w:lang w:val="en-US"/>
              </w:rPr>
              <w:t>1</w:t>
            </w:r>
            <w:r>
              <w:rPr>
                <w:rFonts w:hint="eastAsia" w:ascii="宋体" w:hAnsi="宋体" w:eastAsia="宋体" w:cs="宋体"/>
                <w:color w:val="000000"/>
                <w:sz w:val="20"/>
                <w:szCs w:val="20"/>
                <w:lang w:val="en-US"/>
              </w:rPr>
              <w:t>路</w:t>
            </w:r>
            <w:r>
              <w:rPr>
                <w:rFonts w:ascii="Calibri" w:hAnsi="Calibri" w:eastAsia="宋体" w:cs="Calibri"/>
                <w:color w:val="000000"/>
                <w:sz w:val="20"/>
                <w:szCs w:val="20"/>
                <w:lang w:val="en-US"/>
              </w:rPr>
              <w:t>VGA</w:t>
            </w:r>
            <w:r>
              <w:rPr>
                <w:rFonts w:hint="eastAsia" w:ascii="宋体" w:hAnsi="宋体" w:eastAsia="宋体" w:cs="宋体"/>
                <w:color w:val="000000"/>
                <w:sz w:val="20"/>
                <w:szCs w:val="20"/>
                <w:lang w:val="en-US"/>
              </w:rPr>
              <w:t>视频信号输出；</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w:t>
            </w:r>
            <w:r>
              <w:rPr>
                <w:rFonts w:ascii="Calibri" w:hAnsi="Calibri" w:eastAsia="宋体" w:cs="Calibri"/>
                <w:color w:val="000000"/>
                <w:sz w:val="20"/>
                <w:szCs w:val="20"/>
                <w:lang w:val="en-US"/>
              </w:rPr>
              <w:t>1</w:t>
            </w:r>
            <w:r>
              <w:rPr>
                <w:rFonts w:hint="eastAsia" w:ascii="宋体" w:hAnsi="宋体" w:eastAsia="宋体" w:cs="宋体"/>
                <w:color w:val="000000"/>
                <w:sz w:val="20"/>
                <w:szCs w:val="20"/>
                <w:lang w:val="en-US"/>
              </w:rPr>
              <w:t>路混合立体声输出，</w:t>
            </w:r>
            <w:r>
              <w:rPr>
                <w:rFonts w:ascii="Calibri" w:hAnsi="Calibri" w:eastAsia="宋体" w:cs="Calibri"/>
                <w:color w:val="000000"/>
                <w:sz w:val="20"/>
                <w:szCs w:val="20"/>
                <w:lang w:val="en-US"/>
              </w:rPr>
              <w:t>2</w:t>
            </w:r>
            <w:r>
              <w:rPr>
                <w:rFonts w:hint="eastAsia" w:ascii="宋体" w:hAnsi="宋体" w:eastAsia="宋体" w:cs="宋体"/>
                <w:color w:val="000000"/>
                <w:sz w:val="20"/>
                <w:szCs w:val="20"/>
                <w:lang w:val="en-US"/>
              </w:rPr>
              <w:t>路混合立体声采集；</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w:t>
            </w:r>
            <w:r>
              <w:rPr>
                <w:rFonts w:ascii="Calibri" w:hAnsi="Calibri" w:eastAsia="宋体" w:cs="Calibri"/>
                <w:color w:val="000000"/>
                <w:sz w:val="20"/>
                <w:szCs w:val="20"/>
                <w:lang w:val="en-US"/>
              </w:rPr>
              <w:t>4U</w:t>
            </w:r>
            <w:r>
              <w:rPr>
                <w:rFonts w:hint="eastAsia" w:ascii="宋体" w:hAnsi="宋体" w:eastAsia="宋体" w:cs="宋体"/>
                <w:color w:val="000000"/>
                <w:sz w:val="20"/>
                <w:szCs w:val="20"/>
                <w:lang w:val="en-US"/>
              </w:rPr>
              <w:t>机架式结构，支持安装于标准“</w:t>
            </w:r>
            <w:r>
              <w:rPr>
                <w:rFonts w:ascii="Calibri" w:hAnsi="Calibri" w:eastAsia="宋体" w:cs="Calibri"/>
                <w:color w:val="000000"/>
                <w:sz w:val="20"/>
                <w:szCs w:val="20"/>
                <w:lang w:val="en-US"/>
              </w:rPr>
              <w:t>19</w:t>
            </w:r>
            <w:r>
              <w:rPr>
                <w:rFonts w:hint="eastAsia" w:ascii="宋体" w:hAnsi="宋体" w:eastAsia="宋体" w:cs="宋体"/>
                <w:color w:val="000000"/>
                <w:sz w:val="20"/>
                <w:szCs w:val="20"/>
                <w:lang w:val="en-US"/>
              </w:rPr>
              <w:t>”英寸机柜。</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CPU : i7-7700 四核心八线程处理器；</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主板</w:t>
            </w:r>
            <w:r>
              <w:rPr>
                <w:rFonts w:ascii="Calibri" w:hAnsi="Calibri" w:eastAsia="宋体" w:cs="Calibri"/>
                <w:color w:val="000000"/>
                <w:sz w:val="20"/>
                <w:szCs w:val="20"/>
                <w:lang w:val="en-US"/>
              </w:rPr>
              <w:t xml:space="preserve">: INTEL </w:t>
            </w:r>
            <w:r>
              <w:rPr>
                <w:rFonts w:hint="eastAsia" w:ascii="宋体" w:hAnsi="宋体" w:eastAsia="宋体" w:cs="宋体"/>
                <w:color w:val="000000"/>
                <w:sz w:val="20"/>
                <w:szCs w:val="20"/>
                <w:lang w:val="en-US"/>
              </w:rPr>
              <w:t>高速主板</w:t>
            </w:r>
            <w:r>
              <w:rPr>
                <w:rFonts w:ascii="Calibri" w:hAnsi="Calibri" w:eastAsia="宋体" w:cs="Calibri"/>
                <w:color w:val="000000"/>
                <w:sz w:val="20"/>
                <w:szCs w:val="20"/>
                <w:lang w:val="en-US"/>
              </w:rPr>
              <w:t>;</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内存：</w:t>
            </w:r>
            <w:r>
              <w:rPr>
                <w:rFonts w:ascii="Calibri" w:hAnsi="Calibri" w:eastAsia="宋体" w:cs="Calibri"/>
                <w:color w:val="000000"/>
                <w:sz w:val="20"/>
                <w:szCs w:val="20"/>
                <w:lang w:val="en-US"/>
              </w:rPr>
              <w:t>DDR4  8G</w:t>
            </w:r>
            <w:r>
              <w:rPr>
                <w:rFonts w:hint="eastAsia" w:ascii="宋体" w:hAnsi="宋体" w:eastAsia="宋体" w:cs="宋体"/>
                <w:color w:val="000000"/>
                <w:sz w:val="20"/>
                <w:szCs w:val="20"/>
                <w:lang w:val="en-US"/>
              </w:rPr>
              <w:t>；</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硬盘：</w:t>
            </w:r>
            <w:r>
              <w:rPr>
                <w:rFonts w:ascii="Calibri" w:hAnsi="Calibri" w:eastAsia="宋体" w:cs="Calibri"/>
                <w:color w:val="000000"/>
                <w:sz w:val="20"/>
                <w:szCs w:val="20"/>
                <w:lang w:val="en-US"/>
              </w:rPr>
              <w:t>128G SSD+2T HDD</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显卡：支持</w:t>
            </w:r>
            <w:r>
              <w:rPr>
                <w:rFonts w:ascii="Calibri" w:hAnsi="Calibri" w:eastAsia="宋体" w:cs="Calibri"/>
                <w:color w:val="000000"/>
                <w:sz w:val="20"/>
                <w:szCs w:val="20"/>
                <w:lang w:val="en-US"/>
              </w:rPr>
              <w:t>3D</w:t>
            </w:r>
            <w:r>
              <w:rPr>
                <w:rFonts w:hint="eastAsia" w:ascii="宋体" w:hAnsi="宋体" w:eastAsia="宋体" w:cs="宋体"/>
                <w:color w:val="000000"/>
                <w:sz w:val="20"/>
                <w:szCs w:val="20"/>
                <w:lang w:val="en-US"/>
              </w:rPr>
              <w:t>实时渲染的</w:t>
            </w:r>
            <w:r>
              <w:rPr>
                <w:rFonts w:ascii="Calibri" w:hAnsi="Calibri" w:eastAsia="宋体" w:cs="Calibri"/>
                <w:color w:val="000000"/>
                <w:sz w:val="20"/>
                <w:szCs w:val="20"/>
                <w:lang w:val="en-US"/>
              </w:rPr>
              <w:t>NIVIDIA GT1030/2G D5</w:t>
            </w:r>
            <w:r>
              <w:rPr>
                <w:rFonts w:hint="eastAsia" w:ascii="宋体" w:hAnsi="宋体" w:eastAsia="宋体" w:cs="宋体"/>
                <w:color w:val="000000"/>
                <w:sz w:val="20"/>
                <w:szCs w:val="20"/>
                <w:lang w:val="en-US"/>
              </w:rPr>
              <w:t>显存独立显卡</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 xml:space="preserve">电源 </w:t>
            </w:r>
            <w:r>
              <w:rPr>
                <w:rFonts w:ascii="Calibri" w:hAnsi="Calibri" w:eastAsia="宋体" w:cs="Calibri"/>
                <w:color w:val="000000"/>
                <w:sz w:val="20"/>
                <w:szCs w:val="20"/>
                <w:lang w:val="en-US"/>
              </w:rPr>
              <w:t>: 500 W (110-230V)</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视频处理卡：广播级</w:t>
            </w:r>
            <w:r>
              <w:rPr>
                <w:rFonts w:ascii="Calibri" w:hAnsi="Calibri" w:eastAsia="宋体" w:cs="Calibri"/>
                <w:color w:val="000000"/>
                <w:sz w:val="20"/>
                <w:szCs w:val="20"/>
                <w:lang w:val="en-US"/>
              </w:rPr>
              <w:t>4</w:t>
            </w:r>
            <w:r>
              <w:rPr>
                <w:rFonts w:hint="eastAsia" w:ascii="宋体" w:hAnsi="宋体" w:eastAsia="宋体" w:cs="宋体"/>
                <w:color w:val="000000"/>
                <w:sz w:val="20"/>
                <w:szCs w:val="20"/>
                <w:lang w:val="en-US"/>
              </w:rPr>
              <w:t>路</w:t>
            </w:r>
            <w:r>
              <w:rPr>
                <w:rFonts w:ascii="Calibri" w:hAnsi="Calibri" w:eastAsia="宋体" w:cs="Calibri"/>
                <w:color w:val="000000"/>
                <w:sz w:val="20"/>
                <w:szCs w:val="20"/>
                <w:lang w:val="en-US"/>
              </w:rPr>
              <w:t>HDMI/SDI</w:t>
            </w:r>
            <w:r>
              <w:rPr>
                <w:rFonts w:hint="eastAsia" w:ascii="宋体" w:hAnsi="宋体" w:eastAsia="宋体" w:cs="宋体"/>
                <w:color w:val="000000"/>
                <w:sz w:val="20"/>
                <w:szCs w:val="20"/>
                <w:lang w:val="en-US"/>
              </w:rPr>
              <w:t>采集卡软件配置：</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1.输入输出信号：</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四路</w:t>
            </w:r>
            <w:r>
              <w:rPr>
                <w:rFonts w:ascii="Calibri" w:hAnsi="Calibri" w:eastAsia="宋体" w:cs="Calibri"/>
                <w:color w:val="000000"/>
                <w:sz w:val="20"/>
                <w:szCs w:val="20"/>
                <w:lang w:val="en-US"/>
              </w:rPr>
              <w:t>SDI</w:t>
            </w:r>
            <w:r>
              <w:rPr>
                <w:rFonts w:hint="eastAsia" w:ascii="宋体" w:hAnsi="宋体" w:eastAsia="宋体" w:cs="宋体"/>
                <w:color w:val="000000"/>
                <w:sz w:val="20"/>
                <w:szCs w:val="20"/>
                <w:lang w:val="en-US"/>
              </w:rPr>
              <w:t>或</w:t>
            </w:r>
            <w:r>
              <w:rPr>
                <w:rFonts w:ascii="Calibri" w:hAnsi="Calibri" w:eastAsia="宋体" w:cs="Calibri"/>
                <w:color w:val="000000"/>
                <w:sz w:val="20"/>
                <w:szCs w:val="20"/>
                <w:lang w:val="en-US"/>
              </w:rPr>
              <w:t>HDMI</w:t>
            </w:r>
            <w:r>
              <w:rPr>
                <w:rFonts w:hint="eastAsia" w:ascii="宋体" w:hAnsi="宋体" w:eastAsia="宋体" w:cs="宋体"/>
                <w:color w:val="000000"/>
                <w:sz w:val="20"/>
                <w:szCs w:val="20"/>
                <w:lang w:val="en-US"/>
              </w:rPr>
              <w:t>输入，支持</w:t>
            </w:r>
            <w:r>
              <w:rPr>
                <w:rFonts w:ascii="Calibri" w:hAnsi="Calibri" w:eastAsia="宋体" w:cs="Calibri"/>
                <w:color w:val="000000"/>
                <w:sz w:val="20"/>
                <w:szCs w:val="20"/>
                <w:lang w:val="en-US"/>
              </w:rPr>
              <w:t>1080 60P</w:t>
            </w:r>
            <w:r>
              <w:rPr>
                <w:rFonts w:hint="eastAsia" w:ascii="宋体" w:hAnsi="宋体" w:eastAsia="宋体" w:cs="宋体"/>
                <w:color w:val="000000"/>
                <w:sz w:val="20"/>
                <w:szCs w:val="20"/>
                <w:lang w:val="en-US"/>
              </w:rPr>
              <w:t>、</w:t>
            </w:r>
            <w:r>
              <w:rPr>
                <w:rFonts w:ascii="Calibri" w:hAnsi="Calibri" w:eastAsia="宋体" w:cs="Calibri"/>
                <w:color w:val="000000"/>
                <w:sz w:val="20"/>
                <w:szCs w:val="20"/>
                <w:lang w:val="en-US"/>
              </w:rPr>
              <w:t>30P</w:t>
            </w:r>
            <w:r>
              <w:rPr>
                <w:rFonts w:hint="eastAsia" w:ascii="宋体" w:hAnsi="宋体" w:eastAsia="宋体" w:cs="宋体"/>
                <w:color w:val="000000"/>
                <w:sz w:val="20"/>
                <w:szCs w:val="20"/>
                <w:lang w:val="en-US"/>
              </w:rPr>
              <w:t>、</w:t>
            </w:r>
            <w:r>
              <w:rPr>
                <w:rFonts w:ascii="Calibri" w:hAnsi="Calibri" w:eastAsia="宋体" w:cs="Calibri"/>
                <w:color w:val="000000"/>
                <w:sz w:val="20"/>
                <w:szCs w:val="20"/>
                <w:lang w:val="en-US"/>
              </w:rPr>
              <w:t>25P</w:t>
            </w:r>
            <w:r>
              <w:rPr>
                <w:rFonts w:hint="eastAsia" w:ascii="宋体" w:hAnsi="宋体" w:eastAsia="宋体" w:cs="宋体"/>
                <w:color w:val="000000"/>
                <w:sz w:val="20"/>
                <w:szCs w:val="20"/>
                <w:lang w:val="en-US"/>
              </w:rPr>
              <w:t>、</w:t>
            </w:r>
            <w:r>
              <w:rPr>
                <w:rFonts w:ascii="Calibri" w:hAnsi="Calibri" w:eastAsia="宋体" w:cs="Calibri"/>
                <w:color w:val="000000"/>
                <w:sz w:val="20"/>
                <w:szCs w:val="20"/>
                <w:lang w:val="en-US"/>
              </w:rPr>
              <w:t>50i</w:t>
            </w:r>
            <w:r>
              <w:rPr>
                <w:rFonts w:hint="eastAsia" w:ascii="宋体" w:hAnsi="宋体" w:eastAsia="宋体" w:cs="宋体"/>
                <w:color w:val="000000"/>
                <w:sz w:val="20"/>
                <w:szCs w:val="20"/>
                <w:lang w:val="en-US"/>
              </w:rPr>
              <w:t>等所有格式输入。</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音频输入支持格式：</w:t>
            </w:r>
            <w:r>
              <w:rPr>
                <w:rFonts w:ascii="Calibri" w:hAnsi="Calibri" w:eastAsia="宋体" w:cs="Calibri"/>
                <w:color w:val="000000"/>
                <w:sz w:val="20"/>
                <w:szCs w:val="20"/>
                <w:lang w:val="en-US"/>
              </w:rPr>
              <w:t>WAVSPACK/MP2/MP3/WMA/AAC/OGG/M4R/M4</w:t>
            </w:r>
            <w:r>
              <w:rPr>
                <w:rFonts w:hint="eastAsia" w:ascii="宋体" w:hAnsi="宋体" w:eastAsia="宋体" w:cs="宋体"/>
                <w:color w:val="000000"/>
                <w:sz w:val="20"/>
                <w:szCs w:val="20"/>
                <w:lang w:val="en-US"/>
              </w:rPr>
              <w:t>；</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视频输入支持式</w:t>
            </w:r>
            <w:r>
              <w:rPr>
                <w:rFonts w:ascii="Calibri" w:hAnsi="Calibri" w:eastAsia="宋体" w:cs="Calibri"/>
                <w:color w:val="000000"/>
                <w:sz w:val="20"/>
                <w:szCs w:val="20"/>
                <w:lang w:val="en-US"/>
              </w:rPr>
              <w:t>:WAV/MP4/MPG/FLV/AVI/RMVB/MKV/MOV/VOB</w:t>
            </w:r>
            <w:r>
              <w:rPr>
                <w:rFonts w:hint="eastAsia" w:ascii="宋体" w:hAnsi="宋体" w:eastAsia="宋体" w:cs="宋体"/>
                <w:color w:val="000000"/>
                <w:sz w:val="20"/>
                <w:szCs w:val="20"/>
                <w:lang w:val="en-US"/>
              </w:rPr>
              <w:t>；</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图片输入支持格式：</w:t>
            </w:r>
            <w:r>
              <w:rPr>
                <w:rFonts w:ascii="Calibri" w:hAnsi="Calibri" w:eastAsia="宋体" w:cs="Calibri"/>
                <w:color w:val="000000"/>
                <w:sz w:val="20"/>
                <w:szCs w:val="20"/>
                <w:lang w:val="en-US"/>
              </w:rPr>
              <w:t>BMP/JPG</w:t>
            </w:r>
            <w:r>
              <w:rPr>
                <w:rFonts w:hint="eastAsia" w:ascii="宋体" w:hAnsi="宋体" w:eastAsia="宋体" w:cs="宋体"/>
                <w:color w:val="000000"/>
                <w:sz w:val="20"/>
                <w:szCs w:val="20"/>
                <w:lang w:val="en-US"/>
              </w:rPr>
              <w:t>。</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输出：分辨率</w:t>
            </w:r>
            <w:r>
              <w:rPr>
                <w:rFonts w:ascii="Calibri" w:hAnsi="Calibri" w:eastAsia="宋体" w:cs="Calibri"/>
                <w:color w:val="000000"/>
                <w:sz w:val="20"/>
                <w:szCs w:val="20"/>
                <w:lang w:val="en-US"/>
              </w:rPr>
              <w:t>1920*1080/1280*720/720*576</w:t>
            </w:r>
            <w:r>
              <w:rPr>
                <w:rFonts w:hint="eastAsia" w:ascii="宋体" w:hAnsi="宋体" w:eastAsia="宋体" w:cs="宋体"/>
                <w:color w:val="000000"/>
                <w:sz w:val="20"/>
                <w:szCs w:val="20"/>
                <w:lang w:val="en-US"/>
              </w:rPr>
              <w:t>。</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视频输出支持格式</w:t>
            </w:r>
            <w:r>
              <w:rPr>
                <w:rFonts w:ascii="Calibri" w:hAnsi="Calibri" w:eastAsia="宋体" w:cs="Calibri"/>
                <w:color w:val="000000"/>
                <w:sz w:val="20"/>
                <w:szCs w:val="20"/>
                <w:lang w:val="en-US"/>
              </w:rPr>
              <w:t>:MPG/WAV/MP4/FLV/AVI</w:t>
            </w:r>
            <w:r>
              <w:rPr>
                <w:rFonts w:hint="eastAsia" w:ascii="宋体" w:hAnsi="宋体" w:eastAsia="宋体" w:cs="宋体"/>
                <w:color w:val="000000"/>
                <w:sz w:val="20"/>
                <w:szCs w:val="20"/>
                <w:lang w:val="en-US"/>
              </w:rPr>
              <w:t>；</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一路</w:t>
            </w:r>
            <w:r>
              <w:rPr>
                <w:rFonts w:ascii="Calibri" w:hAnsi="Calibri" w:eastAsia="宋体" w:cs="Calibri"/>
                <w:color w:val="000000"/>
                <w:sz w:val="20"/>
                <w:szCs w:val="20"/>
                <w:lang w:val="en-US"/>
              </w:rPr>
              <w:t>VGA\</w:t>
            </w:r>
            <w:r>
              <w:rPr>
                <w:rFonts w:hint="eastAsia" w:ascii="宋体" w:hAnsi="宋体" w:eastAsia="宋体" w:cs="宋体"/>
                <w:color w:val="000000"/>
                <w:sz w:val="20"/>
                <w:szCs w:val="20"/>
                <w:lang w:val="en-US"/>
              </w:rPr>
              <w:t>一路</w:t>
            </w:r>
            <w:r>
              <w:rPr>
                <w:rFonts w:ascii="Calibri" w:hAnsi="Calibri" w:eastAsia="宋体" w:cs="Calibri"/>
                <w:color w:val="000000"/>
                <w:sz w:val="20"/>
                <w:szCs w:val="20"/>
                <w:lang w:val="en-US"/>
              </w:rPr>
              <w:t>HDMI\</w:t>
            </w:r>
            <w:r>
              <w:rPr>
                <w:rFonts w:hint="eastAsia" w:ascii="宋体" w:hAnsi="宋体" w:eastAsia="宋体" w:cs="宋体"/>
                <w:color w:val="000000"/>
                <w:sz w:val="20"/>
                <w:szCs w:val="20"/>
                <w:lang w:val="en-US"/>
              </w:rPr>
              <w:t>一路</w:t>
            </w:r>
            <w:r>
              <w:rPr>
                <w:rFonts w:ascii="Calibri" w:hAnsi="Calibri" w:eastAsia="宋体" w:cs="Calibri"/>
                <w:color w:val="000000"/>
                <w:sz w:val="20"/>
                <w:szCs w:val="20"/>
                <w:lang w:val="en-US"/>
              </w:rPr>
              <w:t xml:space="preserve">DVI </w:t>
            </w:r>
            <w:r>
              <w:rPr>
                <w:rFonts w:hint="eastAsia" w:ascii="宋体" w:hAnsi="宋体" w:eastAsia="宋体" w:cs="宋体"/>
                <w:color w:val="000000"/>
                <w:sz w:val="20"/>
                <w:szCs w:val="20"/>
                <w:lang w:val="en-US"/>
              </w:rPr>
              <w:t>输出</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2.系统预置视角画面、导播切换画面、模型形变、模型角度和模型位置的快捷键。</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870"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3.PGM、</w:t>
            </w:r>
            <w:r>
              <w:rPr>
                <w:rFonts w:ascii="Calibri" w:hAnsi="Calibri" w:eastAsia="宋体" w:cs="Calibri"/>
                <w:color w:val="000000"/>
                <w:sz w:val="20"/>
                <w:szCs w:val="20"/>
                <w:lang w:val="en-US"/>
              </w:rPr>
              <w:t>PVW</w:t>
            </w:r>
            <w:r>
              <w:rPr>
                <w:rFonts w:hint="eastAsia" w:ascii="宋体" w:hAnsi="宋体" w:eastAsia="宋体" w:cs="宋体"/>
                <w:color w:val="000000"/>
                <w:sz w:val="20"/>
                <w:szCs w:val="20"/>
                <w:lang w:val="en-US"/>
              </w:rPr>
              <w:t>预监功能，八路实时切换台，一键设置现场连线，可以对两路信号显示比例大小、宽度进行调整，并能够增添多种预设字幕及视频背景。三路信号同时抠像；预置了多种转场方式，淡入淡出、翻页、交叉、横划、划像、百叶窗、横移、叠变、分割、卷页等；并且可调节切换速度，手柄式操作更灵活；先预览后进行播出，让录制或直播减少错误的发生。</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4.四路</w:t>
            </w:r>
            <w:r>
              <w:rPr>
                <w:rFonts w:ascii="Calibri" w:hAnsi="Calibri" w:eastAsia="宋体" w:cs="Calibri"/>
                <w:color w:val="000000"/>
                <w:sz w:val="20"/>
                <w:szCs w:val="20"/>
                <w:lang w:val="en-US"/>
              </w:rPr>
              <w:t>SDI</w:t>
            </w:r>
            <w:r>
              <w:rPr>
                <w:rFonts w:hint="eastAsia" w:ascii="宋体" w:hAnsi="宋体" w:eastAsia="宋体" w:cs="宋体"/>
                <w:color w:val="000000"/>
                <w:sz w:val="20"/>
                <w:szCs w:val="20"/>
                <w:lang w:val="en-US"/>
              </w:rPr>
              <w:t>或</w:t>
            </w:r>
            <w:r>
              <w:rPr>
                <w:rFonts w:ascii="Calibri" w:hAnsi="Calibri" w:eastAsia="宋体" w:cs="Calibri"/>
                <w:color w:val="000000"/>
                <w:sz w:val="20"/>
                <w:szCs w:val="20"/>
                <w:lang w:val="en-US"/>
              </w:rPr>
              <w:t>HDMI</w:t>
            </w:r>
            <w:r>
              <w:rPr>
                <w:rFonts w:hint="eastAsia" w:ascii="宋体" w:hAnsi="宋体" w:eastAsia="宋体" w:cs="宋体"/>
                <w:color w:val="000000"/>
                <w:sz w:val="20"/>
                <w:szCs w:val="20"/>
                <w:lang w:val="en-US"/>
              </w:rPr>
              <w:t>信号输入，可同时三路进行抠像；信号刚来源包含摄像机和媒体文件，媒体文件播放模式可以选择不循环。</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870"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5.演播室或直播间可外界进行视频连线或电话连线，实时显示电话机连线模板；两个窗口的位置与大小调整，窗口显示内容可选择四路输入信号源和</w:t>
            </w:r>
            <w:r>
              <w:rPr>
                <w:rFonts w:ascii="Calibri" w:hAnsi="Calibri" w:eastAsia="宋体" w:cs="Calibri"/>
                <w:color w:val="000000"/>
                <w:sz w:val="20"/>
                <w:szCs w:val="20"/>
                <w:lang w:val="en-US"/>
              </w:rPr>
              <w:t>3D</w:t>
            </w:r>
            <w:r>
              <w:rPr>
                <w:rFonts w:hint="eastAsia" w:ascii="宋体" w:hAnsi="宋体" w:eastAsia="宋体" w:cs="宋体"/>
                <w:color w:val="000000"/>
                <w:sz w:val="20"/>
                <w:szCs w:val="20"/>
                <w:lang w:val="en-US"/>
              </w:rPr>
              <w:t>场景；可制作自定义厦背景视频为连线内容模板；连线窗实时添加字幕，可进行字体、大小与位置的调整；视频、信号、电话联线徐与</w:t>
            </w:r>
            <w:r>
              <w:rPr>
                <w:rFonts w:ascii="Calibri" w:hAnsi="Calibri" w:eastAsia="宋体" w:cs="Calibri"/>
                <w:color w:val="000000"/>
                <w:sz w:val="20"/>
                <w:szCs w:val="20"/>
                <w:lang w:val="en-US"/>
              </w:rPr>
              <w:t>3D</w:t>
            </w:r>
            <w:r>
              <w:rPr>
                <w:rFonts w:hint="eastAsia" w:ascii="宋体" w:hAnsi="宋体" w:eastAsia="宋体" w:cs="宋体"/>
                <w:color w:val="000000"/>
                <w:sz w:val="20"/>
                <w:szCs w:val="20"/>
                <w:lang w:val="en-US"/>
              </w:rPr>
              <w:t>场景之间可自由特效切换；实时保存本次模板，以便下次读取调用。</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7.直播功能：支持</w:t>
            </w:r>
            <w:r>
              <w:rPr>
                <w:rFonts w:ascii="Calibri" w:hAnsi="Calibri" w:eastAsia="宋体" w:cs="Calibri"/>
                <w:color w:val="000000"/>
                <w:sz w:val="20"/>
                <w:szCs w:val="20"/>
                <w:lang w:val="en-US"/>
              </w:rPr>
              <w:t>RTMP</w:t>
            </w:r>
            <w:r>
              <w:rPr>
                <w:rFonts w:hint="eastAsia" w:ascii="宋体" w:hAnsi="宋体" w:eastAsia="宋体" w:cs="宋体"/>
                <w:color w:val="000000"/>
                <w:sz w:val="20"/>
                <w:szCs w:val="20"/>
                <w:lang w:val="en-US"/>
              </w:rPr>
              <w:t>和虚拟摄像头两种直播类型</w:t>
            </w:r>
            <w:r>
              <w:rPr>
                <w:rFonts w:ascii="Calibri" w:hAnsi="Calibri" w:eastAsia="宋体" w:cs="Calibri"/>
                <w:color w:val="000000"/>
                <w:sz w:val="20"/>
                <w:szCs w:val="20"/>
                <w:lang w:val="en-US"/>
              </w:rPr>
              <w:t>,</w:t>
            </w:r>
            <w:r>
              <w:rPr>
                <w:rFonts w:hint="eastAsia" w:ascii="宋体" w:hAnsi="宋体" w:eastAsia="宋体" w:cs="宋体"/>
                <w:color w:val="000000"/>
                <w:sz w:val="20"/>
                <w:szCs w:val="20"/>
                <w:lang w:val="en-US"/>
              </w:rPr>
              <w:t>链接</w:t>
            </w:r>
            <w:r>
              <w:rPr>
                <w:rFonts w:ascii="Calibri" w:hAnsi="Calibri" w:eastAsia="宋体" w:cs="Calibri"/>
                <w:color w:val="000000"/>
                <w:sz w:val="20"/>
                <w:szCs w:val="20"/>
                <w:lang w:val="en-US"/>
              </w:rPr>
              <w:t>QQ</w:t>
            </w:r>
            <w:r>
              <w:rPr>
                <w:rFonts w:hint="eastAsia" w:ascii="宋体" w:hAnsi="宋体" w:eastAsia="宋体" w:cs="宋体"/>
                <w:color w:val="000000"/>
                <w:sz w:val="20"/>
                <w:szCs w:val="20"/>
                <w:lang w:val="en-US"/>
              </w:rPr>
              <w:t>和</w:t>
            </w:r>
            <w:r>
              <w:rPr>
                <w:rFonts w:ascii="Calibri" w:hAnsi="Calibri" w:eastAsia="宋体" w:cs="Calibri"/>
                <w:color w:val="000000"/>
                <w:sz w:val="20"/>
                <w:szCs w:val="20"/>
                <w:lang w:val="en-US"/>
              </w:rPr>
              <w:t>YY</w:t>
            </w:r>
            <w:r>
              <w:rPr>
                <w:rFonts w:hint="eastAsia" w:ascii="宋体" w:hAnsi="宋体" w:eastAsia="宋体" w:cs="宋体"/>
                <w:color w:val="000000"/>
                <w:sz w:val="20"/>
                <w:szCs w:val="20"/>
                <w:lang w:val="en-US"/>
              </w:rPr>
              <w:t>等网络聊天工具可远程直播；可设置不同分辨率和码率，保证直播画面的清晰和流畅；</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8.在搭建场景或修改某个场景时，按照快捷键方法对部件进行添加与删除，可进行反复练习使用；实时对搭建好的场景保存为工程文件存档，下次读取时双击此缩略图即可应用。</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9.在录制节目时，可以提前设置好六个虚拟机位，一键保存，虚拟机位切换模拟了摄像机缓慢移动拍摄的轨迹。</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10.提供多种</w:t>
            </w:r>
            <w:r>
              <w:rPr>
                <w:rFonts w:ascii="Calibri" w:hAnsi="Calibri" w:eastAsia="宋体" w:cs="Calibri"/>
                <w:color w:val="000000"/>
                <w:sz w:val="20"/>
                <w:szCs w:val="20"/>
                <w:lang w:val="en-US"/>
              </w:rPr>
              <w:t>3D</w:t>
            </w:r>
            <w:r>
              <w:rPr>
                <w:rFonts w:hint="eastAsia" w:ascii="宋体" w:hAnsi="宋体" w:eastAsia="宋体" w:cs="宋体"/>
                <w:color w:val="000000"/>
                <w:sz w:val="20"/>
                <w:szCs w:val="20"/>
                <w:lang w:val="en-US"/>
              </w:rPr>
              <w:t>虚拟场景搭建素材部件，并可根据素材部件自由搭建场景，搭建的场景与现场的真实表演无缝结合</w:t>
            </w:r>
            <w:r>
              <w:rPr>
                <w:rFonts w:ascii="Calibri" w:hAnsi="Calibri" w:eastAsia="宋体" w:cs="Calibri"/>
                <w:color w:val="000000"/>
                <w:sz w:val="20"/>
                <w:szCs w:val="20"/>
                <w:lang w:val="en-US"/>
              </w:rPr>
              <w:t>,</w:t>
            </w:r>
            <w:r>
              <w:rPr>
                <w:rFonts w:hint="eastAsia" w:ascii="宋体" w:hAnsi="宋体" w:eastAsia="宋体" w:cs="宋体"/>
                <w:color w:val="000000"/>
                <w:sz w:val="20"/>
                <w:szCs w:val="20"/>
                <w:lang w:val="en-US"/>
              </w:rPr>
              <w:t>实现虚拟情景互动；开放的素材管理平台；</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11.在场景搭建过程中可以同时添加</w:t>
            </w:r>
            <w:r>
              <w:rPr>
                <w:rFonts w:ascii="Calibri" w:hAnsi="Calibri" w:eastAsia="宋体" w:cs="Calibri"/>
                <w:color w:val="000000"/>
                <w:sz w:val="20"/>
                <w:szCs w:val="20"/>
                <w:lang w:val="en-US"/>
              </w:rPr>
              <w:t>2D</w:t>
            </w:r>
            <w:r>
              <w:rPr>
                <w:rFonts w:hint="eastAsia" w:ascii="宋体" w:hAnsi="宋体" w:eastAsia="宋体" w:cs="宋体"/>
                <w:color w:val="000000"/>
                <w:sz w:val="20"/>
                <w:szCs w:val="20"/>
                <w:lang w:val="en-US"/>
              </w:rPr>
              <w:t>台标和</w:t>
            </w:r>
            <w:r>
              <w:rPr>
                <w:rFonts w:ascii="Calibri" w:hAnsi="Calibri" w:eastAsia="宋体" w:cs="Calibri"/>
                <w:color w:val="000000"/>
                <w:sz w:val="20"/>
                <w:szCs w:val="20"/>
                <w:lang w:val="en-US"/>
              </w:rPr>
              <w:t>3D</w:t>
            </w:r>
            <w:r>
              <w:rPr>
                <w:rFonts w:hint="eastAsia" w:ascii="宋体" w:hAnsi="宋体" w:eastAsia="宋体" w:cs="宋体"/>
                <w:color w:val="000000"/>
                <w:sz w:val="20"/>
                <w:szCs w:val="20"/>
                <w:lang w:val="en-US"/>
              </w:rPr>
              <w:t>台标。</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660"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12.提供三类具有物理属性的灯光，如：聚光灯、点光源与平行光。光源方向可改变，通过调节的</w:t>
            </w:r>
            <w:r>
              <w:rPr>
                <w:rFonts w:ascii="Calibri" w:hAnsi="Calibri" w:eastAsia="宋体" w:cs="Calibri"/>
                <w:color w:val="000000"/>
                <w:sz w:val="20"/>
                <w:szCs w:val="20"/>
                <w:lang w:val="en-US"/>
              </w:rPr>
              <w:t>X</w:t>
            </w:r>
            <w:r>
              <w:rPr>
                <w:rFonts w:hint="eastAsia" w:ascii="宋体" w:hAnsi="宋体" w:eastAsia="宋体" w:cs="宋体"/>
                <w:color w:val="000000"/>
                <w:sz w:val="20"/>
                <w:szCs w:val="20"/>
                <w:lang w:val="en-US"/>
              </w:rPr>
              <w:t>、</w:t>
            </w:r>
            <w:r>
              <w:rPr>
                <w:rFonts w:ascii="Calibri" w:hAnsi="Calibri" w:eastAsia="宋体" w:cs="Calibri"/>
                <w:color w:val="000000"/>
                <w:sz w:val="20"/>
                <w:szCs w:val="20"/>
                <w:lang w:val="en-US"/>
              </w:rPr>
              <w:t>Y</w:t>
            </w:r>
            <w:r>
              <w:rPr>
                <w:rFonts w:hint="eastAsia" w:ascii="宋体" w:hAnsi="宋体" w:eastAsia="宋体" w:cs="宋体"/>
                <w:color w:val="000000"/>
                <w:sz w:val="20"/>
                <w:szCs w:val="20"/>
                <w:lang w:val="en-US"/>
              </w:rPr>
              <w:t>与</w:t>
            </w:r>
            <w:r>
              <w:rPr>
                <w:rFonts w:ascii="Calibri" w:hAnsi="Calibri" w:eastAsia="宋体" w:cs="Calibri"/>
                <w:color w:val="000000"/>
                <w:sz w:val="20"/>
                <w:szCs w:val="20"/>
                <w:lang w:val="en-US"/>
              </w:rPr>
              <w:t>Z</w:t>
            </w:r>
            <w:r>
              <w:rPr>
                <w:rFonts w:hint="eastAsia" w:ascii="宋体" w:hAnsi="宋体" w:eastAsia="宋体" w:cs="宋体"/>
                <w:color w:val="000000"/>
                <w:sz w:val="20"/>
                <w:szCs w:val="20"/>
                <w:lang w:val="en-US"/>
              </w:rPr>
              <w:t>三个数值来实现不同的方向；灯光源大小可通过调节的角度数值来任意的改变；统一控制灯光指示器的显示，避免场景出现杂物；</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13.多路人物影子功能，可在地面投出人物的影子，使画面更真实；</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14.在场景中每个元素部件除了可以装修舞台外，还可设置轨迹，进行相应的动画制作；比如让球体进行旋转、让飞机进行飞行等等。</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15.系统中的三维虚拟场景三角形面片数需不小于</w:t>
            </w:r>
            <w:r>
              <w:rPr>
                <w:rFonts w:ascii="Calibri" w:hAnsi="Calibri" w:eastAsia="宋体" w:cs="Calibri"/>
                <w:color w:val="000000"/>
                <w:sz w:val="20"/>
                <w:szCs w:val="20"/>
                <w:lang w:val="en-US"/>
              </w:rPr>
              <w:t>1000</w:t>
            </w:r>
            <w:r>
              <w:rPr>
                <w:rFonts w:hint="eastAsia" w:ascii="宋体" w:hAnsi="宋体" w:eastAsia="宋体" w:cs="宋体"/>
                <w:color w:val="000000"/>
                <w:sz w:val="20"/>
                <w:szCs w:val="20"/>
                <w:lang w:val="en-US"/>
              </w:rPr>
              <w:t>万个，贴图容量不小于</w:t>
            </w:r>
            <w:r>
              <w:rPr>
                <w:rFonts w:ascii="Calibri" w:hAnsi="Calibri" w:eastAsia="宋体" w:cs="Calibri"/>
                <w:color w:val="000000"/>
                <w:sz w:val="20"/>
                <w:szCs w:val="20"/>
                <w:lang w:val="en-US"/>
              </w:rPr>
              <w:t>1.14GB</w:t>
            </w:r>
            <w:r>
              <w:rPr>
                <w:rFonts w:hint="eastAsia" w:ascii="宋体" w:hAnsi="宋体" w:eastAsia="宋体" w:cs="宋体"/>
                <w:color w:val="000000"/>
                <w:sz w:val="20"/>
                <w:szCs w:val="20"/>
                <w:lang w:val="en-US"/>
              </w:rPr>
              <w:t>，按国家光电总局提供的光电检测报告为准，提供国家光电总局检测报告；</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16.系统提供了摄像机跟随功能，不论人物走到任何角度，人物都会面向前方，正对着当前镜头，保持人物图像不变形；</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660"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17.三路信号同时进行抠像，支持摄像机信号和媒体文件信号，可实现虚拟互动功能；支持多种抠像背景，可实现增强现实功能；支持多种提供两种颜色抠像，蓝色和绿色；可对拍摄范围内多余的景物进行裁边，实现无限蓝箱功能。</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18.支持</w:t>
            </w:r>
            <w:r>
              <w:rPr>
                <w:rFonts w:ascii="Calibri" w:hAnsi="Calibri" w:eastAsia="宋体" w:cs="Calibri"/>
                <w:color w:val="000000"/>
                <w:sz w:val="20"/>
                <w:szCs w:val="20"/>
                <w:lang w:val="en-US"/>
              </w:rPr>
              <w:t>2D</w:t>
            </w:r>
            <w:r>
              <w:rPr>
                <w:rFonts w:hint="eastAsia" w:ascii="宋体" w:hAnsi="宋体" w:eastAsia="宋体" w:cs="宋体"/>
                <w:color w:val="000000"/>
                <w:sz w:val="20"/>
                <w:szCs w:val="20"/>
                <w:lang w:val="en-US"/>
              </w:rPr>
              <w:t>模式，背景和前景任意更换，实现不同的盈虚拟合成，使用模板即可，无需真实可视蓝箱和摄像机；</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870"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19.在场景中可以任意添加多个屏幕，屏幕的类型分为屏幕一、屏幕二与屏幕三共三种类型；屏幕的播放内容都可以选择四路输入信号或读取本地视频，可以选择播放和循环；屏幕还可以进行视频抠像应用，如一段放烟花的视频为黑色背景时，可以选择屏幕抠像，只保留烟花，然后在调整到三维舞台上，让舞台效果更加逼真。</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20.画中画功能，可在</w:t>
            </w:r>
            <w:r>
              <w:rPr>
                <w:rFonts w:ascii="Calibri" w:hAnsi="Calibri" w:eastAsia="宋体" w:cs="Calibri"/>
                <w:color w:val="000000"/>
                <w:sz w:val="20"/>
                <w:szCs w:val="20"/>
                <w:lang w:val="en-US"/>
              </w:rPr>
              <w:t>PGM</w:t>
            </w:r>
            <w:r>
              <w:rPr>
                <w:rFonts w:hint="eastAsia" w:ascii="宋体" w:hAnsi="宋体" w:eastAsia="宋体" w:cs="宋体"/>
                <w:color w:val="000000"/>
                <w:sz w:val="20"/>
                <w:szCs w:val="20"/>
                <w:lang w:val="en-US"/>
              </w:rPr>
              <w:t>画面中添加画中画，并可更换信号源和调节位置大小等；</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21.提供大量的不同风格的视频素材</w:t>
            </w:r>
            <w:r>
              <w:rPr>
                <w:rFonts w:ascii="Calibri" w:hAnsi="Calibri" w:eastAsia="宋体" w:cs="Calibri"/>
                <w:color w:val="000000"/>
                <w:sz w:val="20"/>
                <w:szCs w:val="20"/>
                <w:lang w:val="en-US"/>
              </w:rPr>
              <w:t>,</w:t>
            </w:r>
            <w:r>
              <w:rPr>
                <w:rFonts w:hint="eastAsia" w:ascii="宋体" w:hAnsi="宋体" w:eastAsia="宋体" w:cs="宋体"/>
                <w:color w:val="000000"/>
                <w:sz w:val="20"/>
                <w:szCs w:val="20"/>
                <w:lang w:val="en-US"/>
              </w:rPr>
              <w:t>如温馨的、动感的、幸福的、可爱的等等。</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22.系统自带</w:t>
            </w:r>
            <w:r>
              <w:rPr>
                <w:rFonts w:ascii="Calibri" w:hAnsi="Calibri" w:eastAsia="宋体" w:cs="Calibri"/>
                <w:color w:val="000000"/>
                <w:sz w:val="20"/>
                <w:szCs w:val="20"/>
                <w:lang w:val="en-US"/>
              </w:rPr>
              <w:t>100GB</w:t>
            </w:r>
            <w:r>
              <w:rPr>
                <w:rFonts w:hint="eastAsia" w:ascii="宋体" w:hAnsi="宋体" w:eastAsia="宋体" w:cs="宋体"/>
                <w:color w:val="000000"/>
                <w:sz w:val="20"/>
                <w:szCs w:val="20"/>
                <w:lang w:val="en-US"/>
              </w:rPr>
              <w:t>容量</w:t>
            </w:r>
            <w:r>
              <w:rPr>
                <w:rFonts w:ascii="Calibri" w:hAnsi="Calibri" w:eastAsia="宋体" w:cs="Calibri"/>
                <w:color w:val="000000"/>
                <w:sz w:val="20"/>
                <w:szCs w:val="20"/>
                <w:lang w:val="en-US"/>
              </w:rPr>
              <w:t>MP3</w:t>
            </w:r>
            <w:r>
              <w:rPr>
                <w:rFonts w:hint="eastAsia" w:ascii="宋体" w:hAnsi="宋体" w:eastAsia="宋体" w:cs="宋体"/>
                <w:color w:val="000000"/>
                <w:sz w:val="20"/>
                <w:szCs w:val="20"/>
                <w:lang w:val="en-US"/>
              </w:rPr>
              <w:t>歌库（包含原唱、伴奏和字幕），播出画面可添加演唱者姓名并实时保存。</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bottom w:val="single" w:color="000000" w:sz="18"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23.预置多种三维字幕条供使用，并可保存到相应的场景中，无需重复添加。</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w:t>
            </w:r>
          </w:p>
        </w:tc>
        <w:tc>
          <w:tcPr>
            <w:tcW w:w="367" w:type="pct"/>
            <w:vMerge w:val="restar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非线性编辑系统</w:t>
            </w: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硬件配置：</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13</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套</w:t>
            </w: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w:t>
            </w:r>
            <w:r>
              <w:rPr>
                <w:rFonts w:ascii="Calibri" w:hAnsi="Calibri" w:eastAsia="宋体" w:cs="Calibri"/>
                <w:color w:val="000000"/>
                <w:sz w:val="20"/>
                <w:szCs w:val="20"/>
                <w:lang w:val="en-US"/>
              </w:rPr>
              <w:t>1</w:t>
            </w:r>
            <w:r>
              <w:rPr>
                <w:rFonts w:hint="eastAsia" w:ascii="宋体" w:hAnsi="宋体" w:eastAsia="宋体" w:cs="宋体"/>
                <w:color w:val="000000"/>
                <w:sz w:val="20"/>
                <w:szCs w:val="20"/>
                <w:lang w:val="en-US"/>
              </w:rPr>
              <w:t>路</w:t>
            </w:r>
            <w:r>
              <w:rPr>
                <w:rFonts w:ascii="Calibri" w:hAnsi="Calibri" w:eastAsia="宋体" w:cs="Calibri"/>
                <w:color w:val="000000"/>
                <w:sz w:val="20"/>
                <w:szCs w:val="20"/>
                <w:lang w:val="en-US"/>
              </w:rPr>
              <w:t>HD SDI</w:t>
            </w:r>
            <w:r>
              <w:rPr>
                <w:rFonts w:hint="eastAsia" w:ascii="宋体" w:hAnsi="宋体" w:eastAsia="宋体" w:cs="宋体"/>
                <w:color w:val="000000"/>
                <w:sz w:val="20"/>
                <w:szCs w:val="20"/>
                <w:lang w:val="en-US"/>
              </w:rPr>
              <w:t>或</w:t>
            </w:r>
            <w:r>
              <w:rPr>
                <w:rFonts w:ascii="Calibri" w:hAnsi="Calibri" w:eastAsia="宋体" w:cs="Calibri"/>
                <w:color w:val="000000"/>
                <w:sz w:val="20"/>
                <w:szCs w:val="20"/>
                <w:lang w:val="en-US"/>
              </w:rPr>
              <w:t>HDMI</w:t>
            </w:r>
            <w:r>
              <w:rPr>
                <w:rFonts w:hint="eastAsia" w:ascii="宋体" w:hAnsi="宋体" w:eastAsia="宋体" w:cs="宋体"/>
                <w:color w:val="000000"/>
                <w:sz w:val="20"/>
                <w:szCs w:val="20"/>
                <w:lang w:val="en-US"/>
              </w:rPr>
              <w:t>视频信号输入；</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w:t>
            </w:r>
            <w:r>
              <w:rPr>
                <w:rFonts w:ascii="Calibri" w:hAnsi="Calibri" w:eastAsia="宋体" w:cs="Calibri"/>
                <w:color w:val="000000"/>
                <w:sz w:val="20"/>
                <w:szCs w:val="20"/>
                <w:lang w:val="en-US"/>
              </w:rPr>
              <w:t>1</w:t>
            </w:r>
            <w:r>
              <w:rPr>
                <w:rFonts w:hint="eastAsia" w:ascii="宋体" w:hAnsi="宋体" w:eastAsia="宋体" w:cs="宋体"/>
                <w:color w:val="000000"/>
                <w:sz w:val="20"/>
                <w:szCs w:val="20"/>
                <w:lang w:val="en-US"/>
              </w:rPr>
              <w:t>路高清</w:t>
            </w:r>
            <w:r>
              <w:rPr>
                <w:rFonts w:ascii="Calibri" w:hAnsi="Calibri" w:eastAsia="宋体" w:cs="Calibri"/>
                <w:color w:val="000000"/>
                <w:sz w:val="20"/>
                <w:szCs w:val="20"/>
                <w:lang w:val="en-US"/>
              </w:rPr>
              <w:t>DVI/HDMI</w:t>
            </w:r>
            <w:r>
              <w:rPr>
                <w:rFonts w:hint="eastAsia" w:ascii="宋体" w:hAnsi="宋体" w:eastAsia="宋体" w:cs="宋体"/>
                <w:color w:val="000000"/>
                <w:sz w:val="20"/>
                <w:szCs w:val="20"/>
                <w:lang w:val="en-US"/>
              </w:rPr>
              <w:t>视音频混合信号输出；</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w:t>
            </w:r>
            <w:r>
              <w:rPr>
                <w:rFonts w:ascii="Calibri" w:hAnsi="Calibri" w:eastAsia="宋体" w:cs="Calibri"/>
                <w:color w:val="000000"/>
                <w:sz w:val="20"/>
                <w:szCs w:val="20"/>
                <w:lang w:val="en-US"/>
              </w:rPr>
              <w:t>1</w:t>
            </w:r>
            <w:r>
              <w:rPr>
                <w:rFonts w:hint="eastAsia" w:ascii="宋体" w:hAnsi="宋体" w:eastAsia="宋体" w:cs="宋体"/>
                <w:color w:val="000000"/>
                <w:sz w:val="20"/>
                <w:szCs w:val="20"/>
                <w:lang w:val="en-US"/>
              </w:rPr>
              <w:t>路</w:t>
            </w:r>
            <w:r>
              <w:rPr>
                <w:rFonts w:ascii="Calibri" w:hAnsi="Calibri" w:eastAsia="宋体" w:cs="Calibri"/>
                <w:color w:val="000000"/>
                <w:sz w:val="20"/>
                <w:szCs w:val="20"/>
                <w:lang w:val="en-US"/>
              </w:rPr>
              <w:t>VGA</w:t>
            </w:r>
            <w:r>
              <w:rPr>
                <w:rFonts w:hint="eastAsia" w:ascii="宋体" w:hAnsi="宋体" w:eastAsia="宋体" w:cs="宋体"/>
                <w:color w:val="000000"/>
                <w:sz w:val="20"/>
                <w:szCs w:val="20"/>
                <w:lang w:val="en-US"/>
              </w:rPr>
              <w:t>视频信号输出；</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w:t>
            </w:r>
            <w:r>
              <w:rPr>
                <w:rFonts w:ascii="Calibri" w:hAnsi="Calibri" w:eastAsia="宋体" w:cs="Calibri"/>
                <w:color w:val="000000"/>
                <w:sz w:val="20"/>
                <w:szCs w:val="20"/>
                <w:lang w:val="en-US"/>
              </w:rPr>
              <w:t>1</w:t>
            </w:r>
            <w:r>
              <w:rPr>
                <w:rFonts w:hint="eastAsia" w:ascii="宋体" w:hAnsi="宋体" w:eastAsia="宋体" w:cs="宋体"/>
                <w:color w:val="000000"/>
                <w:sz w:val="20"/>
                <w:szCs w:val="20"/>
                <w:lang w:val="en-US"/>
              </w:rPr>
              <w:t>路混合立体声输出，</w:t>
            </w:r>
            <w:r>
              <w:rPr>
                <w:rFonts w:ascii="Calibri" w:hAnsi="Calibri" w:eastAsia="宋体" w:cs="Calibri"/>
                <w:color w:val="000000"/>
                <w:sz w:val="20"/>
                <w:szCs w:val="20"/>
                <w:lang w:val="en-US"/>
              </w:rPr>
              <w:t>2</w:t>
            </w:r>
            <w:r>
              <w:rPr>
                <w:rFonts w:hint="eastAsia" w:ascii="宋体" w:hAnsi="宋体" w:eastAsia="宋体" w:cs="宋体"/>
                <w:color w:val="000000"/>
                <w:sz w:val="20"/>
                <w:szCs w:val="20"/>
                <w:lang w:val="en-US"/>
              </w:rPr>
              <w:t>路混合立体声采集；</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w:t>
            </w:r>
            <w:r>
              <w:rPr>
                <w:rFonts w:ascii="Calibri" w:hAnsi="Calibri" w:eastAsia="宋体" w:cs="Calibri"/>
                <w:color w:val="000000"/>
                <w:sz w:val="20"/>
                <w:szCs w:val="20"/>
                <w:lang w:val="en-US"/>
              </w:rPr>
              <w:t>4U</w:t>
            </w:r>
            <w:r>
              <w:rPr>
                <w:rFonts w:hint="eastAsia" w:ascii="宋体" w:hAnsi="宋体" w:eastAsia="宋体" w:cs="宋体"/>
                <w:color w:val="000000"/>
                <w:sz w:val="20"/>
                <w:szCs w:val="20"/>
                <w:lang w:val="en-US"/>
              </w:rPr>
              <w:t>机架式结构，支持安装于标准“</w:t>
            </w:r>
            <w:r>
              <w:rPr>
                <w:rFonts w:ascii="Calibri" w:hAnsi="Calibri" w:eastAsia="宋体" w:cs="Calibri"/>
                <w:color w:val="000000"/>
                <w:sz w:val="20"/>
                <w:szCs w:val="20"/>
                <w:lang w:val="en-US"/>
              </w:rPr>
              <w:t>19</w:t>
            </w:r>
            <w:r>
              <w:rPr>
                <w:rFonts w:hint="eastAsia" w:ascii="宋体" w:hAnsi="宋体" w:eastAsia="宋体" w:cs="宋体"/>
                <w:color w:val="000000"/>
                <w:sz w:val="20"/>
                <w:szCs w:val="20"/>
                <w:lang w:val="en-US"/>
              </w:rPr>
              <w:t>”英寸机柜。</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CPU : i7-7700 四核心八线程处理器；</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主板</w:t>
            </w:r>
            <w:r>
              <w:rPr>
                <w:rFonts w:ascii="Calibri" w:hAnsi="Calibri" w:eastAsia="宋体" w:cs="Calibri"/>
                <w:color w:val="000000"/>
                <w:sz w:val="20"/>
                <w:szCs w:val="20"/>
                <w:lang w:val="en-US"/>
              </w:rPr>
              <w:t xml:space="preserve">: INTEL </w:t>
            </w:r>
            <w:r>
              <w:rPr>
                <w:rFonts w:hint="eastAsia" w:ascii="宋体" w:hAnsi="宋体" w:eastAsia="宋体" w:cs="宋体"/>
                <w:color w:val="000000"/>
                <w:sz w:val="20"/>
                <w:szCs w:val="20"/>
                <w:lang w:val="en-US"/>
              </w:rPr>
              <w:t>高速主板</w:t>
            </w:r>
            <w:r>
              <w:rPr>
                <w:rFonts w:ascii="Calibri" w:hAnsi="Calibri" w:eastAsia="宋体" w:cs="Calibri"/>
                <w:color w:val="000000"/>
                <w:sz w:val="20"/>
                <w:szCs w:val="20"/>
                <w:lang w:val="en-US"/>
              </w:rPr>
              <w:t>;</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内存：</w:t>
            </w:r>
            <w:r>
              <w:rPr>
                <w:rFonts w:ascii="Calibri" w:hAnsi="Calibri" w:eastAsia="宋体" w:cs="Calibri"/>
                <w:color w:val="000000"/>
                <w:sz w:val="20"/>
                <w:szCs w:val="20"/>
                <w:lang w:val="en-US"/>
              </w:rPr>
              <w:t>DDR4  8G</w:t>
            </w:r>
            <w:r>
              <w:rPr>
                <w:rFonts w:hint="eastAsia" w:ascii="宋体" w:hAnsi="宋体" w:eastAsia="宋体" w:cs="宋体"/>
                <w:color w:val="000000"/>
                <w:sz w:val="20"/>
                <w:szCs w:val="20"/>
                <w:lang w:val="en-US"/>
              </w:rPr>
              <w:t>；</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硬盘：</w:t>
            </w:r>
            <w:r>
              <w:rPr>
                <w:rFonts w:ascii="Calibri" w:hAnsi="Calibri" w:eastAsia="宋体" w:cs="Calibri"/>
                <w:color w:val="000000"/>
                <w:sz w:val="20"/>
                <w:szCs w:val="20"/>
                <w:lang w:val="en-US"/>
              </w:rPr>
              <w:t>128G SSD+2T HDD</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显卡：支持</w:t>
            </w:r>
            <w:r>
              <w:rPr>
                <w:rFonts w:ascii="Calibri" w:hAnsi="Calibri" w:eastAsia="宋体" w:cs="Calibri"/>
                <w:color w:val="000000"/>
                <w:sz w:val="20"/>
                <w:szCs w:val="20"/>
                <w:lang w:val="en-US"/>
              </w:rPr>
              <w:t>3D</w:t>
            </w:r>
            <w:r>
              <w:rPr>
                <w:rFonts w:hint="eastAsia" w:ascii="宋体" w:hAnsi="宋体" w:eastAsia="宋体" w:cs="宋体"/>
                <w:color w:val="000000"/>
                <w:sz w:val="20"/>
                <w:szCs w:val="20"/>
                <w:lang w:val="en-US"/>
              </w:rPr>
              <w:t>实时渲染的</w:t>
            </w:r>
            <w:r>
              <w:rPr>
                <w:rFonts w:ascii="Calibri" w:hAnsi="Calibri" w:eastAsia="宋体" w:cs="Calibri"/>
                <w:color w:val="000000"/>
                <w:sz w:val="20"/>
                <w:szCs w:val="20"/>
                <w:lang w:val="en-US"/>
              </w:rPr>
              <w:t>NIVIDIA GT1030/2G D5</w:t>
            </w:r>
            <w:r>
              <w:rPr>
                <w:rFonts w:hint="eastAsia" w:ascii="宋体" w:hAnsi="宋体" w:eastAsia="宋体" w:cs="宋体"/>
                <w:color w:val="000000"/>
                <w:sz w:val="20"/>
                <w:szCs w:val="20"/>
                <w:lang w:val="en-US"/>
              </w:rPr>
              <w:t>显存独立显卡</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 xml:space="preserve">电源 </w:t>
            </w:r>
            <w:r>
              <w:rPr>
                <w:rFonts w:ascii="Calibri" w:hAnsi="Calibri" w:eastAsia="宋体" w:cs="Calibri"/>
                <w:color w:val="000000"/>
                <w:sz w:val="20"/>
                <w:szCs w:val="20"/>
                <w:lang w:val="en-US"/>
              </w:rPr>
              <w:t>: 500 W (110-230V)</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视频处理卡：广播级</w:t>
            </w:r>
            <w:r>
              <w:rPr>
                <w:rFonts w:ascii="Calibri" w:hAnsi="Calibri" w:eastAsia="宋体" w:cs="Calibri"/>
                <w:color w:val="000000"/>
                <w:sz w:val="20"/>
                <w:szCs w:val="20"/>
                <w:lang w:val="en-US"/>
              </w:rPr>
              <w:t>1</w:t>
            </w:r>
            <w:r>
              <w:rPr>
                <w:rFonts w:hint="eastAsia" w:ascii="宋体" w:hAnsi="宋体" w:eastAsia="宋体" w:cs="宋体"/>
                <w:color w:val="000000"/>
                <w:sz w:val="20"/>
                <w:szCs w:val="20"/>
                <w:lang w:val="en-US"/>
              </w:rPr>
              <w:t>路</w:t>
            </w:r>
            <w:r>
              <w:rPr>
                <w:rFonts w:ascii="Calibri" w:hAnsi="Calibri" w:eastAsia="宋体" w:cs="Calibri"/>
                <w:color w:val="000000"/>
                <w:sz w:val="20"/>
                <w:szCs w:val="20"/>
                <w:lang w:val="en-US"/>
              </w:rPr>
              <w:t>HDMI/SDI</w:t>
            </w:r>
            <w:r>
              <w:rPr>
                <w:rFonts w:hint="eastAsia" w:ascii="宋体" w:hAnsi="宋体" w:eastAsia="宋体" w:cs="宋体"/>
                <w:color w:val="000000"/>
                <w:sz w:val="20"/>
                <w:szCs w:val="20"/>
                <w:lang w:val="en-US"/>
              </w:rPr>
              <w:t>采集卡</w:t>
            </w:r>
            <w:r>
              <w:rPr>
                <w:rFonts w:ascii="Calibri" w:hAnsi="Calibri" w:eastAsia="宋体" w:cs="Calibri"/>
                <w:color w:val="000000"/>
                <w:sz w:val="20"/>
                <w:szCs w:val="20"/>
                <w:lang w:val="en-US"/>
              </w:rPr>
              <w:t>1</w:t>
            </w:r>
            <w:r>
              <w:rPr>
                <w:rFonts w:hint="eastAsia" w:ascii="宋体" w:hAnsi="宋体" w:eastAsia="宋体" w:cs="宋体"/>
                <w:color w:val="000000"/>
                <w:sz w:val="20"/>
                <w:szCs w:val="20"/>
                <w:lang w:val="en-US"/>
              </w:rPr>
              <w:t>、支持标清</w:t>
            </w:r>
            <w:r>
              <w:rPr>
                <w:rFonts w:ascii="Calibri" w:hAnsi="Calibri" w:eastAsia="宋体" w:cs="Calibri"/>
                <w:color w:val="000000"/>
                <w:sz w:val="20"/>
                <w:szCs w:val="20"/>
                <w:lang w:val="en-US"/>
              </w:rPr>
              <w:t>PAL</w:t>
            </w:r>
            <w:r>
              <w:rPr>
                <w:rFonts w:hint="eastAsia" w:ascii="宋体" w:hAnsi="宋体" w:eastAsia="宋体" w:cs="宋体"/>
                <w:color w:val="000000"/>
                <w:sz w:val="20"/>
                <w:szCs w:val="20"/>
                <w:lang w:val="en-US"/>
              </w:rPr>
              <w:t>和高清</w:t>
            </w:r>
            <w:r>
              <w:rPr>
                <w:rFonts w:ascii="Calibri" w:hAnsi="Calibri" w:eastAsia="宋体" w:cs="Calibri"/>
                <w:color w:val="000000"/>
                <w:sz w:val="20"/>
                <w:szCs w:val="20"/>
                <w:lang w:val="en-US"/>
              </w:rPr>
              <w:t>1080I</w:t>
            </w:r>
            <w:r>
              <w:rPr>
                <w:rFonts w:hint="eastAsia" w:ascii="宋体" w:hAnsi="宋体" w:eastAsia="宋体" w:cs="宋体"/>
                <w:color w:val="000000"/>
                <w:sz w:val="20"/>
                <w:szCs w:val="20"/>
                <w:lang w:val="en-US"/>
              </w:rPr>
              <w:t>格式。</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2、支持云计算、云存储。</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3、纯</w:t>
            </w:r>
            <w:r>
              <w:rPr>
                <w:rFonts w:ascii="Calibri" w:hAnsi="Calibri" w:eastAsia="宋体" w:cs="Calibri"/>
                <w:color w:val="000000"/>
                <w:sz w:val="20"/>
                <w:szCs w:val="20"/>
                <w:lang w:val="en-US"/>
              </w:rPr>
              <w:t>64</w:t>
            </w:r>
            <w:r>
              <w:rPr>
                <w:rFonts w:hint="eastAsia" w:ascii="宋体" w:hAnsi="宋体" w:eastAsia="宋体" w:cs="宋体"/>
                <w:color w:val="000000"/>
                <w:sz w:val="20"/>
                <w:szCs w:val="20"/>
                <w:lang w:val="en-US"/>
              </w:rPr>
              <w:t>位程序，支持无限内存空间，超强稳定性，整体速度大大提高。</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4、支持素材，时间线窗口分离。</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5、支持逐帧显示时间线视频素材。</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6、支持自定义快捷键。</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7、支持素材场景自动分割，并提供最小分割帧数设置。</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8、支持不同格式、不同范围一次性多项输出。</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9、独创的任意轨道轨间特技，特技自动跟踪。支持双向特技。</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10、支持多特技组合模板，支持特技层次。</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11、可以直接采集高标清</w:t>
            </w:r>
            <w:r>
              <w:rPr>
                <w:rFonts w:ascii="Calibri" w:hAnsi="Calibri" w:eastAsia="宋体" w:cs="Calibri"/>
                <w:color w:val="000000"/>
                <w:sz w:val="20"/>
                <w:szCs w:val="20"/>
                <w:lang w:val="en-US"/>
              </w:rPr>
              <w:t>DVD</w:t>
            </w:r>
            <w:r>
              <w:rPr>
                <w:rFonts w:hint="eastAsia" w:ascii="宋体" w:hAnsi="宋体" w:eastAsia="宋体" w:cs="宋体"/>
                <w:color w:val="000000"/>
                <w:sz w:val="20"/>
                <w:szCs w:val="20"/>
                <w:lang w:val="en-US"/>
              </w:rPr>
              <w:t>。</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12、支持素材在时间线上的标准大小</w:t>
            </w:r>
            <w:r>
              <w:rPr>
                <w:rFonts w:ascii="Calibri" w:hAnsi="Calibri" w:eastAsia="宋体" w:cs="Calibri"/>
                <w:color w:val="000000"/>
                <w:sz w:val="20"/>
                <w:szCs w:val="20"/>
                <w:lang w:val="en-US"/>
              </w:rPr>
              <w:t>/</w:t>
            </w:r>
            <w:r>
              <w:rPr>
                <w:rFonts w:hint="eastAsia" w:ascii="宋体" w:hAnsi="宋体" w:eastAsia="宋体" w:cs="宋体"/>
                <w:color w:val="000000"/>
                <w:sz w:val="20"/>
                <w:szCs w:val="20"/>
                <w:lang w:val="en-US"/>
              </w:rPr>
              <w:t>实际大小</w:t>
            </w:r>
            <w:r>
              <w:rPr>
                <w:rFonts w:ascii="Calibri" w:hAnsi="Calibri" w:eastAsia="宋体" w:cs="Calibri"/>
                <w:color w:val="000000"/>
                <w:sz w:val="20"/>
                <w:szCs w:val="20"/>
                <w:lang w:val="en-US"/>
              </w:rPr>
              <w:t>/</w:t>
            </w:r>
            <w:r>
              <w:rPr>
                <w:rFonts w:hint="eastAsia" w:ascii="宋体" w:hAnsi="宋体" w:eastAsia="宋体" w:cs="宋体"/>
                <w:color w:val="000000"/>
                <w:sz w:val="20"/>
                <w:szCs w:val="20"/>
                <w:lang w:val="en-US"/>
              </w:rPr>
              <w:t>全屏模式编辑。</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13、支持带</w:t>
            </w:r>
            <w:r>
              <w:rPr>
                <w:rFonts w:ascii="Calibri" w:hAnsi="Calibri" w:eastAsia="宋体" w:cs="Calibri"/>
                <w:color w:val="000000"/>
                <w:sz w:val="20"/>
                <w:szCs w:val="20"/>
                <w:lang w:val="en-US"/>
              </w:rPr>
              <w:t>Alpha</w:t>
            </w:r>
            <w:r>
              <w:rPr>
                <w:rFonts w:hint="eastAsia" w:ascii="宋体" w:hAnsi="宋体" w:eastAsia="宋体" w:cs="宋体"/>
                <w:color w:val="000000"/>
                <w:sz w:val="20"/>
                <w:szCs w:val="20"/>
                <w:lang w:val="en-US"/>
              </w:rPr>
              <w:t>通道的</w:t>
            </w:r>
            <w:r>
              <w:rPr>
                <w:rFonts w:ascii="Calibri" w:hAnsi="Calibri" w:eastAsia="宋体" w:cs="Calibri"/>
                <w:color w:val="000000"/>
                <w:sz w:val="20"/>
                <w:szCs w:val="20"/>
                <w:lang w:val="en-US"/>
              </w:rPr>
              <w:t>RGBA</w:t>
            </w:r>
            <w:r>
              <w:rPr>
                <w:rFonts w:hint="eastAsia" w:ascii="宋体" w:hAnsi="宋体" w:eastAsia="宋体" w:cs="宋体"/>
                <w:color w:val="000000"/>
                <w:sz w:val="20"/>
                <w:szCs w:val="20"/>
                <w:lang w:val="en-US"/>
              </w:rPr>
              <w:t>视频文件。</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14、支持多机位。</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15、支持</w:t>
            </w:r>
            <w:r>
              <w:rPr>
                <w:rFonts w:ascii="Calibri" w:hAnsi="Calibri" w:eastAsia="宋体" w:cs="Calibri"/>
                <w:color w:val="000000"/>
                <w:sz w:val="20"/>
                <w:szCs w:val="20"/>
                <w:lang w:val="en-US"/>
              </w:rPr>
              <w:t xml:space="preserve">SxS,CF,XDCam </w:t>
            </w:r>
            <w:r>
              <w:rPr>
                <w:rFonts w:hint="eastAsia" w:ascii="宋体" w:hAnsi="宋体" w:eastAsia="宋体" w:cs="宋体"/>
                <w:color w:val="000000"/>
                <w:sz w:val="20"/>
                <w:szCs w:val="20"/>
                <w:lang w:val="en-US"/>
              </w:rPr>
              <w:t>卡的素材导入。</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660"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16、全格式兼容，支持</w:t>
            </w:r>
            <w:r>
              <w:rPr>
                <w:rFonts w:ascii="Calibri" w:hAnsi="Calibri" w:eastAsia="宋体" w:cs="Calibri"/>
                <w:color w:val="000000"/>
                <w:sz w:val="20"/>
                <w:szCs w:val="20"/>
                <w:lang w:val="en-US"/>
              </w:rPr>
              <w:t>YUYV</w:t>
            </w:r>
            <w:r>
              <w:rPr>
                <w:rFonts w:hint="eastAsia" w:ascii="宋体" w:hAnsi="宋体" w:eastAsia="宋体" w:cs="宋体"/>
                <w:color w:val="000000"/>
                <w:sz w:val="20"/>
                <w:szCs w:val="20"/>
                <w:lang w:val="en-US"/>
              </w:rPr>
              <w:t>、</w:t>
            </w:r>
            <w:r>
              <w:rPr>
                <w:rFonts w:ascii="Calibri" w:hAnsi="Calibri" w:eastAsia="宋体" w:cs="Calibri"/>
                <w:color w:val="000000"/>
                <w:sz w:val="20"/>
                <w:szCs w:val="20"/>
                <w:lang w:val="en-US"/>
              </w:rPr>
              <w:t>DV25</w:t>
            </w:r>
            <w:r>
              <w:rPr>
                <w:rFonts w:hint="eastAsia" w:ascii="宋体" w:hAnsi="宋体" w:eastAsia="宋体" w:cs="宋体"/>
                <w:color w:val="000000"/>
                <w:sz w:val="20"/>
                <w:szCs w:val="20"/>
                <w:lang w:val="en-US"/>
              </w:rPr>
              <w:t>、</w:t>
            </w:r>
            <w:r>
              <w:rPr>
                <w:rFonts w:ascii="Calibri" w:hAnsi="Calibri" w:eastAsia="宋体" w:cs="Calibri"/>
                <w:color w:val="000000"/>
                <w:sz w:val="20"/>
                <w:szCs w:val="20"/>
                <w:lang w:val="en-US"/>
              </w:rPr>
              <w:t>DV50</w:t>
            </w:r>
            <w:r>
              <w:rPr>
                <w:rFonts w:hint="eastAsia" w:ascii="宋体" w:hAnsi="宋体" w:eastAsia="宋体" w:cs="宋体"/>
                <w:color w:val="000000"/>
                <w:sz w:val="20"/>
                <w:szCs w:val="20"/>
                <w:lang w:val="en-US"/>
              </w:rPr>
              <w:t>、</w:t>
            </w:r>
            <w:r>
              <w:rPr>
                <w:rFonts w:ascii="Calibri" w:hAnsi="Calibri" w:eastAsia="宋体" w:cs="Calibri"/>
                <w:color w:val="000000"/>
                <w:sz w:val="20"/>
                <w:szCs w:val="20"/>
                <w:lang w:val="en-US"/>
              </w:rPr>
              <w:t>HDV</w:t>
            </w:r>
            <w:r>
              <w:rPr>
                <w:rFonts w:hint="eastAsia" w:ascii="宋体" w:hAnsi="宋体" w:eastAsia="宋体" w:cs="宋体"/>
                <w:color w:val="000000"/>
                <w:sz w:val="20"/>
                <w:szCs w:val="20"/>
                <w:lang w:val="en-US"/>
              </w:rPr>
              <w:t>、</w:t>
            </w:r>
            <w:r>
              <w:rPr>
                <w:rFonts w:ascii="Calibri" w:hAnsi="Calibri" w:eastAsia="宋体" w:cs="Calibri"/>
                <w:color w:val="000000"/>
                <w:sz w:val="20"/>
                <w:szCs w:val="20"/>
                <w:lang w:val="en-US"/>
              </w:rPr>
              <w:t>MPEG1</w:t>
            </w:r>
            <w:r>
              <w:rPr>
                <w:rFonts w:hint="eastAsia" w:ascii="宋体" w:hAnsi="宋体" w:eastAsia="宋体" w:cs="宋体"/>
                <w:color w:val="000000"/>
                <w:sz w:val="20"/>
                <w:szCs w:val="20"/>
                <w:lang w:val="en-US"/>
              </w:rPr>
              <w:t>、</w:t>
            </w:r>
            <w:r>
              <w:rPr>
                <w:rFonts w:ascii="Calibri" w:hAnsi="Calibri" w:eastAsia="宋体" w:cs="Calibri"/>
                <w:color w:val="000000"/>
                <w:sz w:val="20"/>
                <w:szCs w:val="20"/>
                <w:lang w:val="en-US"/>
              </w:rPr>
              <w:t>MPEG2 I</w:t>
            </w:r>
            <w:r>
              <w:rPr>
                <w:rFonts w:hint="eastAsia" w:ascii="宋体" w:hAnsi="宋体" w:eastAsia="宋体" w:cs="宋体"/>
                <w:color w:val="000000"/>
                <w:sz w:val="20"/>
                <w:szCs w:val="20"/>
                <w:lang w:val="en-US"/>
              </w:rPr>
              <w:t>、</w:t>
            </w:r>
            <w:r>
              <w:rPr>
                <w:rFonts w:ascii="Calibri" w:hAnsi="Calibri" w:eastAsia="宋体" w:cs="Calibri"/>
                <w:color w:val="000000"/>
                <w:sz w:val="20"/>
                <w:szCs w:val="20"/>
                <w:lang w:val="en-US"/>
              </w:rPr>
              <w:t>MPEG2 IBP</w:t>
            </w:r>
            <w:r>
              <w:rPr>
                <w:rFonts w:hint="eastAsia" w:ascii="宋体" w:hAnsi="宋体" w:eastAsia="宋体" w:cs="宋体"/>
                <w:color w:val="000000"/>
                <w:sz w:val="20"/>
                <w:szCs w:val="20"/>
                <w:lang w:val="en-US"/>
              </w:rPr>
              <w:t>、</w:t>
            </w:r>
            <w:r>
              <w:rPr>
                <w:rFonts w:ascii="Calibri" w:hAnsi="Calibri" w:eastAsia="宋体" w:cs="Calibri"/>
                <w:color w:val="000000"/>
                <w:sz w:val="20"/>
                <w:szCs w:val="20"/>
                <w:lang w:val="en-US"/>
              </w:rPr>
              <w:t>DVD</w:t>
            </w:r>
            <w:r>
              <w:rPr>
                <w:rFonts w:hint="eastAsia" w:ascii="宋体" w:hAnsi="宋体" w:eastAsia="宋体" w:cs="宋体"/>
                <w:color w:val="000000"/>
                <w:sz w:val="20"/>
                <w:szCs w:val="20"/>
                <w:lang w:val="en-US"/>
              </w:rPr>
              <w:t>、</w:t>
            </w:r>
            <w:r>
              <w:rPr>
                <w:rFonts w:ascii="Calibri" w:hAnsi="Calibri" w:eastAsia="宋体" w:cs="Calibri"/>
                <w:color w:val="000000"/>
                <w:sz w:val="20"/>
                <w:szCs w:val="20"/>
                <w:lang w:val="en-US"/>
              </w:rPr>
              <w:t>MOV</w:t>
            </w:r>
            <w:r>
              <w:rPr>
                <w:rFonts w:hint="eastAsia" w:ascii="宋体" w:hAnsi="宋体" w:eastAsia="宋体" w:cs="宋体"/>
                <w:color w:val="000000"/>
                <w:sz w:val="20"/>
                <w:szCs w:val="20"/>
                <w:lang w:val="en-US"/>
              </w:rPr>
              <w:t>、</w:t>
            </w:r>
            <w:r>
              <w:rPr>
                <w:rFonts w:ascii="Calibri" w:hAnsi="Calibri" w:eastAsia="宋体" w:cs="Calibri"/>
                <w:color w:val="000000"/>
                <w:sz w:val="20"/>
                <w:szCs w:val="20"/>
                <w:lang w:val="en-US"/>
              </w:rPr>
              <w:t>WMV</w:t>
            </w:r>
            <w:r>
              <w:rPr>
                <w:rFonts w:hint="eastAsia" w:ascii="宋体" w:hAnsi="宋体" w:eastAsia="宋体" w:cs="宋体"/>
                <w:color w:val="000000"/>
                <w:sz w:val="20"/>
                <w:szCs w:val="20"/>
                <w:lang w:val="en-US"/>
              </w:rPr>
              <w:t>、</w:t>
            </w:r>
            <w:r>
              <w:rPr>
                <w:rFonts w:ascii="Calibri" w:hAnsi="Calibri" w:eastAsia="宋体" w:cs="Calibri"/>
                <w:color w:val="000000"/>
                <w:sz w:val="20"/>
                <w:szCs w:val="20"/>
                <w:lang w:val="en-US"/>
              </w:rPr>
              <w:t>MPEG4</w:t>
            </w:r>
            <w:r>
              <w:rPr>
                <w:rFonts w:hint="eastAsia" w:ascii="宋体" w:hAnsi="宋体" w:eastAsia="宋体" w:cs="宋体"/>
                <w:color w:val="000000"/>
                <w:sz w:val="20"/>
                <w:szCs w:val="20"/>
                <w:lang w:val="en-US"/>
              </w:rPr>
              <w:t>、</w:t>
            </w:r>
            <w:r>
              <w:rPr>
                <w:rFonts w:ascii="Calibri" w:hAnsi="Calibri" w:eastAsia="宋体" w:cs="Calibri"/>
                <w:color w:val="000000"/>
                <w:sz w:val="20"/>
                <w:szCs w:val="20"/>
                <w:lang w:val="en-US"/>
              </w:rPr>
              <w:t>HDMPEGI</w:t>
            </w:r>
            <w:r>
              <w:rPr>
                <w:rFonts w:hint="eastAsia" w:ascii="宋体" w:hAnsi="宋体" w:eastAsia="宋体" w:cs="宋体"/>
                <w:color w:val="000000"/>
                <w:sz w:val="20"/>
                <w:szCs w:val="20"/>
                <w:lang w:val="en-US"/>
              </w:rPr>
              <w:t>、</w:t>
            </w:r>
            <w:r>
              <w:rPr>
                <w:rFonts w:ascii="Calibri" w:hAnsi="Calibri" w:eastAsia="宋体" w:cs="Calibri"/>
                <w:color w:val="000000"/>
                <w:sz w:val="20"/>
                <w:szCs w:val="20"/>
                <w:lang w:val="en-US"/>
              </w:rPr>
              <w:t>HDWMV</w:t>
            </w:r>
            <w:r>
              <w:rPr>
                <w:rFonts w:hint="eastAsia" w:ascii="宋体" w:hAnsi="宋体" w:eastAsia="宋体" w:cs="宋体"/>
                <w:color w:val="000000"/>
                <w:sz w:val="20"/>
                <w:szCs w:val="20"/>
                <w:lang w:val="en-US"/>
              </w:rPr>
              <w:t>、</w:t>
            </w:r>
            <w:r>
              <w:rPr>
                <w:rFonts w:ascii="Calibri" w:hAnsi="Calibri" w:eastAsia="宋体" w:cs="Calibri"/>
                <w:color w:val="000000"/>
                <w:sz w:val="20"/>
                <w:szCs w:val="20"/>
                <w:lang w:val="en-US"/>
              </w:rPr>
              <w:t>HDMPEG</w:t>
            </w:r>
            <w:r>
              <w:rPr>
                <w:rFonts w:hint="eastAsia" w:ascii="宋体" w:hAnsi="宋体" w:eastAsia="宋体" w:cs="宋体"/>
                <w:color w:val="000000"/>
                <w:sz w:val="20"/>
                <w:szCs w:val="20"/>
                <w:lang w:val="en-US"/>
              </w:rPr>
              <w:t>、</w:t>
            </w:r>
            <w:r>
              <w:rPr>
                <w:rFonts w:ascii="Calibri" w:hAnsi="Calibri" w:eastAsia="宋体" w:cs="Calibri"/>
                <w:color w:val="000000"/>
                <w:sz w:val="20"/>
                <w:szCs w:val="20"/>
                <w:lang w:val="en-US"/>
              </w:rPr>
              <w:t>HDV</w:t>
            </w:r>
            <w:r>
              <w:rPr>
                <w:rFonts w:hint="eastAsia" w:ascii="宋体" w:hAnsi="宋体" w:eastAsia="宋体" w:cs="宋体"/>
                <w:color w:val="000000"/>
                <w:sz w:val="20"/>
                <w:szCs w:val="20"/>
                <w:lang w:val="en-US"/>
              </w:rPr>
              <w:t>、</w:t>
            </w:r>
            <w:r>
              <w:rPr>
                <w:rFonts w:ascii="Calibri" w:hAnsi="Calibri" w:eastAsia="宋体" w:cs="Calibri"/>
                <w:color w:val="000000"/>
                <w:sz w:val="20"/>
                <w:szCs w:val="20"/>
                <w:lang w:val="en-US"/>
              </w:rPr>
              <w:t>P2</w:t>
            </w:r>
            <w:r>
              <w:rPr>
                <w:rFonts w:hint="eastAsia" w:ascii="宋体" w:hAnsi="宋体" w:eastAsia="宋体" w:cs="宋体"/>
                <w:color w:val="000000"/>
                <w:sz w:val="20"/>
                <w:szCs w:val="20"/>
                <w:lang w:val="en-US"/>
              </w:rPr>
              <w:t>、</w:t>
            </w:r>
            <w:r>
              <w:rPr>
                <w:rFonts w:ascii="Calibri" w:hAnsi="Calibri" w:eastAsia="宋体" w:cs="Calibri"/>
                <w:color w:val="000000"/>
                <w:sz w:val="20"/>
                <w:szCs w:val="20"/>
                <w:lang w:val="en-US"/>
              </w:rPr>
              <w:t>XDCAM</w:t>
            </w:r>
            <w:r>
              <w:rPr>
                <w:rFonts w:hint="eastAsia" w:ascii="宋体" w:hAnsi="宋体" w:eastAsia="宋体" w:cs="宋体"/>
                <w:color w:val="000000"/>
                <w:sz w:val="20"/>
                <w:szCs w:val="20"/>
                <w:lang w:val="en-US"/>
              </w:rPr>
              <w:t>、</w:t>
            </w:r>
            <w:r>
              <w:rPr>
                <w:rFonts w:ascii="Calibri" w:hAnsi="Calibri" w:eastAsia="宋体" w:cs="Calibri"/>
                <w:color w:val="000000"/>
                <w:sz w:val="20"/>
                <w:szCs w:val="20"/>
                <w:lang w:val="en-US"/>
              </w:rPr>
              <w:t>DV100(DVCPROHD)</w:t>
            </w:r>
            <w:r>
              <w:rPr>
                <w:rFonts w:hint="eastAsia" w:ascii="宋体" w:hAnsi="宋体" w:eastAsia="宋体" w:cs="宋体"/>
                <w:color w:val="000000"/>
                <w:sz w:val="20"/>
                <w:szCs w:val="20"/>
                <w:lang w:val="en-US"/>
              </w:rPr>
              <w:t>等多种视频格式。</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17、支持</w:t>
            </w:r>
            <w:r>
              <w:rPr>
                <w:rFonts w:ascii="Calibri" w:hAnsi="Calibri" w:eastAsia="宋体" w:cs="Calibri"/>
                <w:color w:val="000000"/>
                <w:sz w:val="20"/>
                <w:szCs w:val="20"/>
                <w:lang w:val="en-US"/>
              </w:rPr>
              <w:t>AVI</w:t>
            </w:r>
            <w:r>
              <w:rPr>
                <w:rFonts w:hint="eastAsia" w:ascii="宋体" w:hAnsi="宋体" w:eastAsia="宋体" w:cs="宋体"/>
                <w:color w:val="000000"/>
                <w:sz w:val="20"/>
                <w:szCs w:val="20"/>
                <w:lang w:val="en-US"/>
              </w:rPr>
              <w:t>、</w:t>
            </w:r>
            <w:r>
              <w:rPr>
                <w:rFonts w:ascii="Calibri" w:hAnsi="Calibri" w:eastAsia="宋体" w:cs="Calibri"/>
                <w:color w:val="000000"/>
                <w:sz w:val="20"/>
                <w:szCs w:val="20"/>
                <w:lang w:val="en-US"/>
              </w:rPr>
              <w:t>WAV</w:t>
            </w:r>
            <w:r>
              <w:rPr>
                <w:rFonts w:hint="eastAsia" w:ascii="宋体" w:hAnsi="宋体" w:eastAsia="宋体" w:cs="宋体"/>
                <w:color w:val="000000"/>
                <w:sz w:val="20"/>
                <w:szCs w:val="20"/>
                <w:lang w:val="en-US"/>
              </w:rPr>
              <w:t>、</w:t>
            </w:r>
            <w:r>
              <w:rPr>
                <w:rFonts w:ascii="Calibri" w:hAnsi="Calibri" w:eastAsia="宋体" w:cs="Calibri"/>
                <w:color w:val="000000"/>
                <w:sz w:val="20"/>
                <w:szCs w:val="20"/>
                <w:lang w:val="en-US"/>
              </w:rPr>
              <w:t>MP3</w:t>
            </w:r>
            <w:r>
              <w:rPr>
                <w:rFonts w:hint="eastAsia" w:ascii="宋体" w:hAnsi="宋体" w:eastAsia="宋体" w:cs="宋体"/>
                <w:color w:val="000000"/>
                <w:sz w:val="20"/>
                <w:szCs w:val="20"/>
                <w:lang w:val="en-US"/>
              </w:rPr>
              <w:t>、</w:t>
            </w:r>
            <w:r>
              <w:rPr>
                <w:rFonts w:ascii="Calibri" w:hAnsi="Calibri" w:eastAsia="宋体" w:cs="Calibri"/>
                <w:color w:val="000000"/>
                <w:sz w:val="20"/>
                <w:szCs w:val="20"/>
                <w:lang w:val="en-US"/>
              </w:rPr>
              <w:t>MP2</w:t>
            </w:r>
            <w:r>
              <w:rPr>
                <w:rFonts w:hint="eastAsia" w:ascii="宋体" w:hAnsi="宋体" w:eastAsia="宋体" w:cs="宋体"/>
                <w:color w:val="000000"/>
                <w:sz w:val="20"/>
                <w:szCs w:val="20"/>
                <w:lang w:val="en-US"/>
              </w:rPr>
              <w:t>、</w:t>
            </w:r>
            <w:r>
              <w:rPr>
                <w:rFonts w:ascii="Calibri" w:hAnsi="Calibri" w:eastAsia="宋体" w:cs="Calibri"/>
                <w:color w:val="000000"/>
                <w:sz w:val="20"/>
                <w:szCs w:val="20"/>
                <w:lang w:val="en-US"/>
              </w:rPr>
              <w:t>WMA</w:t>
            </w:r>
            <w:r>
              <w:rPr>
                <w:rFonts w:hint="eastAsia" w:ascii="宋体" w:hAnsi="宋体" w:eastAsia="宋体" w:cs="宋体"/>
                <w:color w:val="000000"/>
                <w:sz w:val="20"/>
                <w:szCs w:val="20"/>
                <w:lang w:val="en-US"/>
              </w:rPr>
              <w:t>等多种音频格式。</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18、可以在时间线上直接使用</w:t>
            </w:r>
            <w:r>
              <w:rPr>
                <w:rFonts w:ascii="Calibri" w:hAnsi="Calibri" w:eastAsia="宋体" w:cs="Calibri"/>
                <w:color w:val="000000"/>
                <w:sz w:val="20"/>
                <w:szCs w:val="20"/>
                <w:lang w:val="en-US"/>
              </w:rPr>
              <w:t>NTSC</w:t>
            </w:r>
            <w:r>
              <w:rPr>
                <w:rFonts w:hint="eastAsia" w:ascii="宋体" w:hAnsi="宋体" w:eastAsia="宋体" w:cs="宋体"/>
                <w:color w:val="000000"/>
                <w:sz w:val="20"/>
                <w:szCs w:val="20"/>
                <w:lang w:val="en-US"/>
              </w:rPr>
              <w:t>和</w:t>
            </w:r>
            <w:r>
              <w:rPr>
                <w:rFonts w:ascii="Calibri" w:hAnsi="Calibri" w:eastAsia="宋体" w:cs="Calibri"/>
                <w:color w:val="000000"/>
                <w:sz w:val="20"/>
                <w:szCs w:val="20"/>
                <w:lang w:val="en-US"/>
              </w:rPr>
              <w:t>29.97</w:t>
            </w:r>
            <w:r>
              <w:rPr>
                <w:rFonts w:hint="eastAsia" w:ascii="宋体" w:hAnsi="宋体" w:eastAsia="宋体" w:cs="宋体"/>
                <w:color w:val="000000"/>
                <w:sz w:val="20"/>
                <w:szCs w:val="20"/>
                <w:lang w:val="en-US"/>
              </w:rPr>
              <w:t>帧速的高清素材（自动修改帧率）。</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19、支持直接读取</w:t>
            </w:r>
            <w:r>
              <w:rPr>
                <w:rFonts w:ascii="Calibri" w:hAnsi="Calibri" w:eastAsia="宋体" w:cs="Calibri"/>
                <w:color w:val="000000"/>
                <w:sz w:val="20"/>
                <w:szCs w:val="20"/>
                <w:lang w:val="en-US"/>
              </w:rPr>
              <w:t>VCD</w:t>
            </w:r>
            <w:r>
              <w:rPr>
                <w:rFonts w:hint="eastAsia" w:ascii="宋体" w:hAnsi="宋体" w:eastAsia="宋体" w:cs="宋体"/>
                <w:color w:val="000000"/>
                <w:sz w:val="20"/>
                <w:szCs w:val="20"/>
                <w:lang w:val="en-US"/>
              </w:rPr>
              <w:t>（</w:t>
            </w:r>
            <w:r>
              <w:rPr>
                <w:rFonts w:ascii="Calibri" w:hAnsi="Calibri" w:eastAsia="宋体" w:cs="Calibri"/>
                <w:color w:val="000000"/>
                <w:sz w:val="20"/>
                <w:szCs w:val="20"/>
                <w:lang w:val="en-US"/>
              </w:rPr>
              <w:t>.dat</w:t>
            </w:r>
            <w:r>
              <w:rPr>
                <w:rFonts w:hint="eastAsia" w:ascii="宋体" w:hAnsi="宋体" w:eastAsia="宋体" w:cs="宋体"/>
                <w:color w:val="000000"/>
                <w:sz w:val="20"/>
                <w:szCs w:val="20"/>
                <w:lang w:val="en-US"/>
              </w:rPr>
              <w:t>）、</w:t>
            </w:r>
            <w:r>
              <w:rPr>
                <w:rFonts w:ascii="Calibri" w:hAnsi="Calibri" w:eastAsia="宋体" w:cs="Calibri"/>
                <w:color w:val="000000"/>
                <w:sz w:val="20"/>
                <w:szCs w:val="20"/>
                <w:lang w:val="en-US"/>
              </w:rPr>
              <w:t>DVD</w:t>
            </w:r>
            <w:r>
              <w:rPr>
                <w:rFonts w:hint="eastAsia" w:ascii="宋体" w:hAnsi="宋体" w:eastAsia="宋体" w:cs="宋体"/>
                <w:color w:val="000000"/>
                <w:sz w:val="20"/>
                <w:szCs w:val="20"/>
                <w:lang w:val="en-US"/>
              </w:rPr>
              <w:t>（</w:t>
            </w:r>
            <w:r>
              <w:rPr>
                <w:rFonts w:ascii="Calibri" w:hAnsi="Calibri" w:eastAsia="宋体" w:cs="Calibri"/>
                <w:color w:val="000000"/>
                <w:sz w:val="20"/>
                <w:szCs w:val="20"/>
                <w:lang w:val="en-US"/>
              </w:rPr>
              <w:t>.vob</w:t>
            </w:r>
            <w:r>
              <w:rPr>
                <w:rFonts w:hint="eastAsia" w:ascii="宋体" w:hAnsi="宋体" w:eastAsia="宋体" w:cs="宋体"/>
                <w:color w:val="000000"/>
                <w:sz w:val="20"/>
                <w:szCs w:val="20"/>
                <w:lang w:val="en-US"/>
              </w:rPr>
              <w:t>）文件，支持</w:t>
            </w:r>
            <w:r>
              <w:rPr>
                <w:rFonts w:ascii="Calibri" w:hAnsi="Calibri" w:eastAsia="宋体" w:cs="Calibri"/>
                <w:color w:val="000000"/>
                <w:sz w:val="20"/>
                <w:szCs w:val="20"/>
                <w:lang w:val="en-US"/>
              </w:rPr>
              <w:t>AC3</w:t>
            </w:r>
            <w:r>
              <w:rPr>
                <w:rFonts w:hint="eastAsia" w:ascii="宋体" w:hAnsi="宋体" w:eastAsia="宋体" w:cs="宋体"/>
                <w:color w:val="000000"/>
                <w:sz w:val="20"/>
                <w:szCs w:val="20"/>
                <w:lang w:val="en-US"/>
              </w:rPr>
              <w:t>的音频解码。</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20、支持播出字幕以及拍打唱词，且唱词拍打可以精确到每条唱词的位置修改。</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21、特技采用全插件设计</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22、支持专业的色键抠像以及亮键抠像。</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23、支持时间线配音。</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24、支持通过</w:t>
            </w:r>
            <w:r>
              <w:rPr>
                <w:rFonts w:ascii="Calibri" w:hAnsi="Calibri" w:eastAsia="宋体" w:cs="Calibri"/>
                <w:color w:val="000000"/>
                <w:sz w:val="20"/>
                <w:szCs w:val="20"/>
                <w:lang w:val="en-US"/>
              </w:rPr>
              <w:t>1394</w:t>
            </w:r>
            <w:r>
              <w:rPr>
                <w:rFonts w:hint="eastAsia" w:ascii="宋体" w:hAnsi="宋体" w:eastAsia="宋体" w:cs="宋体"/>
                <w:color w:val="000000"/>
                <w:sz w:val="20"/>
                <w:szCs w:val="20"/>
                <w:lang w:val="en-US"/>
              </w:rPr>
              <w:t>直接采集</w:t>
            </w:r>
            <w:r>
              <w:rPr>
                <w:rFonts w:ascii="Calibri" w:hAnsi="Calibri" w:eastAsia="宋体" w:cs="Calibri"/>
                <w:color w:val="000000"/>
                <w:sz w:val="20"/>
                <w:szCs w:val="20"/>
                <w:lang w:val="en-US"/>
              </w:rPr>
              <w:t>DV/DVCAM</w:t>
            </w:r>
            <w:r>
              <w:rPr>
                <w:rFonts w:hint="eastAsia" w:ascii="宋体" w:hAnsi="宋体" w:eastAsia="宋体" w:cs="宋体"/>
                <w:color w:val="000000"/>
                <w:sz w:val="20"/>
                <w:szCs w:val="20"/>
                <w:lang w:val="en-US"/>
              </w:rPr>
              <w:t>、</w:t>
            </w:r>
            <w:r>
              <w:rPr>
                <w:rFonts w:ascii="Calibri" w:hAnsi="Calibri" w:eastAsia="宋体" w:cs="Calibri"/>
                <w:color w:val="000000"/>
                <w:sz w:val="20"/>
                <w:szCs w:val="20"/>
                <w:lang w:val="en-US"/>
              </w:rPr>
              <w:t>DVCPRO25</w:t>
            </w:r>
            <w:r>
              <w:rPr>
                <w:rFonts w:hint="eastAsia" w:ascii="宋体" w:hAnsi="宋体" w:eastAsia="宋体" w:cs="宋体"/>
                <w:color w:val="000000"/>
                <w:sz w:val="20"/>
                <w:szCs w:val="20"/>
                <w:lang w:val="en-US"/>
              </w:rPr>
              <w:t>。</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25、提供跟踪马赛克、跟踪模糊以及跟踪遮罩特技。</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26、支持超实时输出</w:t>
            </w:r>
            <w:r>
              <w:rPr>
                <w:rFonts w:ascii="Calibri" w:hAnsi="Calibri" w:eastAsia="宋体" w:cs="Calibri"/>
                <w:color w:val="000000"/>
                <w:sz w:val="20"/>
                <w:szCs w:val="20"/>
                <w:lang w:val="en-US"/>
              </w:rPr>
              <w:t>WMV</w:t>
            </w:r>
            <w:r>
              <w:rPr>
                <w:rFonts w:hint="eastAsia" w:ascii="宋体" w:hAnsi="宋体" w:eastAsia="宋体" w:cs="宋体"/>
                <w:color w:val="000000"/>
                <w:sz w:val="20"/>
                <w:szCs w:val="20"/>
                <w:lang w:val="en-US"/>
              </w:rPr>
              <w:t>（</w:t>
            </w:r>
            <w:r>
              <w:rPr>
                <w:rFonts w:ascii="Calibri" w:hAnsi="Calibri" w:eastAsia="宋体" w:cs="Calibri"/>
                <w:color w:val="000000"/>
                <w:sz w:val="20"/>
                <w:szCs w:val="20"/>
                <w:lang w:val="en-US"/>
              </w:rPr>
              <w:t>PAL 720</w:t>
            </w:r>
            <w:r>
              <w:rPr>
                <w:rFonts w:hint="eastAsia" w:ascii="宋体" w:hAnsi="宋体" w:eastAsia="宋体" w:cs="宋体"/>
                <w:color w:val="000000"/>
                <w:sz w:val="20"/>
                <w:szCs w:val="20"/>
                <w:lang w:val="en-US"/>
              </w:rPr>
              <w:t>×</w:t>
            </w:r>
            <w:r>
              <w:rPr>
                <w:rFonts w:ascii="Calibri" w:hAnsi="Calibri" w:eastAsia="宋体" w:cs="Calibri"/>
                <w:color w:val="000000"/>
                <w:sz w:val="20"/>
                <w:szCs w:val="20"/>
                <w:lang w:val="en-US"/>
              </w:rPr>
              <w:t>576</w:t>
            </w:r>
            <w:r>
              <w:rPr>
                <w:rFonts w:hint="eastAsia" w:ascii="宋体" w:hAnsi="宋体" w:eastAsia="宋体" w:cs="宋体"/>
                <w:color w:val="000000"/>
                <w:sz w:val="20"/>
                <w:szCs w:val="20"/>
                <w:lang w:val="en-US"/>
              </w:rPr>
              <w:t>），（</w:t>
            </w:r>
            <w:r>
              <w:rPr>
                <w:rFonts w:ascii="Calibri" w:hAnsi="Calibri" w:eastAsia="宋体" w:cs="Calibri"/>
                <w:color w:val="000000"/>
                <w:sz w:val="20"/>
                <w:szCs w:val="20"/>
                <w:lang w:val="en-US"/>
              </w:rPr>
              <w:t>1080I 1920* 1080</w:t>
            </w:r>
            <w:r>
              <w:rPr>
                <w:rFonts w:hint="eastAsia" w:ascii="宋体" w:hAnsi="宋体" w:eastAsia="宋体" w:cs="宋体"/>
                <w:color w:val="000000"/>
                <w:sz w:val="20"/>
                <w:szCs w:val="20"/>
                <w:lang w:val="en-US"/>
              </w:rPr>
              <w:t>）文件。</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27、支持时间线直接超实时输出高标清</w:t>
            </w:r>
            <w:r>
              <w:rPr>
                <w:rFonts w:ascii="Calibri" w:hAnsi="Calibri" w:eastAsia="宋体" w:cs="Calibri"/>
                <w:color w:val="000000"/>
                <w:sz w:val="20"/>
                <w:szCs w:val="20"/>
                <w:lang w:val="en-US"/>
              </w:rPr>
              <w:t>DVD</w:t>
            </w:r>
            <w:r>
              <w:rPr>
                <w:rFonts w:hint="eastAsia" w:ascii="宋体" w:hAnsi="宋体" w:eastAsia="宋体" w:cs="宋体"/>
                <w:color w:val="000000"/>
                <w:sz w:val="20"/>
                <w:szCs w:val="20"/>
                <w:lang w:val="en-US"/>
              </w:rPr>
              <w:t>文件</w:t>
            </w:r>
            <w:r>
              <w:rPr>
                <w:rFonts w:ascii="Calibri" w:hAnsi="Calibri" w:eastAsia="宋体" w:cs="Calibri"/>
                <w:color w:val="000000"/>
                <w:sz w:val="20"/>
                <w:szCs w:val="20"/>
                <w:lang w:val="en-US"/>
              </w:rPr>
              <w:t xml:space="preserve">, </w:t>
            </w:r>
            <w:r>
              <w:rPr>
                <w:rFonts w:hint="eastAsia" w:ascii="宋体" w:hAnsi="宋体" w:eastAsia="宋体" w:cs="宋体"/>
                <w:color w:val="000000"/>
                <w:sz w:val="20"/>
                <w:szCs w:val="20"/>
                <w:lang w:val="en-US"/>
              </w:rPr>
              <w:t>高标清</w:t>
            </w:r>
            <w:r>
              <w:rPr>
                <w:rFonts w:ascii="Calibri" w:hAnsi="Calibri" w:eastAsia="宋体" w:cs="Calibri"/>
                <w:color w:val="000000"/>
                <w:sz w:val="20"/>
                <w:szCs w:val="20"/>
                <w:lang w:val="en-US"/>
              </w:rPr>
              <w:t>H264</w:t>
            </w:r>
            <w:r>
              <w:rPr>
                <w:rFonts w:hint="eastAsia" w:ascii="宋体" w:hAnsi="宋体" w:eastAsia="宋体" w:cs="宋体"/>
                <w:color w:val="000000"/>
                <w:sz w:val="20"/>
                <w:szCs w:val="20"/>
                <w:lang w:val="en-US"/>
              </w:rPr>
              <w:t>文件。</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28、标配</w:t>
            </w:r>
            <w:r>
              <w:rPr>
                <w:rFonts w:ascii="Calibri" w:hAnsi="Calibri" w:eastAsia="宋体" w:cs="Calibri"/>
                <w:color w:val="000000"/>
                <w:sz w:val="20"/>
                <w:szCs w:val="20"/>
                <w:lang w:val="en-US"/>
              </w:rPr>
              <w:t>8</w:t>
            </w:r>
            <w:r>
              <w:rPr>
                <w:rFonts w:hint="eastAsia" w:ascii="宋体" w:hAnsi="宋体" w:eastAsia="宋体" w:cs="宋体"/>
                <w:color w:val="000000"/>
                <w:sz w:val="20"/>
                <w:szCs w:val="20"/>
                <w:lang w:val="en-US"/>
              </w:rPr>
              <w:t>层视音频文件实时编辑。</w:t>
            </w:r>
            <w:r>
              <w:rPr>
                <w:rFonts w:ascii="Calibri" w:hAnsi="Calibri" w:eastAsia="宋体" w:cs="Calibri"/>
                <w:color w:val="000000"/>
                <w:sz w:val="20"/>
                <w:szCs w:val="20"/>
                <w:lang w:val="en-US"/>
              </w:rPr>
              <w:t>4</w:t>
            </w:r>
            <w:r>
              <w:rPr>
                <w:rFonts w:hint="eastAsia" w:ascii="宋体" w:hAnsi="宋体" w:eastAsia="宋体" w:cs="宋体"/>
                <w:color w:val="000000"/>
                <w:sz w:val="20"/>
                <w:szCs w:val="20"/>
                <w:lang w:val="en-US"/>
              </w:rPr>
              <w:t>层高清视频。</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29、支持示波器。</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30、支持包括噪音消除在内的多种音频特技。</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31、</w:t>
            </w:r>
            <w:r>
              <w:rPr>
                <w:rFonts w:ascii="Calibri" w:hAnsi="Calibri" w:eastAsia="宋体" w:cs="Calibri"/>
                <w:color w:val="000000"/>
                <w:sz w:val="20"/>
                <w:szCs w:val="20"/>
                <w:lang w:val="en-US"/>
              </w:rPr>
              <w:t xml:space="preserve">1394 </w:t>
            </w:r>
            <w:r>
              <w:rPr>
                <w:rFonts w:hint="eastAsia" w:ascii="宋体" w:hAnsi="宋体" w:eastAsia="宋体" w:cs="宋体"/>
                <w:color w:val="000000"/>
                <w:sz w:val="20"/>
                <w:szCs w:val="20"/>
                <w:lang w:val="en-US"/>
              </w:rPr>
              <w:t>在时间线上直接上下载</w:t>
            </w:r>
            <w:r>
              <w:rPr>
                <w:rFonts w:ascii="Calibri" w:hAnsi="Calibri" w:eastAsia="宋体" w:cs="Calibri"/>
                <w:color w:val="000000"/>
                <w:sz w:val="20"/>
                <w:szCs w:val="20"/>
                <w:lang w:val="en-US"/>
              </w:rPr>
              <w:t>DV</w:t>
            </w:r>
            <w:r>
              <w:rPr>
                <w:rFonts w:hint="eastAsia" w:ascii="宋体" w:hAnsi="宋体" w:eastAsia="宋体" w:cs="宋体"/>
                <w:color w:val="000000"/>
                <w:sz w:val="20"/>
                <w:szCs w:val="20"/>
                <w:lang w:val="en-US"/>
              </w:rPr>
              <w:t>，纯数字</w:t>
            </w:r>
            <w:r>
              <w:rPr>
                <w:rFonts w:ascii="Calibri" w:hAnsi="Calibri" w:eastAsia="宋体" w:cs="Calibri"/>
                <w:color w:val="000000"/>
                <w:sz w:val="20"/>
                <w:szCs w:val="20"/>
                <w:lang w:val="en-US"/>
              </w:rPr>
              <w:t>COPY</w:t>
            </w:r>
            <w:r>
              <w:rPr>
                <w:rFonts w:hint="eastAsia" w:ascii="宋体" w:hAnsi="宋体" w:eastAsia="宋体" w:cs="宋体"/>
                <w:color w:val="000000"/>
                <w:sz w:val="20"/>
                <w:szCs w:val="20"/>
                <w:lang w:val="en-US"/>
              </w:rPr>
              <w:t>，无数字损耗。</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32、支持多故事版编辑，可以在新故事板导入项目。</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33、支持双屏双显。</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w:t>
            </w:r>
          </w:p>
        </w:tc>
        <w:tc>
          <w:tcPr>
            <w:tcW w:w="367" w:type="pct"/>
            <w:vMerge w:val="restar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网络直点播系统</w:t>
            </w:r>
          </w:p>
        </w:tc>
        <w:tc>
          <w:tcPr>
            <w:tcW w:w="3842" w:type="pct"/>
            <w:tcBorders>
              <w:right w:val="single" w:color="000000" w:sz="18"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硬件配置：</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13</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台</w:t>
            </w: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8"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1，单路</w:t>
            </w:r>
            <w:r>
              <w:rPr>
                <w:rFonts w:ascii="Calibri" w:hAnsi="Calibri" w:eastAsia="宋体" w:cs="Calibri"/>
                <w:color w:val="000000"/>
                <w:sz w:val="20"/>
                <w:szCs w:val="20"/>
                <w:lang w:val="en-US"/>
              </w:rPr>
              <w:t>HD SDI\HDMI</w:t>
            </w:r>
            <w:r>
              <w:rPr>
                <w:rFonts w:hint="eastAsia" w:ascii="宋体" w:hAnsi="宋体" w:eastAsia="宋体" w:cs="宋体"/>
                <w:color w:val="000000"/>
                <w:sz w:val="20"/>
                <w:szCs w:val="20"/>
                <w:lang w:val="en-US"/>
              </w:rPr>
              <w:t>视频信号同时输入；</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8"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w:t>
            </w:r>
            <w:r>
              <w:rPr>
                <w:rFonts w:ascii="Calibri" w:hAnsi="Calibri" w:eastAsia="宋体" w:cs="Calibri"/>
                <w:color w:val="000000"/>
                <w:sz w:val="20"/>
                <w:szCs w:val="20"/>
                <w:lang w:val="en-US"/>
              </w:rPr>
              <w:t>1</w:t>
            </w:r>
            <w:r>
              <w:rPr>
                <w:rFonts w:hint="eastAsia" w:ascii="宋体" w:hAnsi="宋体" w:eastAsia="宋体" w:cs="宋体"/>
                <w:color w:val="000000"/>
                <w:sz w:val="20"/>
                <w:szCs w:val="20"/>
                <w:lang w:val="en-US"/>
              </w:rPr>
              <w:t>路高清</w:t>
            </w:r>
            <w:r>
              <w:rPr>
                <w:rFonts w:ascii="Calibri" w:hAnsi="Calibri" w:eastAsia="宋体" w:cs="Calibri"/>
                <w:color w:val="000000"/>
                <w:sz w:val="20"/>
                <w:szCs w:val="20"/>
                <w:lang w:val="en-US"/>
              </w:rPr>
              <w:t>DVI/HDMI</w:t>
            </w:r>
            <w:r>
              <w:rPr>
                <w:rFonts w:hint="eastAsia" w:ascii="宋体" w:hAnsi="宋体" w:eastAsia="宋体" w:cs="宋体"/>
                <w:color w:val="000000"/>
                <w:sz w:val="20"/>
                <w:szCs w:val="20"/>
                <w:lang w:val="en-US"/>
              </w:rPr>
              <w:t>视音频混合信号输出；</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8"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w:t>
            </w:r>
            <w:r>
              <w:rPr>
                <w:rFonts w:ascii="Calibri" w:hAnsi="Calibri" w:eastAsia="宋体" w:cs="Calibri"/>
                <w:color w:val="000000"/>
                <w:sz w:val="20"/>
                <w:szCs w:val="20"/>
                <w:lang w:val="en-US"/>
              </w:rPr>
              <w:t>1</w:t>
            </w:r>
            <w:r>
              <w:rPr>
                <w:rFonts w:hint="eastAsia" w:ascii="宋体" w:hAnsi="宋体" w:eastAsia="宋体" w:cs="宋体"/>
                <w:color w:val="000000"/>
                <w:sz w:val="20"/>
                <w:szCs w:val="20"/>
                <w:lang w:val="en-US"/>
              </w:rPr>
              <w:t>路</w:t>
            </w:r>
            <w:r>
              <w:rPr>
                <w:rFonts w:ascii="Calibri" w:hAnsi="Calibri" w:eastAsia="宋体" w:cs="Calibri"/>
                <w:color w:val="000000"/>
                <w:sz w:val="20"/>
                <w:szCs w:val="20"/>
                <w:lang w:val="en-US"/>
              </w:rPr>
              <w:t>VGA</w:t>
            </w:r>
            <w:r>
              <w:rPr>
                <w:rFonts w:hint="eastAsia" w:ascii="宋体" w:hAnsi="宋体" w:eastAsia="宋体" w:cs="宋体"/>
                <w:color w:val="000000"/>
                <w:sz w:val="20"/>
                <w:szCs w:val="20"/>
                <w:lang w:val="en-US"/>
              </w:rPr>
              <w:t>视频信号输出；</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8"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w:t>
            </w:r>
            <w:r>
              <w:rPr>
                <w:rFonts w:ascii="Calibri" w:hAnsi="Calibri" w:eastAsia="宋体" w:cs="Calibri"/>
                <w:color w:val="000000"/>
                <w:sz w:val="20"/>
                <w:szCs w:val="20"/>
                <w:lang w:val="en-US"/>
              </w:rPr>
              <w:t>1</w:t>
            </w:r>
            <w:r>
              <w:rPr>
                <w:rFonts w:hint="eastAsia" w:ascii="宋体" w:hAnsi="宋体" w:eastAsia="宋体" w:cs="宋体"/>
                <w:color w:val="000000"/>
                <w:sz w:val="20"/>
                <w:szCs w:val="20"/>
                <w:lang w:val="en-US"/>
              </w:rPr>
              <w:t>路混合立体声输出，</w:t>
            </w:r>
            <w:r>
              <w:rPr>
                <w:rFonts w:ascii="Calibri" w:hAnsi="Calibri" w:eastAsia="宋体" w:cs="Calibri"/>
                <w:color w:val="000000"/>
                <w:sz w:val="20"/>
                <w:szCs w:val="20"/>
                <w:lang w:val="en-US"/>
              </w:rPr>
              <w:t>2</w:t>
            </w:r>
            <w:r>
              <w:rPr>
                <w:rFonts w:hint="eastAsia" w:ascii="宋体" w:hAnsi="宋体" w:eastAsia="宋体" w:cs="宋体"/>
                <w:color w:val="000000"/>
                <w:sz w:val="20"/>
                <w:szCs w:val="20"/>
                <w:lang w:val="en-US"/>
              </w:rPr>
              <w:t>路混合立体声采集；</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8"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w:t>
            </w:r>
            <w:r>
              <w:rPr>
                <w:rFonts w:ascii="Calibri" w:hAnsi="Calibri" w:eastAsia="宋体" w:cs="Calibri"/>
                <w:color w:val="000000"/>
                <w:sz w:val="20"/>
                <w:szCs w:val="20"/>
                <w:lang w:val="en-US"/>
              </w:rPr>
              <w:t>3U</w:t>
            </w:r>
            <w:r>
              <w:rPr>
                <w:rFonts w:hint="eastAsia" w:ascii="宋体" w:hAnsi="宋体" w:eastAsia="宋体" w:cs="宋体"/>
                <w:color w:val="000000"/>
                <w:sz w:val="20"/>
                <w:szCs w:val="20"/>
                <w:lang w:val="en-US"/>
              </w:rPr>
              <w:t>机架式结构，支持安装于标准“</w:t>
            </w:r>
            <w:r>
              <w:rPr>
                <w:rFonts w:ascii="Calibri" w:hAnsi="Calibri" w:eastAsia="宋体" w:cs="Calibri"/>
                <w:color w:val="000000"/>
                <w:sz w:val="20"/>
                <w:szCs w:val="20"/>
                <w:lang w:val="en-US"/>
              </w:rPr>
              <w:t>19</w:t>
            </w:r>
            <w:r>
              <w:rPr>
                <w:rFonts w:hint="eastAsia" w:ascii="宋体" w:hAnsi="宋体" w:eastAsia="宋体" w:cs="宋体"/>
                <w:color w:val="000000"/>
                <w:sz w:val="20"/>
                <w:szCs w:val="20"/>
                <w:lang w:val="en-US"/>
              </w:rPr>
              <w:t>”英寸机柜。</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8"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CPU : i5-9400f；</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8"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主板</w:t>
            </w:r>
            <w:r>
              <w:rPr>
                <w:rFonts w:ascii="Calibri" w:hAnsi="Calibri" w:eastAsia="宋体" w:cs="Calibri"/>
                <w:color w:val="000000"/>
                <w:sz w:val="20"/>
                <w:szCs w:val="20"/>
                <w:lang w:val="en-US"/>
              </w:rPr>
              <w:t xml:space="preserve">: INTEL </w:t>
            </w:r>
            <w:r>
              <w:rPr>
                <w:rFonts w:hint="eastAsia" w:ascii="宋体" w:hAnsi="宋体" w:eastAsia="宋体" w:cs="宋体"/>
                <w:color w:val="000000"/>
                <w:sz w:val="20"/>
                <w:szCs w:val="20"/>
                <w:lang w:val="en-US"/>
              </w:rPr>
              <w:t>高速主板</w:t>
            </w:r>
            <w:r>
              <w:rPr>
                <w:rFonts w:ascii="Calibri" w:hAnsi="Calibri" w:eastAsia="宋体" w:cs="Calibri"/>
                <w:color w:val="000000"/>
                <w:sz w:val="20"/>
                <w:szCs w:val="20"/>
                <w:lang w:val="en-US"/>
              </w:rPr>
              <w:t>;</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8"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内存：</w:t>
            </w:r>
            <w:r>
              <w:rPr>
                <w:rFonts w:ascii="Calibri" w:hAnsi="Calibri" w:eastAsia="宋体" w:cs="Calibri"/>
                <w:color w:val="000000"/>
                <w:sz w:val="20"/>
                <w:szCs w:val="20"/>
                <w:lang w:val="en-US"/>
              </w:rPr>
              <w:t>DDR4  4G</w:t>
            </w:r>
            <w:r>
              <w:rPr>
                <w:rFonts w:hint="eastAsia" w:ascii="宋体" w:hAnsi="宋体" w:eastAsia="宋体" w:cs="宋体"/>
                <w:color w:val="000000"/>
                <w:sz w:val="20"/>
                <w:szCs w:val="20"/>
                <w:lang w:val="en-US"/>
              </w:rPr>
              <w:t>；</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8"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硬盘：</w:t>
            </w:r>
            <w:r>
              <w:rPr>
                <w:rFonts w:ascii="Calibri" w:hAnsi="Calibri" w:eastAsia="宋体" w:cs="Calibri"/>
                <w:color w:val="000000"/>
                <w:sz w:val="20"/>
                <w:szCs w:val="20"/>
                <w:lang w:val="en-US"/>
              </w:rPr>
              <w:t>128G SSD+1T HDD</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8"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显卡：支持</w:t>
            </w:r>
            <w:r>
              <w:rPr>
                <w:rFonts w:ascii="Calibri" w:hAnsi="Calibri" w:eastAsia="宋体" w:cs="Calibri"/>
                <w:color w:val="000000"/>
                <w:sz w:val="20"/>
                <w:szCs w:val="20"/>
                <w:lang w:val="en-US"/>
              </w:rPr>
              <w:t>3D</w:t>
            </w:r>
            <w:r>
              <w:rPr>
                <w:rFonts w:hint="eastAsia" w:ascii="宋体" w:hAnsi="宋体" w:eastAsia="宋体" w:cs="宋体"/>
                <w:color w:val="000000"/>
                <w:sz w:val="20"/>
                <w:szCs w:val="20"/>
                <w:lang w:val="en-US"/>
              </w:rPr>
              <w:t>实时渲染的</w:t>
            </w:r>
            <w:r>
              <w:rPr>
                <w:rFonts w:ascii="Calibri" w:hAnsi="Calibri" w:eastAsia="宋体" w:cs="Calibri"/>
                <w:color w:val="000000"/>
                <w:sz w:val="20"/>
                <w:szCs w:val="20"/>
                <w:lang w:val="en-US"/>
              </w:rPr>
              <w:t>NIVIDIA GT710/2G D5</w:t>
            </w:r>
            <w:r>
              <w:rPr>
                <w:rFonts w:hint="eastAsia" w:ascii="宋体" w:hAnsi="宋体" w:eastAsia="宋体" w:cs="宋体"/>
                <w:color w:val="000000"/>
                <w:sz w:val="20"/>
                <w:szCs w:val="20"/>
                <w:lang w:val="en-US"/>
              </w:rPr>
              <w:t>显存独立显卡</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8"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 xml:space="preserve">电源 </w:t>
            </w:r>
            <w:r>
              <w:rPr>
                <w:rFonts w:ascii="Calibri" w:hAnsi="Calibri" w:eastAsia="宋体" w:cs="Calibri"/>
                <w:color w:val="000000"/>
                <w:sz w:val="20"/>
                <w:szCs w:val="20"/>
                <w:lang w:val="en-US"/>
              </w:rPr>
              <w:t>: 500 W (110-230V)</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8"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视频处理卡：广播级单路</w:t>
            </w:r>
            <w:r>
              <w:rPr>
                <w:rFonts w:ascii="Calibri" w:hAnsi="Calibri" w:eastAsia="宋体" w:cs="Calibri"/>
                <w:color w:val="000000"/>
                <w:sz w:val="20"/>
                <w:szCs w:val="20"/>
                <w:lang w:val="en-US"/>
              </w:rPr>
              <w:t>HDMI/SDI</w:t>
            </w:r>
            <w:r>
              <w:rPr>
                <w:rFonts w:hint="eastAsia" w:ascii="宋体" w:hAnsi="宋体" w:eastAsia="宋体" w:cs="宋体"/>
                <w:color w:val="000000"/>
                <w:sz w:val="20"/>
                <w:szCs w:val="20"/>
                <w:lang w:val="en-US"/>
              </w:rPr>
              <w:t>采集卡软件配置：</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8"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单机状态下，最高支持四路</w:t>
            </w:r>
            <w:r>
              <w:rPr>
                <w:rFonts w:ascii="Calibri" w:hAnsi="Calibri" w:eastAsia="宋体" w:cs="Calibri"/>
                <w:color w:val="000000"/>
                <w:sz w:val="20"/>
                <w:szCs w:val="20"/>
                <w:lang w:val="en-US"/>
              </w:rPr>
              <w:t>1000</w:t>
            </w:r>
            <w:r>
              <w:rPr>
                <w:rFonts w:hint="eastAsia" w:ascii="宋体" w:hAnsi="宋体" w:eastAsia="宋体" w:cs="宋体"/>
                <w:color w:val="000000"/>
                <w:sz w:val="20"/>
                <w:szCs w:val="20"/>
                <w:lang w:val="en-US"/>
              </w:rPr>
              <w:t>个点同时并发（默认单路直播</w:t>
            </w:r>
            <w:r>
              <w:rPr>
                <w:rFonts w:ascii="Calibri" w:hAnsi="Calibri" w:eastAsia="宋体" w:cs="Calibri"/>
                <w:color w:val="000000"/>
                <w:sz w:val="20"/>
                <w:szCs w:val="20"/>
                <w:lang w:val="en-US"/>
              </w:rPr>
              <w:t>100</w:t>
            </w:r>
            <w:r>
              <w:rPr>
                <w:rFonts w:hint="eastAsia" w:ascii="宋体" w:hAnsi="宋体" w:eastAsia="宋体" w:cs="宋体"/>
                <w:color w:val="000000"/>
                <w:sz w:val="20"/>
                <w:szCs w:val="20"/>
                <w:lang w:val="en-US"/>
              </w:rPr>
              <w:t>个点）；</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8"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支持安卓苹果终端实时收看；</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8"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直播延时时间</w:t>
            </w:r>
            <w:r>
              <w:rPr>
                <w:rFonts w:ascii="Calibri" w:hAnsi="Calibri" w:eastAsia="宋体" w:cs="Calibri"/>
                <w:color w:val="000000"/>
                <w:sz w:val="20"/>
                <w:szCs w:val="20"/>
                <w:lang w:val="en-US"/>
              </w:rPr>
              <w:t>3s</w:t>
            </w:r>
            <w:r>
              <w:rPr>
                <w:rFonts w:hint="eastAsia" w:ascii="宋体" w:hAnsi="宋体" w:eastAsia="宋体" w:cs="宋体"/>
                <w:color w:val="000000"/>
                <w:sz w:val="20"/>
                <w:szCs w:val="20"/>
                <w:lang w:val="en-US"/>
              </w:rPr>
              <w:t>以内，</w:t>
            </w:r>
            <w:r>
              <w:rPr>
                <w:rFonts w:ascii="Calibri" w:hAnsi="Calibri" w:eastAsia="宋体" w:cs="Calibri"/>
                <w:color w:val="000000"/>
                <w:sz w:val="20"/>
                <w:szCs w:val="20"/>
                <w:lang w:val="en-US"/>
              </w:rPr>
              <w:t>1s</w:t>
            </w:r>
            <w:r>
              <w:rPr>
                <w:rFonts w:hint="eastAsia" w:ascii="宋体" w:hAnsi="宋体" w:eastAsia="宋体" w:cs="宋体"/>
                <w:color w:val="000000"/>
                <w:sz w:val="20"/>
                <w:szCs w:val="20"/>
                <w:lang w:val="en-US"/>
              </w:rPr>
              <w:t>内响应，无需安装播放器，浏览器收看模式；</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8"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Flash编码系统，直播码流、分辨率可调；</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8"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支持录像任务，启动直播后即可录像；</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8"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直播过程中支持插入台标和字幕；</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8"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支持</w:t>
            </w:r>
            <w:r>
              <w:rPr>
                <w:rFonts w:ascii="Calibri" w:hAnsi="Calibri" w:eastAsia="宋体" w:cs="Calibri"/>
                <w:color w:val="000000"/>
                <w:sz w:val="20"/>
                <w:szCs w:val="20"/>
                <w:lang w:val="en-US"/>
              </w:rPr>
              <w:t>Rtmp</w:t>
            </w:r>
            <w:r>
              <w:rPr>
                <w:rFonts w:hint="eastAsia" w:ascii="宋体" w:hAnsi="宋体" w:eastAsia="宋体" w:cs="宋体"/>
                <w:color w:val="000000"/>
                <w:sz w:val="20"/>
                <w:szCs w:val="20"/>
                <w:lang w:val="en-US"/>
              </w:rPr>
              <w:t>推流到服务器；</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8"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硬采集模式编码模式；</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bottom w:val="single" w:color="000000" w:sz="12" w:space="0"/>
              <w:right w:val="single" w:color="000000" w:sz="18"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B/S系统结构，具备穿网能力，支持广域网、城域网时时直播；</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restart"/>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高清摄录一体机</w:t>
            </w: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产品定位：专业摄像机.4K摄像机</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13</w:t>
            </w:r>
          </w:p>
        </w:tc>
        <w:tc>
          <w:tcPr>
            <w:tcW w:w="269" w:type="pct"/>
            <w:vMerge w:val="restart"/>
            <w:tcBorders>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台</w:t>
            </w: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传感器类型：MOS</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传感器尺寸：1英寸</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有效像素：859万</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光学变焦：15倍</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数字变焦：10倍</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实际焦距：f=24.5-367.5mm</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等效35mm焦距：</w:t>
            </w:r>
            <w:r>
              <w:rPr>
                <w:rFonts w:ascii="Calibri" w:hAnsi="Calibri" w:eastAsia="宋体" w:cs="Calibri"/>
                <w:color w:val="000000"/>
                <w:sz w:val="20"/>
                <w:szCs w:val="20"/>
                <w:lang w:val="en-US"/>
              </w:rPr>
              <w:t>8.8-132mm</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最大光圈：F2.8</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滤镜直径：67mm</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USB接口：</w:t>
            </w:r>
            <w:r>
              <w:rPr>
                <w:rFonts w:ascii="Calibri" w:hAnsi="Calibri" w:eastAsia="宋体" w:cs="Calibri"/>
                <w:color w:val="000000"/>
                <w:sz w:val="20"/>
                <w:szCs w:val="20"/>
                <w:lang w:val="en-US"/>
              </w:rPr>
              <w:t>USB3.0</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HDMI接口：支持</w:t>
            </w:r>
            <w:r>
              <w:rPr>
                <w:rFonts w:ascii="Calibri" w:hAnsi="Calibri" w:eastAsia="宋体" w:cs="Calibri"/>
                <w:color w:val="000000"/>
                <w:sz w:val="20"/>
                <w:szCs w:val="20"/>
                <w:lang w:val="en-US"/>
              </w:rPr>
              <w:t>A</w:t>
            </w:r>
            <w:r>
              <w:rPr>
                <w:rFonts w:hint="eastAsia" w:ascii="宋体" w:hAnsi="宋体" w:eastAsia="宋体" w:cs="宋体"/>
                <w:color w:val="000000"/>
                <w:sz w:val="20"/>
                <w:szCs w:val="20"/>
                <w:lang w:val="en-US"/>
              </w:rPr>
              <w:t>型</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视频输出 x1</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XLR输入：</w:t>
            </w:r>
            <w:r>
              <w:rPr>
                <w:rFonts w:ascii="Calibri" w:hAnsi="Calibri" w:eastAsia="宋体" w:cs="Calibri"/>
                <w:color w:val="000000"/>
                <w:sz w:val="20"/>
                <w:szCs w:val="20"/>
                <w:lang w:val="en-US"/>
              </w:rPr>
              <w:t>XLR (3-pin) x2</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音频输出 x2</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 xml:space="preserve">耳机：直径为3.5毫米的立体声迷你插孔 </w:t>
            </w:r>
            <w:r>
              <w:rPr>
                <w:rFonts w:ascii="Calibri" w:hAnsi="Calibri" w:eastAsia="宋体" w:cs="Calibri"/>
                <w:color w:val="000000"/>
                <w:sz w:val="20"/>
                <w:szCs w:val="20"/>
                <w:lang w:val="en-US"/>
              </w:rPr>
              <w:t>x1</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遥控：直径为2.5毫米的立体声迷你插孔</w:t>
            </w:r>
            <w:r>
              <w:rPr>
                <w:rFonts w:ascii="Calibri" w:hAnsi="Calibri" w:eastAsia="宋体" w:cs="Calibri"/>
                <w:color w:val="000000"/>
                <w:sz w:val="20"/>
                <w:szCs w:val="20"/>
                <w:lang w:val="en-US"/>
              </w:rPr>
              <w:t>(</w:t>
            </w:r>
            <w:r>
              <w:rPr>
                <w:rFonts w:hint="eastAsia" w:ascii="宋体" w:hAnsi="宋体" w:eastAsia="宋体" w:cs="宋体"/>
                <w:color w:val="000000"/>
                <w:sz w:val="20"/>
                <w:szCs w:val="20"/>
                <w:lang w:val="en-US"/>
              </w:rPr>
              <w:t>变焦，</w:t>
            </w:r>
            <w:r>
              <w:rPr>
                <w:rFonts w:ascii="Calibri" w:hAnsi="Calibri" w:eastAsia="宋体" w:cs="Calibri"/>
                <w:color w:val="000000"/>
                <w:sz w:val="20"/>
                <w:szCs w:val="20"/>
                <w:lang w:val="en-US"/>
              </w:rPr>
              <w:t>S/S) x1</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遥控：直径为3.5毫米的立体声迷你插孔</w:t>
            </w:r>
            <w:r>
              <w:rPr>
                <w:rFonts w:ascii="Calibri" w:hAnsi="Calibri" w:eastAsia="宋体" w:cs="Calibri"/>
                <w:color w:val="000000"/>
                <w:sz w:val="20"/>
                <w:szCs w:val="20"/>
                <w:lang w:val="en-US"/>
              </w:rPr>
              <w:t>(</w:t>
            </w:r>
            <w:r>
              <w:rPr>
                <w:rFonts w:hint="eastAsia" w:ascii="宋体" w:hAnsi="宋体" w:eastAsia="宋体" w:cs="宋体"/>
                <w:color w:val="000000"/>
                <w:sz w:val="20"/>
                <w:szCs w:val="20"/>
                <w:lang w:val="en-US"/>
              </w:rPr>
              <w:t>对焦，光圈</w:t>
            </w:r>
            <w:r>
              <w:rPr>
                <w:rFonts w:ascii="Calibri" w:hAnsi="Calibri" w:eastAsia="宋体" w:cs="Calibri"/>
                <w:color w:val="000000"/>
                <w:sz w:val="20"/>
                <w:szCs w:val="20"/>
                <w:lang w:val="en-US"/>
              </w:rPr>
              <w:t>) x1</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w:t>
            </w:r>
          </w:p>
        </w:tc>
        <w:tc>
          <w:tcPr>
            <w:tcW w:w="367" w:type="pct"/>
            <w:vMerge w:val="restar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摄像机三脚架</w:t>
            </w: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产品类型 专业脚架+云台</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13</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套</w:t>
            </w: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云台类型：液压阻尼云台</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产品材质：铝合金</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最大管径(mm) 最大：</w:t>
            </w:r>
            <w:r>
              <w:rPr>
                <w:rFonts w:ascii="Calibri" w:hAnsi="Calibri" w:eastAsia="宋体" w:cs="Calibri"/>
                <w:color w:val="000000"/>
                <w:sz w:val="20"/>
                <w:szCs w:val="20"/>
                <w:lang w:val="en-US"/>
              </w:rPr>
              <w:t>17mm</w:t>
            </w:r>
            <w:r>
              <w:rPr>
                <w:rFonts w:hint="eastAsia" w:ascii="宋体" w:hAnsi="宋体" w:eastAsia="宋体" w:cs="宋体"/>
                <w:color w:val="000000"/>
                <w:sz w:val="20"/>
                <w:szCs w:val="20"/>
                <w:lang w:val="en-US"/>
              </w:rPr>
              <w:t>，最小：</w:t>
            </w:r>
            <w:r>
              <w:rPr>
                <w:rFonts w:ascii="Calibri" w:hAnsi="Calibri" w:eastAsia="宋体" w:cs="Calibri"/>
                <w:color w:val="000000"/>
                <w:sz w:val="20"/>
                <w:szCs w:val="20"/>
                <w:lang w:val="en-US"/>
              </w:rPr>
              <w:t>14mm</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最高工作高度(mm) 1600mm</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最低工作高度(mm) 780mm</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角架节数 3节</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最大负荷(kg) 8kg</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收缩高度(mm) 810mm</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脚管锁类型：旋钮式</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含脚架软包</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660" w:hRule="atLeast"/>
        </w:trPr>
        <w:tc>
          <w:tcPr>
            <w:tcW w:w="251" w:type="pct"/>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6</w:t>
            </w:r>
          </w:p>
        </w:tc>
        <w:tc>
          <w:tcPr>
            <w:tcW w:w="367" w:type="pct"/>
            <w:vMerge w:val="restar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提词器</w:t>
            </w: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进口超薄镀膜单反射光学玻璃，具备一致性好，抗老化，寿命长，耐磨损，不易吸附静电等特点。显示器采用特殊控制电路，字符大，亮度高，文字清晰。整体支架采用专业设计，带有角轮，移动方便。采用全中文操作平台和专用的提词器软件。操作方式灵活方便。</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13</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套</w:t>
            </w: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2、高画质：提词器的反射屏为专业设计TFT液晶平板显示器。进口超薄介质光学玻璃。视距大于3米，图像鲜艳，分辨率高，1024x768像素。</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3、、广视角：水平140°， 垂直130°。在很亮的演播室环境下图像也很清楚。高对比度视频电路设计，可达150：1。6、22寸液晶屏。</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4、高性能：1、对画面进行最适当的调节。2、软件与XP、W7兼容。应用方便，操作灵活。5、采用伟峰9902/9903三脚架，使用更方便、灵巧。</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870"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自检屏可以辅助播音员利用自己眼睛的余光来调整自己的状态。配备专业提词器软件：专业提词器软件，中文XP、W7平台，方便操作，具有多种功能，如镜像、A、B播音员分色播出、滚动速度任意调整，方便灵活；字号、字体任意设置，边缘锯齿，字色、背景色任意搭配等。操作便携，主要功能通过鼠标操作即可达成使要求</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7</w:t>
            </w:r>
          </w:p>
        </w:tc>
        <w:tc>
          <w:tcPr>
            <w:tcW w:w="367"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提词器主机</w:t>
            </w: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内存容量：4G</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13</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台</w:t>
            </w: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CPU类型：</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酷睿双核i3处理器</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硬盘容量：1T</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显示端口：VGA x 1/ HDMI x 1</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显卡类别：集成显卡2G显存</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8</w:t>
            </w:r>
          </w:p>
        </w:tc>
        <w:tc>
          <w:tcPr>
            <w:tcW w:w="367" w:type="pct"/>
            <w:vMerge w:val="restar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无线领夹麦克风</w:t>
            </w: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载波频率：UHF510-960 MHz</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13</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套</w:t>
            </w: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频带宽度：25 MHz、50 MHz、100 MHz</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870"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适用于新闻播音，嘉宾访谈节目，外观新颖，音质清晰！　　频率范围：20 - 20000 Hz　　灵 敏 度：-34dB（@1kHz）　　指 向 性：超心形　　声压级：128dB(@THD≤0.5%,1KHz)　　输出阻抗：100Ω　　幻象供电：12V - 48V（4mA）　　等效噪声级：21dBA　　尺 寸：φ20×45mm（话筒）</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9</w:t>
            </w:r>
          </w:p>
        </w:tc>
        <w:tc>
          <w:tcPr>
            <w:tcW w:w="367" w:type="pct"/>
            <w:vMerge w:val="restar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LED影视灯</w:t>
            </w:r>
          </w:p>
        </w:tc>
        <w:tc>
          <w:tcPr>
            <w:tcW w:w="3842" w:type="pct"/>
            <w:tcBorders>
              <w:top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额定电压：AC220V</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130</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盏</w:t>
            </w: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频率：50/60Hz</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显色指数：＞90</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光通量：7800lm</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照度：2000Lux</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色温4900K-5100K</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10</w:t>
            </w:r>
          </w:p>
        </w:tc>
        <w:tc>
          <w:tcPr>
            <w:tcW w:w="367"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主持桌椅</w:t>
            </w: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尺寸约为2000*750*650mm，产品均采用优质冷轧板，耐压，强度大，抗冲击，不易变形，静电粉末喷塑，无污染。</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13</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套</w:t>
            </w:r>
          </w:p>
        </w:tc>
      </w:tr>
      <w:tr>
        <w:tblPrEx>
          <w:tblCellMar>
            <w:top w:w="15" w:type="dxa"/>
            <w:left w:w="15" w:type="dxa"/>
            <w:bottom w:w="15" w:type="dxa"/>
            <w:right w:w="15" w:type="dxa"/>
          </w:tblCellMar>
        </w:tblPrEx>
        <w:trPr>
          <w:trHeight w:val="660" w:hRule="atLeast"/>
        </w:trPr>
        <w:tc>
          <w:tcPr>
            <w:tcW w:w="251" w:type="pc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13</w:t>
            </w:r>
          </w:p>
        </w:tc>
        <w:tc>
          <w:tcPr>
            <w:tcW w:w="367"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调音台</w:t>
            </w: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8输入通道，2单声道2立体声/4输入通道，2单声道3立体声；4话筒4立体声线路输入(MG102C)/4话筒3立体声线路输入；1辅助发送/立体声返回(MG102C)/1效果发送/立体声返回；内置SPX效果器；开关式幻像电源/插入I/O；内置通道压缩器/3段式通道均衡器；</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13</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台</w:t>
            </w:r>
          </w:p>
        </w:tc>
      </w:tr>
      <w:tr>
        <w:tblPrEx>
          <w:tblCellMar>
            <w:top w:w="15" w:type="dxa"/>
            <w:left w:w="15" w:type="dxa"/>
            <w:bottom w:w="15" w:type="dxa"/>
            <w:right w:w="15" w:type="dxa"/>
          </w:tblCellMar>
        </w:tblPrEx>
        <w:trPr>
          <w:trHeight w:val="435" w:hRule="atLeast"/>
        </w:trPr>
        <w:tc>
          <w:tcPr>
            <w:tcW w:w="251" w:type="pc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14</w:t>
            </w:r>
          </w:p>
        </w:tc>
        <w:tc>
          <w:tcPr>
            <w:tcW w:w="367"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导播显示器</w:t>
            </w: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21~24英寸高清LED液晶屏；分辨率支持1920*1080；输入接口：HDMI</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13</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台</w:t>
            </w:r>
          </w:p>
        </w:tc>
      </w:tr>
      <w:tr>
        <w:tblPrEx>
          <w:tblCellMar>
            <w:top w:w="15" w:type="dxa"/>
            <w:left w:w="15" w:type="dxa"/>
            <w:bottom w:w="15" w:type="dxa"/>
            <w:right w:w="15" w:type="dxa"/>
          </w:tblCellMar>
        </w:tblPrEx>
        <w:trPr>
          <w:trHeight w:val="435" w:hRule="atLeast"/>
        </w:trPr>
        <w:tc>
          <w:tcPr>
            <w:tcW w:w="251" w:type="pc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15</w:t>
            </w:r>
          </w:p>
        </w:tc>
        <w:tc>
          <w:tcPr>
            <w:tcW w:w="367"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无线鼠键套</w:t>
            </w: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鼠键接口：USB；鼠键连接方式：无线；键盘类型：全键盘</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13</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台</w:t>
            </w:r>
          </w:p>
        </w:tc>
      </w:tr>
      <w:tr>
        <w:tblPrEx>
          <w:tblCellMar>
            <w:top w:w="15" w:type="dxa"/>
            <w:left w:w="15" w:type="dxa"/>
            <w:bottom w:w="15" w:type="dxa"/>
            <w:right w:w="15" w:type="dxa"/>
          </w:tblCellMar>
        </w:tblPrEx>
        <w:trPr>
          <w:trHeight w:val="435" w:hRule="atLeast"/>
        </w:trPr>
        <w:tc>
          <w:tcPr>
            <w:tcW w:w="251" w:type="pc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16</w:t>
            </w:r>
          </w:p>
        </w:tc>
        <w:tc>
          <w:tcPr>
            <w:tcW w:w="367"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导播桌椅</w:t>
            </w: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尺寸约为2400*750*650mm，刨花板/三聚氰胺板，配套两张电脑椅</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13</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套</w:t>
            </w:r>
          </w:p>
        </w:tc>
      </w:tr>
      <w:tr>
        <w:tblPrEx>
          <w:tblCellMar>
            <w:top w:w="15" w:type="dxa"/>
            <w:left w:w="15" w:type="dxa"/>
            <w:bottom w:w="15" w:type="dxa"/>
            <w:right w:w="15" w:type="dxa"/>
          </w:tblCellMar>
        </w:tblPrEx>
        <w:trPr>
          <w:trHeight w:val="285" w:hRule="atLeast"/>
        </w:trPr>
        <w:tc>
          <w:tcPr>
            <w:tcW w:w="251" w:type="pc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17</w:t>
            </w:r>
          </w:p>
        </w:tc>
        <w:tc>
          <w:tcPr>
            <w:tcW w:w="367"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小音箱</w:t>
            </w: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有源音箱</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26</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个</w:t>
            </w:r>
          </w:p>
        </w:tc>
      </w:tr>
      <w:tr>
        <w:tblPrEx>
          <w:tblCellMar>
            <w:top w:w="15" w:type="dxa"/>
            <w:left w:w="15" w:type="dxa"/>
            <w:bottom w:w="15" w:type="dxa"/>
            <w:right w:w="15" w:type="dxa"/>
          </w:tblCellMar>
        </w:tblPrEx>
        <w:trPr>
          <w:trHeight w:val="285" w:hRule="atLeast"/>
        </w:trPr>
        <w:tc>
          <w:tcPr>
            <w:tcW w:w="251" w:type="pc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18</w:t>
            </w:r>
          </w:p>
        </w:tc>
        <w:tc>
          <w:tcPr>
            <w:tcW w:w="367"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交换机</w:t>
            </w: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8口交换机，10/100/1000Mbps自适应</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13</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个</w:t>
            </w:r>
          </w:p>
        </w:tc>
      </w:tr>
      <w:tr>
        <w:tblPrEx>
          <w:tblCellMar>
            <w:top w:w="15" w:type="dxa"/>
            <w:left w:w="15" w:type="dxa"/>
            <w:bottom w:w="15" w:type="dxa"/>
            <w:right w:w="15" w:type="dxa"/>
          </w:tblCellMar>
        </w:tblPrEx>
        <w:trPr>
          <w:trHeight w:val="435" w:hRule="atLeast"/>
        </w:trPr>
        <w:tc>
          <w:tcPr>
            <w:tcW w:w="251" w:type="pc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19</w:t>
            </w:r>
          </w:p>
        </w:tc>
        <w:tc>
          <w:tcPr>
            <w:tcW w:w="367"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设备机柜</w:t>
            </w: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≥宽600mm*深800mm*高42U，前玻璃门，后网孔门，内立柱≥2.0mm,其它≥1.2mm。</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13</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个</w:t>
            </w:r>
          </w:p>
        </w:tc>
      </w:tr>
      <w:tr>
        <w:tblPrEx>
          <w:tblCellMar>
            <w:top w:w="15" w:type="dxa"/>
            <w:left w:w="15" w:type="dxa"/>
            <w:bottom w:w="15" w:type="dxa"/>
            <w:right w:w="15" w:type="dxa"/>
          </w:tblCellMar>
        </w:tblPrEx>
        <w:trPr>
          <w:trHeight w:val="285" w:hRule="atLeast"/>
        </w:trPr>
        <w:tc>
          <w:tcPr>
            <w:tcW w:w="251" w:type="pct"/>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20</w:t>
            </w:r>
          </w:p>
        </w:tc>
        <w:tc>
          <w:tcPr>
            <w:tcW w:w="367" w:type="pct"/>
            <w:vMerge w:val="restar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辅材及安装</w:t>
            </w: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面积装修：</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13</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间</w:t>
            </w: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墙面隔音材料：轻钢龙骨+吸音棉+木工板;</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顶面.角部分 深色乳胶漆;</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观察窗钢化玻璃+木质吸音材料;</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演播室门套 木质板材;</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演播室新闻实景实造型 制作.灯带.造型.喷绘设计等;</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演播室新闻背景墙制作费：达到摄像机出镜要求；背景制作材料需做防火防腐处理；防火等级按照《建筑内部装修设计防火规范》（GB50222-95）执行。</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普通工作照明 演播室/  管.线.灯具.开关</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应急照明 演播室/管.线.应急灯</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开关.五孔插座 演播室 底盒  管材</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铜芯线2.5mm2</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配电箱 正泰</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870"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封窗.拆除.建渣清运费 轻质碳灰砖，拉法基牌32..5R水泥+中沙，双面抹灰U形木质蓝箱/绿箱，各面之间以圆润圆弧相接，圆弧半径0.5米，整体均匀平整。背景墙采用防水专业进口抠像漆，无有毒有害物质，水溶性不反光，长度5m×深度3.5m×高度3 m大小。（具体面积以实际测量和校方标准为参考）</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4461" w:type="pct"/>
            <w:gridSpan w:val="3"/>
            <w:tcBorders>
              <w:left w:val="single" w:color="000000" w:sz="12" w:space="0"/>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（二）LED显示系统</w:t>
            </w:r>
          </w:p>
        </w:tc>
        <w:tc>
          <w:tcPr>
            <w:tcW w:w="269" w:type="pct"/>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w:t>
            </w:r>
          </w:p>
        </w:tc>
        <w:tc>
          <w:tcPr>
            <w:tcW w:w="4210" w:type="pct"/>
            <w:gridSpan w:val="2"/>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1.1屏体部分（显示屏净尺寸：5m*2m=10m²）</w:t>
            </w:r>
          </w:p>
        </w:tc>
        <w:tc>
          <w:tcPr>
            <w:tcW w:w="538" w:type="pct"/>
            <w:gridSpan w:val="2"/>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w:t>
            </w:r>
          </w:p>
        </w:tc>
        <w:tc>
          <w:tcPr>
            <w:tcW w:w="367" w:type="pct"/>
            <w:vMerge w:val="restar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户内全彩LED屏</w:t>
            </w: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1.LED封装形式：SMD2121黑灯，发光点颜色组合：1R1G1B。</w:t>
            </w:r>
          </w:p>
        </w:tc>
        <w:tc>
          <w:tcPr>
            <w:tcW w:w="269" w:type="pct"/>
            <w:vMerge w:val="restart"/>
            <w:tcBorders>
              <w:top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10</w:t>
            </w:r>
          </w:p>
        </w:tc>
        <w:tc>
          <w:tcPr>
            <w:tcW w:w="269" w:type="pct"/>
            <w:vMerge w:val="restart"/>
            <w:tcBorders>
              <w:top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平方米</w:t>
            </w: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2.物理点间距：2.5mm；分辨率：160000点/m²。</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3.单元板分辨率：128*64，单元板尺寸（mm）：320*160。</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4.水平视角：160°；垂直视角：160°；刷新频率：1920Hz；对比度：10000:1。</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5.杂点率：≤1/100000且无连续失控点，亮度均匀性：≥98%</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6.防护等级：IP5X，平均无故障时间：≥10000H。</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7.视频信号：兼容PAL/NTSC/SECAM制式, 支持S-Video；VGA；RGB；Composite Video；SDI；DVI；RF；RGBHV；YUV；YC等。</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8.控制方式：同步控制；驱动器件：恒流；换帧频率：≥60Hz；扫描方式：32S。</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9.环境温度：存储-35℃~+85℃，工作温度：－10℃~+40℃。</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10.亮度调节方式：自动/手动：1-100％。</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w:t>
            </w:r>
          </w:p>
        </w:tc>
        <w:tc>
          <w:tcPr>
            <w:tcW w:w="367" w:type="pct"/>
            <w:vMerge w:val="restar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发送盒</w:t>
            </w: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1.支持HDMI 和DVI视频信号输入及HDMI信号LOOP输出，标准60Hz，并可以自动适应帧率。</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台</w:t>
            </w: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2.输入分辨率：最大1920*1200点，支持分辨率任意设置。</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3.单卡最大带载面积：230万像素，最宽可达4096点，或最高可达2560点。</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4.4个千兆网口输出，支持上下.左右及混合型任意拼接。</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5.双USB2.0高速通讯接口，用于电脑调试和卡间级联。</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6.支持多发送器任意拼接级联，严格同步。</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7.支持亮度和色温调节。</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8.支持HDCP。</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w:t>
            </w:r>
          </w:p>
        </w:tc>
        <w:tc>
          <w:tcPr>
            <w:tcW w:w="367" w:type="pct"/>
            <w:vMerge w:val="restar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LED显示屏智慧控制系统</w:t>
            </w: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1.配置显示屏的性能参数，如：LED显示屏视觉刷新率，灰度级数，移位时钟频率等；</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套</w:t>
            </w: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2.配置显示屏的传输方式和方向；</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3.配置控制器映射位置和大小；</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4.保存和加载控制系统参数；</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5.周期刷新显示屏控制系统的工作状态；</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6.读取显示屏校正系数，手动调节显示屏的校正系数；</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7.上传校正数据到控制系统；</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8.配置显示屏的亮度调节模式，设置每种模式对应的参数；</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9.配置显示屏色温列表，对显示屏进行色温调节；</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10.对显示屏进行Gamma调节；</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11.查看当前控制系统的映射信息.版本信息，并对控制器进行授权；</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12.显示屏画面控制，包括：画面黑屏.画面锁定.正常显示；</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w:t>
            </w:r>
          </w:p>
        </w:tc>
        <w:tc>
          <w:tcPr>
            <w:tcW w:w="367"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台式电脑</w:t>
            </w: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台式电脑整机(I5-7400 8G 1T 串口 小机箱 office )20英寸</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台</w:t>
            </w:r>
          </w:p>
        </w:tc>
      </w:tr>
      <w:tr>
        <w:tblPrEx>
          <w:tblCellMar>
            <w:top w:w="15" w:type="dxa"/>
            <w:left w:w="15" w:type="dxa"/>
            <w:bottom w:w="15" w:type="dxa"/>
            <w:right w:w="15" w:type="dxa"/>
          </w:tblCellMar>
        </w:tblPrEx>
        <w:trPr>
          <w:trHeight w:val="285" w:hRule="atLeast"/>
        </w:trPr>
        <w:tc>
          <w:tcPr>
            <w:tcW w:w="251" w:type="pct"/>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6</w:t>
            </w:r>
          </w:p>
        </w:tc>
        <w:tc>
          <w:tcPr>
            <w:tcW w:w="367" w:type="pct"/>
            <w:vMerge w:val="restar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视频处理器</w:t>
            </w: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1.输入信号：</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台</w:t>
            </w: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(1)DVI-D×1：最大支持分辨率为 1920×1200@60Hz，向下兼容；兼容 HDMI1.3 及以下版本， EDID 版本 1.3</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(2)HDMI×3：最大支持分辨率为 1920×1200@60Hz，向下兼容；兼容 HDMI1.3 及以下版本， EDID 版本 1.3</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(3)VGA×2：最大支持分辨率为 1920×1200@60Hz ，向下兼容</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(4)CVBS×2：NTSC/PAL 自适应，支持3D梳状滤波器</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2.输出信号：</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660"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(1)DVI-D×5：支持常见输出分辨率，如2048×1152@60Hz，1920×1080@60Hz；支持自定义输出分辨率，如3840×660@60Hz；支持60Hz/50Hz/30Hz输出帧率；兼容HDMI1.3及以下版本；其中4路为变成输出，另1路为预览输出</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3.控制方式：RS-232/RJ-45以太网</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4.工作电源：100-240VAC， 47-63Hz，≤2A</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5.工作环境：温度 0-40℃；湿度 0-95%（无结露）</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6.设备尺寸（mm)：66×432×256（H×L×D）</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7.重量：4.0Kg</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7</w:t>
            </w:r>
          </w:p>
        </w:tc>
        <w:tc>
          <w:tcPr>
            <w:tcW w:w="367" w:type="pct"/>
            <w:vMerge w:val="restar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配电柜</w:t>
            </w: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1.手动控制方式：启动按键/旋钮</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台</w:t>
            </w: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2.自动控制方式：定时开关（定时器）</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3.功率容量（KVA）：20KW</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4.输入接线方式：3相4线&amp;地线</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5.输入电压（V）：380</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6.输入频率（HZ）：50/60</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7.输出接线方式：单相两线+地线，要均匀接入LED显示屏</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8.输出电压（V）：交流220V</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9.输出分路：6路，单相交流220V</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10.分路开关容量（A）：40A，单相</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11.分路断路器安装：轨道安装</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12.交流接触器型号：CJX2-5011</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13.防雷：正泰</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14.IP等级：IP44</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15.宽高厚（mm）：500*600*200</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16.重量：13Kg</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17.工作温度（℃）：-30~70</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8</w:t>
            </w:r>
          </w:p>
        </w:tc>
        <w:tc>
          <w:tcPr>
            <w:tcW w:w="367" w:type="pct"/>
            <w:vMerge w:val="restar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结构边框</w:t>
            </w: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1.设计标准:《钢结构设计规范》GB50017-2017；</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项</w:t>
            </w: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2.施工标准:《钢结构施工规范》GB50755-2017；</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3.验收规范:《钢结构工程施工质量验收规范》GB 50205—2017；</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660"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按设计图进行施工,钢结构制作按照《钢结构施工质量验收规范》GB50205-2017进行制作；材料采用国标镀锌材料或型材，特殊要求可根据现场具体情况及施工图纸而定；钢材加工前进行矫正,使之平直,以免影响制作精度;对接焊缝为坡口焊；后维护需设计检修通道和检修门；</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5.包边要求：采用铝塑板，不锈钢进行包边，颜色默认为黑色及灰色，或客户自选</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9</w:t>
            </w:r>
          </w:p>
        </w:tc>
        <w:tc>
          <w:tcPr>
            <w:tcW w:w="367" w:type="pct"/>
            <w:vMerge w:val="restar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无缝高清矩阵切换器</w:t>
            </w: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 可配置输入/输出信号卡的模块化矩阵主机，支持16×16路信号切换。</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台</w:t>
            </w: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2.支持HDMI.DVI.VGA.SDI.HDBaseT.光纤的任意输入/输出信号卡，提高系统灵活性，其中DVI输入卡兼容CVBS，YUV,S-VIDEO信号，VGA输入/输出卡均兼容CVBS，YUV,S-VIDEO。</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3.通过定制配置各类相同或不同的输入输出卡可以组成单一接口类型或多接口类型的矩阵，如HDMI矩阵，DVI矩阵，VGA矩阵，YUV矩阵，Video矩阵等。</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4.支持最大分辨率达到4Kx2K。</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5.支持无缝切换功能，切换过程无黑屏信号。</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6.控制方式灵活，具有1路RS-232.1路RS-485.1路网口，支持外接面板控制接口。</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7.支持音视频信号同步切换，切换响应速度快。</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8.支持模拟音频与HDMI内嵌音频选择输入。</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9.支持模拟音频与HDMI内嵌音频同时输出。</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10.HDBaseT输入输出信号支持双向 RS-232 和双向 IR 信号传输，可对RS-232和IR 信号选择随视频信号切换，或分离切换模式，并且支持POC对外供电。</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11.支持断电记忆功能，避免掉电后重复设置动作。</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12.支持智能温控，控制矩阵风扇的运行。</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13.系统内可存储多组预切换指令，调用时可以一键切换。</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14.支持KVM坐席管理功能，通过一套键盘鼠标显示器切换.管理多台计算机设备，为坐席人员带来实时的全方位管控体验。</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技术参数：</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1.可接入输入卡数量：4块</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2.可接入输出卡数量：4块</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3.可接入控制卡数量：1块</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4.输入通道：16路</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5.输出通道：16路</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6.串口：1×RS-232（9-针母D型接口）</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7.波特率与协议：9600；数据位：8位，停止位：1，无奇偶校验位</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8.RS-485控制接口：4位3.8mm凤凰接口，与触摸面板配合使用</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9.以太网控制接口：RJ-45母接口</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10.以太网控制速率：自适应10M/100M,全双工或半双工</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11.工作电源：AC 100V~240V，50/60Hz，国际自适应电源</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12.环境温度：-20℃—+70℃</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13.尺寸（mm）：484（L）x 356（W）x 222（H）</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10</w:t>
            </w:r>
          </w:p>
        </w:tc>
        <w:tc>
          <w:tcPr>
            <w:tcW w:w="367" w:type="pct"/>
            <w:vMerge w:val="restar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嵌入式控制面板</w:t>
            </w: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1.供电电压：5V-26V</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套</w:t>
            </w: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2.通讯接口：RS485</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3.下载接口：Micro USB</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4.显示屏尺寸：3.5英寸</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5.显示器类型：TFT液晶屏</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6.分辨率：320*240</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11</w:t>
            </w:r>
          </w:p>
        </w:tc>
        <w:tc>
          <w:tcPr>
            <w:tcW w:w="367" w:type="pct"/>
            <w:vMerge w:val="restar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HDMI无缝高清输入卡</w:t>
            </w: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 协议：支持HDMI1.3a的标准，HDCP1.3协议, DVI1.0协议。</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块</w:t>
            </w: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 像素带宽：165MHz, 全数字</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 接口带宽：6.75Gbp,全数字</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lang w:val="en-US"/>
              </w:rPr>
            </w:pPr>
            <w:r>
              <w:rPr>
                <w:rFonts w:hint="eastAsia" w:ascii="宋体" w:hAnsi="宋体" w:eastAsia="宋体" w:cs="宋体"/>
                <w:color w:val="000000"/>
                <w:sz w:val="20"/>
                <w:szCs w:val="20"/>
                <w:lang w:val="en-US"/>
              </w:rPr>
              <w:t>4. 最大支持分辨：Normal-PC： 1600x1200@60_24bit；HDPC: 1920x1200P@ 60_24bit；HDTV：1920x1080P@60_36bit</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lang w:val="en-US"/>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lang w:val="en-US"/>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lang w:val="en-US"/>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lang w:val="en-US"/>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 位时钟抖动(Clock Jitter)：&lt;0.15 Tbit</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6. 位上升时间(Risetime )：&lt;0.3Tbit (20%--80%)</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7. 位下降时间(Falltime)：&lt;0.3Tbit (20%--80%)</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8. 最大传输延时：5nS(±1nS)</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9. 信号类型：HDMI 1.4规范中的 HDMI-A全数字 T.M.D.S. 信号</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10. 接口：4路HDMI-A母接口.4路3.5mm音频座</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11. 信号强度：T.M.D.S +/- 0.4Vpp</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12. 最小/最大电平：T.M.D.S 2.9V/3.3V</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13. 最大直流偏置误差：15mV</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14. 最大功耗：15W</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15. 产品重量：约0.5Kg</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16. 建议输入距离≤20米</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12</w:t>
            </w:r>
          </w:p>
        </w:tc>
        <w:tc>
          <w:tcPr>
            <w:tcW w:w="367" w:type="pct"/>
            <w:vMerge w:val="restar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SDI无缝高清输入卡</w:t>
            </w: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 输入：4路SDI信号</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块</w:t>
            </w: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 接口：母端口BNC连接器</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 增益：0db</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 锁定速率：自动</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 操作标准：SMPTE 292M,SMPTE 259M,SMPTE 242M,ITU-RBT.601;ITU-RBT.1120</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6. 输入回波损耗：&lt;-14 dB @ 1MHz ~ 1.5GHz</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7. 输出回波损耗：&lt;-12 dB @ 1MHz ~ 1.5GHz</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8. 最大速率：2.97Gbps</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9. 数据类型：8或10bit</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10. 输入输出电平：0.80Vp-p+/- 10%</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11. 输入输出阻抗：75 Ω</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12. 均衡类型：自动</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13. 最大输入距离 60米</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14. 功耗：10W</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15. 产品重量：约0.8Kg</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13</w:t>
            </w:r>
          </w:p>
        </w:tc>
        <w:tc>
          <w:tcPr>
            <w:tcW w:w="367" w:type="pct"/>
            <w:vMerge w:val="restar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HDMI无缝高清输出卡</w:t>
            </w: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 协议：支持HDMI1.3a协议，HDCP1.3协议, DVI1.0协议。</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块</w:t>
            </w: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 像素带宽：165MHz, 全数字</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 接口带宽：6.75Gbp,全数字</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lang w:val="en-US"/>
              </w:rPr>
            </w:pPr>
            <w:r>
              <w:rPr>
                <w:rFonts w:hint="eastAsia" w:ascii="宋体" w:hAnsi="宋体" w:eastAsia="宋体" w:cs="宋体"/>
                <w:color w:val="000000"/>
                <w:sz w:val="20"/>
                <w:szCs w:val="20"/>
                <w:lang w:val="en-US"/>
              </w:rPr>
              <w:t>4. 最大支持分辨：Normal-PC： 1600x1200@60_24bit；HDPC: 1920x1200P@ 60_24bit；HDTV：1920x1080P@60_36bit</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lang w:val="en-US"/>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lang w:val="en-US"/>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lang w:val="en-US"/>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lang w:val="en-US"/>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 位时钟抖动(Clock Jitter)：&lt;0.15 Tbit</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6. 位上升时间(Risetime )：&lt;0.3Tbit (20%--80%)</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7. 位下降时间(Falltime)：&lt;0.3Tbit (20%--80%)</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8. 最大传输延时：5nS(±1nS)</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9. 信号类型：HDMI 1.4规范中的 HDMI-A全数字 T.M.D.S. 信号</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10. 信号强度：T.M.D.S +/- 0.4Vpp</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11. 接口：4路HDMI-A母接口.4路3.5mm音频座</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12. 最小/最大电平：T.M.D.S 2.9V/3.3V</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13. 最大直流偏置误差：15mV</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14. 最大功耗：15W</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15. 产品重量：约0.5Kg</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16. 建议输出距离≤10米</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14</w:t>
            </w:r>
          </w:p>
        </w:tc>
        <w:tc>
          <w:tcPr>
            <w:tcW w:w="367" w:type="pct"/>
            <w:vMerge w:val="restar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DVI无缝高清输出卡</w:t>
            </w: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 协议：支持HDMI1.3a协议，HDCP1.3协议, DVI1.0协议。</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块</w:t>
            </w: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 像素带宽：165MHz, 全数字</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 接口带宽：6.75Gbp,全数字</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lang w:val="en-US"/>
              </w:rPr>
            </w:pPr>
            <w:r>
              <w:rPr>
                <w:rFonts w:hint="eastAsia" w:ascii="宋体" w:hAnsi="宋体" w:eastAsia="宋体" w:cs="宋体"/>
                <w:color w:val="000000"/>
                <w:sz w:val="20"/>
                <w:szCs w:val="20"/>
                <w:lang w:val="en-US"/>
              </w:rPr>
              <w:t>4. 最大支持分辨：Normal-PC： 1600x1200@60_24bit；HDPC: 1920x1200P@ 60_24bit；HDTV：1920x1080P@60_36bit</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lang w:val="en-US"/>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lang w:val="en-US"/>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lang w:val="en-US"/>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lang w:val="en-US"/>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 位时钟抖动(Clock Jitter)：&lt;0.15 Tbit</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6. 位上升时间(Risetime )：&lt;0.3Tbit (20%--80%)</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7. 位下降时间(Falltime)：&lt;0.3Tbit (20%--80%)</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8. 最大传输延时：5nS(±1nS)</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9. 信号类型：DVI 1.0规范中的DVI-D全数字 T.M.D.S. 信号</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10. 信号强度：T.M.D.S +/- 0.4Vpp</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11. 接口：4路DVI-D母接口</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12. 最小/最大电平：T.M.D.S 2.9V/3.3V</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13. 最大直流偏置误差：15mV</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14. 最大功耗：15W</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15. 产品重量：约0.5Kg</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16. 建议输出距离≤20米</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55" w:hRule="atLeast"/>
        </w:trPr>
        <w:tc>
          <w:tcPr>
            <w:tcW w:w="251" w:type="pct"/>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15</w:t>
            </w:r>
          </w:p>
        </w:tc>
        <w:tc>
          <w:tcPr>
            <w:tcW w:w="367" w:type="pct"/>
            <w:vMerge w:val="restar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DVI无缝高清输入卡</w:t>
            </w: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 协议：支持HDMI1.3a协议，HDCP1.3协议, DVI1.0协议。</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块</w:t>
            </w:r>
          </w:p>
        </w:tc>
      </w:tr>
      <w:tr>
        <w:tblPrEx>
          <w:tblCellMar>
            <w:top w:w="15" w:type="dxa"/>
            <w:left w:w="15" w:type="dxa"/>
            <w:bottom w:w="15" w:type="dxa"/>
            <w:right w:w="15" w:type="dxa"/>
          </w:tblCellMar>
        </w:tblPrEx>
        <w:trPr>
          <w:trHeight w:val="25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 像素带宽：165MHz, 全数字</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5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 接口带宽：6.75Gbp,全数字</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lang w:val="en-US"/>
              </w:rPr>
            </w:pPr>
            <w:r>
              <w:rPr>
                <w:rFonts w:hint="eastAsia" w:ascii="宋体" w:hAnsi="宋体" w:eastAsia="宋体" w:cs="宋体"/>
                <w:color w:val="000000"/>
                <w:sz w:val="20"/>
                <w:szCs w:val="20"/>
                <w:lang w:val="en-US"/>
              </w:rPr>
              <w:t>4. 最大支持分辨：Normal-PC： 1600x1200@60_24bit；HDPC: 1920x1200P@ 60_24bit；HDTV：1920x1080P@60_36bit</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lang w:val="en-US"/>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lang w:val="en-US"/>
              </w:rPr>
            </w:pPr>
          </w:p>
        </w:tc>
      </w:tr>
      <w:tr>
        <w:tblPrEx>
          <w:tblCellMar>
            <w:top w:w="15" w:type="dxa"/>
            <w:left w:w="15" w:type="dxa"/>
            <w:bottom w:w="15" w:type="dxa"/>
            <w:right w:w="15" w:type="dxa"/>
          </w:tblCellMar>
        </w:tblPrEx>
        <w:trPr>
          <w:trHeight w:val="25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lang w:val="en-US"/>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lang w:val="en-US"/>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 位时钟抖动(Clock Jitter)：&lt;0.15 Tbit</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5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6. 位上升时间(Risetime )：&lt;0.3Tbit (20%--80%)</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5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7. 位下降时间(Falltime)：&lt;0.3Tbit (20%--80%)</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5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8. 最大传输延时：5nS(±1nS)</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5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9. 信号类型：DVI 1.0规范中的DVI-D全数字 T.M.D.S. 信号</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5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10. 信号强度：T.M.D.S +/- 0.4Vpp</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5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11. 接口：4路DVI-D母接口</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5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12. 最小/最大电平：T.M.D.S 2.9V/3.3V</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5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13. 最大直流偏置误差：15mV</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5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14. 最大功耗：15W</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15. 建议输入距离≤20米</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16</w:t>
            </w:r>
          </w:p>
        </w:tc>
        <w:tc>
          <w:tcPr>
            <w:tcW w:w="367" w:type="pct"/>
            <w:vMerge w:val="restar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专业功放</w:t>
            </w: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1.输出功率（20Hz-20KHz/THD≤1％）：立体声/并联8Ω×2：500W×2；立体声/并联4Ω×2：730W×2；桥接8Ω：1460W</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台</w:t>
            </w: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2.连接座：XLR .TRS接口</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3.电压增益 (@1KHz)：36.2dB</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4.输入灵敏度：0.775V/1V/1.44V</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5.输入阻抗：10K Ω 非平衡.20KΩ 平衡</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6.频率响应(@1W功率下）：20Hz-20KHz/+0/-2dB</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7.THD+N(@1/8功率下）：≤0.05％</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8.信噪比 (A计权)：≥95dB</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9.阻尼系数 (@ 1KHz)：≥200@ 8 ohms</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10.分离度 (@1KHz)：≥80dB</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11.保护方式：过流保护.直流保护.短路保护</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12.指示灯：电源 .保护.失真</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13.冷却方式：风扇冷却</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14.供电：~ 220V； 50Hz</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15.最大功耗：2200W</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16.尺寸(L xWxH)：483x464x88 mm</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17.重量：15.8Kg</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17</w:t>
            </w:r>
          </w:p>
        </w:tc>
        <w:tc>
          <w:tcPr>
            <w:tcW w:w="367" w:type="pct"/>
            <w:vMerge w:val="restar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专业音箱</w:t>
            </w: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1.阻抗：8Ω</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只</w:t>
            </w: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2.频响：50Hz~20KHz</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3.额定功率：350W</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4.峰值功率：1400W</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5.灵敏度：99dB/W/M</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6.最大声压级（额定/峰值）：124dB/131dB</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7.覆盖角度：(H)80°(V)60°</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8.高音：1.7"压缩高音单元×1</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9.低音：12"低音×1</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10.尺寸(HxWxD)：560x360x380 mm</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11.重量：19.2Kg</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18</w:t>
            </w:r>
          </w:p>
        </w:tc>
        <w:tc>
          <w:tcPr>
            <w:tcW w:w="367" w:type="pct"/>
            <w:vMerge w:val="restar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专业功放</w:t>
            </w: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1.输出功率（20Hz-20KHz/THD≤1％）：立体声/并联8Ω×2：500W×2；立体声/并联4Ω×2：730W×2；桥接8Ω：1460W</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台</w:t>
            </w: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2.连接座：XLR .TRS接口</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3.电压增益 (@1KHz)：36.2dB</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4.输入灵敏度：0.775V/1V/1.44V</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5.输入阻抗：10K Ω 非平衡.20KΩ 平衡</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6.频率响应(@1W功率下）：20Hz-20KHz/+0/-2dB</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7.THD+N(@1/8功率下）：≤0.05％</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8.信噪比 (A计权)：≥95dB</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9.阻尼系数 (@ 1KHz)：≥200@ 8 ohms</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10.分离度 (@1KHz)：≥80dB</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11.保护方式：过流保护.直流保护.短路保护</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12.指示灯：电源 .保护.失真</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13.冷却方式：风扇冷却</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14.供电：~ 220V； 50Hz</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15.最大功耗：2200W</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16.尺寸(L xWxH)：483x464x88 mm</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17.重量：15.8Kg</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19</w:t>
            </w:r>
          </w:p>
        </w:tc>
        <w:tc>
          <w:tcPr>
            <w:tcW w:w="367" w:type="pct"/>
            <w:vMerge w:val="restar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专业音箱</w:t>
            </w: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1.阻抗：8Ω</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只</w:t>
            </w: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2.频响：55Hz~20KHz</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3.额定功率：300W</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4.峰值功率：1200W</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5.灵敏度：98dB/W/M</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6.最大声压级（额定/峰值）：123dB/129dB</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7.覆盖角度：(H)80°(V)60°</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8.高音：1.4"压缩高音单元×1</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9.低音：10"低音×1</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10.尺寸(HxWxD)：510x325x300 mm</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11.重量：15.2Kg</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20</w:t>
            </w:r>
          </w:p>
        </w:tc>
        <w:tc>
          <w:tcPr>
            <w:tcW w:w="367" w:type="pct"/>
            <w:vMerge w:val="restar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支架</w:t>
            </w: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固定面板尺寸（长*宽）： 140mm*65mm</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6</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只</w:t>
            </w: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箱体固定面板尺寸（长*宽）： 128mm*70mm</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重量：0.93Kg</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21</w:t>
            </w:r>
          </w:p>
        </w:tc>
        <w:tc>
          <w:tcPr>
            <w:tcW w:w="367" w:type="pct"/>
            <w:vMerge w:val="restar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调音台</w:t>
            </w: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1.麦克风输入：4路（4个卡侬接口）</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台</w:t>
            </w: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2.线路输入：4路单插单声道/立体声自动切换混合接口</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3.立体声输入：4组（8路单声道）</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4.CD/Tape输入：1路CD/TAPE RCA立体声输入接口</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5.输出通路：1组立体声主输出.1组辅助输出.1组立体声监听输出.1路耳机监听输出.1组CD/Tape输出</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6.效果器：24位DSP效果器（包括人声.小房子.大厅.回声.回声+回响.盘子.声乐板.合唱GTR，旋转GTR.颤音GTR类型），100种预设效果</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7.幻象电源：+48V带开关</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8.频率响应：20Hz-20kHz，±3dB</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lang w:val="en-US"/>
              </w:rPr>
            </w:pPr>
            <w:r>
              <w:rPr>
                <w:rFonts w:hint="eastAsia" w:ascii="宋体" w:hAnsi="宋体" w:eastAsia="宋体" w:cs="宋体"/>
                <w:color w:val="000000"/>
                <w:sz w:val="20"/>
                <w:szCs w:val="20"/>
                <w:lang w:val="en-US"/>
              </w:rPr>
              <w:t>9.失真度：&lt;0.003%（A-weighted）</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lang w:val="en-US"/>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lang w:val="en-US"/>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lang w:val="en-US"/>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lang w:val="en-US"/>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10.麦克风均衡输入噪音：-119dB（A-weighted）</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11.共模抑制比：60dB</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12.单通道输入增益：MIC：0 to 48dB，LINE:-33 to+15dB</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13.立体通道输入增益：LINE：-8 to+6dB</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lang w:val="en-US"/>
              </w:rPr>
            </w:pPr>
            <w:r>
              <w:rPr>
                <w:rFonts w:hint="eastAsia" w:ascii="宋体" w:hAnsi="宋体" w:eastAsia="宋体" w:cs="宋体"/>
                <w:color w:val="000000"/>
                <w:sz w:val="20"/>
                <w:szCs w:val="20"/>
                <w:lang w:val="en-US"/>
              </w:rPr>
              <w:t>14.主混音串音：-87dBu（A-weighted）</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lang w:val="en-US"/>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lang w:val="en-US"/>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lang w:val="en-US"/>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lang w:val="en-US"/>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lang w:val="en-US"/>
              </w:rPr>
            </w:pPr>
            <w:r>
              <w:rPr>
                <w:rFonts w:hint="eastAsia" w:ascii="宋体" w:hAnsi="宋体" w:eastAsia="宋体" w:cs="宋体"/>
                <w:color w:val="000000"/>
                <w:sz w:val="20"/>
                <w:szCs w:val="20"/>
                <w:lang w:val="en-US"/>
              </w:rPr>
              <w:t>15.通道串音：-85dBu（A-weighted）</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lang w:val="en-US"/>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lang w:val="en-US"/>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lang w:val="en-US"/>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lang w:val="en-US"/>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16.最大输出水平：+20dBu</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17.MIC输入高通滤波：75Hz，18dB/oct</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18.单通道均衡：高频：±15dB@12KHz；中频：±12dB@2.5KHz；低频：±15dB@80Hz</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19.电源：外接AC18V/1A（AC 230-240V 50/60Hz）电源适配器</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20.功耗：≤18W</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21.尺寸（L×W×H）：271×259×54.3mm</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22.重量：1.9Kg</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22</w:t>
            </w:r>
          </w:p>
        </w:tc>
        <w:tc>
          <w:tcPr>
            <w:tcW w:w="367" w:type="pct"/>
            <w:vMerge w:val="restar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音频处理器</w:t>
            </w: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 输入通道：前级放大.信号发生器.扩展器.压缩器.5段参量均衡.AM自动混音功能.AFC自适应反馈消除.AEC回声消除.ANC噪声消除</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台</w:t>
            </w: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 输出通道：31段参量均衡器.延时器.分频器.高低通滤波器.限幅器</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 采样率：48K</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 幻像供电：DC 48V</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 频率响应：20Hz-20KHz</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6. 总谐波失真+噪声：＜0.002% @1KHz ,4dBu</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7. 数/模动态范围(A-计权)：120dB</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8. 模/数动态范围(A-计权)：120dB</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9. 输入阻抗(平衡式)：20KΩ；</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10. 最大输出阻抗（平衡式)：100Ω；</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11. 通道隔离度：1kHz，100dB</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12. 输入共模抑制：60Hz，80dB</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13. 最大输出电平：+24dBu，平衡</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14. 最大输入电平：+24dBu，平衡</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15. 工作温度：0℃-40℃</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16. 工作电源：AC110V-220V,50Hz/60Hz</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17. 电源功耗：&lt;40W</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18. 尺寸(宽x深x高)：482×258×45(mm)</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23</w:t>
            </w:r>
          </w:p>
        </w:tc>
        <w:tc>
          <w:tcPr>
            <w:tcW w:w="367" w:type="pct"/>
            <w:vMerge w:val="restar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无线话筒</w:t>
            </w: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主要指标</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套</w:t>
            </w: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1.频率指标：640-690MHz 740-790MHz 807-830MHz 共三段 共500个频率</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2.调制方式：宽带FM</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3.频道数目：500个</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4.频道间隔：250KHz</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5.频率稳定度：±0.005%以内</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6.动态范围：100dB</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7.最大频偏：±45KHz</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8.频率响应：80Hz-18KHz（±3dB）（整个系统的频率取决于话筒单元）</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9.综合信噪比：105dB</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10.综合失真：≤0.5%</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11.工作距离：约100m（工作距离取决于很多因素，包括RF信号的吸收.反射和干扰等）直线无障碍</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12.工作温度：-10℃~+60℃</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接收机指标</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1．接收机方式：二次变频超外差</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2．中频频率：110MHz，10.7MHz</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3．无线接口：BNC/50Ω</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4．灵敏度：12dB μV（80dBS/N)</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5．灵敏度调节范围：12-32dB μV</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6．离散抑制：≥75dB</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7．最大输出电平：+10dBV</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8．供电方式：DC12V-1A输入</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9．重量：1.95 Kg ，不含天线</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10．尺寸：宽422mm×深180mm×高44.5mm</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发射机指标</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1.音头：动圈式麦克风（双手持话筒）</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2.天线：手持麦克风内置螺旋天线，佩挂发射机采用1/4波长鞭状天线</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3.输出功率：高功率30mW；低功率3mW</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4.离散抑制：-60dB</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5.供电：2节5号1.5V碱性电池</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6.电池寿命：30mW时大约10个小时，3mW时大约15个小时</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7.功能特点：采用真分集接收方式.有效避免断频现象和延长接收距离</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8.音质特点：中频丰富唱歌轻松，声音具有磁性感和混厚感属人声话筒音持的精华</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9.重量：0.34Kg（手持），不含电池重量</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10.尺寸：长268mm×直径35mm（手持）</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24</w:t>
            </w:r>
          </w:p>
        </w:tc>
        <w:tc>
          <w:tcPr>
            <w:tcW w:w="367" w:type="pct"/>
            <w:vMerge w:val="restar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电源时序器</w:t>
            </w: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1.额定输出电压：AC~220V50Hz</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台</w:t>
            </w: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2.额定输出电流：30A</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3.可控制电源：8路</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4.每路动作延时时间：1秒</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5.供电电源：VAC，220V50/60Hz，30A</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6.单路额定输出电源：10A</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7.尺寸（LxWxH）：484x295x44mm</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8.重量：4.2Kg</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25</w:t>
            </w:r>
          </w:p>
        </w:tc>
        <w:tc>
          <w:tcPr>
            <w:tcW w:w="367" w:type="pct"/>
            <w:vMerge w:val="restar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会议系统主机</w:t>
            </w: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1.话筒容量：有线单元支持4096台.无线单元支持300台</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台</w:t>
            </w: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2.通道数量：16CH（默认）.32CH.64CH</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3.频率响应：20Hz~20KHz</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4.信噪比：&gt;85dB(A)</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5.动态范围：&gt;80dB</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6.总谐波失真：&lt;0.05%</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7.主电源：90~132VAC/180~264VACbyswitch</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8.音频输入：LINE IN1:350mV平衡；LINE IN2:350mV非平衡</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9.音频输出：LINE OUT1:1V平衡；LINE OUT2:1V非平衡</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10.输出负载：&gt;1KΩ</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11.RJ45网口：连接电脑</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12.USB接口：录音/播放</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13.功放输出：2×25W/4Ω</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14.静态功耗：30W</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15.输出功耗：320W</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16.连接方式：专用电缆（6芯）</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17.接头可靠性：可靠</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18.遵循规范：IEC60914，兼容GBT15381-94标准</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19.工作温度：-10℃~+60℃</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20.工作湿度：20%～80%相对湿度，无结露</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21.触屏控制：4.3英寸TFT触控彩屏</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22.颜色：黑色</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23.重量：约3Kg</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24.外型尺寸（L*W*H）：484*305*88mm</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25.安装方式：19英寸标准机柜</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26</w:t>
            </w:r>
          </w:p>
        </w:tc>
        <w:tc>
          <w:tcPr>
            <w:tcW w:w="367" w:type="pct"/>
            <w:vMerge w:val="restar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会议主席单元</w:t>
            </w: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1.麦克风类型：心型指向性驻极体</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台</w:t>
            </w: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2.频率响应：80Hz～16KHz</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3.麦克风输入阻抗：1KΩ</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4.灵敏度：-46 dBV/Pa</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lang w:val="en-US"/>
              </w:rPr>
            </w:pPr>
            <w:r>
              <w:rPr>
                <w:rFonts w:hint="eastAsia" w:ascii="宋体" w:hAnsi="宋体" w:eastAsia="宋体" w:cs="宋体"/>
                <w:color w:val="000000"/>
                <w:sz w:val="20"/>
                <w:szCs w:val="20"/>
                <w:lang w:val="en-US"/>
              </w:rPr>
              <w:t>5.最大SPL：125dB(THD&gt;3%)</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lang w:val="en-US"/>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lang w:val="en-US"/>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lang w:val="en-US"/>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lang w:val="en-US"/>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6.信噪比：&gt;80dB(A)</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7.串扰：&gt;70dB</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8.动态范围：&gt;80dB</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9.THD：&lt;0.1%</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10.最大功耗：5W</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11.耳机负载：&gt;16Ω</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12.耳机音量：最大40mW</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13.耳机接口：3.5mm单声道插口</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14.遵循规范：IEC60914</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15.连接头：自带1.8米航空6芯</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16.供电方式：主机供电DC36V</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17.颜色：灰色</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18.表决功能：五键选举，三键表决</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19.同声传译：16.32.64通道（默认16）</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20.签到功能：触摸按键签到</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21.显示屏：4.3英寸电容彩屏</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22.咪杆高度：415mm</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23.安装方式：桌面式</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24.重量：1kg</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lang w:val="en-US"/>
              </w:rPr>
            </w:pPr>
            <w:r>
              <w:rPr>
                <w:rFonts w:hint="eastAsia" w:ascii="宋体" w:hAnsi="宋体" w:eastAsia="宋体" w:cs="宋体"/>
                <w:color w:val="000000"/>
                <w:sz w:val="20"/>
                <w:szCs w:val="20"/>
                <w:lang w:val="en-US"/>
              </w:rPr>
              <w:t>25.尺寸(L×W×H)：206 x 174.2 x 65.5mm</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lang w:val="en-US"/>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lang w:val="en-US"/>
              </w:rPr>
            </w:pPr>
          </w:p>
        </w:tc>
      </w:tr>
      <w:tr>
        <w:tblPrEx>
          <w:tblCellMar>
            <w:top w:w="15" w:type="dxa"/>
            <w:left w:w="15" w:type="dxa"/>
            <w:bottom w:w="15" w:type="dxa"/>
            <w:right w:w="15" w:type="dxa"/>
          </w:tblCellMar>
        </w:tblPrEx>
        <w:trPr>
          <w:trHeight w:val="285" w:hRule="atLeast"/>
        </w:trPr>
        <w:tc>
          <w:tcPr>
            <w:tcW w:w="251" w:type="pct"/>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27</w:t>
            </w:r>
          </w:p>
        </w:tc>
        <w:tc>
          <w:tcPr>
            <w:tcW w:w="367" w:type="pct"/>
            <w:vMerge w:val="restar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会议代表单元</w:t>
            </w: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1.麦克风类型：心型指向性驻极体</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8</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台</w:t>
            </w: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2.频率响应：80Hz～16KHz</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3.麦克风输入阻抗：1KΩ</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4.灵敏度：-46 dBV/Pa</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lang w:val="en-US"/>
              </w:rPr>
            </w:pPr>
            <w:r>
              <w:rPr>
                <w:rFonts w:hint="eastAsia" w:ascii="宋体" w:hAnsi="宋体" w:eastAsia="宋体" w:cs="宋体"/>
                <w:color w:val="000000"/>
                <w:sz w:val="20"/>
                <w:szCs w:val="20"/>
                <w:lang w:val="en-US"/>
              </w:rPr>
              <w:t>5.最大SPL：125dB(THD&gt;3%)</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lang w:val="en-US"/>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lang w:val="en-US"/>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lang w:val="en-US"/>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lang w:val="en-US"/>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6.信噪比：&gt;80dB(A)</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7.串扰：&gt;70dB</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8.动态范围：&gt;80dB</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9.THD：&lt;0.1%</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10.最大功耗：5W</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11.耳机负载：&gt;16Ω</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12.耳机音量：最大40mW</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13.耳机接口：3.5mm单声道插口</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14.遵循规范：IEC60914</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15.连接头：自带1.8米航空6芯</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16.供电方式：主机供电DC36V</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17.颜色：灰色</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18.表决功能：五键选举，三键表决</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19.同声传译：16.32.64通道（默认16）</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20.签到功能：触摸按键签到</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21.显示屏：4.3英寸电容彩屏</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22.咪杆高度：415mm</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23.安装方式：桌面式</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24.重量：1kg</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lang w:val="en-US"/>
              </w:rPr>
            </w:pPr>
            <w:r>
              <w:rPr>
                <w:rFonts w:hint="eastAsia" w:ascii="宋体" w:hAnsi="宋体" w:eastAsia="宋体" w:cs="宋体"/>
                <w:color w:val="000000"/>
                <w:sz w:val="20"/>
                <w:szCs w:val="20"/>
                <w:lang w:val="en-US"/>
              </w:rPr>
              <w:t>25.尺寸(L×W×H)：206 x 174.2 x 65.5mm</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lang w:val="en-US"/>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lang w:val="en-US"/>
              </w:rPr>
            </w:pPr>
          </w:p>
        </w:tc>
      </w:tr>
      <w:tr>
        <w:tblPrEx>
          <w:tblCellMar>
            <w:top w:w="15" w:type="dxa"/>
            <w:left w:w="15" w:type="dxa"/>
            <w:bottom w:w="15" w:type="dxa"/>
            <w:right w:w="15" w:type="dxa"/>
          </w:tblCellMar>
        </w:tblPrEx>
        <w:trPr>
          <w:trHeight w:val="435" w:hRule="atLeast"/>
        </w:trPr>
        <w:tc>
          <w:tcPr>
            <w:tcW w:w="251" w:type="pct"/>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28</w:t>
            </w:r>
          </w:p>
        </w:tc>
        <w:tc>
          <w:tcPr>
            <w:tcW w:w="367" w:type="pct"/>
            <w:vMerge w:val="restar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抑制器</w:t>
            </w: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1.输入通道及插座：2路XLR母座模拟输入/2组立体声同轴/光纤/ A E S输入(每组数字口传输两路音频信号)</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台</w:t>
            </w: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2.输出通道及插座：2路XLR公座模拟输出/2组立体声同轴/光纤/ A E S输入(每组数字口传输两路音频信号)</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3.输入阻抗：平衡：20KΩ</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4.输出阻抗：平衡：100Ω</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5.共模拟制比：&gt;70dB(1KHz)</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6.输入范围：≤+20dBu</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7.频率响应：15Hz-25KHz(-0.3dB)</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8.信噪比：≥98dB@1KHz0dBu</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lang w:val="en-US"/>
              </w:rPr>
            </w:pPr>
            <w:r>
              <w:rPr>
                <w:rFonts w:hint="eastAsia" w:ascii="宋体" w:hAnsi="宋体" w:eastAsia="宋体" w:cs="宋体"/>
                <w:color w:val="000000"/>
                <w:sz w:val="20"/>
                <w:szCs w:val="20"/>
                <w:lang w:val="en-US"/>
              </w:rPr>
              <w:t>9.失真度：&lt;0.01% OUTPUT=0dBu/1KHz</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lang w:val="en-US"/>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lang w:val="en-US"/>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lang w:val="en-US"/>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lang w:val="en-US"/>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lang w:val="en-US"/>
              </w:rPr>
            </w:pPr>
            <w:r>
              <w:rPr>
                <w:rFonts w:hint="eastAsia" w:ascii="宋体" w:hAnsi="宋体" w:eastAsia="宋体" w:cs="宋体"/>
                <w:color w:val="000000"/>
                <w:sz w:val="20"/>
                <w:szCs w:val="20"/>
                <w:lang w:val="en-US"/>
              </w:rPr>
              <w:t>10.通道分离度：&gt;80dB(1KHz)</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lang w:val="en-US"/>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lang w:val="en-US"/>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lang w:val="en-US"/>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lang w:val="en-US"/>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11.啸叫寻找与抑制方式：全自动式陷波</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12.信号输入频率响应：20Hz-20KHz±0.5dB</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13.滤波器：独立24个每通道</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14.最小带宽：1/27th Octave</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15.最大带宽：1/14th Octave</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16.频率分辨率：0.5Hz</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17.啸叫寻找时间：0.1—0.5S</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18.FFT长度：2048</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19.传声增益：6—10dB</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20.系统增益：0dB</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21.压缩：启动电平：-40dB~+20dB压缩比率：1:1.0~1:20.0；响应时间：10~200ms恢复时间：50ms~5000ms</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22.压限：启动电平：-40dB~+20dB响应时间：10~200ms；恢复时间：50ms~5000ms</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23.噪声门：-120dB~-40dB.A26</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24.显示：采用分辨率为144 x 32的LCD显示屏，提供4段LED显示输出电平</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25.处理器：96KHz采样频率，32-bit DSP处理器，32-bit A/D及D/A转换；</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26.电源 AC 110V-220V，50Hz/60Hz</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27.功耗：&lt;20W</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28.机箱适配器高度：1U</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29.产品尺寸（LxDxH）：482X148X44 mm</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30.净重：2.3kg</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31.运输尺寸（LxDxH）：553 x 296 x 98 mm</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32.毛重：4.3Kg</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29</w:t>
            </w:r>
          </w:p>
        </w:tc>
        <w:tc>
          <w:tcPr>
            <w:tcW w:w="367"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连接线</w:t>
            </w: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20米延长线（一公一母）</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条</w:t>
            </w:r>
          </w:p>
        </w:tc>
      </w:tr>
      <w:tr>
        <w:tblPrEx>
          <w:tblCellMar>
            <w:top w:w="15" w:type="dxa"/>
            <w:left w:w="15" w:type="dxa"/>
            <w:bottom w:w="15" w:type="dxa"/>
            <w:right w:w="15" w:type="dxa"/>
          </w:tblCellMar>
        </w:tblPrEx>
        <w:trPr>
          <w:trHeight w:val="285" w:hRule="atLeast"/>
        </w:trPr>
        <w:tc>
          <w:tcPr>
            <w:tcW w:w="251" w:type="pct"/>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30</w:t>
            </w:r>
          </w:p>
        </w:tc>
        <w:tc>
          <w:tcPr>
            <w:tcW w:w="367" w:type="pct"/>
            <w:vMerge w:val="restar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插座</w:t>
            </w: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1.采用铝合金材料，独特的外观设计。</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个</w:t>
            </w: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2.防锈处理。</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3.美观实用。</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4.一进三出。</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5.采用100M 网络传输，可以实现手拉手级联。</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6.底盒尺寸：100*100*80mm</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7.开孔尺寸：102*102*80mm</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31</w:t>
            </w:r>
          </w:p>
        </w:tc>
        <w:tc>
          <w:tcPr>
            <w:tcW w:w="367" w:type="pct"/>
            <w:vMerge w:val="restar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网络中控主机</w:t>
            </w: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1.处理器：32位Cortex-A8 ARM架构微处理器，主频高达720MHZ</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台</w:t>
            </w: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2.存储器：256MByte DDR3 RAM，8 GByte EMMC Flash</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3.串口端口：8个终端模块，每个模块7PIN排针，支持RS-232，RS-485及RS-422信号</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4.红外IR端口：8个终端模块，16PIN排针</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5.I/O端口：8个终端模块，9PIN排针，带保护电路，支持 0-5V 数字输入信号</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6.弱电继电器端口：8个终端模块，16PIN排针，常开型独立继电器，额定 1A/5V 数字信号</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7.NET端口：1个终端模块，4PIN排针，支持NET控制总线，提供DC24V/2A输出电源</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8.封装方式：金属机箱，支持机架安装</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9.输入电源：～110-240V 50-60Hz</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10.软件：Control System Builder,中英文界面</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11.尺寸(L x W x H)：484×236 ×88mm，2U高度</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12.重量：4.3Kg</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13.电源功耗：12W</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32</w:t>
            </w:r>
          </w:p>
        </w:tc>
        <w:tc>
          <w:tcPr>
            <w:tcW w:w="367" w:type="pct"/>
            <w:vMerge w:val="restar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网络中控系统逻辑处理内嵌软件</w:t>
            </w: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1.软件内嵌于中央控制系统主机设备，实现系统控制逻辑.处理等功能。</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套</w:t>
            </w: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2.主要包括硬件逻辑模块.软件逻辑模块.红外代码管理.编译.下载.监视等。</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3.编程软件支持添加与实际工程对应硬件的逻辑模块。</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4.实现串口代码数据.IR红外数据.继电器.I/O数据等的代码转发.逻辑算法处理等编程功能。</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5.支持界面设计软件实现中控控制界面的制作及编辑，支持互锁模式，支持3D按键等灵活的按键设计模块。</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33</w:t>
            </w:r>
          </w:p>
        </w:tc>
        <w:tc>
          <w:tcPr>
            <w:tcW w:w="367"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安卓平板电脑</w:t>
            </w: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10.1英寸智能语音平板4GB+64GB 全网通版</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台</w:t>
            </w:r>
          </w:p>
        </w:tc>
      </w:tr>
      <w:tr>
        <w:tblPrEx>
          <w:tblCellMar>
            <w:top w:w="15" w:type="dxa"/>
            <w:left w:w="15" w:type="dxa"/>
            <w:bottom w:w="15" w:type="dxa"/>
            <w:right w:w="15" w:type="dxa"/>
          </w:tblCellMar>
        </w:tblPrEx>
        <w:trPr>
          <w:trHeight w:val="435" w:hRule="atLeast"/>
        </w:trPr>
        <w:tc>
          <w:tcPr>
            <w:tcW w:w="251" w:type="pc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34</w:t>
            </w:r>
          </w:p>
        </w:tc>
        <w:tc>
          <w:tcPr>
            <w:tcW w:w="367"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无线路由器</w:t>
            </w: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增强版双千兆路由器 1200M高速双频wifi 无线穿墙 路由 5G双频智能无线路由</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台</w:t>
            </w:r>
          </w:p>
        </w:tc>
      </w:tr>
      <w:tr>
        <w:tblPrEx>
          <w:tblCellMar>
            <w:top w:w="15" w:type="dxa"/>
            <w:left w:w="15" w:type="dxa"/>
            <w:bottom w:w="15" w:type="dxa"/>
            <w:right w:w="15" w:type="dxa"/>
          </w:tblCellMar>
        </w:tblPrEx>
        <w:trPr>
          <w:trHeight w:val="285" w:hRule="atLeast"/>
        </w:trPr>
        <w:tc>
          <w:tcPr>
            <w:tcW w:w="251" w:type="pct"/>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35</w:t>
            </w:r>
          </w:p>
        </w:tc>
        <w:tc>
          <w:tcPr>
            <w:tcW w:w="367" w:type="pct"/>
            <w:vMerge w:val="restar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控制器</w:t>
            </w: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1.面板按键：8路独立电源开关控制（手动）</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台</w:t>
            </w: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2.载入容量：单路电流20A</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3.电源：宽电压通用电源（AC110V - AC240V）</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4.控制方法：通过RS-232或网络接口</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5.RS-232接口：3PIN排针；波特率：9600，数据位：8，停止位：1，校验位：无。</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6.网络接口：RJ-45，100M</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7.外形尺寸(LxWxH)：484×209×44(mm)</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8.重量：3.2Kg</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9.切换电流（MAX）：20A</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10.最大功耗：7.2W</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36</w:t>
            </w:r>
          </w:p>
        </w:tc>
        <w:tc>
          <w:tcPr>
            <w:tcW w:w="367"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编程软件</w:t>
            </w: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定制</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套</w:t>
            </w:r>
          </w:p>
        </w:tc>
      </w:tr>
      <w:tr>
        <w:tblPrEx>
          <w:tblCellMar>
            <w:top w:w="15" w:type="dxa"/>
            <w:left w:w="15" w:type="dxa"/>
            <w:bottom w:w="15" w:type="dxa"/>
            <w:right w:w="15" w:type="dxa"/>
          </w:tblCellMar>
        </w:tblPrEx>
        <w:trPr>
          <w:trHeight w:val="435" w:hRule="atLeast"/>
        </w:trPr>
        <w:tc>
          <w:tcPr>
            <w:tcW w:w="251" w:type="pc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37</w:t>
            </w:r>
          </w:p>
        </w:tc>
        <w:tc>
          <w:tcPr>
            <w:tcW w:w="367"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红外发生棒</w:t>
            </w: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红外棒</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8</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根</w:t>
            </w:r>
          </w:p>
        </w:tc>
      </w:tr>
      <w:tr>
        <w:tblPrEx>
          <w:tblCellMar>
            <w:top w:w="15" w:type="dxa"/>
            <w:left w:w="15" w:type="dxa"/>
            <w:bottom w:w="15" w:type="dxa"/>
            <w:right w:w="15" w:type="dxa"/>
          </w:tblCellMar>
        </w:tblPrEx>
        <w:trPr>
          <w:trHeight w:val="435" w:hRule="atLeast"/>
        </w:trPr>
        <w:tc>
          <w:tcPr>
            <w:tcW w:w="251" w:type="pc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38</w:t>
            </w:r>
          </w:p>
        </w:tc>
        <w:tc>
          <w:tcPr>
            <w:tcW w:w="367"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设备机柜</w:t>
            </w: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≥宽600mm*深800mm*高42U，前玻璃门，后网孔门，内立柱≥2.0mm,其它≥1.2mm。</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套</w:t>
            </w:r>
          </w:p>
        </w:tc>
      </w:tr>
      <w:tr>
        <w:tblPrEx>
          <w:tblCellMar>
            <w:top w:w="15" w:type="dxa"/>
            <w:left w:w="15" w:type="dxa"/>
            <w:bottom w:w="15" w:type="dxa"/>
            <w:right w:w="15" w:type="dxa"/>
          </w:tblCellMar>
        </w:tblPrEx>
        <w:trPr>
          <w:trHeight w:val="285" w:hRule="atLeast"/>
        </w:trPr>
        <w:tc>
          <w:tcPr>
            <w:tcW w:w="251" w:type="pct"/>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39</w:t>
            </w:r>
          </w:p>
        </w:tc>
        <w:tc>
          <w:tcPr>
            <w:tcW w:w="367" w:type="pct"/>
            <w:vMerge w:val="restar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桌插</w:t>
            </w: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1.电源供电：AC 220V  50-60/HZ</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套</w:t>
            </w: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2.弹起方式：气撑杆</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3.仰角角度：45度，完全符合工程学原理角度</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4.整重量：2.0kg</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5.产品外型尺寸：175×130×145mmm</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6.面板尺寸：175×130×2mm</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7.箱体尺寸：165×120mm</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8.桌面开孔尺寸：166×122mm(通孔，倒R3圆角，建议实物开孔）</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9.环境条件：-20℃～50℃   湿度≤70%</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10.配置接口：1个多功能电源，网络，3.5音频，数据USB，HDMI，VGA</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40</w:t>
            </w:r>
          </w:p>
        </w:tc>
        <w:tc>
          <w:tcPr>
            <w:tcW w:w="367"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电源线</w:t>
            </w: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强弱电材料动力电缆YJV- 0.6/1kV－4*10+1*6</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400</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米</w:t>
            </w:r>
          </w:p>
        </w:tc>
      </w:tr>
      <w:tr>
        <w:tblPrEx>
          <w:tblCellMar>
            <w:top w:w="15" w:type="dxa"/>
            <w:left w:w="15" w:type="dxa"/>
            <w:bottom w:w="15" w:type="dxa"/>
            <w:right w:w="15" w:type="dxa"/>
          </w:tblCellMar>
        </w:tblPrEx>
        <w:trPr>
          <w:trHeight w:val="285" w:hRule="atLeast"/>
        </w:trPr>
        <w:tc>
          <w:tcPr>
            <w:tcW w:w="251" w:type="pc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41</w:t>
            </w:r>
          </w:p>
        </w:tc>
        <w:tc>
          <w:tcPr>
            <w:tcW w:w="367"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电源线</w:t>
            </w: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电源线电箱输出到屏体RVV3*2.5mm²</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100</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米</w:t>
            </w:r>
          </w:p>
        </w:tc>
      </w:tr>
      <w:tr>
        <w:tblPrEx>
          <w:tblCellMar>
            <w:top w:w="15" w:type="dxa"/>
            <w:left w:w="15" w:type="dxa"/>
            <w:bottom w:w="15" w:type="dxa"/>
            <w:right w:w="15" w:type="dxa"/>
          </w:tblCellMar>
        </w:tblPrEx>
        <w:trPr>
          <w:trHeight w:val="285" w:hRule="atLeast"/>
        </w:trPr>
        <w:tc>
          <w:tcPr>
            <w:tcW w:w="251" w:type="pc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42</w:t>
            </w:r>
          </w:p>
        </w:tc>
        <w:tc>
          <w:tcPr>
            <w:tcW w:w="367"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电源线</w:t>
            </w: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电源线RVVP电线电缆 国标纯铜环保 RVV3*1.5 200米</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卷</w:t>
            </w:r>
          </w:p>
        </w:tc>
      </w:tr>
      <w:tr>
        <w:tblPrEx>
          <w:tblCellMar>
            <w:top w:w="15" w:type="dxa"/>
            <w:left w:w="15" w:type="dxa"/>
            <w:bottom w:w="15" w:type="dxa"/>
            <w:right w:w="15" w:type="dxa"/>
          </w:tblCellMar>
        </w:tblPrEx>
        <w:trPr>
          <w:trHeight w:val="285" w:hRule="atLeast"/>
        </w:trPr>
        <w:tc>
          <w:tcPr>
            <w:tcW w:w="251" w:type="pc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43</w:t>
            </w:r>
          </w:p>
        </w:tc>
        <w:tc>
          <w:tcPr>
            <w:tcW w:w="367"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网线</w:t>
            </w: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网线控制室输出到屏体CAT6</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100</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米</w:t>
            </w:r>
          </w:p>
        </w:tc>
      </w:tr>
      <w:tr>
        <w:tblPrEx>
          <w:tblCellMar>
            <w:top w:w="15" w:type="dxa"/>
            <w:left w:w="15" w:type="dxa"/>
            <w:bottom w:w="15" w:type="dxa"/>
            <w:right w:w="15" w:type="dxa"/>
          </w:tblCellMar>
        </w:tblPrEx>
        <w:trPr>
          <w:trHeight w:val="435" w:hRule="atLeast"/>
        </w:trPr>
        <w:tc>
          <w:tcPr>
            <w:tcW w:w="251" w:type="pc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44</w:t>
            </w:r>
          </w:p>
        </w:tc>
        <w:tc>
          <w:tcPr>
            <w:tcW w:w="367"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电缆桥架</w:t>
            </w: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强弱电材料槽式电缆桥架50*50</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50</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米</w:t>
            </w:r>
          </w:p>
        </w:tc>
      </w:tr>
      <w:tr>
        <w:tblPrEx>
          <w:tblCellMar>
            <w:top w:w="15" w:type="dxa"/>
            <w:left w:w="15" w:type="dxa"/>
            <w:bottom w:w="15" w:type="dxa"/>
            <w:right w:w="15" w:type="dxa"/>
          </w:tblCellMar>
        </w:tblPrEx>
        <w:trPr>
          <w:trHeight w:val="435" w:hRule="atLeast"/>
        </w:trPr>
        <w:tc>
          <w:tcPr>
            <w:tcW w:w="251" w:type="pc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45</w:t>
            </w:r>
          </w:p>
        </w:tc>
        <w:tc>
          <w:tcPr>
            <w:tcW w:w="367"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音频连接线</w:t>
            </w: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1.8米音频连接线：卡侬头（母）-卡侬头（公）</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10</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条</w:t>
            </w:r>
          </w:p>
        </w:tc>
      </w:tr>
      <w:tr>
        <w:tblPrEx>
          <w:tblCellMar>
            <w:top w:w="15" w:type="dxa"/>
            <w:left w:w="15" w:type="dxa"/>
            <w:bottom w:w="15" w:type="dxa"/>
            <w:right w:w="15" w:type="dxa"/>
          </w:tblCellMar>
        </w:tblPrEx>
        <w:trPr>
          <w:trHeight w:val="435" w:hRule="atLeast"/>
        </w:trPr>
        <w:tc>
          <w:tcPr>
            <w:tcW w:w="251" w:type="pc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46</w:t>
            </w:r>
          </w:p>
        </w:tc>
        <w:tc>
          <w:tcPr>
            <w:tcW w:w="367"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音频连接线</w:t>
            </w: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5米音频连接线：3.5（耳机插头）-双6.35话筒插头</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条</w:t>
            </w:r>
          </w:p>
        </w:tc>
      </w:tr>
      <w:tr>
        <w:tblPrEx>
          <w:tblCellMar>
            <w:top w:w="15" w:type="dxa"/>
            <w:left w:w="15" w:type="dxa"/>
            <w:bottom w:w="15" w:type="dxa"/>
            <w:right w:w="15" w:type="dxa"/>
          </w:tblCellMar>
        </w:tblPrEx>
        <w:trPr>
          <w:trHeight w:val="435" w:hRule="atLeast"/>
        </w:trPr>
        <w:tc>
          <w:tcPr>
            <w:tcW w:w="251" w:type="pc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47</w:t>
            </w:r>
          </w:p>
        </w:tc>
        <w:tc>
          <w:tcPr>
            <w:tcW w:w="367"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音频连接线</w:t>
            </w: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1.8米音频连接线：莲花（RCA）-6.35话筒插头</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8</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条</w:t>
            </w:r>
          </w:p>
        </w:tc>
      </w:tr>
      <w:tr>
        <w:tblPrEx>
          <w:tblCellMar>
            <w:top w:w="15" w:type="dxa"/>
            <w:left w:w="15" w:type="dxa"/>
            <w:bottom w:w="15" w:type="dxa"/>
            <w:right w:w="15" w:type="dxa"/>
          </w:tblCellMar>
        </w:tblPrEx>
        <w:trPr>
          <w:trHeight w:val="435" w:hRule="atLeast"/>
        </w:trPr>
        <w:tc>
          <w:tcPr>
            <w:tcW w:w="251" w:type="pc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48</w:t>
            </w:r>
          </w:p>
        </w:tc>
        <w:tc>
          <w:tcPr>
            <w:tcW w:w="367"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音频连接线</w:t>
            </w: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1.8米音频连接线：6.35话筒插头-卡侬头（公）</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条</w:t>
            </w:r>
          </w:p>
        </w:tc>
      </w:tr>
      <w:tr>
        <w:tblPrEx>
          <w:tblCellMar>
            <w:top w:w="15" w:type="dxa"/>
            <w:left w:w="15" w:type="dxa"/>
            <w:bottom w:w="15" w:type="dxa"/>
            <w:right w:w="15" w:type="dxa"/>
          </w:tblCellMar>
        </w:tblPrEx>
        <w:trPr>
          <w:trHeight w:val="435" w:hRule="atLeast"/>
        </w:trPr>
        <w:tc>
          <w:tcPr>
            <w:tcW w:w="251" w:type="pc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49</w:t>
            </w:r>
          </w:p>
        </w:tc>
        <w:tc>
          <w:tcPr>
            <w:tcW w:w="367"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音频连接线</w:t>
            </w: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1.8米音频连接线：莲花（RCA）-莲花（RCA）</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条</w:t>
            </w:r>
          </w:p>
        </w:tc>
      </w:tr>
      <w:tr>
        <w:tblPrEx>
          <w:tblCellMar>
            <w:top w:w="15" w:type="dxa"/>
            <w:left w:w="15" w:type="dxa"/>
            <w:bottom w:w="15" w:type="dxa"/>
            <w:right w:w="15" w:type="dxa"/>
          </w:tblCellMar>
        </w:tblPrEx>
        <w:trPr>
          <w:trHeight w:val="285" w:hRule="atLeast"/>
        </w:trPr>
        <w:tc>
          <w:tcPr>
            <w:tcW w:w="251" w:type="pc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50</w:t>
            </w:r>
          </w:p>
        </w:tc>
        <w:tc>
          <w:tcPr>
            <w:tcW w:w="367"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音频线</w:t>
            </w: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RVVP2*0.5，200米/卷</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卷</w:t>
            </w:r>
          </w:p>
        </w:tc>
      </w:tr>
      <w:tr>
        <w:tblPrEx>
          <w:tblCellMar>
            <w:top w:w="15" w:type="dxa"/>
            <w:left w:w="15" w:type="dxa"/>
            <w:bottom w:w="15" w:type="dxa"/>
            <w:right w:w="15" w:type="dxa"/>
          </w:tblCellMar>
        </w:tblPrEx>
        <w:trPr>
          <w:trHeight w:val="285" w:hRule="atLeast"/>
        </w:trPr>
        <w:tc>
          <w:tcPr>
            <w:tcW w:w="251" w:type="pc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51</w:t>
            </w:r>
          </w:p>
        </w:tc>
        <w:tc>
          <w:tcPr>
            <w:tcW w:w="367"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音箱线</w:t>
            </w: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HIFI音响线音频线喇叭线带神经线主音箱线300芯蓝色透明100米 QS2208T100S</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卷</w:t>
            </w:r>
          </w:p>
        </w:tc>
      </w:tr>
      <w:tr>
        <w:tblPrEx>
          <w:tblCellMar>
            <w:top w:w="15" w:type="dxa"/>
            <w:left w:w="15" w:type="dxa"/>
            <w:bottom w:w="15" w:type="dxa"/>
            <w:right w:w="15" w:type="dxa"/>
          </w:tblCellMar>
        </w:tblPrEx>
        <w:trPr>
          <w:trHeight w:val="285" w:hRule="atLeast"/>
        </w:trPr>
        <w:tc>
          <w:tcPr>
            <w:tcW w:w="251" w:type="pc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52</w:t>
            </w:r>
          </w:p>
        </w:tc>
        <w:tc>
          <w:tcPr>
            <w:tcW w:w="367"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视频线</w:t>
            </w: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QS2108T100S HD-SDI 镀锡铜.1080P高清移动数字视频线 100米/卷</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卷</w:t>
            </w:r>
          </w:p>
        </w:tc>
      </w:tr>
      <w:tr>
        <w:tblPrEx>
          <w:tblCellMar>
            <w:top w:w="15" w:type="dxa"/>
            <w:left w:w="15" w:type="dxa"/>
            <w:bottom w:w="15" w:type="dxa"/>
            <w:right w:w="15" w:type="dxa"/>
          </w:tblCellMar>
        </w:tblPrEx>
        <w:trPr>
          <w:trHeight w:val="285" w:hRule="atLeast"/>
        </w:trPr>
        <w:tc>
          <w:tcPr>
            <w:tcW w:w="251" w:type="pc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53</w:t>
            </w:r>
          </w:p>
        </w:tc>
        <w:tc>
          <w:tcPr>
            <w:tcW w:w="367"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视频线</w:t>
            </w: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HDMI线材质: 纯铜长度:2米</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7</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条</w:t>
            </w:r>
          </w:p>
        </w:tc>
      </w:tr>
      <w:tr>
        <w:tblPrEx>
          <w:tblCellMar>
            <w:top w:w="15" w:type="dxa"/>
            <w:left w:w="15" w:type="dxa"/>
            <w:bottom w:w="15" w:type="dxa"/>
            <w:right w:w="15" w:type="dxa"/>
          </w:tblCellMar>
        </w:tblPrEx>
        <w:trPr>
          <w:trHeight w:val="285" w:hRule="atLeast"/>
        </w:trPr>
        <w:tc>
          <w:tcPr>
            <w:tcW w:w="251" w:type="pc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54</w:t>
            </w:r>
          </w:p>
        </w:tc>
        <w:tc>
          <w:tcPr>
            <w:tcW w:w="367"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管材</w:t>
            </w: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DN=25mm，厚度：2.0mm，每支钢管通常定尺长度为6000mm</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40</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支</w:t>
            </w:r>
          </w:p>
        </w:tc>
      </w:tr>
      <w:tr>
        <w:tblPrEx>
          <w:tblCellMar>
            <w:top w:w="15" w:type="dxa"/>
            <w:left w:w="15" w:type="dxa"/>
            <w:bottom w:w="15" w:type="dxa"/>
            <w:right w:w="15" w:type="dxa"/>
          </w:tblCellMar>
        </w:tblPrEx>
        <w:trPr>
          <w:trHeight w:val="435" w:hRule="atLeast"/>
        </w:trPr>
        <w:tc>
          <w:tcPr>
            <w:tcW w:w="251" w:type="pc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55</w:t>
            </w:r>
          </w:p>
        </w:tc>
        <w:tc>
          <w:tcPr>
            <w:tcW w:w="367"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辅材及安装</w:t>
            </w: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安装及调试所需辅材，保证设备安装到位，正常使用。</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项</w:t>
            </w:r>
          </w:p>
        </w:tc>
      </w:tr>
      <w:tr>
        <w:tblPrEx>
          <w:tblCellMar>
            <w:top w:w="15" w:type="dxa"/>
            <w:left w:w="15" w:type="dxa"/>
            <w:bottom w:w="15" w:type="dxa"/>
            <w:right w:w="15" w:type="dxa"/>
          </w:tblCellMar>
        </w:tblPrEx>
        <w:trPr>
          <w:trHeight w:val="285" w:hRule="atLeast"/>
        </w:trPr>
        <w:tc>
          <w:tcPr>
            <w:tcW w:w="5000" w:type="pct"/>
            <w:gridSpan w:val="5"/>
            <w:tcBorders>
              <w:left w:val="single" w:color="000000" w:sz="12" w:space="0"/>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（三）网络改造</w:t>
            </w:r>
          </w:p>
        </w:tc>
      </w:tr>
      <w:tr>
        <w:tblPrEx>
          <w:tblCellMar>
            <w:top w:w="15" w:type="dxa"/>
            <w:left w:w="15" w:type="dxa"/>
            <w:bottom w:w="15" w:type="dxa"/>
            <w:right w:w="15" w:type="dxa"/>
          </w:tblCellMar>
        </w:tblPrEx>
        <w:trPr>
          <w:trHeight w:val="435" w:hRule="atLeast"/>
        </w:trPr>
        <w:tc>
          <w:tcPr>
            <w:tcW w:w="251" w:type="pc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w:t>
            </w:r>
          </w:p>
        </w:tc>
        <w:tc>
          <w:tcPr>
            <w:tcW w:w="367" w:type="pct"/>
            <w:tcBorders>
              <w:top w:val="single" w:color="000000" w:sz="12" w:space="0"/>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24口交换机</w:t>
            </w:r>
          </w:p>
        </w:tc>
        <w:tc>
          <w:tcPr>
            <w:tcW w:w="3842" w:type="pct"/>
            <w:tcBorders>
              <w:top w:val="single" w:color="000000" w:sz="12" w:space="0"/>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以太网交换机主机,支持24个10/100/1000BASE-T电口,4个千兆SFP端口,支持AC/DC</w:t>
            </w:r>
          </w:p>
        </w:tc>
        <w:tc>
          <w:tcPr>
            <w:tcW w:w="269" w:type="pct"/>
            <w:tcBorders>
              <w:top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9</w:t>
            </w:r>
          </w:p>
        </w:tc>
        <w:tc>
          <w:tcPr>
            <w:tcW w:w="269" w:type="pct"/>
            <w:tcBorders>
              <w:top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台</w:t>
            </w:r>
          </w:p>
        </w:tc>
      </w:tr>
      <w:tr>
        <w:tblPrEx>
          <w:tblCellMar>
            <w:top w:w="15" w:type="dxa"/>
            <w:left w:w="15" w:type="dxa"/>
            <w:bottom w:w="15" w:type="dxa"/>
            <w:right w:w="15" w:type="dxa"/>
          </w:tblCellMar>
        </w:tblPrEx>
        <w:trPr>
          <w:trHeight w:val="435" w:hRule="atLeast"/>
        </w:trPr>
        <w:tc>
          <w:tcPr>
            <w:tcW w:w="251" w:type="pc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w:t>
            </w:r>
          </w:p>
        </w:tc>
        <w:tc>
          <w:tcPr>
            <w:tcW w:w="367"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多模光模块</w:t>
            </w: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光模块-SFP-GE-多模模块-(850nm,0.55km,LC)</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12</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个</w:t>
            </w:r>
          </w:p>
        </w:tc>
      </w:tr>
      <w:tr>
        <w:tblPrEx>
          <w:tblCellMar>
            <w:top w:w="15" w:type="dxa"/>
            <w:left w:w="15" w:type="dxa"/>
            <w:bottom w:w="15" w:type="dxa"/>
            <w:right w:w="15" w:type="dxa"/>
          </w:tblCellMar>
        </w:tblPrEx>
        <w:trPr>
          <w:trHeight w:val="285" w:hRule="atLeast"/>
        </w:trPr>
        <w:tc>
          <w:tcPr>
            <w:tcW w:w="251" w:type="pc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w:t>
            </w:r>
          </w:p>
        </w:tc>
        <w:tc>
          <w:tcPr>
            <w:tcW w:w="367"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光缆</w:t>
            </w: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4芯室外多模光缆</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500</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米</w:t>
            </w:r>
          </w:p>
        </w:tc>
      </w:tr>
      <w:tr>
        <w:tblPrEx>
          <w:tblCellMar>
            <w:top w:w="15" w:type="dxa"/>
            <w:left w:w="15" w:type="dxa"/>
            <w:bottom w:w="15" w:type="dxa"/>
            <w:right w:w="15" w:type="dxa"/>
          </w:tblCellMar>
        </w:tblPrEx>
        <w:trPr>
          <w:trHeight w:val="285" w:hRule="atLeast"/>
        </w:trPr>
        <w:tc>
          <w:tcPr>
            <w:tcW w:w="251" w:type="pc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w:t>
            </w:r>
          </w:p>
        </w:tc>
        <w:tc>
          <w:tcPr>
            <w:tcW w:w="367"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网线</w:t>
            </w: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国标6类线</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15</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箱</w:t>
            </w:r>
          </w:p>
        </w:tc>
      </w:tr>
      <w:tr>
        <w:tblPrEx>
          <w:tblCellMar>
            <w:top w:w="15" w:type="dxa"/>
            <w:left w:w="15" w:type="dxa"/>
            <w:bottom w:w="15" w:type="dxa"/>
            <w:right w:w="15" w:type="dxa"/>
          </w:tblCellMar>
        </w:tblPrEx>
        <w:trPr>
          <w:trHeight w:val="285" w:hRule="atLeast"/>
        </w:trPr>
        <w:tc>
          <w:tcPr>
            <w:tcW w:w="251" w:type="pc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w:t>
            </w:r>
          </w:p>
        </w:tc>
        <w:tc>
          <w:tcPr>
            <w:tcW w:w="367"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线槽</w:t>
            </w: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强弱电材料槽式电缆桥架 C50*50</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400</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米</w:t>
            </w:r>
          </w:p>
        </w:tc>
      </w:tr>
      <w:tr>
        <w:tblPrEx>
          <w:tblCellMar>
            <w:top w:w="15" w:type="dxa"/>
            <w:left w:w="15" w:type="dxa"/>
            <w:bottom w:w="15" w:type="dxa"/>
            <w:right w:w="15" w:type="dxa"/>
          </w:tblCellMar>
        </w:tblPrEx>
        <w:trPr>
          <w:trHeight w:val="435" w:hRule="atLeast"/>
        </w:trPr>
        <w:tc>
          <w:tcPr>
            <w:tcW w:w="251" w:type="pc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6</w:t>
            </w:r>
          </w:p>
        </w:tc>
        <w:tc>
          <w:tcPr>
            <w:tcW w:w="367"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辅材及安装</w:t>
            </w: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含网线.电源线及线路管材等辅材，具体需求请潜在投标人联系业主代表，现场踏勘。</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项</w:t>
            </w:r>
          </w:p>
        </w:tc>
      </w:tr>
      <w:tr>
        <w:tblPrEx>
          <w:tblCellMar>
            <w:top w:w="15" w:type="dxa"/>
            <w:left w:w="15" w:type="dxa"/>
            <w:bottom w:w="15" w:type="dxa"/>
            <w:right w:w="15" w:type="dxa"/>
          </w:tblCellMar>
        </w:tblPrEx>
        <w:trPr>
          <w:trHeight w:val="285" w:hRule="atLeast"/>
        </w:trPr>
        <w:tc>
          <w:tcPr>
            <w:tcW w:w="5000" w:type="pct"/>
            <w:gridSpan w:val="5"/>
            <w:tcBorders>
              <w:left w:val="single" w:color="000000" w:sz="12" w:space="0"/>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七.校园广播</w:t>
            </w:r>
          </w:p>
        </w:tc>
      </w:tr>
      <w:tr>
        <w:tblPrEx>
          <w:tblCellMar>
            <w:top w:w="15" w:type="dxa"/>
            <w:left w:w="15" w:type="dxa"/>
            <w:bottom w:w="15" w:type="dxa"/>
            <w:right w:w="15" w:type="dxa"/>
          </w:tblCellMar>
        </w:tblPrEx>
        <w:trPr>
          <w:trHeight w:val="435" w:hRule="atLeast"/>
        </w:trPr>
        <w:tc>
          <w:tcPr>
            <w:tcW w:w="251" w:type="pct"/>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w:t>
            </w:r>
          </w:p>
        </w:tc>
        <w:tc>
          <w:tcPr>
            <w:tcW w:w="367" w:type="pct"/>
            <w:vMerge w:val="restart"/>
            <w:tcBorders>
              <w:top w:val="single" w:color="000000" w:sz="12" w:space="0"/>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网络控制主机</w:t>
            </w:r>
          </w:p>
        </w:tc>
        <w:tc>
          <w:tcPr>
            <w:tcW w:w="3842" w:type="pct"/>
            <w:tcBorders>
              <w:top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1.采用工业级工控机机箱设计，具有≥17英寸LED液晶显示屏，支持触摸控制屏，支持1920×1080分辨率；服务器要求运载windows server 2008操作系统。</w:t>
            </w:r>
          </w:p>
        </w:tc>
        <w:tc>
          <w:tcPr>
            <w:tcW w:w="269" w:type="pct"/>
            <w:vMerge w:val="restart"/>
            <w:tcBorders>
              <w:top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12</w:t>
            </w:r>
          </w:p>
        </w:tc>
        <w:tc>
          <w:tcPr>
            <w:tcW w:w="269" w:type="pct"/>
            <w:vMerge w:val="restart"/>
            <w:tcBorders>
              <w:top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台</w:t>
            </w: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2.具备抽拉式键盘设计，以便操作；支持1路短路触发开机接口，用于实现定时驱动开机运行。</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3.支持≥8×USB接口.≥1×PS/2接口. ≥6×串口接口.≥1路HDMI和1路VGA视频输出接口.≥2路网口。</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4.配置不低于双核/四线程/2.5GHz处理器，内存配置不低于8G DDR3，采用固态硬盘容量不低于256G。</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5.系统音频信号标准输入电平：LINE：300mV； MIC：5mV；系统音频信号标准输出电平：0dBV。</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6.支持录音存储功能，可在后台自定义设置录音文件保存路径。</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7.支持通过听学系统手机APP进行随时随地对IP广播音箱/终端进行播控功能，可实现单条内容推送.音箱音量控制与暂停/播放.播放进度条拖拉等功能。</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8.支持音频文件智能推送的功能，可选10分钟.30分钟.60分钟.2小时，在规定的时间内IP广播音箱/终端会自动智能推送内容开始播放。</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9.支持录音信息推送.输入文本内容转语音推送.常用语信息推送到对应的单个或多个IP广播音箱/终端，支持即时推送.定时推送功能，并且可调整推送音量大小和播放次数。</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10.支持通过手机APP可实时查看音箱的空闲状态.离线状态.音量大小，远程控制音箱播放内容.音量大小.进度等功能。</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11.支持对IP广播音箱/终端进行播放与北京师范大学.人民教育出版社等单位合作对应版权的学科资源内容。</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660"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12.支持对IP广播音箱/终端进行播放与语文教材同步的内容，包括：“课文朗读”6个版本，含读课文+学习园地；“字词听写”4个版本；“语文专题”含：漫步唐诗2个系列.读中学写5个系列.必背篇章6个年级.名言佳句3个系列.成语故事3个系列的内容。</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13.支持对IP广播音箱/终端进行播放与北京师范大学.人民教育出版社等单位合作对应版权的学科资源内容。</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660"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top w:val="single" w:color="000000" w:sz="12" w:space="0"/>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14.支持对IP广播音箱/终端进行播放与语文教材同步的内容，包括：“课文朗读”6个版本，含读课文+学习园地；“字词听写”4个版本；“语文专题”含：漫步唐诗2个系列.读中学写5个系列.必背篇章6个年级.名言佳句3个系列.成语故事3个系列的内容。</w:t>
            </w: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w:t>
            </w:r>
          </w:p>
        </w:tc>
        <w:tc>
          <w:tcPr>
            <w:tcW w:w="367" w:type="pct"/>
            <w:vMerge w:val="restar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数字化IP网络广播客户端管理软件</w:t>
            </w: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1.系统包括有语文教材同步的“课文朗读”.“字词听写”.“语文专题”.“必背篇章”.“示范诵读”.“中华吟诵”.“中外名著”等内容，并且提供在线内容及持续更新服务。</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12</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套</w:t>
            </w: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2.系统包括有英语教材同步内容：“人教版课内”.“泸教版课内”.“北京版课内”.“英语故事”.“场景对话”.“英文歌曲”等内容，并且提供在线内容及持续更新服务。</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660"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系统包括有音乐.综合教材同步的内容，包括：“人教音乐”.“校园音乐”.“入校音乐”.“作业背景声”.“音乐大师”.“古诗童韵”.“趣味数学”.“同步科学”.“安全百科”.“国学启蒙”.“科学故事”.“专注训练”.“名师作文”.“家长学校”等内容，并且提供在线内容及持续更新服务。</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4.系统包括有科学故事2个系列.音乐类7个系列.音乐大师课5个系列.示范诵读.以及经典诗文包含的3个系列和雪纯读书2个系列，并且提供在线内容及持续更新服务。</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5.可选配专题栏目类型：中外名著.安全教育等内容，并且提供在线内容及持续更新服务。</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6.与北京师范大学.人民教育出版社等单位合作，具有对应版权的学科资源内容，并且提供在线内容及持续更新服务。</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7.支持组织分组管理.用户管理功能，可为用户分配管理员或普通用户权限。</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8.支持学校上传本校资源内容，支持资源的分类.添加海报.图标等功能，并可在听学服务平台的发布。支持通过听学系统手机APP对学校资源进行推送播放功能。</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9.支持通过手机APP进行随时随地对网络音箱.IP广播音箱进行播控功能，可实现单条内容推送.音箱音量控制与暂停/播放.播放进度条拖拉等功能。</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10.支持音频文件智能推送的功能，可选10分钟.30分钟.60分钟.2小时，在规定的时间内网络音箱.IP广播音箱会自动智能推送内容开始播放。</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660"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11.支持录音信息推送.输入文本内容转语音推送.常用语信息推送到对应的单个或多个网络音箱.IP广播音箱，支持即时推送.定时推送功能，并且可调整推送音量大小和播放次数，支持手机APP实时查看网络音箱.IP广播音箱的空闲状态.离线状态.音量大小</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12.支持内容分享到QQ.微信好友.微信朋友圈等，支持内容收藏功能。</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w:t>
            </w:r>
          </w:p>
        </w:tc>
        <w:tc>
          <w:tcPr>
            <w:tcW w:w="367" w:type="pct"/>
            <w:vMerge w:val="restar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前置放大器</w:t>
            </w: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1.具有5路话筒（MIC）输入，3路标准信号线路（AUX）输入，2路紧急线路（EMC）输入；</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12</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台</w:t>
            </w: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2.第5个话筒（MIC5）具有最高优先.强行切入优先功能；MIC5和EMC最高优先权限功能可通过拔动开关交替选择；</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3.4路紧急输入线路具有二级优先，强行切入优先功能；</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4.MIC1.2.3.4.5 和2路紧急输入（EMC）通道均附设有线路辅助输入接口功能；</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5.具有默音深度调节旋钮和EMC输入增益调节旋钮。</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w:t>
            </w:r>
          </w:p>
        </w:tc>
        <w:tc>
          <w:tcPr>
            <w:tcW w:w="367" w:type="pct"/>
            <w:vMerge w:val="restar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话筒</w:t>
            </w: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1.换能方式：驻极体</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12</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台</w:t>
            </w: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2.频率响应：40Hz-16KHz</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3.灵敏度：-43dB±2dB</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4.前奏音灵敏度：-50dB±2dB</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5.钟声提示：带钟声提示功能</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6.线材配备：10米（卡农母头转6.35音频线）</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7.咪杆长度 ：420mm</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8.具备有灯环提示功能</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w:t>
            </w:r>
          </w:p>
        </w:tc>
        <w:tc>
          <w:tcPr>
            <w:tcW w:w="367" w:type="pct"/>
            <w:vMerge w:val="restar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音频采集器</w:t>
            </w: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1.采集设备支持将模拟音频采集编码成数字音频，具有1路RJ45网络接口，支持定时采播任务.临时采播任务功能。</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12</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台</w:t>
            </w: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2.具有≥2组RCA音频输入接口，支持音量调节功能。</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3.采播任务支持3种采集音质可选，支持普通.中级.高级音质选择模式。</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4.支持通过后台软件对终端进行远程固件升级。</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5.频率响应范围80Hz～14KHz，信噪比&gt;65dB，谐波失真≤0.3%，支持MP3音频格式。</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660" w:hRule="atLeast"/>
        </w:trPr>
        <w:tc>
          <w:tcPr>
            <w:tcW w:w="251" w:type="pct"/>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6</w:t>
            </w:r>
          </w:p>
        </w:tc>
        <w:tc>
          <w:tcPr>
            <w:tcW w:w="367" w:type="pct"/>
            <w:vMerge w:val="restar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寻呼话筒</w:t>
            </w: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1.采用话筒桌面式设计，带有7英寸显示屏，带触摸控制功能；显示屏自带数字键.功能键，支持通过触摸呼叫广播，支持呼叫分区及多个分区，呼叫全区广播；可支持10个按键自定义一键呼叫广播功能。</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12</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台</w:t>
            </w: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2.内置1路网络硬件音频解码模块，具有1路RJ45网络接口，100Mbps传输速率。</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3.支持监听任意终端功能，内置2W全频高保真扬声器，实现双向通话和网络监听。</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4.支持1路音频线路输入，支持采集播放功能；具有1路音频线路输出，可外接功率放大器。</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5.支持直接操作呼叫或对讲任意终端，支持通过话筒广播呼叫功能，广播延时低于100毫秒。</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6.支持多种呼叫策略，包括呼叫等待.呼叫转移.无人接听提醒；自动接听.手动接听，支持自定义接听提示音，支持转移时间.无人接听时间.呼叫等待时间自定义。</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7.具有1个3.5耳机接口.1路3.5话筒输入接口。</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8.具有1路短路输出接口.1路短路输入接口。</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9.支持通过后台软件对终端进行远程固件升级。</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10.信噪比＞65dB，总偕波失真≤1%，LIEN OUT频率响应：80Hz～16KHz，输出电平：1000mV。</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7</w:t>
            </w:r>
          </w:p>
        </w:tc>
        <w:tc>
          <w:tcPr>
            <w:tcW w:w="367" w:type="pct"/>
            <w:vMerge w:val="restar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采集器</w:t>
            </w: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1.标准机柜式设计，高档拉丝铝合金面板，网络接口：标准RJ45输入，支持协议：TCP/IP.UDP。</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12</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台</w:t>
            </w: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2.设备采用嵌入式计算机技术和DSP音频处理技术设计。</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3.支持16路消防短路信号输入接口</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4.面板支持一键取消任务。</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5.支持后台设置报警策略，可为每路短路信号输入端口配置报警策略，关联联动的终端及播放曲目等功能。</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6.标配网络接口，全速率连接最高可达100M。</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7.支持广播系统对终端进行远程固件升级，无需到终端本地升级，减轻维护人员工作强度。</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8.短路接口：工业标准压线接线端子</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8</w:t>
            </w:r>
          </w:p>
        </w:tc>
        <w:tc>
          <w:tcPr>
            <w:tcW w:w="367" w:type="pct"/>
            <w:vMerge w:val="restar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网络音箱</w:t>
            </w: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1.壁挂式设计，网络接口：标准RJ45输入,传输速率：100Mbps,支持协议：TCP/IP，UDP，IGMP(组播)，IETF SIP,音频格式：MP3.WMA.WAV</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454</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对</w:t>
            </w: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2.产品基于云服务器，具有极高的安全性及优秀的稳定性，支持7×24小时不间断工作。</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3.丰富的网络接入方式，包括DHCP自动分配接入.ADSL智能拨号接入.固定IP地址接入等。</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4.自带2×60W（MAX）功率放大器模块，驱动内置高保真喇叭，音质细腻，功率强劲。</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5.支持智能节电和预开管理，实现系统节能及保障被控设备可靠稳定的工作。</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6.内置8GByte  SSD，支持服务器远程管理，支持限带宽后台下载或空闲时段自动下载功能，减轻网络负担，媒体库文件可开启离线自动播放功能。</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8.集成24Bit专业级声卡，可实现发烧级的音频播放，最高音频码流768kpbs。</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9.内置1路Line out独立音频输出，实现外接功放扩音。</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10.支持协议：TCP/IP，UDP，IGMP(组播)，IETF SIP.音频格式：MP3.WMA.WAV。</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11.支持短路恢复出厂功能，最大程度方便系统维护管理。</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12.支持系统后台WEB查看设备状态与管理设备信息。</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13.市电宽电压供电 + 零切换时间的24V备用电源，为终端7×24小时工作提供了最好的能源供给。</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14.支持广播系统对终端进行远程固件升级，无需到终端本地升级，减轻维护人员工作强度。</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9</w:t>
            </w:r>
          </w:p>
        </w:tc>
        <w:tc>
          <w:tcPr>
            <w:tcW w:w="367" w:type="pct"/>
            <w:vMerge w:val="restar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网络终端功放</w:t>
            </w: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1.设备采用标准19英寸机架设计，带有≥3.4英寸LCD显示屏，支持红外遥控器点播服务器节目库任意内容，可控制播放/暂停。</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13</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台</w:t>
            </w: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2.内置1路网络硬件音频解码模块，具有1路RJ45网络接口，100Mbps传输速率。</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3.支持1路线路输入和1路话筒输入接口，可独立调节音量；具有1路EMC输入接口，具有最高优先级；支持高低音调节电位器控制；具有2路音频输出接口。</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4.具有1路三线制强切输出接口，无需强切电源。</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5.集成模拟功放，功率≥500W；支持定阻(4-16Ω)或定压（70V.100V）方式输出</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6.自带16个功率分区输出，可任意打开与关闭各个分区，方便应用于分区多并且播同样音源等场所。</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7.频率响应范围80Hz～16KHz，谐波失真≤1%，信噪比＞65dB。</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8.支持状态灯显示，包括电平指示灯.保护指示灯.待机指示灯等。</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10</w:t>
            </w:r>
          </w:p>
        </w:tc>
        <w:tc>
          <w:tcPr>
            <w:tcW w:w="367" w:type="pct"/>
            <w:vMerge w:val="restar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无线话筒</w:t>
            </w: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1.终端主机采用标准机柜式设计；采用UHF超高频段双真分集接收，并采用DPLL数字锁相环多信道频率合成技术。</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12</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套</w:t>
            </w: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2.提供共600个信道选择，真正分集式接收，有效避免断频现象和延长接收距离。</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3.带8级射频电平显示，8级音频电平显示，频道菜单显示，静音显示；主机具有LCD液晶显示屏能同时显示信道号与工作频率。</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4.主机具有平衡和非平衡两种选择输出端口。</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5.无线话筒频率范围：640-690MHz.740-790MHz.807-830MHz；无线话筒使用距离可达200米，</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6.系统平台可预设配置20组任务，可实现任意时间.任意数量终端.任意音量的任意音乐播放或实时呼叫；广播后台可预设配置终端或分区广播喊话。</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7.支持无线遥控功能，支持距离可达800米遥控</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8.主手持话筒自带功能按键和LED显示屏，可对实现任务确认执行.暂停/恢复.停止.上一曲.下一曲.音量加.音量减操作。</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10.支持广播系统对终端进行远程固件升级。</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11.带有两个手持话筒，话筒灵敏度等于或者优于-105dBm(12dB S/N AD)，话筒失真度THD&lt;0.5%@1kHz</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11</w:t>
            </w:r>
          </w:p>
        </w:tc>
        <w:tc>
          <w:tcPr>
            <w:tcW w:w="367" w:type="pct"/>
            <w:vMerge w:val="restar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话筒天线</w:t>
            </w: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1.宽频定向天线680-960MHz；适用于GSM,CDMA,WCDMA,WLAN,LTE网络；频带范围：680~960MHz，增益：11dB。</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12</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对</w:t>
            </w: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2.输入阻抗：50Ω，水平面波源宽度：60°.垂直面波源宽度： 50°，前后比： ＞18.驻波比： ＜1.5，模化形式： 垂直，最大功率可达50W。</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12</w:t>
            </w:r>
          </w:p>
        </w:tc>
        <w:tc>
          <w:tcPr>
            <w:tcW w:w="367" w:type="pct"/>
            <w:vMerge w:val="restar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音柱</w:t>
            </w: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1.额定功率(100V)：60W</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78</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只</w:t>
            </w: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2.额定功率(70V)：30W</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3.灵敏度≥91dB</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4.频率响应：110-15KHz</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5.防护等级：IP66</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6.喇叭单元：6.5"×2+3"×2</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660" w:hRule="atLeast"/>
        </w:trPr>
        <w:tc>
          <w:tcPr>
            <w:tcW w:w="251" w:type="pc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13</w:t>
            </w:r>
          </w:p>
        </w:tc>
        <w:tc>
          <w:tcPr>
            <w:tcW w:w="367"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8口POE接入交换机</w:t>
            </w: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以太网交换机主机,支持8个10/100/1000BASE-T PoE+电口(AC 125W),支持2个1000BASE-X SFP端口,支持AC</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22</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台</w:t>
            </w:r>
          </w:p>
        </w:tc>
      </w:tr>
      <w:tr>
        <w:tblPrEx>
          <w:tblCellMar>
            <w:top w:w="15" w:type="dxa"/>
            <w:left w:w="15" w:type="dxa"/>
            <w:bottom w:w="15" w:type="dxa"/>
            <w:right w:w="15" w:type="dxa"/>
          </w:tblCellMar>
        </w:tblPrEx>
        <w:trPr>
          <w:trHeight w:val="870" w:hRule="atLeast"/>
        </w:trPr>
        <w:tc>
          <w:tcPr>
            <w:tcW w:w="251" w:type="pc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14</w:t>
            </w:r>
          </w:p>
        </w:tc>
        <w:tc>
          <w:tcPr>
            <w:tcW w:w="367"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24口POE接入交换机</w:t>
            </w: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以太网交换机主机,支持24个10/100/1000BASE-T PoE+电口(AC 370W,DC 740W),支持4个100/1000BASE-X SFP端口,支持4个GE Combo口,支持AC/DC</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17</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台</w:t>
            </w:r>
          </w:p>
        </w:tc>
      </w:tr>
      <w:tr>
        <w:tblPrEx>
          <w:tblCellMar>
            <w:top w:w="15" w:type="dxa"/>
            <w:left w:w="15" w:type="dxa"/>
            <w:bottom w:w="15" w:type="dxa"/>
            <w:right w:w="15" w:type="dxa"/>
          </w:tblCellMar>
        </w:tblPrEx>
        <w:trPr>
          <w:trHeight w:val="435" w:hRule="atLeast"/>
        </w:trPr>
        <w:tc>
          <w:tcPr>
            <w:tcW w:w="251" w:type="pc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15</w:t>
            </w:r>
          </w:p>
        </w:tc>
        <w:tc>
          <w:tcPr>
            <w:tcW w:w="367"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设备机柜</w:t>
            </w: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≥宽600mm*深800mm*高42U，前玻璃门，后网孔门，内立柱≥2.0mm,其它≥1.2mm。</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12</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台</w:t>
            </w:r>
          </w:p>
        </w:tc>
      </w:tr>
      <w:tr>
        <w:tblPrEx>
          <w:tblCellMar>
            <w:top w:w="15" w:type="dxa"/>
            <w:left w:w="15" w:type="dxa"/>
            <w:bottom w:w="15" w:type="dxa"/>
            <w:right w:w="15" w:type="dxa"/>
          </w:tblCellMar>
        </w:tblPrEx>
        <w:trPr>
          <w:trHeight w:val="435" w:hRule="atLeast"/>
        </w:trPr>
        <w:tc>
          <w:tcPr>
            <w:tcW w:w="251" w:type="pc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16</w:t>
            </w:r>
          </w:p>
        </w:tc>
        <w:tc>
          <w:tcPr>
            <w:tcW w:w="367"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辅材及安装</w:t>
            </w: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含网线.电源线及线路管材等安装.施工所需辅材，保证设备安装到位，正常使用。</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986</w:t>
            </w:r>
          </w:p>
        </w:tc>
        <w:tc>
          <w:tcPr>
            <w:tcW w:w="269" w:type="pc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点</w:t>
            </w:r>
          </w:p>
        </w:tc>
      </w:tr>
      <w:tr>
        <w:tblPrEx>
          <w:tblCellMar>
            <w:top w:w="15" w:type="dxa"/>
            <w:left w:w="15" w:type="dxa"/>
            <w:bottom w:w="15" w:type="dxa"/>
            <w:right w:w="15" w:type="dxa"/>
          </w:tblCellMar>
        </w:tblPrEx>
        <w:trPr>
          <w:trHeight w:val="285" w:hRule="atLeast"/>
        </w:trPr>
        <w:tc>
          <w:tcPr>
            <w:tcW w:w="251" w:type="pct"/>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17</w:t>
            </w:r>
          </w:p>
        </w:tc>
        <w:tc>
          <w:tcPr>
            <w:tcW w:w="367" w:type="pct"/>
            <w:vMerge w:val="restar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服务器</w:t>
            </w: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lang w:val="en-US"/>
              </w:rPr>
            </w:pPr>
            <w:r>
              <w:rPr>
                <w:rFonts w:hint="eastAsia" w:ascii="宋体" w:hAnsi="宋体" w:eastAsia="宋体" w:cs="宋体"/>
                <w:color w:val="000000"/>
                <w:sz w:val="20"/>
                <w:szCs w:val="20"/>
                <w:lang w:val="en-US"/>
              </w:rPr>
              <w:t>1 X Intel Xeon Silver 4216 Processor/2.10 GHz/22 MB/16C/32T/100 W/2UPI/2400MHz</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台</w:t>
            </w: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 X 32GB/DDR4/2400或2666MHz或2933MHz/ECC/REG</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 X 2TB/SATA/7200PRM/3.5寸/企业级</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 X 上架导轨套件</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lang w:val="en-US"/>
              </w:rPr>
            </w:pPr>
            <w:r>
              <w:rPr>
                <w:rFonts w:hint="eastAsia" w:ascii="宋体" w:hAnsi="宋体" w:eastAsia="宋体" w:cs="宋体"/>
                <w:color w:val="000000"/>
                <w:sz w:val="20"/>
                <w:szCs w:val="20"/>
                <w:lang w:val="en-US"/>
              </w:rPr>
              <w:t>1 X DVD/RW/SATA薄</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lang w:val="en-US"/>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lang w:val="en-US"/>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lang w:val="en-US"/>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lang w:val="en-US"/>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 X 800W 电源模块</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集成双口千兆网卡具有负载均衡，链路汇聚及冗余特性，可有效减少网络延迟；</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2*RTX2080/NVIDIA/双槽/256bit/8GDDR6/2944C/1515MHz/3DP+HDMI+USB Type-C/215W/主动散热</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18</w:t>
            </w:r>
          </w:p>
        </w:tc>
        <w:tc>
          <w:tcPr>
            <w:tcW w:w="367" w:type="pct"/>
            <w:vMerge w:val="restar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数字媒体发布系统V5.0</w:t>
            </w: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一.系统架构</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套</w:t>
            </w: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1.系统采用B/S架构，支持公有云.私有云（城域网）及本地化部署三种部署方式；</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2.支持中文和英文切换；</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3.系统主要功能至少包括：资源管理.节目制作.播放计划.信息录入.用户管理.设备管理等；</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4.提供开放接口，实现第三方系统单点登录（本地部署项目）；</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5.系统支持离线授权，不受网络限制，满足多种用户实际需求；</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6.支持在无网络情况下班牌能按照最后一次制定的节目策略离线播放；</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二.资源管理</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7.支持多种素材资源，包括图片.视频.音乐.PPT.PDF.网页等多种格式，支持素材分类管理；</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8.素材可批量上传.分享和删除，支持缩略图和列表模式展示，单个素材可放大预览；</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9.素材分类管理，可使用并管理本机构及下级机构的素材，并可通过素材共享实现跨机构分享素材；</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10.为更方便对接第三方资源，要求支持第三方APK程序，APK程序通过节目发布到班牌或展板上运行；</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11.设置用户权限，使用户拥有上级机构素材的使用权限，实现跨机构级别共享素材；</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三.节目制作</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660"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12.支持节目模板功能，要求节目模板数量不少于200个，支持横版.竖版节目，可根据主题和场景进行模板归类，支持模板快速搜索，支持节目模板导入.导出，方便灵活的发布到其他班牌上；（现场演示）</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13.每个页面可进行自定义分屏，屏幕区域任意划分，不同控件可进行拖放.移动.铺满.复制.粘贴.图层移动及锁定等功能；</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14.支持节目可视化编辑，节目内容包括：图片.文档.视频.音频.文字.网页等；</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15.要求节目制作操作简单，支持智能参考线模式.参考线布局和多控件对齐功能；</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16.支持实时动态信息组件，如时间.天气.倒计时.计时器等，每种组件提供不少于三种样式；</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17.制作页面可自由添加多种素材及动态组件，如：时间.天气.视频.网页.文档.班级圈.班级信息.流动红旗.考场信息.菜谱等，组合编辑及播放，支持动态显示和节目效果预览；</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18.支持设置节目播放效果，支持文字.图片等控件设置滚入.摇摆.抖动等多种显示效果，可设置跳转到图片.视频.网页及子页面，支持图片间切换手势滑动；</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19.支持图片.视频.网页等内容混播，丰富节目展示形式；</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20.支持对接多种流媒体，实现视频直播，包括：RTMP.RTSP.HTTP等；</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21.支持班级圈制作，可自定义班级圈标题.文字内容.图片内容；可自定义显示比例.切换时间.切换顺序.无操作返回时间等；</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22.可通过WEB端和手机APP实时更新班级圈内容；</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23.班级圈历史记录可同步移动端的发布记录，并能查看和管理自己制作的和本机构的其他用户制作的全部班级圈内容；</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660"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24.支持校园即时信息制作与发布，支持发布通知公告.各种欢迎词等校园信息，可设置消息显示位置.播放时间.字体颜色.大小等属性；支持滚动字幕发布，可以追加或者覆盖消息，实现紧急通知.滚动通知等效果；</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25.支持互动节目制作，控件可设置跳转至图片，视频，网页或者其他场景，带来更多的交互体验；</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26.跳转功能的图片支持设置滑动手势和按钮样式，以及无触摸返回时间等，对互动效果实现精确控制；</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27.支持内容审核，包括审核资源.节目.消息.班级圈.播放计划等功能，审核通过后方可使用或者播放，支持审核功能的开启和关闭；</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28.支持多场景页面自动切换功能，实现发布一个节目包含多页面内容的效果，丰富信息，最大限度满足学校各种场景（演示）；</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870"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29.节目制作中支持灵活添加自定义控件，可在后台进行管理，包括删除.隐藏和自由排序。可设置控件名称.图标.控件接口及参数，通过对接第三方提供的网页接口，实现更丰富的个性节目内容制作，可灵活对接第三方课表.考勤.作业.班级荣誉.德育排名.通知公告等在班牌展示，可提供对接接口；</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四.节目管理与发布</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30.节目管理方便，支持进行多次编辑.导出.导入；</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31.支持已发布节目中班级圈内容局部更新；</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32.同一机构内用户可管理和查看全部班级圈内容；</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33.节目可预约发布，支持设置播放计划，支持实现多节目.多时段自由组合，轮巡播放；</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34.以时间轴方式设置节目播放计划，操作直观方便；</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35.节目播放支持四种播放类型：普通.插播.独占及垫片节目。节目播放具有优先级，独占优先级最高，以备紧急事件信息发布；</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36.播放计划支持多场景循环.定时，可搜索.修改.预览.导出，可查看发布详情；</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37.支持节目管理.班级圈管理，支持节目.消息管理.批量删除操作；</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38.支持不同设备.不同时间段能够播放不同的节目内容；</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五.数据管理.统计与更新</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39.支持流动红旗.班级信息.考场信息和菜谱等数据组件实时更新，支持通过Excel导入需要更新的数据；</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40.支持自定义考场信息.班级信息.菜谱数据文字显示的颜色；</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41.支持对接第三方平台数据，如对接第三方一卡通系统.图书借阅系统.教学评价系统等，可在后台对已对接的模块进行管理，包括删除.隐藏和自由排序；</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42.支持第三方数据安全管理，采用RSA非对称加密技术，有效保证系统信息安全；</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43.为区校级管理员提供数据报告，可对设备运行情况进行统计，包括设备数量.设备开机率.设备在线时长及详情，可对软件使用情况进行统计，包括活跃用户排行.资源等进行统计；</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44.数据报告支持图形化，可依据今日.本周.本月进行数据统计，用户也可指定时间段进行统计，可导出报表；</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六.用户管理</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45.对用户进行角色权限管理，支持对不同角色授权不同的后台管理权限，支持市.区.县.校.班等职能部门等多级别管理权限；</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46.拥有严格的用户权限管理机制，可限制到具体功能，包括素材管理.内容制作.内容审核.系统管理等模块；</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47.支持内容审核，包括审核资源.节目.班级圈.播放计划等功能，审核通过后方可使用或者播放，支持审核功能的开启和关闭；</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48.支持设备管理权限灵活分配，同一设备可以被同一机构的多个用户管理；</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七.设备管理</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660"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49.支持远程设备监控，可实时查看各设备的网络联机状态.开关机状态.设备地理位置信息，可对设备下载节目文件的实时状态进行监控；支持用户对所有在线设备进行当前画面截图，查看历史截屏.重启.关机等操作；</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50.支持对单台或批量设备进行远程操作：关机.重启.待机.唤醒.音量.清空节目.禁用等；</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51.支持对单台或者多台设备远程在线升级，设备升级完后自动返回播放节目界面；</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52.支持定时开机.关机.待机及定时音量设置，并可查看及修改策略；</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53.支持用户可分类查看设备播放日志.设备错误日志.设备下载日志.服务器操作日志；</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七.移动APP</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54.可通过手机APP实时更新班级圈内容，手机拍照上传或相册选取图片，发布到指定设备；</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55.移动APP支持校园内网和云端使用；</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56.支持手机APP快速实现即时关机.重启.删除设备.升级等远程操作；</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57.可通过手机APP进行消息插播，支持即时发布消息.删除消息；</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58.手机APP可查看班级圈的发布记录，也可清除缓存等；</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投标人所投电子班牌产品具备实用新型设计或技术，提供佐证文件或资料；</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19</w:t>
            </w:r>
          </w:p>
        </w:tc>
        <w:tc>
          <w:tcPr>
            <w:tcW w:w="367" w:type="pct"/>
            <w:vMerge w:val="restar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24寸触控班牌</w:t>
            </w: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一.硬件参数要求（要求不低于以下配置）：</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18</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台</w:t>
            </w: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1.CPU：四核Cortex-A17，主频≥1.8GHz；</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2.内存：DDR3 1600 容量2G；</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3.内置存储：容量16G；</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4.接口：DC*1，USB*1，RJ45*1；</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5.操作系统：Android 5.0以上</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6.显示尺寸：不小于23.8英寸</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7.班牌屏幕硬度≥7H ；</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8.分辨率：1920*1080 pixels；</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9.两种班牌样式：竖屏版.横屏版；</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10.超亮度 (typ)/(min)：510cd/㎡(typ.)；</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11.内置摄像头500万像素；</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12.视角：178 度 (H) / 178 度 (V)；</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13.触控技术：电容式触控，十点触控；</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14.解码性能：支持4K视频节目播放；</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15.内置音响；</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16.工作电压： DC 12V ；</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二.功能要求</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17.支持远程定时重启.关机；</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18.支持待机.唤醒功能；</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19.支持自动感光调节屏幕亮度；</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20.非接触式IC卡标准；</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21.支持WIFI；</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三.产品设计要求</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22.带防盗卡口，支持防盗；</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23.考虑教室外安装，要求考虑防水.防尘；</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24.考虑安装美观度，要求采用超薄整机厚度＜3cm；</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25.考虑到安装场地变化，要求支持竖装（9：16）和横装（16：9）两种安装方式；</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四.软件功能要求</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1.系统深度定制，无法随意跳出当前播放节目；</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2.支持远程统一升级，升级完成自动返回节目播放界面；</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3.支持竖屏节目及横屏节目，支持任意分割画面播放，可分区展示图片.视频.文字.时间.天气.班级圈.第三方内容等各类显示信息；</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4.无网络或网络状态较差时，支持单机播放，提供模板，可单机发布图片.视频轮播，可设置U盘节目里图片轮播间隔；</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5.实时数据显示，时间.天气.倒计时；</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6.班级圈可在终端点击放大并滑动，无触摸自动返回节目主页；</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7.终端播放互动节目，可通过手势滑动或控件，可快速切换到视频.图片.场景或网页；</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8.可实现第三方对接数据内容的显示，各班级电子班牌自动获取课表.考勤信息等；</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9.支持节目APK资源展示；</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10.支持通过刷卡或账号密码登录个人中心；</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11.可通过个人中心对接第三方系统数据，如一卡通消费.图书借阅.家长留言等内容；</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12.为保证终端设备显示内容的安全，终端提供USB接口密码保护；</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13.节目过期或无效支持自动清除；</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14.支持任意分割画面播放，可分区展示图片.视频.文字.时间.天气.班级圈.对接第三方内容等各类显示信息；</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五.其他：</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具备3C认证；</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20</w:t>
            </w:r>
          </w:p>
        </w:tc>
        <w:tc>
          <w:tcPr>
            <w:tcW w:w="367" w:type="pct"/>
            <w:vMerge w:val="restar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AI人脸签到</w:t>
            </w: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1.班牌考勤：手动启动人脸考勤界面，不对正常节目造成干扰。人脸考勤程中根据需要能够手工返回节目，如果20秒内没有人员考勤，系统自动返回节目界面无需人工操作；</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套</w:t>
            </w: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2.人脸考勤能够同时识别7人考勤。（提供证明文件）；</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3.人脸考勤智能提示功能，系统会根据识别情况反馈考勤状态。如果识别成功会将现场考勤照片抓取到班牌上并记录考勤次数和时间；</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4.可以实现无网络考勤，待网络畅通后将数据同步到云端；</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人脸数据采集可由家长或教师通过移动端完成；</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21</w:t>
            </w:r>
          </w:p>
        </w:tc>
        <w:tc>
          <w:tcPr>
            <w:tcW w:w="367" w:type="pct"/>
            <w:vMerge w:val="restar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云端考勤</w:t>
            </w: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1.根据角色不同分普通教师.班主任；</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1</w:t>
            </w:r>
          </w:p>
        </w:tc>
        <w:tc>
          <w:tcPr>
            <w:tcW w:w="269" w:type="pct"/>
            <w:vMerge w:val="restart"/>
            <w:tcBorders>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套</w:t>
            </w: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2.班主任能够查看本班基础信息维护情况人数.性别.签到情况等，能够及时维护信息；</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3.班主任能够根据学校具体要求设置班级考勤时间；</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4.普通教师能够查看其所带班级的学生考勤情况；</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5.支持按照不同时间段统计考勤情况：按照当天.上一天.本周.本月。 查看班级考勤详细信息能够体现每个人的考勤情况；</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6.可根据设置的作息时间段分别查看“未签到人数”.“迟到人数”和“按时签到人数”并可显示考勤异常人员明细单；</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7.可根据设置的作息时间段分别查看上个时间段结束时间到该时间段结束时间内的人员签到分布情况；</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43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8.对于本周和本月查看维度：可查看选定时间段内迟到人员排行表和未签到人员排行表（举例设置了2个作息时间段：上午和下午，如果某个学生上午和下午均为签到，则记为两次未签到）；</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367" w:type="pct"/>
            <w:vMerge w:val="continue"/>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可将异常考勤结果导出为Excel表格；</w:t>
            </w: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c>
          <w:tcPr>
            <w:tcW w:w="269" w:type="pct"/>
            <w:vMerge w:val="continue"/>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285" w:hRule="atLeast"/>
        </w:trPr>
        <w:tc>
          <w:tcPr>
            <w:tcW w:w="251" w:type="pct"/>
            <w:tcBorders>
              <w:left w:val="single" w:color="000000" w:sz="12" w:space="0"/>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22</w:t>
            </w:r>
          </w:p>
        </w:tc>
        <w:tc>
          <w:tcPr>
            <w:tcW w:w="367" w:type="pct"/>
            <w:tcBorders>
              <w:bottom w:val="single" w:color="000000" w:sz="12" w:space="0"/>
              <w:right w:val="single" w:color="000000" w:sz="12"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lang w:val="en-US"/>
              </w:rPr>
              <w:t>辅材及安装</w:t>
            </w:r>
          </w:p>
        </w:tc>
        <w:tc>
          <w:tcPr>
            <w:tcW w:w="3842" w:type="pct"/>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lang w:val="en-US"/>
              </w:rPr>
            </w:pPr>
            <w:r>
              <w:rPr>
                <w:rFonts w:hint="eastAsia" w:ascii="宋体" w:hAnsi="宋体" w:eastAsia="宋体" w:cs="宋体"/>
                <w:color w:val="000000"/>
                <w:sz w:val="20"/>
                <w:szCs w:val="20"/>
                <w:lang w:val="en-US"/>
              </w:rPr>
              <w:t>含网线.电源线及线路管材等辅材，具体需求请潜在投标人联系业主代表，现场踏勘。</w:t>
            </w:r>
          </w:p>
        </w:tc>
        <w:tc>
          <w:tcPr>
            <w:tcW w:w="269" w:type="pct"/>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lang w:val="en-US"/>
              </w:rPr>
              <w:t>1</w:t>
            </w:r>
          </w:p>
        </w:tc>
        <w:tc>
          <w:tcPr>
            <w:tcW w:w="269" w:type="pct"/>
            <w:tcBorders>
              <w:bottom w:val="single" w:color="000000" w:sz="12" w:space="0"/>
              <w:right w:val="single" w:color="000000" w:sz="12"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lang w:val="en-US"/>
              </w:rPr>
              <w:t>项</w:t>
            </w:r>
          </w:p>
        </w:tc>
      </w:tr>
      <w:tr>
        <w:tblPrEx>
          <w:tblCellMar>
            <w:top w:w="15" w:type="dxa"/>
            <w:left w:w="15" w:type="dxa"/>
            <w:bottom w:w="15" w:type="dxa"/>
            <w:right w:w="15" w:type="dxa"/>
          </w:tblCellMar>
        </w:tblPrEx>
        <w:trPr>
          <w:trHeight w:val="435" w:hRule="atLeast"/>
        </w:trPr>
        <w:tc>
          <w:tcPr>
            <w:tcW w:w="251" w:type="pc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23</w:t>
            </w:r>
          </w:p>
        </w:tc>
        <w:tc>
          <w:tcPr>
            <w:tcW w:w="1" w:type="pct"/>
            <w:gridSpan w:val="4"/>
            <w:tcBorders>
              <w:bottom w:val="single" w:color="000000" w:sz="12" w:space="0"/>
              <w:right w:val="single" w:color="000000" w:sz="12" w:space="0"/>
            </w:tcBorders>
            <w:shd w:val="clear" w:color="auto" w:fill="auto"/>
            <w:vAlign w:val="center"/>
          </w:tcPr>
          <w:p>
            <w:pPr>
              <w:widowControl/>
              <w:textAlignment w:val="center"/>
              <w:rPr>
                <w:rFonts w:ascii="宋体" w:hAnsi="宋体" w:eastAsia="宋体" w:cs="宋体"/>
                <w:color w:val="000000"/>
                <w:sz w:val="20"/>
                <w:szCs w:val="20"/>
              </w:rPr>
            </w:pPr>
            <w:r>
              <w:rPr>
                <w:rFonts w:ascii="宋体" w:hAnsi="宋体" w:eastAsia="宋体" w:cs="宋体"/>
                <w:color w:val="000000"/>
                <w:sz w:val="20"/>
                <w:szCs w:val="20"/>
              </w:rPr>
              <w:t>安装培训费</w:t>
            </w:r>
          </w:p>
        </w:tc>
      </w:tr>
    </w:tbl>
    <w:p/>
    <w:p>
      <w:pPr>
        <w:pStyle w:val="27"/>
        <w:spacing w:before="206"/>
        <w:ind w:left="3958" w:right="0"/>
        <w:jc w:val="left"/>
      </w:pPr>
    </w:p>
    <w:p>
      <w:pPr>
        <w:pStyle w:val="27"/>
        <w:spacing w:before="206"/>
        <w:ind w:left="3958" w:right="0"/>
        <w:jc w:val="left"/>
      </w:pPr>
    </w:p>
    <w:p>
      <w:pPr>
        <w:pStyle w:val="27"/>
        <w:spacing w:before="206"/>
        <w:ind w:right="0" w:firstLine="3072" w:firstLineChars="850"/>
        <w:jc w:val="left"/>
      </w:pPr>
      <w:r>
        <w:t>第七章 投标文件格式</w:t>
      </w:r>
      <w:bookmarkEnd w:id="46"/>
    </w:p>
    <w:p>
      <w:pPr>
        <w:pStyle w:val="12"/>
        <w:spacing w:before="7"/>
        <w:rPr>
          <w:b/>
          <w:sz w:val="14"/>
        </w:rPr>
      </w:pPr>
    </w:p>
    <w:p>
      <w:pPr>
        <w:spacing w:before="55"/>
        <w:ind w:right="534"/>
        <w:jc w:val="right"/>
        <w:rPr>
          <w:rFonts w:ascii="宋体" w:eastAsia="宋体"/>
          <w:sz w:val="32"/>
        </w:rPr>
      </w:pPr>
      <w:r>
        <w:rPr>
          <w:rFonts w:hint="eastAsia" w:ascii="宋体" w:eastAsia="宋体"/>
          <w:w w:val="95"/>
          <w:sz w:val="32"/>
        </w:rPr>
        <w:t>正本/副本</w:t>
      </w:r>
    </w:p>
    <w:p>
      <w:pPr>
        <w:pStyle w:val="12"/>
        <w:rPr>
          <w:sz w:val="20"/>
        </w:rPr>
      </w:pPr>
    </w:p>
    <w:p>
      <w:pPr>
        <w:pStyle w:val="12"/>
        <w:rPr>
          <w:sz w:val="20"/>
        </w:rPr>
      </w:pPr>
    </w:p>
    <w:p>
      <w:pPr>
        <w:pStyle w:val="12"/>
        <w:rPr>
          <w:sz w:val="20"/>
        </w:rPr>
      </w:pPr>
    </w:p>
    <w:p>
      <w:pPr>
        <w:tabs>
          <w:tab w:val="left" w:pos="1160"/>
          <w:tab w:val="left" w:pos="4040"/>
        </w:tabs>
        <w:spacing w:before="64"/>
        <w:ind w:left="39"/>
        <w:jc w:val="center"/>
        <w:rPr>
          <w:rFonts w:ascii="宋体" w:eastAsia="宋体"/>
          <w:sz w:val="32"/>
        </w:rPr>
      </w:pPr>
      <w:r>
        <w:rPr>
          <w:rFonts w:ascii="Times New Roman" w:eastAsia="Times New Roman"/>
          <w:w w:val="99"/>
          <w:sz w:val="32"/>
          <w:u w:val="single"/>
        </w:rPr>
        <w:t xml:space="preserve"> </w:t>
      </w:r>
      <w:r>
        <w:rPr>
          <w:rFonts w:ascii="Times New Roman" w:eastAsia="Times New Roman"/>
          <w:sz w:val="32"/>
          <w:u w:val="single"/>
        </w:rPr>
        <w:tab/>
      </w:r>
      <w:r>
        <w:rPr>
          <w:rFonts w:hint="eastAsia" w:ascii="宋体" w:eastAsia="宋体"/>
          <w:sz w:val="32"/>
          <w:u w:val="single"/>
        </w:rPr>
        <w:t>（项目名称）</w:t>
      </w:r>
      <w:r>
        <w:rPr>
          <w:rFonts w:hint="eastAsia" w:ascii="宋体" w:eastAsia="宋体"/>
          <w:sz w:val="32"/>
          <w:u w:val="single"/>
        </w:rPr>
        <w:tab/>
      </w:r>
      <w:r>
        <w:rPr>
          <w:rFonts w:hint="eastAsia" w:ascii="宋体" w:eastAsia="宋体"/>
          <w:w w:val="95"/>
          <w:sz w:val="32"/>
        </w:rPr>
        <w:t>招标</w:t>
      </w:r>
    </w:p>
    <w:p>
      <w:pPr>
        <w:pStyle w:val="12"/>
        <w:rPr>
          <w:sz w:val="34"/>
        </w:rPr>
      </w:pPr>
    </w:p>
    <w:p>
      <w:pPr>
        <w:pStyle w:val="12"/>
        <w:rPr>
          <w:sz w:val="34"/>
        </w:rPr>
      </w:pPr>
    </w:p>
    <w:p>
      <w:pPr>
        <w:pStyle w:val="12"/>
        <w:rPr>
          <w:sz w:val="34"/>
        </w:rPr>
      </w:pPr>
    </w:p>
    <w:p>
      <w:pPr>
        <w:pStyle w:val="12"/>
        <w:rPr>
          <w:sz w:val="34"/>
        </w:rPr>
      </w:pPr>
    </w:p>
    <w:p>
      <w:pPr>
        <w:pStyle w:val="12"/>
        <w:spacing w:before="9"/>
        <w:rPr>
          <w:sz w:val="26"/>
        </w:rPr>
      </w:pPr>
    </w:p>
    <w:p>
      <w:pPr>
        <w:tabs>
          <w:tab w:val="left" w:pos="1300"/>
          <w:tab w:val="left" w:pos="2560"/>
          <w:tab w:val="left" w:pos="3820"/>
        </w:tabs>
        <w:ind w:left="40"/>
        <w:jc w:val="center"/>
        <w:rPr>
          <w:rFonts w:ascii="宋体" w:eastAsia="宋体"/>
          <w:sz w:val="84"/>
        </w:rPr>
      </w:pPr>
      <w:r>
        <w:rPr>
          <w:rFonts w:hint="eastAsia" w:ascii="宋体" w:eastAsia="宋体"/>
          <w:sz w:val="84"/>
        </w:rPr>
        <w:t>投</w:t>
      </w:r>
      <w:r>
        <w:rPr>
          <w:rFonts w:hint="eastAsia" w:ascii="宋体" w:eastAsia="宋体"/>
          <w:sz w:val="84"/>
        </w:rPr>
        <w:tab/>
      </w:r>
      <w:r>
        <w:rPr>
          <w:rFonts w:hint="eastAsia" w:ascii="宋体" w:eastAsia="宋体"/>
          <w:sz w:val="84"/>
        </w:rPr>
        <w:t>标</w:t>
      </w:r>
      <w:r>
        <w:rPr>
          <w:rFonts w:hint="eastAsia" w:ascii="宋体" w:eastAsia="宋体"/>
          <w:sz w:val="84"/>
        </w:rPr>
        <w:tab/>
      </w:r>
      <w:r>
        <w:rPr>
          <w:rFonts w:hint="eastAsia" w:ascii="宋体" w:eastAsia="宋体"/>
          <w:sz w:val="84"/>
        </w:rPr>
        <w:t>文</w:t>
      </w:r>
      <w:r>
        <w:rPr>
          <w:rFonts w:hint="eastAsia" w:ascii="宋体" w:eastAsia="宋体"/>
          <w:sz w:val="84"/>
        </w:rPr>
        <w:tab/>
      </w:r>
      <w:r>
        <w:rPr>
          <w:rFonts w:hint="eastAsia" w:ascii="宋体" w:eastAsia="宋体"/>
          <w:sz w:val="84"/>
        </w:rPr>
        <w:t>件</w:t>
      </w:r>
    </w:p>
    <w:p>
      <w:pPr>
        <w:pStyle w:val="12"/>
        <w:rPr>
          <w:sz w:val="84"/>
        </w:rPr>
      </w:pPr>
    </w:p>
    <w:p>
      <w:pPr>
        <w:pStyle w:val="12"/>
        <w:rPr>
          <w:sz w:val="84"/>
        </w:rPr>
      </w:pPr>
    </w:p>
    <w:p>
      <w:pPr>
        <w:pStyle w:val="12"/>
        <w:rPr>
          <w:sz w:val="84"/>
        </w:rPr>
      </w:pPr>
    </w:p>
    <w:p>
      <w:pPr>
        <w:pStyle w:val="12"/>
        <w:rPr>
          <w:sz w:val="84"/>
        </w:rPr>
      </w:pPr>
    </w:p>
    <w:p>
      <w:pPr>
        <w:pStyle w:val="12"/>
        <w:spacing w:before="9"/>
        <w:rPr>
          <w:sz w:val="89"/>
        </w:rPr>
      </w:pPr>
    </w:p>
    <w:p>
      <w:pPr>
        <w:tabs>
          <w:tab w:val="left" w:pos="7073"/>
          <w:tab w:val="left" w:pos="7212"/>
        </w:tabs>
        <w:spacing w:before="1" w:line="367" w:lineRule="auto"/>
        <w:ind w:left="1332" w:right="1290" w:firstLine="420"/>
        <w:rPr>
          <w:rFonts w:ascii="宋体" w:eastAsia="宋体"/>
          <w:sz w:val="28"/>
        </w:rPr>
      </w:pPr>
      <w:r>
        <w:rPr>
          <w:rFonts w:hint="eastAsia" w:ascii="宋体" w:eastAsia="宋体"/>
          <w:sz w:val="28"/>
        </w:rPr>
        <w:t>供</w:t>
      </w:r>
      <w:r>
        <w:rPr>
          <w:rFonts w:hint="eastAsia" w:ascii="宋体" w:eastAsia="宋体"/>
          <w:spacing w:val="-3"/>
          <w:sz w:val="28"/>
        </w:rPr>
        <w:t>应</w:t>
      </w:r>
      <w:r>
        <w:rPr>
          <w:rFonts w:hint="eastAsia" w:ascii="宋体" w:eastAsia="宋体"/>
          <w:sz w:val="28"/>
        </w:rPr>
        <w:t>商：</w:t>
      </w:r>
      <w:r>
        <w:rPr>
          <w:rFonts w:hint="eastAsia" w:ascii="宋体" w:eastAsia="宋体"/>
          <w:sz w:val="28"/>
          <w:u w:val="single"/>
        </w:rPr>
        <w:t xml:space="preserve"> </w:t>
      </w:r>
      <w:r>
        <w:rPr>
          <w:rFonts w:hint="eastAsia" w:ascii="宋体" w:eastAsia="宋体"/>
          <w:sz w:val="28"/>
          <w:u w:val="single"/>
        </w:rPr>
        <w:tab/>
      </w:r>
      <w:r>
        <w:rPr>
          <w:rFonts w:hint="eastAsia" w:ascii="宋体" w:eastAsia="宋体"/>
          <w:sz w:val="28"/>
        </w:rPr>
        <w:t>（</w:t>
      </w:r>
      <w:r>
        <w:rPr>
          <w:rFonts w:hint="eastAsia" w:ascii="宋体" w:eastAsia="宋体"/>
          <w:spacing w:val="-3"/>
          <w:sz w:val="28"/>
        </w:rPr>
        <w:t>盖</w:t>
      </w:r>
      <w:r>
        <w:rPr>
          <w:rFonts w:hint="eastAsia" w:ascii="宋体" w:eastAsia="宋体"/>
          <w:sz w:val="28"/>
        </w:rPr>
        <w:t>单位</w:t>
      </w:r>
      <w:r>
        <w:rPr>
          <w:rFonts w:hint="eastAsia" w:ascii="宋体" w:eastAsia="宋体"/>
          <w:spacing w:val="-3"/>
          <w:sz w:val="28"/>
        </w:rPr>
        <w:t>章</w:t>
      </w:r>
      <w:r>
        <w:rPr>
          <w:rFonts w:hint="eastAsia" w:ascii="宋体" w:eastAsia="宋体"/>
          <w:sz w:val="28"/>
        </w:rPr>
        <w:t>）  法</w:t>
      </w:r>
      <w:r>
        <w:rPr>
          <w:rFonts w:hint="eastAsia" w:ascii="宋体" w:eastAsia="宋体"/>
          <w:spacing w:val="-3"/>
          <w:sz w:val="28"/>
        </w:rPr>
        <w:t>定</w:t>
      </w:r>
      <w:r>
        <w:rPr>
          <w:rFonts w:hint="eastAsia" w:ascii="宋体" w:eastAsia="宋体"/>
          <w:sz w:val="28"/>
        </w:rPr>
        <w:t>代表</w:t>
      </w:r>
      <w:r>
        <w:rPr>
          <w:rFonts w:hint="eastAsia" w:ascii="宋体" w:eastAsia="宋体"/>
          <w:spacing w:val="-3"/>
          <w:sz w:val="28"/>
        </w:rPr>
        <w:t>人</w:t>
      </w:r>
      <w:r>
        <w:rPr>
          <w:rFonts w:hint="eastAsia" w:ascii="宋体" w:eastAsia="宋体"/>
          <w:sz w:val="28"/>
        </w:rPr>
        <w:t>或其</w:t>
      </w:r>
      <w:r>
        <w:rPr>
          <w:rFonts w:hint="eastAsia" w:ascii="宋体" w:eastAsia="宋体"/>
          <w:spacing w:val="-3"/>
          <w:sz w:val="28"/>
        </w:rPr>
        <w:t>委</w:t>
      </w:r>
      <w:r>
        <w:rPr>
          <w:rFonts w:hint="eastAsia" w:ascii="宋体" w:eastAsia="宋体"/>
          <w:sz w:val="28"/>
        </w:rPr>
        <w:t>托代</w:t>
      </w:r>
      <w:r>
        <w:rPr>
          <w:rFonts w:hint="eastAsia" w:ascii="宋体" w:eastAsia="宋体"/>
          <w:spacing w:val="-3"/>
          <w:sz w:val="28"/>
        </w:rPr>
        <w:t>理</w:t>
      </w:r>
      <w:r>
        <w:rPr>
          <w:rFonts w:hint="eastAsia" w:ascii="宋体" w:eastAsia="宋体"/>
          <w:sz w:val="28"/>
        </w:rPr>
        <w:t>人：</w:t>
      </w:r>
      <w:r>
        <w:rPr>
          <w:rFonts w:hint="eastAsia" w:ascii="宋体" w:eastAsia="宋体"/>
          <w:sz w:val="28"/>
          <w:u w:val="single"/>
        </w:rPr>
        <w:t xml:space="preserve"> </w:t>
      </w:r>
      <w:r>
        <w:rPr>
          <w:rFonts w:hint="eastAsia" w:ascii="宋体" w:eastAsia="宋体"/>
          <w:sz w:val="28"/>
          <w:u w:val="single"/>
        </w:rPr>
        <w:tab/>
      </w:r>
      <w:r>
        <w:rPr>
          <w:rFonts w:hint="eastAsia" w:ascii="宋体" w:eastAsia="宋体"/>
          <w:sz w:val="28"/>
          <w:u w:val="single"/>
        </w:rPr>
        <w:tab/>
      </w:r>
      <w:r>
        <w:rPr>
          <w:rFonts w:hint="eastAsia" w:ascii="宋体" w:eastAsia="宋体"/>
          <w:sz w:val="28"/>
        </w:rPr>
        <w:t>（</w:t>
      </w:r>
      <w:r>
        <w:rPr>
          <w:rFonts w:hint="eastAsia" w:ascii="宋体" w:eastAsia="宋体"/>
          <w:spacing w:val="-3"/>
          <w:sz w:val="28"/>
        </w:rPr>
        <w:t>签</w:t>
      </w:r>
      <w:r>
        <w:rPr>
          <w:rFonts w:hint="eastAsia" w:ascii="宋体" w:eastAsia="宋体"/>
          <w:sz w:val="28"/>
        </w:rPr>
        <w:t>字或</w:t>
      </w:r>
      <w:r>
        <w:rPr>
          <w:rFonts w:hint="eastAsia" w:ascii="宋体" w:eastAsia="宋体"/>
          <w:spacing w:val="-3"/>
          <w:sz w:val="28"/>
        </w:rPr>
        <w:t>盖</w:t>
      </w:r>
      <w:r>
        <w:rPr>
          <w:rFonts w:hint="eastAsia" w:ascii="宋体" w:eastAsia="宋体"/>
          <w:sz w:val="28"/>
        </w:rPr>
        <w:t>章</w:t>
      </w:r>
      <w:r>
        <w:rPr>
          <w:rFonts w:hint="eastAsia" w:ascii="宋体" w:eastAsia="宋体"/>
          <w:spacing w:val="-13"/>
          <w:sz w:val="28"/>
        </w:rPr>
        <w:t>）</w:t>
      </w:r>
    </w:p>
    <w:p>
      <w:pPr>
        <w:tabs>
          <w:tab w:val="left" w:pos="1161"/>
          <w:tab w:val="left" w:pos="2562"/>
          <w:tab w:val="left" w:pos="3962"/>
        </w:tabs>
        <w:spacing w:line="353" w:lineRule="exact"/>
        <w:ind w:left="42"/>
        <w:jc w:val="center"/>
        <w:rPr>
          <w:rFonts w:ascii="宋体" w:eastAsia="宋体"/>
          <w:sz w:val="28"/>
        </w:rPr>
      </w:pPr>
      <w:r>
        <w:rPr>
          <w:rFonts w:ascii="Times New Roman" w:eastAsia="Times New Roman"/>
          <w:sz w:val="28"/>
          <w:u w:val="single"/>
        </w:rPr>
        <w:t xml:space="preserve"> </w:t>
      </w:r>
      <w:r>
        <w:rPr>
          <w:rFonts w:ascii="Times New Roman" w:eastAsia="Times New Roman"/>
          <w:sz w:val="28"/>
          <w:u w:val="single"/>
        </w:rPr>
        <w:tab/>
      </w:r>
      <w:r>
        <w:rPr>
          <w:rFonts w:hint="eastAsia" w:ascii="宋体" w:eastAsia="宋体"/>
          <w:sz w:val="28"/>
        </w:rPr>
        <w:t>年</w:t>
      </w:r>
      <w:r>
        <w:rPr>
          <w:rFonts w:hint="eastAsia" w:ascii="宋体" w:eastAsia="宋体"/>
          <w:sz w:val="28"/>
          <w:u w:val="single"/>
        </w:rPr>
        <w:t xml:space="preserve"> </w:t>
      </w:r>
      <w:r>
        <w:rPr>
          <w:rFonts w:hint="eastAsia" w:ascii="宋体" w:eastAsia="宋体"/>
          <w:sz w:val="28"/>
          <w:u w:val="single"/>
        </w:rPr>
        <w:tab/>
      </w:r>
      <w:r>
        <w:rPr>
          <w:rFonts w:hint="eastAsia" w:ascii="宋体" w:eastAsia="宋体"/>
          <w:spacing w:val="-4"/>
          <w:sz w:val="28"/>
        </w:rPr>
        <w:t>月</w:t>
      </w:r>
      <w:r>
        <w:rPr>
          <w:rFonts w:hint="eastAsia" w:ascii="宋体" w:eastAsia="宋体"/>
          <w:spacing w:val="-4"/>
          <w:sz w:val="28"/>
          <w:u w:val="single"/>
        </w:rPr>
        <w:t xml:space="preserve"> </w:t>
      </w:r>
      <w:r>
        <w:rPr>
          <w:rFonts w:hint="eastAsia" w:ascii="宋体" w:eastAsia="宋体"/>
          <w:spacing w:val="-4"/>
          <w:sz w:val="28"/>
          <w:u w:val="single"/>
        </w:rPr>
        <w:tab/>
      </w:r>
      <w:r>
        <w:rPr>
          <w:rFonts w:hint="eastAsia" w:ascii="宋体" w:eastAsia="宋体"/>
          <w:sz w:val="28"/>
        </w:rPr>
        <w:t>日</w:t>
      </w:r>
    </w:p>
    <w:p>
      <w:pPr>
        <w:spacing w:line="353" w:lineRule="exact"/>
        <w:jc w:val="center"/>
        <w:rPr>
          <w:rFonts w:ascii="宋体" w:eastAsia="宋体"/>
          <w:sz w:val="28"/>
        </w:rPr>
        <w:sectPr>
          <w:headerReference r:id="rId9" w:type="default"/>
          <w:footerReference r:id="rId10" w:type="default"/>
          <w:pgSz w:w="11910" w:h="16840"/>
          <w:pgMar w:top="919" w:right="743" w:bottom="1021" w:left="697" w:header="0" w:footer="826" w:gutter="0"/>
          <w:pgNumType w:start="50"/>
          <w:cols w:space="720" w:num="1"/>
        </w:sectPr>
      </w:pPr>
    </w:p>
    <w:p>
      <w:pPr>
        <w:pStyle w:val="12"/>
        <w:rPr>
          <w:sz w:val="20"/>
        </w:rPr>
      </w:pPr>
    </w:p>
    <w:p>
      <w:pPr>
        <w:pStyle w:val="12"/>
        <w:rPr>
          <w:sz w:val="20"/>
        </w:rPr>
      </w:pPr>
    </w:p>
    <w:p>
      <w:pPr>
        <w:pStyle w:val="12"/>
        <w:rPr>
          <w:sz w:val="20"/>
        </w:rPr>
      </w:pPr>
    </w:p>
    <w:p>
      <w:pPr>
        <w:pStyle w:val="12"/>
        <w:spacing w:before="11"/>
      </w:pPr>
    </w:p>
    <w:p>
      <w:pPr>
        <w:spacing w:before="50"/>
        <w:ind w:left="116" w:right="76"/>
        <w:jc w:val="center"/>
        <w:rPr>
          <w:rFonts w:ascii="宋体" w:eastAsia="宋体"/>
          <w:b/>
          <w:sz w:val="36"/>
        </w:rPr>
      </w:pPr>
      <w:bookmarkStart w:id="47" w:name="目录"/>
      <w:bookmarkEnd w:id="47"/>
      <w:r>
        <w:rPr>
          <w:rFonts w:hint="eastAsia" w:ascii="宋体" w:eastAsia="宋体"/>
          <w:b/>
          <w:sz w:val="36"/>
        </w:rPr>
        <w:t>目录</w:t>
      </w:r>
    </w:p>
    <w:p>
      <w:pPr>
        <w:pStyle w:val="12"/>
        <w:spacing w:before="6"/>
        <w:rPr>
          <w:b/>
          <w:sz w:val="13"/>
        </w:rPr>
      </w:pPr>
    </w:p>
    <w:p>
      <w:pPr>
        <w:pStyle w:val="12"/>
        <w:spacing w:before="67" w:line="364" w:lineRule="auto"/>
        <w:ind w:left="1568" w:right="6257"/>
        <w:jc w:val="both"/>
      </w:pPr>
      <w:bookmarkStart w:id="48" w:name="一、投标函及投标函附录"/>
      <w:bookmarkEnd w:id="48"/>
      <w:r>
        <w:t>一、投标函及投标函附录</w:t>
      </w:r>
      <w:bookmarkStart w:id="49" w:name="二、投标产品价格明细表"/>
      <w:bookmarkEnd w:id="49"/>
      <w:r>
        <w:t>二、投标产品价格明细表</w:t>
      </w:r>
      <w:bookmarkStart w:id="50" w:name="三、技术规格偏差表"/>
      <w:bookmarkEnd w:id="50"/>
      <w:r>
        <w:t>三、技术规格偏差表</w:t>
      </w:r>
    </w:p>
    <w:p>
      <w:pPr>
        <w:pStyle w:val="12"/>
        <w:spacing w:line="362" w:lineRule="auto"/>
        <w:ind w:left="1568" w:right="7217"/>
      </w:pPr>
      <w:r>
        <w:t>四、投标承诺函</w:t>
      </w:r>
      <w:bookmarkStart w:id="51" w:name="五、商务标"/>
      <w:bookmarkEnd w:id="51"/>
      <w:r>
        <w:t>五、商务标</w:t>
      </w:r>
    </w:p>
    <w:p>
      <w:pPr>
        <w:pStyle w:val="12"/>
        <w:spacing w:before="4" w:line="362" w:lineRule="auto"/>
        <w:ind w:left="1568" w:right="6497"/>
        <w:jc w:val="both"/>
      </w:pPr>
      <w:bookmarkStart w:id="52" w:name="六、法定代表人授权书"/>
      <w:bookmarkEnd w:id="52"/>
      <w:r>
        <w:t>六、法定代表人授权书</w:t>
      </w:r>
      <w:bookmarkStart w:id="53" w:name="七、反商业贿赂承诺书"/>
      <w:bookmarkEnd w:id="53"/>
      <w:r>
        <w:t>七、反商业贿赂承诺书</w:t>
      </w:r>
      <w:bookmarkStart w:id="54" w:name="八、其他材料"/>
      <w:bookmarkEnd w:id="54"/>
      <w:r>
        <w:t>八、其他材料</w:t>
      </w:r>
    </w:p>
    <w:p>
      <w:pPr>
        <w:spacing w:line="362" w:lineRule="auto"/>
        <w:jc w:val="both"/>
        <w:sectPr>
          <w:headerReference r:id="rId11" w:type="default"/>
          <w:footerReference r:id="rId12" w:type="default"/>
          <w:pgSz w:w="11910" w:h="16840"/>
          <w:pgMar w:top="919" w:right="743" w:bottom="1021" w:left="697" w:header="599" w:footer="826" w:gutter="0"/>
          <w:pgNumType w:start="51"/>
          <w:cols w:space="720" w:num="1"/>
        </w:sectPr>
      </w:pPr>
    </w:p>
    <w:p>
      <w:pPr>
        <w:pStyle w:val="12"/>
        <w:spacing w:before="11"/>
        <w:rPr>
          <w:sz w:val="28"/>
        </w:rPr>
      </w:pPr>
    </w:p>
    <w:p>
      <w:pPr>
        <w:spacing w:before="66"/>
        <w:ind w:left="3713"/>
        <w:rPr>
          <w:rFonts w:ascii="宋体" w:eastAsia="宋体"/>
          <w:b/>
          <w:sz w:val="24"/>
        </w:rPr>
      </w:pPr>
      <w:r>
        <w:rPr>
          <w:rFonts w:hint="eastAsia" w:ascii="宋体" w:eastAsia="宋体"/>
          <w:b/>
          <w:sz w:val="24"/>
        </w:rPr>
        <w:t>一、投标函及投标函附录</w:t>
      </w:r>
    </w:p>
    <w:p>
      <w:pPr>
        <w:pStyle w:val="12"/>
        <w:tabs>
          <w:tab w:val="left" w:pos="1776"/>
          <w:tab w:val="left" w:pos="4655"/>
        </w:tabs>
        <w:spacing w:before="161" w:line="362" w:lineRule="auto"/>
        <w:ind w:left="576" w:right="4369" w:firstLine="3837"/>
      </w:pPr>
      <w:bookmarkStart w:id="55" w:name="（一）投_标_函"/>
      <w:bookmarkEnd w:id="55"/>
      <w:r>
        <w:t xml:space="preserve">（一）投 标 </w:t>
      </w:r>
      <w:r>
        <w:rPr>
          <w:spacing w:val="-16"/>
        </w:rPr>
        <w:t>函</w:t>
      </w:r>
      <w:bookmarkStart w:id="56" w:name="致：______（采购人名称）__________"/>
      <w:bookmarkEnd w:id="56"/>
      <w:r>
        <w:t>致：</w:t>
      </w:r>
      <w:r>
        <w:rPr>
          <w:u w:val="single"/>
        </w:rPr>
        <w:t xml:space="preserve"> </w:t>
      </w:r>
      <w:r>
        <w:rPr>
          <w:u w:val="single"/>
        </w:rPr>
        <w:tab/>
      </w:r>
      <w:r>
        <w:rPr>
          <w:u w:val="single"/>
        </w:rPr>
        <w:t>（采购人名称）</w:t>
      </w:r>
      <w:r>
        <w:rPr>
          <w:u w:val="single"/>
        </w:rPr>
        <w:tab/>
      </w:r>
    </w:p>
    <w:p>
      <w:pPr>
        <w:pStyle w:val="12"/>
        <w:tabs>
          <w:tab w:val="left" w:pos="4848"/>
        </w:tabs>
        <w:spacing w:before="5"/>
        <w:ind w:left="1056"/>
      </w:pPr>
      <w:r>
        <w:rPr>
          <w:spacing w:val="14"/>
        </w:rPr>
        <w:t>我方</w:t>
      </w:r>
      <w:r>
        <w:rPr>
          <w:spacing w:val="16"/>
        </w:rPr>
        <w:t>已</w:t>
      </w:r>
      <w:r>
        <w:rPr>
          <w:spacing w:val="14"/>
        </w:rPr>
        <w:t>仔细研究了</w:t>
      </w:r>
      <w:r>
        <w:rPr>
          <w:spacing w:val="14"/>
          <w:u w:val="single"/>
        </w:rPr>
        <w:t xml:space="preserve"> </w:t>
      </w:r>
      <w:r>
        <w:rPr>
          <w:spacing w:val="14"/>
          <w:u w:val="single"/>
        </w:rPr>
        <w:tab/>
      </w:r>
      <w:r>
        <w:rPr>
          <w:spacing w:val="14"/>
        </w:rPr>
        <w:t>（项</w:t>
      </w:r>
      <w:r>
        <w:rPr>
          <w:spacing w:val="16"/>
        </w:rPr>
        <w:t>目</w:t>
      </w:r>
      <w:r>
        <w:rPr>
          <w:spacing w:val="14"/>
        </w:rPr>
        <w:t>名称）招</w:t>
      </w:r>
      <w:r>
        <w:rPr>
          <w:spacing w:val="16"/>
        </w:rPr>
        <w:t>标</w:t>
      </w:r>
      <w:r>
        <w:rPr>
          <w:spacing w:val="14"/>
        </w:rPr>
        <w:t>文件的全</w:t>
      </w:r>
      <w:r>
        <w:rPr>
          <w:spacing w:val="16"/>
        </w:rPr>
        <w:t>部</w:t>
      </w:r>
      <w:r>
        <w:rPr>
          <w:spacing w:val="14"/>
        </w:rPr>
        <w:t>内容，签字</w:t>
      </w:r>
      <w:r>
        <w:rPr>
          <w:spacing w:val="16"/>
        </w:rPr>
        <w:t>代</w:t>
      </w:r>
      <w:r>
        <w:t>表</w:t>
      </w:r>
    </w:p>
    <w:p>
      <w:pPr>
        <w:pStyle w:val="12"/>
        <w:tabs>
          <w:tab w:val="left" w:pos="7265"/>
        </w:tabs>
        <w:spacing w:before="158" w:line="364" w:lineRule="auto"/>
        <w:ind w:left="576" w:right="527"/>
        <w:jc w:val="both"/>
      </w:pPr>
      <w:r>
        <w:t>（被授权</w:t>
      </w:r>
      <w:r>
        <w:rPr>
          <w:spacing w:val="4"/>
        </w:rPr>
        <w:t>人</w:t>
      </w:r>
      <w:r>
        <w:t>全名、职务）经</w:t>
      </w:r>
      <w:r>
        <w:rPr>
          <w:spacing w:val="4"/>
        </w:rPr>
        <w:t>正</w:t>
      </w:r>
      <w:r>
        <w:t>式授权并代表供</w:t>
      </w:r>
      <w:r>
        <w:rPr>
          <w:spacing w:val="4"/>
        </w:rPr>
        <w:t>应</w:t>
      </w:r>
      <w:r>
        <w:t>商</w:t>
      </w:r>
      <w:r>
        <w:rPr>
          <w:u w:val="single"/>
        </w:rPr>
        <w:t xml:space="preserve"> </w:t>
      </w:r>
      <w:r>
        <w:rPr>
          <w:u w:val="single"/>
        </w:rPr>
        <w:tab/>
      </w:r>
      <w:r>
        <w:t>（供应商</w:t>
      </w:r>
      <w:r>
        <w:rPr>
          <w:spacing w:val="4"/>
        </w:rPr>
        <w:t>名</w:t>
      </w:r>
      <w:r>
        <w:t>称、地址）提交投标文件正本壹份和副本肆份（电子版壹份、开标一览表壹份），并对之负法律责任</w:t>
      </w:r>
      <w:r>
        <w:rPr>
          <w:spacing w:val="-17"/>
        </w:rPr>
        <w:t>。</w:t>
      </w:r>
      <w:r>
        <w:t>据此函，签字代表宣布同意如下：</w:t>
      </w:r>
    </w:p>
    <w:p>
      <w:pPr>
        <w:pStyle w:val="12"/>
        <w:tabs>
          <w:tab w:val="left" w:pos="9449"/>
        </w:tabs>
        <w:spacing w:line="307" w:lineRule="exact"/>
        <w:ind w:left="1056"/>
      </w:pPr>
      <w:r>
        <w:t>1、所</w:t>
      </w:r>
      <w:r>
        <w:rPr>
          <w:spacing w:val="4"/>
        </w:rPr>
        <w:t>附</w:t>
      </w:r>
      <w:r>
        <w:t>投标报价表</w:t>
      </w:r>
      <w:r>
        <w:rPr>
          <w:spacing w:val="4"/>
        </w:rPr>
        <w:t>中</w:t>
      </w:r>
      <w:r>
        <w:t>规定的应</w:t>
      </w:r>
      <w:r>
        <w:rPr>
          <w:spacing w:val="4"/>
        </w:rPr>
        <w:t>提</w:t>
      </w:r>
      <w:r>
        <w:t>供和交付的</w:t>
      </w:r>
      <w:r>
        <w:rPr>
          <w:spacing w:val="4"/>
        </w:rPr>
        <w:t>货</w:t>
      </w:r>
      <w:r>
        <w:t>物投标总价</w:t>
      </w:r>
      <w:r>
        <w:rPr>
          <w:spacing w:val="4"/>
        </w:rPr>
        <w:t>为</w:t>
      </w:r>
      <w:r>
        <w:t>人民</w:t>
      </w:r>
      <w:r>
        <w:rPr>
          <w:spacing w:val="4"/>
        </w:rPr>
        <w:t>币</w:t>
      </w:r>
      <w:r>
        <w:rPr>
          <w:spacing w:val="4"/>
          <w:u w:val="single"/>
        </w:rPr>
        <w:t xml:space="preserve"> </w:t>
      </w:r>
      <w:r>
        <w:rPr>
          <w:spacing w:val="4"/>
          <w:u w:val="single"/>
        </w:rPr>
        <w:tab/>
      </w:r>
      <w:r>
        <w:t>，即</w:t>
      </w:r>
    </w:p>
    <w:p>
      <w:pPr>
        <w:pStyle w:val="12"/>
        <w:tabs>
          <w:tab w:val="left" w:pos="3336"/>
        </w:tabs>
        <w:spacing w:before="160"/>
        <w:ind w:left="576"/>
      </w:pPr>
      <w:r>
        <w:t>（文字表述）</w:t>
      </w:r>
      <w:r>
        <w:rPr>
          <w:u w:val="single"/>
        </w:rPr>
        <w:t xml:space="preserve"> </w:t>
      </w:r>
      <w:r>
        <w:rPr>
          <w:u w:val="single"/>
        </w:rPr>
        <w:tab/>
      </w:r>
      <w:r>
        <w:t>。</w:t>
      </w:r>
    </w:p>
    <w:p>
      <w:pPr>
        <w:pStyle w:val="29"/>
        <w:numPr>
          <w:ilvl w:val="0"/>
          <w:numId w:val="11"/>
        </w:numPr>
        <w:tabs>
          <w:tab w:val="left" w:pos="1422"/>
        </w:tabs>
        <w:spacing w:before="158" w:line="362" w:lineRule="auto"/>
        <w:ind w:right="532" w:firstLine="480"/>
        <w:rPr>
          <w:sz w:val="24"/>
        </w:rPr>
      </w:pPr>
      <w:r>
        <w:rPr>
          <w:sz w:val="24"/>
        </w:rPr>
        <w:t>如果我们的投标书被接受，我们将履行招标文件中规定的每一项要求，按期、按质、按量履行合同。</w:t>
      </w:r>
    </w:p>
    <w:p>
      <w:pPr>
        <w:pStyle w:val="29"/>
        <w:numPr>
          <w:ilvl w:val="0"/>
          <w:numId w:val="11"/>
        </w:numPr>
        <w:tabs>
          <w:tab w:val="left" w:pos="1418"/>
        </w:tabs>
        <w:spacing w:before="5"/>
        <w:ind w:left="1417" w:hanging="362"/>
        <w:rPr>
          <w:sz w:val="24"/>
        </w:rPr>
      </w:pPr>
      <w:r>
        <w:rPr>
          <w:sz w:val="24"/>
        </w:rPr>
        <w:t>我方愿按《中华人民共和国合同法》履行我方的全部责任。</w:t>
      </w:r>
    </w:p>
    <w:p>
      <w:pPr>
        <w:pStyle w:val="29"/>
        <w:numPr>
          <w:ilvl w:val="0"/>
          <w:numId w:val="11"/>
        </w:numPr>
        <w:tabs>
          <w:tab w:val="left" w:pos="1422"/>
        </w:tabs>
        <w:spacing w:before="161" w:line="362" w:lineRule="auto"/>
        <w:ind w:right="532" w:firstLine="480"/>
        <w:rPr>
          <w:sz w:val="24"/>
        </w:rPr>
      </w:pPr>
      <w:r>
        <w:rPr>
          <w:sz w:val="24"/>
        </w:rPr>
        <w:t>供应商已详细审查全部招标文件，包括修改文件以及全部参考资料和有关附件。我们完全理解并同意放弃对这方面有不明及误解的权力。</w:t>
      </w:r>
    </w:p>
    <w:p>
      <w:pPr>
        <w:pStyle w:val="29"/>
        <w:numPr>
          <w:ilvl w:val="0"/>
          <w:numId w:val="11"/>
        </w:numPr>
        <w:tabs>
          <w:tab w:val="left" w:pos="1418"/>
        </w:tabs>
        <w:spacing w:before="5"/>
        <w:ind w:left="1417" w:hanging="362"/>
        <w:rPr>
          <w:sz w:val="24"/>
        </w:rPr>
      </w:pPr>
      <w:r>
        <w:rPr>
          <w:sz w:val="24"/>
        </w:rPr>
        <w:t>本投标自开标日起有效期为 60</w:t>
      </w:r>
      <w:r>
        <w:rPr>
          <w:spacing w:val="-12"/>
          <w:sz w:val="24"/>
        </w:rPr>
        <w:t xml:space="preserve"> 日历天。</w:t>
      </w:r>
    </w:p>
    <w:p>
      <w:pPr>
        <w:pStyle w:val="29"/>
        <w:numPr>
          <w:ilvl w:val="0"/>
          <w:numId w:val="11"/>
        </w:numPr>
        <w:tabs>
          <w:tab w:val="left" w:pos="1422"/>
        </w:tabs>
        <w:spacing w:before="158" w:line="364" w:lineRule="auto"/>
        <w:ind w:right="532" w:firstLine="480"/>
        <w:rPr>
          <w:sz w:val="24"/>
        </w:rPr>
      </w:pPr>
      <w:r>
        <w:rPr>
          <w:sz w:val="24"/>
        </w:rPr>
        <w:t>供应商同意提供按照贵方可能要求的与其投标有关的一切数据或资料，理解贵方不一定要接受最低价的投标或收到的任何投标。</w:t>
      </w:r>
    </w:p>
    <w:p>
      <w:pPr>
        <w:pStyle w:val="29"/>
        <w:numPr>
          <w:ilvl w:val="0"/>
          <w:numId w:val="11"/>
        </w:numPr>
        <w:tabs>
          <w:tab w:val="left" w:pos="1418"/>
        </w:tabs>
        <w:spacing w:line="306" w:lineRule="exact"/>
        <w:ind w:left="1417" w:hanging="362"/>
        <w:rPr>
          <w:sz w:val="24"/>
        </w:rPr>
      </w:pPr>
      <w:r>
        <w:rPr>
          <w:sz w:val="24"/>
        </w:rPr>
        <w:t>与本投标有关的一切正式往来请寄：</w:t>
      </w:r>
    </w:p>
    <w:p>
      <w:pPr>
        <w:pStyle w:val="12"/>
        <w:tabs>
          <w:tab w:val="left" w:pos="6318"/>
          <w:tab w:val="left" w:pos="7038"/>
          <w:tab w:val="left" w:pos="7115"/>
        </w:tabs>
        <w:spacing w:before="160" w:line="364" w:lineRule="auto"/>
        <w:ind w:left="980" w:right="3348" w:firstLine="76"/>
        <w:jc w:val="both"/>
        <w:rPr>
          <w:rFonts w:ascii="Times New Roman" w:eastAsia="Times New Roman"/>
        </w:rPr>
      </w:pPr>
      <w:r>
        <w:rPr>
          <w:spacing w:val="-1"/>
        </w:rPr>
        <w:t>地</w:t>
      </w:r>
      <w:r>
        <w:t>址：</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spacing w:val="-1"/>
          <w:u w:val="single"/>
        </w:rPr>
        <w:t xml:space="preserve">                                          </w:t>
      </w:r>
      <w:r>
        <w:rPr>
          <w:rFonts w:ascii="Times New Roman" w:eastAsia="Times New Roman"/>
          <w:spacing w:val="42"/>
          <w:u w:val="single"/>
        </w:rPr>
        <w:t xml:space="preserve"> </w:t>
      </w:r>
      <w:r>
        <w:rPr>
          <w:spacing w:val="-1"/>
        </w:rPr>
        <w:t>邮</w:t>
      </w:r>
      <w:r>
        <w:t>政编码：</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spacing w:val="-1"/>
          <w:u w:val="single"/>
        </w:rPr>
        <w:t xml:space="preserve">                                      </w:t>
      </w:r>
      <w:r>
        <w:rPr>
          <w:rFonts w:ascii="Times New Roman" w:eastAsia="Times New Roman"/>
          <w:spacing w:val="38"/>
          <w:u w:val="single"/>
        </w:rPr>
        <w:t xml:space="preserve"> </w:t>
      </w:r>
      <w:r>
        <w:rPr>
          <w:spacing w:val="-1"/>
        </w:rPr>
        <w:t>电</w:t>
      </w:r>
      <w:r>
        <w:t>话：</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spacing w:val="-1"/>
          <w:u w:val="single"/>
        </w:rPr>
        <w:t xml:space="preserve">                                          </w:t>
      </w:r>
      <w:r>
        <w:rPr>
          <w:rFonts w:ascii="Times New Roman" w:eastAsia="Times New Roman"/>
          <w:spacing w:val="42"/>
          <w:u w:val="single"/>
        </w:rPr>
        <w:t xml:space="preserve"> </w:t>
      </w:r>
      <w:r>
        <w:rPr>
          <w:spacing w:val="-1"/>
        </w:rPr>
        <w:t>传</w:t>
      </w:r>
      <w:r>
        <w:t>真：</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t>供应商名称（盖章）：</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w w:val="1"/>
          <w:u w:val="single"/>
        </w:rPr>
        <w:t xml:space="preserve"> </w:t>
      </w:r>
      <w:r>
        <w:rPr>
          <w:rFonts w:ascii="Times New Roman" w:eastAsia="Times New Roman"/>
          <w:spacing w:val="-1"/>
          <w:w w:val="1"/>
          <w:u w:val="single"/>
        </w:rPr>
        <w:t xml:space="preserve">                            </w:t>
      </w:r>
      <w:r>
        <w:rPr>
          <w:rFonts w:ascii="Times New Roman" w:eastAsia="Times New Roman"/>
          <w:spacing w:val="28"/>
          <w:w w:val="1"/>
          <w:u w:val="single"/>
        </w:rPr>
        <w:t xml:space="preserve"> </w:t>
      </w:r>
      <w:r>
        <w:rPr>
          <w:spacing w:val="-1"/>
        </w:rPr>
        <w:t>被</w:t>
      </w:r>
      <w:r>
        <w:t>授权人代表签字或盖章：</w:t>
      </w:r>
      <w:r>
        <w:rPr>
          <w:rFonts w:ascii="Times New Roman" w:eastAsia="Times New Roman"/>
          <w:u w:val="single"/>
        </w:rPr>
        <w:t xml:space="preserve"> </w:t>
      </w:r>
      <w:r>
        <w:rPr>
          <w:rFonts w:ascii="Times New Roman" w:eastAsia="Times New Roman"/>
          <w:u w:val="single"/>
        </w:rPr>
        <w:tab/>
      </w:r>
    </w:p>
    <w:p>
      <w:pPr>
        <w:pStyle w:val="12"/>
        <w:spacing w:line="304" w:lineRule="exact"/>
        <w:ind w:left="996"/>
      </w:pPr>
      <w:r>
        <w:t>日期：</w:t>
      </w:r>
    </w:p>
    <w:p>
      <w:pPr>
        <w:spacing w:line="304" w:lineRule="exact"/>
        <w:sectPr>
          <w:pgSz w:w="11910" w:h="16840"/>
          <w:pgMar w:top="919" w:right="743" w:bottom="1021" w:left="697" w:header="599" w:footer="826" w:gutter="0"/>
          <w:cols w:space="720" w:num="1"/>
        </w:sectPr>
      </w:pPr>
    </w:p>
    <w:p>
      <w:pPr>
        <w:pStyle w:val="12"/>
        <w:rPr>
          <w:sz w:val="20"/>
        </w:rPr>
      </w:pPr>
    </w:p>
    <w:p>
      <w:pPr>
        <w:pStyle w:val="12"/>
        <w:rPr>
          <w:sz w:val="20"/>
        </w:rPr>
      </w:pPr>
    </w:p>
    <w:p>
      <w:pPr>
        <w:pStyle w:val="12"/>
        <w:spacing w:before="1"/>
        <w:rPr>
          <w:sz w:val="19"/>
        </w:rPr>
      </w:pPr>
    </w:p>
    <w:p>
      <w:pPr>
        <w:pStyle w:val="12"/>
        <w:ind w:left="40" w:right="49"/>
        <w:jc w:val="center"/>
      </w:pPr>
      <w:bookmarkStart w:id="57" w:name="（二）投标函附录"/>
      <w:bookmarkEnd w:id="57"/>
      <w:r>
        <w:t>（二）投标函附录</w:t>
      </w:r>
    </w:p>
    <w:p>
      <w:pPr>
        <w:pStyle w:val="12"/>
        <w:spacing w:before="3"/>
        <w:rPr>
          <w:sz w:val="15"/>
        </w:rPr>
      </w:pPr>
      <w:r>
        <w:pict>
          <v:group id="_x0000_s1026" o:spid="_x0000_s1026" o:spt="203" style="position:absolute;left:0pt;margin-left:65.25pt;margin-top:12pt;height:233.35pt;width:441.65pt;mso-position-horizontal-relative:page;mso-wrap-distance-bottom:0pt;mso-wrap-distance-top:0pt;z-index:-251648000;mso-width-relative:page;mso-height-relative:page;" coordorigin="1305,240" coordsize="8833,4667">
            <o:lock v:ext="edit"/>
            <v:line id="_x0000_s1036" o:spid="_x0000_s1036" o:spt="20" style="position:absolute;left:1305;top:245;height:0;width:8833;" coordsize="21600,21600">
              <v:path arrowok="t"/>
              <v:fill focussize="0,0"/>
              <v:stroke weight="0.48pt"/>
              <v:imagedata o:title=""/>
              <o:lock v:ext="edit"/>
            </v:line>
            <v:line id="_x0000_s1035" o:spid="_x0000_s1035" o:spt="20" style="position:absolute;left:1305;top:1659;height:0;width:8833;" coordsize="21600,21600">
              <v:path arrowok="t"/>
              <v:fill focussize="0,0"/>
              <v:stroke weight="0.48pt"/>
              <v:imagedata o:title=""/>
              <o:lock v:ext="edit"/>
            </v:line>
            <v:line id="_x0000_s1034" o:spid="_x0000_s1034" o:spt="20" style="position:absolute;left:1305;top:2599;height:0;width:8833;" coordsize="21600,21600">
              <v:path arrowok="t"/>
              <v:fill focussize="0,0"/>
              <v:stroke weight="0.48pt"/>
              <v:imagedata o:title=""/>
              <o:lock v:ext="edit"/>
            </v:line>
            <v:line id="_x0000_s1033" o:spid="_x0000_s1033" o:spt="20" style="position:absolute;left:1305;top:4902;height:0;width:8833;" coordsize="21600,21600">
              <v:path arrowok="t"/>
              <v:fill focussize="0,0"/>
              <v:stroke weight="0.48pt"/>
              <v:imagedata o:title=""/>
              <o:lock v:ext="edit"/>
            </v:line>
            <v:line id="_x0000_s1032" o:spid="_x0000_s1032" o:spt="20" style="position:absolute;left:1310;top:240;height:4667;width:0;" coordsize="21600,21600">
              <v:path arrowok="t"/>
              <v:fill focussize="0,0"/>
              <v:stroke weight="0.48pt"/>
              <v:imagedata o:title=""/>
              <o:lock v:ext="edit"/>
            </v:line>
            <v:line id="_x0000_s1031" o:spid="_x0000_s1031" o:spt="20" style="position:absolute;left:3023;top:240;height:2354;width:0;" coordsize="21600,21600">
              <v:path arrowok="t"/>
              <v:fill focussize="0,0"/>
              <v:stroke weight="0.48pt"/>
              <v:imagedata o:title=""/>
              <o:lock v:ext="edit"/>
            </v:line>
            <v:line id="_x0000_s1030" o:spid="_x0000_s1030" o:spt="20" style="position:absolute;left:10133;top:250;height:4657;width:0;" coordsize="21600,21600">
              <v:path arrowok="t"/>
              <v:fill focussize="0,0"/>
              <v:stroke weight="0.48pt"/>
              <v:imagedata o:title=""/>
              <o:lock v:ext="edit"/>
            </v:line>
            <v:shape id="_x0000_s1029" o:spid="_x0000_s1029" o:spt="202" type="#_x0000_t202" style="position:absolute;left:1418;top:2719;height:240;width:860;" filled="f" stroked="f" coordsize="21600,21600">
              <v:path/>
              <v:fill on="f" focussize="0,0"/>
              <v:stroke on="f" joinstyle="miter"/>
              <v:imagedata o:title=""/>
              <o:lock v:ext="edit"/>
              <v:textbox inset="0mm,0mm,0mm,0mm">
                <w:txbxContent>
                  <w:p>
                    <w:pPr>
                      <w:spacing w:line="240" w:lineRule="exact"/>
                      <w:rPr>
                        <w:rFonts w:ascii="宋体" w:eastAsia="宋体"/>
                        <w:sz w:val="24"/>
                      </w:rPr>
                    </w:pPr>
                    <w:r>
                      <w:rPr>
                        <w:rFonts w:hint="eastAsia" w:ascii="宋体" w:eastAsia="宋体"/>
                        <w:sz w:val="24"/>
                      </w:rPr>
                      <w:t>备注 ：</w:t>
                    </w:r>
                  </w:p>
                </w:txbxContent>
              </v:textbox>
            </v:shape>
            <v:shape id="_x0000_s1028" o:spid="_x0000_s1028" o:spt="202" type="#_x0000_t202" style="position:absolute;left:1310;top:1658;height:940;width:1713;" filled="f" coordsize="21600,21600">
              <v:path/>
              <v:fill on="f" focussize="0,0"/>
              <v:stroke weight="0.48pt" joinstyle="miter"/>
              <v:imagedata o:title=""/>
              <o:lock v:ext="edit"/>
              <v:textbox inset="0mm,0mm,0mm,0mm">
                <w:txbxContent>
                  <w:p>
                    <w:pPr>
                      <w:spacing w:before="3"/>
                      <w:rPr>
                        <w:rFonts w:ascii="宋体"/>
                        <w:sz w:val="24"/>
                      </w:rPr>
                    </w:pPr>
                  </w:p>
                  <w:p>
                    <w:pPr>
                      <w:spacing w:before="1"/>
                      <w:ind w:left="343"/>
                      <w:rPr>
                        <w:rFonts w:ascii="宋体" w:eastAsia="宋体"/>
                        <w:sz w:val="24"/>
                      </w:rPr>
                    </w:pPr>
                    <w:r>
                      <w:rPr>
                        <w:rFonts w:hint="eastAsia" w:ascii="宋体" w:eastAsia="宋体"/>
                        <w:sz w:val="24"/>
                      </w:rPr>
                      <w:t>供应商</w:t>
                    </w:r>
                  </w:p>
                </w:txbxContent>
              </v:textbox>
            </v:shape>
            <v:shape id="_x0000_s1027" o:spid="_x0000_s1027" o:spt="202" type="#_x0000_t202" style="position:absolute;left:1310;top:244;height:1414;width:1713;" filled="f" coordsize="21600,21600">
              <v:path/>
              <v:fill on="f" focussize="0,0"/>
              <v:stroke weight="0.48pt" joinstyle="miter"/>
              <v:imagedata o:title=""/>
              <o:lock v:ext="edit"/>
              <v:textbox inset="0mm,0mm,0mm,0mm">
                <w:txbxContent>
                  <w:p>
                    <w:pPr>
                      <w:rPr>
                        <w:rFonts w:ascii="宋体"/>
                        <w:sz w:val="24"/>
                      </w:rPr>
                    </w:pPr>
                  </w:p>
                  <w:p>
                    <w:pPr>
                      <w:spacing w:before="11"/>
                      <w:rPr>
                        <w:rFonts w:ascii="宋体"/>
                        <w:sz w:val="18"/>
                      </w:rPr>
                    </w:pPr>
                  </w:p>
                  <w:p>
                    <w:pPr>
                      <w:ind w:left="369"/>
                      <w:rPr>
                        <w:rFonts w:ascii="宋体" w:eastAsia="宋体"/>
                        <w:sz w:val="24"/>
                      </w:rPr>
                    </w:pPr>
                    <w:r>
                      <w:rPr>
                        <w:rFonts w:hint="eastAsia" w:ascii="宋体" w:eastAsia="宋体"/>
                        <w:sz w:val="24"/>
                      </w:rPr>
                      <w:t>项目名称</w:t>
                    </w:r>
                  </w:p>
                </w:txbxContent>
              </v:textbox>
            </v:shape>
            <w10:wrap type="topAndBottom"/>
          </v:group>
        </w:pict>
      </w:r>
    </w:p>
    <w:p>
      <w:pPr>
        <w:pStyle w:val="12"/>
      </w:pPr>
    </w:p>
    <w:p>
      <w:pPr>
        <w:pStyle w:val="12"/>
        <w:spacing w:before="209"/>
        <w:ind w:left="1356"/>
      </w:pPr>
      <w:r>
        <w:t>供应商名称：（盖章）</w:t>
      </w:r>
    </w:p>
    <w:p>
      <w:pPr>
        <w:pStyle w:val="12"/>
        <w:tabs>
          <w:tab w:val="left" w:pos="2398"/>
          <w:tab w:val="left" w:pos="2878"/>
          <w:tab w:val="left" w:pos="3358"/>
        </w:tabs>
        <w:spacing w:before="160" w:line="364" w:lineRule="auto"/>
        <w:ind w:left="1318" w:right="4547" w:firstLine="38"/>
      </w:pPr>
      <w:r>
        <w:t>法定代表人或授权委托人：（签字或盖章</w:t>
      </w:r>
      <w:r>
        <w:rPr>
          <w:spacing w:val="-17"/>
        </w:rPr>
        <w:t xml:space="preserve">） </w:t>
      </w:r>
      <w:r>
        <w:t>日期：</w:t>
      </w:r>
      <w:r>
        <w:tab/>
      </w:r>
      <w:r>
        <w:t>年</w:t>
      </w:r>
      <w:r>
        <w:tab/>
      </w:r>
      <w:r>
        <w:t>月</w:t>
      </w:r>
      <w:r>
        <w:tab/>
      </w:r>
      <w:r>
        <w:t>日</w:t>
      </w:r>
    </w:p>
    <w:p>
      <w:pPr>
        <w:spacing w:line="364" w:lineRule="auto"/>
        <w:sectPr>
          <w:headerReference r:id="rId13" w:type="default"/>
          <w:footerReference r:id="rId14" w:type="default"/>
          <w:pgSz w:w="11910" w:h="16840"/>
          <w:pgMar w:top="919" w:right="743" w:bottom="1021" w:left="697" w:header="882" w:footer="1078" w:gutter="0"/>
          <w:pgNumType w:start="53"/>
          <w:cols w:space="720" w:num="1"/>
        </w:sectPr>
      </w:pPr>
    </w:p>
    <w:p>
      <w:pPr>
        <w:pStyle w:val="12"/>
        <w:rPr>
          <w:sz w:val="20"/>
        </w:rPr>
      </w:pPr>
    </w:p>
    <w:p>
      <w:pPr>
        <w:pStyle w:val="12"/>
        <w:rPr>
          <w:sz w:val="20"/>
        </w:rPr>
      </w:pPr>
    </w:p>
    <w:p>
      <w:pPr>
        <w:pStyle w:val="12"/>
        <w:spacing w:before="1"/>
        <w:rPr>
          <w:sz w:val="19"/>
        </w:rPr>
      </w:pPr>
    </w:p>
    <w:p>
      <w:pPr>
        <w:pStyle w:val="12"/>
        <w:ind w:left="40" w:right="49"/>
        <w:jc w:val="center"/>
      </w:pPr>
      <w:bookmarkStart w:id="58" w:name="（三）开标一览表(单独信封密封提交)"/>
      <w:bookmarkEnd w:id="58"/>
      <w:r>
        <w:t>（三）开标一览表(单独信封密封提交)</w:t>
      </w:r>
    </w:p>
    <w:p>
      <w:pPr>
        <w:pStyle w:val="12"/>
        <w:spacing w:before="9"/>
        <w:rPr>
          <w:sz w:val="18"/>
        </w:rPr>
      </w:pPr>
    </w:p>
    <w:tbl>
      <w:tblPr>
        <w:tblStyle w:val="24"/>
        <w:tblW w:w="0" w:type="auto"/>
        <w:tblInd w:w="6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2"/>
        <w:gridCol w:w="3921"/>
        <w:gridCol w:w="29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trPr>
        <w:tc>
          <w:tcPr>
            <w:tcW w:w="1982" w:type="dxa"/>
          </w:tcPr>
          <w:p>
            <w:pPr>
              <w:pStyle w:val="30"/>
              <w:spacing w:before="5"/>
              <w:rPr>
                <w:rFonts w:ascii="宋体"/>
                <w:sz w:val="19"/>
              </w:rPr>
            </w:pPr>
          </w:p>
          <w:p>
            <w:pPr>
              <w:pStyle w:val="30"/>
              <w:ind w:left="511"/>
              <w:rPr>
                <w:rFonts w:ascii="宋体" w:eastAsia="宋体"/>
                <w:sz w:val="24"/>
              </w:rPr>
            </w:pPr>
            <w:r>
              <w:rPr>
                <w:rFonts w:hint="eastAsia" w:ascii="宋体" w:eastAsia="宋体"/>
                <w:sz w:val="24"/>
              </w:rPr>
              <w:t>项目名称</w:t>
            </w:r>
          </w:p>
        </w:tc>
        <w:tc>
          <w:tcPr>
            <w:tcW w:w="6841" w:type="dxa"/>
            <w:gridSpan w:val="2"/>
          </w:tcPr>
          <w:p>
            <w:pPr>
              <w:pStyle w:val="3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1982" w:type="dxa"/>
          </w:tcPr>
          <w:p>
            <w:pPr>
              <w:pStyle w:val="30"/>
              <w:spacing w:before="171"/>
              <w:ind w:left="588"/>
              <w:rPr>
                <w:rFonts w:ascii="宋体" w:eastAsia="宋体"/>
                <w:sz w:val="24"/>
              </w:rPr>
            </w:pPr>
            <w:r>
              <w:rPr>
                <w:rFonts w:hint="eastAsia" w:ascii="宋体" w:eastAsia="宋体"/>
                <w:sz w:val="24"/>
              </w:rPr>
              <w:t>供应商</w:t>
            </w:r>
          </w:p>
        </w:tc>
        <w:tc>
          <w:tcPr>
            <w:tcW w:w="6841" w:type="dxa"/>
            <w:gridSpan w:val="2"/>
          </w:tcPr>
          <w:p>
            <w:pPr>
              <w:pStyle w:val="3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trPr>
        <w:tc>
          <w:tcPr>
            <w:tcW w:w="1982" w:type="dxa"/>
          </w:tcPr>
          <w:p>
            <w:pPr>
              <w:pStyle w:val="30"/>
              <w:spacing w:before="180"/>
              <w:ind w:left="348"/>
              <w:rPr>
                <w:rFonts w:ascii="宋体" w:eastAsia="宋体"/>
                <w:sz w:val="24"/>
              </w:rPr>
            </w:pPr>
            <w:r>
              <w:rPr>
                <w:rFonts w:hint="eastAsia" w:ascii="宋体" w:eastAsia="宋体"/>
                <w:sz w:val="24"/>
              </w:rPr>
              <w:t>投标范围</w:t>
            </w:r>
          </w:p>
        </w:tc>
        <w:tc>
          <w:tcPr>
            <w:tcW w:w="6841" w:type="dxa"/>
            <w:gridSpan w:val="2"/>
          </w:tcPr>
          <w:p>
            <w:pPr>
              <w:pStyle w:val="3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atLeast"/>
        </w:trPr>
        <w:tc>
          <w:tcPr>
            <w:tcW w:w="1982" w:type="dxa"/>
          </w:tcPr>
          <w:p>
            <w:pPr>
              <w:pStyle w:val="30"/>
              <w:spacing w:before="206"/>
              <w:ind w:left="511"/>
              <w:rPr>
                <w:rFonts w:ascii="宋体" w:eastAsia="宋体"/>
                <w:sz w:val="24"/>
              </w:rPr>
            </w:pPr>
            <w:r>
              <w:rPr>
                <w:rFonts w:hint="eastAsia" w:ascii="宋体" w:eastAsia="宋体"/>
                <w:sz w:val="24"/>
              </w:rPr>
              <w:t>投标报价</w:t>
            </w:r>
          </w:p>
        </w:tc>
        <w:tc>
          <w:tcPr>
            <w:tcW w:w="3921" w:type="dxa"/>
          </w:tcPr>
          <w:p>
            <w:pPr>
              <w:pStyle w:val="30"/>
              <w:spacing w:before="206"/>
              <w:ind w:left="108"/>
              <w:rPr>
                <w:rFonts w:ascii="宋体" w:eastAsia="宋体"/>
                <w:sz w:val="24"/>
              </w:rPr>
            </w:pPr>
            <w:r>
              <w:rPr>
                <w:rFonts w:hint="eastAsia" w:ascii="宋体" w:eastAsia="宋体"/>
                <w:sz w:val="24"/>
              </w:rPr>
              <w:t>（大写）：</w:t>
            </w:r>
          </w:p>
        </w:tc>
        <w:tc>
          <w:tcPr>
            <w:tcW w:w="2920" w:type="dxa"/>
          </w:tcPr>
          <w:p>
            <w:pPr>
              <w:pStyle w:val="30"/>
              <w:spacing w:before="206"/>
              <w:ind w:left="106"/>
              <w:rPr>
                <w:rFonts w:ascii="宋体" w:eastAsia="宋体"/>
                <w:sz w:val="24"/>
              </w:rPr>
            </w:pPr>
            <w:r>
              <w:rPr>
                <w:rFonts w:hint="eastAsia" w:ascii="宋体" w:eastAsia="宋体"/>
                <w:sz w:val="24"/>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1982" w:type="dxa"/>
          </w:tcPr>
          <w:p>
            <w:pPr>
              <w:pStyle w:val="30"/>
              <w:spacing w:before="6"/>
              <w:rPr>
                <w:rFonts w:ascii="宋体"/>
                <w:sz w:val="18"/>
              </w:rPr>
            </w:pPr>
          </w:p>
          <w:p>
            <w:pPr>
              <w:pStyle w:val="30"/>
              <w:ind w:left="271"/>
              <w:rPr>
                <w:rFonts w:ascii="宋体" w:eastAsia="宋体"/>
                <w:sz w:val="24"/>
              </w:rPr>
            </w:pPr>
            <w:r>
              <w:rPr>
                <w:rFonts w:hint="eastAsia" w:ascii="宋体" w:eastAsia="宋体"/>
                <w:sz w:val="24"/>
              </w:rPr>
              <w:t>交货及安装期</w:t>
            </w:r>
          </w:p>
        </w:tc>
        <w:tc>
          <w:tcPr>
            <w:tcW w:w="6841" w:type="dxa"/>
            <w:gridSpan w:val="2"/>
          </w:tcPr>
          <w:p>
            <w:pPr>
              <w:pStyle w:val="3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1982" w:type="dxa"/>
          </w:tcPr>
          <w:p>
            <w:pPr>
              <w:pStyle w:val="30"/>
              <w:spacing w:before="11"/>
              <w:rPr>
                <w:rFonts w:ascii="宋体"/>
                <w:sz w:val="16"/>
              </w:rPr>
            </w:pPr>
          </w:p>
          <w:p>
            <w:pPr>
              <w:pStyle w:val="30"/>
              <w:ind w:left="511"/>
              <w:rPr>
                <w:rFonts w:ascii="宋体" w:eastAsia="宋体"/>
                <w:sz w:val="24"/>
              </w:rPr>
            </w:pPr>
            <w:r>
              <w:rPr>
                <w:rFonts w:hint="eastAsia" w:ascii="宋体" w:eastAsia="宋体"/>
                <w:sz w:val="24"/>
              </w:rPr>
              <w:t>质量要求</w:t>
            </w:r>
          </w:p>
        </w:tc>
        <w:tc>
          <w:tcPr>
            <w:tcW w:w="6841" w:type="dxa"/>
            <w:gridSpan w:val="2"/>
          </w:tcPr>
          <w:p>
            <w:pPr>
              <w:pStyle w:val="3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1982" w:type="dxa"/>
          </w:tcPr>
          <w:p>
            <w:pPr>
              <w:pStyle w:val="30"/>
              <w:spacing w:before="11"/>
              <w:rPr>
                <w:rFonts w:ascii="宋体"/>
                <w:sz w:val="16"/>
              </w:rPr>
            </w:pPr>
          </w:p>
          <w:p>
            <w:pPr>
              <w:pStyle w:val="30"/>
              <w:ind w:left="511"/>
              <w:rPr>
                <w:rFonts w:ascii="宋体" w:eastAsia="宋体"/>
                <w:sz w:val="24"/>
              </w:rPr>
            </w:pPr>
            <w:r>
              <w:rPr>
                <w:rFonts w:hint="eastAsia" w:ascii="宋体" w:eastAsia="宋体"/>
                <w:sz w:val="24"/>
              </w:rPr>
              <w:t>验收标准</w:t>
            </w:r>
          </w:p>
        </w:tc>
        <w:tc>
          <w:tcPr>
            <w:tcW w:w="6841" w:type="dxa"/>
            <w:gridSpan w:val="2"/>
          </w:tcPr>
          <w:p>
            <w:pPr>
              <w:pStyle w:val="3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1982" w:type="dxa"/>
          </w:tcPr>
          <w:p>
            <w:pPr>
              <w:pStyle w:val="30"/>
              <w:spacing w:before="11"/>
              <w:rPr>
                <w:rFonts w:ascii="宋体"/>
                <w:sz w:val="16"/>
              </w:rPr>
            </w:pPr>
          </w:p>
          <w:p>
            <w:pPr>
              <w:pStyle w:val="30"/>
              <w:ind w:left="631"/>
              <w:rPr>
                <w:rFonts w:ascii="宋体" w:eastAsia="宋体"/>
                <w:sz w:val="24"/>
              </w:rPr>
            </w:pPr>
            <w:r>
              <w:rPr>
                <w:rFonts w:hint="eastAsia" w:ascii="宋体" w:eastAsia="宋体"/>
                <w:sz w:val="24"/>
              </w:rPr>
              <w:t>质保期</w:t>
            </w:r>
          </w:p>
        </w:tc>
        <w:tc>
          <w:tcPr>
            <w:tcW w:w="6841" w:type="dxa"/>
            <w:gridSpan w:val="2"/>
          </w:tcPr>
          <w:p>
            <w:pPr>
              <w:pStyle w:val="3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6" w:hRule="atLeast"/>
        </w:trPr>
        <w:tc>
          <w:tcPr>
            <w:tcW w:w="8823" w:type="dxa"/>
            <w:gridSpan w:val="3"/>
          </w:tcPr>
          <w:p>
            <w:pPr>
              <w:pStyle w:val="30"/>
              <w:spacing w:before="81"/>
              <w:ind w:left="108"/>
              <w:rPr>
                <w:rFonts w:ascii="宋体" w:eastAsia="宋体"/>
                <w:sz w:val="24"/>
              </w:rPr>
            </w:pPr>
            <w:r>
              <w:rPr>
                <w:rFonts w:hint="eastAsia" w:ascii="宋体" w:eastAsia="宋体"/>
                <w:sz w:val="24"/>
              </w:rPr>
              <w:t>备注 ：</w:t>
            </w:r>
          </w:p>
        </w:tc>
      </w:tr>
    </w:tbl>
    <w:p>
      <w:pPr>
        <w:pStyle w:val="12"/>
        <w:spacing w:before="4"/>
        <w:rPr>
          <w:sz w:val="19"/>
        </w:rPr>
      </w:pPr>
    </w:p>
    <w:p>
      <w:pPr>
        <w:spacing w:before="1"/>
        <w:ind w:left="660"/>
        <w:rPr>
          <w:rFonts w:ascii="宋体" w:eastAsia="宋体"/>
          <w:sz w:val="21"/>
        </w:rPr>
      </w:pPr>
      <w:r>
        <w:rPr>
          <w:rFonts w:hint="eastAsia" w:ascii="宋体" w:eastAsia="宋体"/>
          <w:sz w:val="21"/>
        </w:rPr>
        <w:t>1、本表投标总价应与投标文件中报价表的总报价一致，否则供应商承担被拒标的风险。</w:t>
      </w:r>
    </w:p>
    <w:p>
      <w:pPr>
        <w:pStyle w:val="12"/>
        <w:spacing w:before="8"/>
        <w:rPr>
          <w:sz w:val="16"/>
        </w:rPr>
      </w:pPr>
    </w:p>
    <w:p>
      <w:pPr>
        <w:spacing w:line="417" w:lineRule="auto"/>
        <w:ind w:left="660" w:right="995"/>
        <w:rPr>
          <w:rFonts w:ascii="宋体" w:eastAsia="宋体"/>
          <w:sz w:val="21"/>
        </w:rPr>
      </w:pPr>
      <w:r>
        <w:rPr>
          <w:rFonts w:hint="eastAsia" w:ascii="宋体" w:eastAsia="宋体"/>
          <w:sz w:val="21"/>
        </w:rPr>
        <w:t>2、与本表同时公开唱标的内包括对其投标文件的修改或撒回通知、投标价折扣声明、其他采购人认为应该宣读的内容等。</w:t>
      </w:r>
    </w:p>
    <w:p>
      <w:pPr>
        <w:spacing w:line="269" w:lineRule="exact"/>
        <w:ind w:left="660"/>
        <w:rPr>
          <w:rFonts w:ascii="宋体" w:eastAsia="宋体"/>
          <w:sz w:val="21"/>
        </w:rPr>
      </w:pPr>
      <w:r>
        <w:rPr>
          <w:rFonts w:hint="eastAsia" w:ascii="宋体" w:eastAsia="宋体"/>
          <w:sz w:val="21"/>
        </w:rPr>
        <w:t>3、本表为唱标用，盖章并签字有效，用单独信封密封提交一份。</w:t>
      </w:r>
    </w:p>
    <w:p>
      <w:pPr>
        <w:pStyle w:val="12"/>
        <w:rPr>
          <w:sz w:val="20"/>
        </w:rPr>
      </w:pPr>
    </w:p>
    <w:p>
      <w:pPr>
        <w:pStyle w:val="12"/>
        <w:rPr>
          <w:sz w:val="20"/>
        </w:rPr>
      </w:pPr>
    </w:p>
    <w:p>
      <w:pPr>
        <w:pStyle w:val="12"/>
        <w:spacing w:before="6"/>
        <w:rPr>
          <w:sz w:val="23"/>
        </w:rPr>
      </w:pPr>
    </w:p>
    <w:p>
      <w:pPr>
        <w:pStyle w:val="12"/>
        <w:spacing w:before="66"/>
        <w:ind w:left="1356"/>
      </w:pPr>
      <w:r>
        <w:t>供应商名称：（盖章）</w:t>
      </w:r>
    </w:p>
    <w:p>
      <w:pPr>
        <w:pStyle w:val="12"/>
        <w:tabs>
          <w:tab w:val="left" w:pos="2398"/>
          <w:tab w:val="left" w:pos="2878"/>
          <w:tab w:val="left" w:pos="3358"/>
        </w:tabs>
        <w:spacing w:before="161" w:line="364" w:lineRule="auto"/>
        <w:ind w:left="1318" w:right="4547" w:firstLine="38"/>
      </w:pPr>
      <w:r>
        <w:t>法定代表人或授权委托人：（签字或盖章</w:t>
      </w:r>
      <w:r>
        <w:rPr>
          <w:spacing w:val="-17"/>
        </w:rPr>
        <w:t xml:space="preserve">） </w:t>
      </w:r>
      <w:r>
        <w:t>日期：</w:t>
      </w:r>
      <w:r>
        <w:tab/>
      </w:r>
      <w:r>
        <w:t>年</w:t>
      </w:r>
      <w:r>
        <w:tab/>
      </w:r>
      <w:r>
        <w:t>月</w:t>
      </w:r>
      <w:r>
        <w:tab/>
      </w:r>
      <w:r>
        <w:t>日</w:t>
      </w:r>
    </w:p>
    <w:p>
      <w:pPr>
        <w:spacing w:line="364" w:lineRule="auto"/>
        <w:sectPr>
          <w:pgSz w:w="11910" w:h="16840"/>
          <w:pgMar w:top="919" w:right="743" w:bottom="1021" w:left="697" w:header="882" w:footer="1078" w:gutter="0"/>
          <w:cols w:space="720" w:num="1"/>
        </w:sectPr>
      </w:pPr>
    </w:p>
    <w:p>
      <w:pPr>
        <w:pStyle w:val="12"/>
        <w:rPr>
          <w:sz w:val="20"/>
        </w:rPr>
      </w:pPr>
    </w:p>
    <w:p>
      <w:pPr>
        <w:pStyle w:val="12"/>
        <w:rPr>
          <w:sz w:val="20"/>
        </w:rPr>
      </w:pPr>
    </w:p>
    <w:p>
      <w:pPr>
        <w:pStyle w:val="12"/>
        <w:spacing w:before="1"/>
        <w:rPr>
          <w:sz w:val="19"/>
        </w:rPr>
      </w:pPr>
    </w:p>
    <w:p>
      <w:pPr>
        <w:ind w:left="124"/>
        <w:jc w:val="center"/>
        <w:rPr>
          <w:rFonts w:ascii="宋体" w:eastAsia="宋体"/>
          <w:b/>
          <w:sz w:val="24"/>
        </w:rPr>
      </w:pPr>
      <w:bookmarkStart w:id="59" w:name="_二、投标产品价格明细表（以下为参考格式）"/>
      <w:bookmarkEnd w:id="59"/>
      <w:r>
        <w:rPr>
          <w:rFonts w:hint="eastAsia" w:ascii="宋体" w:eastAsia="宋体"/>
          <w:b/>
          <w:sz w:val="24"/>
        </w:rPr>
        <w:t>二、投标产品价格明细表（ 以下为参考格式）</w:t>
      </w:r>
    </w:p>
    <w:p>
      <w:pPr>
        <w:pStyle w:val="12"/>
        <w:rPr>
          <w:b/>
          <w:sz w:val="20"/>
        </w:rPr>
      </w:pPr>
    </w:p>
    <w:p>
      <w:pPr>
        <w:pStyle w:val="12"/>
        <w:spacing w:before="5"/>
        <w:rPr>
          <w:b/>
          <w:sz w:val="28"/>
        </w:rPr>
      </w:pPr>
    </w:p>
    <w:tbl>
      <w:tblPr>
        <w:tblStyle w:val="24"/>
        <w:tblW w:w="0" w:type="auto"/>
        <w:tblInd w:w="5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2"/>
        <w:gridCol w:w="1999"/>
        <w:gridCol w:w="1758"/>
        <w:gridCol w:w="960"/>
        <w:gridCol w:w="950"/>
        <w:gridCol w:w="1478"/>
        <w:gridCol w:w="11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72" w:type="dxa"/>
          </w:tcPr>
          <w:p>
            <w:pPr>
              <w:pStyle w:val="30"/>
              <w:spacing w:before="147"/>
              <w:ind w:left="175" w:right="166"/>
              <w:jc w:val="center"/>
              <w:rPr>
                <w:rFonts w:ascii="宋体" w:eastAsia="宋体"/>
                <w:sz w:val="24"/>
              </w:rPr>
            </w:pPr>
            <w:r>
              <w:rPr>
                <w:rFonts w:hint="eastAsia" w:ascii="宋体" w:eastAsia="宋体"/>
                <w:sz w:val="24"/>
              </w:rPr>
              <w:t>序号</w:t>
            </w:r>
          </w:p>
        </w:tc>
        <w:tc>
          <w:tcPr>
            <w:tcW w:w="1999" w:type="dxa"/>
          </w:tcPr>
          <w:p>
            <w:pPr>
              <w:pStyle w:val="30"/>
              <w:spacing w:before="147"/>
              <w:ind w:left="519"/>
              <w:rPr>
                <w:rFonts w:ascii="宋体" w:eastAsia="宋体"/>
                <w:sz w:val="24"/>
              </w:rPr>
            </w:pPr>
            <w:r>
              <w:rPr>
                <w:rFonts w:hint="eastAsia" w:ascii="宋体" w:eastAsia="宋体"/>
                <w:sz w:val="24"/>
              </w:rPr>
              <w:t>产品名称</w:t>
            </w:r>
          </w:p>
        </w:tc>
        <w:tc>
          <w:tcPr>
            <w:tcW w:w="1758" w:type="dxa"/>
          </w:tcPr>
          <w:p>
            <w:pPr>
              <w:pStyle w:val="30"/>
              <w:spacing w:before="147"/>
              <w:ind w:left="399"/>
              <w:rPr>
                <w:rFonts w:ascii="宋体" w:eastAsia="宋体"/>
                <w:sz w:val="24"/>
              </w:rPr>
            </w:pPr>
            <w:r>
              <w:rPr>
                <w:rFonts w:hint="eastAsia" w:ascii="宋体" w:eastAsia="宋体"/>
                <w:sz w:val="24"/>
              </w:rPr>
              <w:t>产品描述</w:t>
            </w:r>
          </w:p>
        </w:tc>
        <w:tc>
          <w:tcPr>
            <w:tcW w:w="960" w:type="dxa"/>
          </w:tcPr>
          <w:p>
            <w:pPr>
              <w:pStyle w:val="30"/>
              <w:spacing w:before="147"/>
              <w:ind w:left="239"/>
              <w:rPr>
                <w:rFonts w:ascii="宋体" w:eastAsia="宋体"/>
                <w:sz w:val="24"/>
              </w:rPr>
            </w:pPr>
            <w:r>
              <w:rPr>
                <w:rFonts w:hint="eastAsia" w:ascii="宋体" w:eastAsia="宋体"/>
                <w:sz w:val="24"/>
              </w:rPr>
              <w:t>数量</w:t>
            </w:r>
          </w:p>
        </w:tc>
        <w:tc>
          <w:tcPr>
            <w:tcW w:w="950" w:type="dxa"/>
          </w:tcPr>
          <w:p>
            <w:pPr>
              <w:pStyle w:val="30"/>
              <w:spacing w:before="147"/>
              <w:ind w:left="234"/>
              <w:rPr>
                <w:rFonts w:ascii="宋体" w:eastAsia="宋体"/>
                <w:sz w:val="24"/>
              </w:rPr>
            </w:pPr>
            <w:r>
              <w:rPr>
                <w:rFonts w:hint="eastAsia" w:ascii="宋体" w:eastAsia="宋体"/>
                <w:sz w:val="24"/>
              </w:rPr>
              <w:t>单位</w:t>
            </w:r>
          </w:p>
        </w:tc>
        <w:tc>
          <w:tcPr>
            <w:tcW w:w="1478" w:type="dxa"/>
          </w:tcPr>
          <w:p>
            <w:pPr>
              <w:pStyle w:val="30"/>
              <w:spacing w:before="147"/>
              <w:ind w:left="259"/>
              <w:rPr>
                <w:rFonts w:ascii="宋体" w:eastAsia="宋体"/>
                <w:sz w:val="24"/>
              </w:rPr>
            </w:pPr>
            <w:r>
              <w:rPr>
                <w:rFonts w:hint="eastAsia" w:ascii="宋体" w:eastAsia="宋体"/>
                <w:sz w:val="24"/>
              </w:rPr>
              <w:t>单价：元</w:t>
            </w:r>
          </w:p>
        </w:tc>
        <w:tc>
          <w:tcPr>
            <w:tcW w:w="1167" w:type="dxa"/>
          </w:tcPr>
          <w:p>
            <w:pPr>
              <w:pStyle w:val="30"/>
              <w:spacing w:before="147"/>
              <w:ind w:left="103"/>
              <w:rPr>
                <w:rFonts w:ascii="宋体" w:eastAsia="宋体"/>
                <w:sz w:val="24"/>
              </w:rPr>
            </w:pPr>
            <w:r>
              <w:rPr>
                <w:rFonts w:hint="eastAsia" w:ascii="宋体" w:eastAsia="宋体"/>
                <w:sz w:val="24"/>
              </w:rPr>
              <w:t>总价：元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872" w:type="dxa"/>
          </w:tcPr>
          <w:p>
            <w:pPr>
              <w:pStyle w:val="30"/>
              <w:spacing w:before="97"/>
              <w:ind w:left="9"/>
              <w:jc w:val="center"/>
              <w:rPr>
                <w:rFonts w:ascii="宋体"/>
                <w:sz w:val="24"/>
              </w:rPr>
            </w:pPr>
            <w:r>
              <w:rPr>
                <w:rFonts w:ascii="宋体"/>
                <w:sz w:val="24"/>
              </w:rPr>
              <w:t>1</w:t>
            </w:r>
          </w:p>
        </w:tc>
        <w:tc>
          <w:tcPr>
            <w:tcW w:w="1999" w:type="dxa"/>
          </w:tcPr>
          <w:p>
            <w:pPr>
              <w:pStyle w:val="30"/>
              <w:rPr>
                <w:rFonts w:ascii="Times New Roman"/>
              </w:rPr>
            </w:pPr>
          </w:p>
        </w:tc>
        <w:tc>
          <w:tcPr>
            <w:tcW w:w="1758" w:type="dxa"/>
          </w:tcPr>
          <w:p>
            <w:pPr>
              <w:pStyle w:val="30"/>
              <w:rPr>
                <w:rFonts w:ascii="Times New Roman"/>
              </w:rPr>
            </w:pPr>
          </w:p>
        </w:tc>
        <w:tc>
          <w:tcPr>
            <w:tcW w:w="960" w:type="dxa"/>
          </w:tcPr>
          <w:p>
            <w:pPr>
              <w:pStyle w:val="30"/>
              <w:rPr>
                <w:rFonts w:ascii="Times New Roman"/>
              </w:rPr>
            </w:pPr>
          </w:p>
        </w:tc>
        <w:tc>
          <w:tcPr>
            <w:tcW w:w="950" w:type="dxa"/>
          </w:tcPr>
          <w:p>
            <w:pPr>
              <w:pStyle w:val="30"/>
              <w:rPr>
                <w:rFonts w:ascii="Times New Roman"/>
              </w:rPr>
            </w:pPr>
          </w:p>
        </w:tc>
        <w:tc>
          <w:tcPr>
            <w:tcW w:w="1478" w:type="dxa"/>
          </w:tcPr>
          <w:p>
            <w:pPr>
              <w:pStyle w:val="30"/>
              <w:rPr>
                <w:rFonts w:ascii="Times New Roman"/>
              </w:rPr>
            </w:pPr>
          </w:p>
        </w:tc>
        <w:tc>
          <w:tcPr>
            <w:tcW w:w="1167" w:type="dxa"/>
          </w:tcPr>
          <w:p>
            <w:pPr>
              <w:pStyle w:val="3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872" w:type="dxa"/>
          </w:tcPr>
          <w:p>
            <w:pPr>
              <w:pStyle w:val="30"/>
              <w:spacing w:before="95"/>
              <w:ind w:left="9"/>
              <w:jc w:val="center"/>
              <w:rPr>
                <w:rFonts w:ascii="宋体"/>
                <w:sz w:val="24"/>
              </w:rPr>
            </w:pPr>
            <w:r>
              <w:rPr>
                <w:rFonts w:ascii="宋体"/>
                <w:sz w:val="24"/>
              </w:rPr>
              <w:t>2</w:t>
            </w:r>
          </w:p>
        </w:tc>
        <w:tc>
          <w:tcPr>
            <w:tcW w:w="1999" w:type="dxa"/>
          </w:tcPr>
          <w:p>
            <w:pPr>
              <w:pStyle w:val="30"/>
              <w:rPr>
                <w:rFonts w:ascii="Times New Roman"/>
              </w:rPr>
            </w:pPr>
          </w:p>
        </w:tc>
        <w:tc>
          <w:tcPr>
            <w:tcW w:w="1758" w:type="dxa"/>
          </w:tcPr>
          <w:p>
            <w:pPr>
              <w:pStyle w:val="30"/>
              <w:rPr>
                <w:rFonts w:ascii="Times New Roman"/>
              </w:rPr>
            </w:pPr>
          </w:p>
        </w:tc>
        <w:tc>
          <w:tcPr>
            <w:tcW w:w="960" w:type="dxa"/>
          </w:tcPr>
          <w:p>
            <w:pPr>
              <w:pStyle w:val="30"/>
              <w:rPr>
                <w:rFonts w:ascii="Times New Roman"/>
              </w:rPr>
            </w:pPr>
          </w:p>
        </w:tc>
        <w:tc>
          <w:tcPr>
            <w:tcW w:w="950" w:type="dxa"/>
          </w:tcPr>
          <w:p>
            <w:pPr>
              <w:pStyle w:val="30"/>
              <w:rPr>
                <w:rFonts w:ascii="Times New Roman"/>
              </w:rPr>
            </w:pPr>
          </w:p>
        </w:tc>
        <w:tc>
          <w:tcPr>
            <w:tcW w:w="1478" w:type="dxa"/>
          </w:tcPr>
          <w:p>
            <w:pPr>
              <w:pStyle w:val="30"/>
              <w:rPr>
                <w:rFonts w:ascii="Times New Roman"/>
              </w:rPr>
            </w:pPr>
          </w:p>
        </w:tc>
        <w:tc>
          <w:tcPr>
            <w:tcW w:w="1167" w:type="dxa"/>
          </w:tcPr>
          <w:p>
            <w:pPr>
              <w:pStyle w:val="3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872" w:type="dxa"/>
          </w:tcPr>
          <w:p>
            <w:pPr>
              <w:pStyle w:val="30"/>
              <w:spacing w:before="96"/>
              <w:ind w:left="9"/>
              <w:jc w:val="center"/>
              <w:rPr>
                <w:rFonts w:ascii="宋体" w:hAnsi="宋体"/>
                <w:sz w:val="24"/>
              </w:rPr>
            </w:pPr>
            <w:r>
              <w:rPr>
                <w:rFonts w:ascii="宋体" w:hAnsi="宋体"/>
                <w:sz w:val="24"/>
              </w:rPr>
              <w:t>…</w:t>
            </w:r>
          </w:p>
        </w:tc>
        <w:tc>
          <w:tcPr>
            <w:tcW w:w="1999" w:type="dxa"/>
          </w:tcPr>
          <w:p>
            <w:pPr>
              <w:pStyle w:val="30"/>
              <w:rPr>
                <w:rFonts w:ascii="Times New Roman"/>
              </w:rPr>
            </w:pPr>
          </w:p>
        </w:tc>
        <w:tc>
          <w:tcPr>
            <w:tcW w:w="1758" w:type="dxa"/>
          </w:tcPr>
          <w:p>
            <w:pPr>
              <w:pStyle w:val="30"/>
              <w:rPr>
                <w:rFonts w:ascii="Times New Roman"/>
              </w:rPr>
            </w:pPr>
          </w:p>
        </w:tc>
        <w:tc>
          <w:tcPr>
            <w:tcW w:w="960" w:type="dxa"/>
          </w:tcPr>
          <w:p>
            <w:pPr>
              <w:pStyle w:val="30"/>
              <w:rPr>
                <w:rFonts w:ascii="Times New Roman"/>
              </w:rPr>
            </w:pPr>
          </w:p>
        </w:tc>
        <w:tc>
          <w:tcPr>
            <w:tcW w:w="950" w:type="dxa"/>
          </w:tcPr>
          <w:p>
            <w:pPr>
              <w:pStyle w:val="30"/>
              <w:rPr>
                <w:rFonts w:ascii="Times New Roman"/>
              </w:rPr>
            </w:pPr>
          </w:p>
        </w:tc>
        <w:tc>
          <w:tcPr>
            <w:tcW w:w="1478" w:type="dxa"/>
          </w:tcPr>
          <w:p>
            <w:pPr>
              <w:pStyle w:val="30"/>
              <w:rPr>
                <w:rFonts w:ascii="Times New Roman"/>
              </w:rPr>
            </w:pPr>
          </w:p>
        </w:tc>
        <w:tc>
          <w:tcPr>
            <w:tcW w:w="1167" w:type="dxa"/>
          </w:tcPr>
          <w:p>
            <w:pPr>
              <w:pStyle w:val="3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9184" w:type="dxa"/>
            <w:gridSpan w:val="7"/>
          </w:tcPr>
          <w:p>
            <w:pPr>
              <w:pStyle w:val="30"/>
              <w:tabs>
                <w:tab w:val="left" w:pos="6373"/>
                <w:tab w:val="left" w:pos="7743"/>
              </w:tabs>
              <w:spacing w:before="97"/>
              <w:ind w:left="13"/>
              <w:rPr>
                <w:rFonts w:ascii="宋体" w:eastAsia="宋体"/>
                <w:b/>
                <w:sz w:val="21"/>
              </w:rPr>
            </w:pPr>
            <w:r>
              <w:rPr>
                <w:rFonts w:hint="eastAsia" w:ascii="宋体" w:eastAsia="宋体"/>
                <w:sz w:val="24"/>
              </w:rPr>
              <w:t>投标总价(人民币大写)：</w:t>
            </w:r>
            <w:r>
              <w:rPr>
                <w:rFonts w:hint="eastAsia" w:ascii="宋体" w:eastAsia="宋体"/>
                <w:sz w:val="24"/>
              </w:rPr>
              <w:tab/>
            </w:r>
            <w:r>
              <w:rPr>
                <w:rFonts w:hint="eastAsia" w:ascii="宋体" w:eastAsia="宋体"/>
                <w:b/>
                <w:position w:val="3"/>
                <w:sz w:val="21"/>
              </w:rPr>
              <w:t>￥</w:t>
            </w:r>
            <w:r>
              <w:rPr>
                <w:rFonts w:hint="eastAsia" w:ascii="宋体" w:eastAsia="宋体"/>
                <w:b/>
                <w:position w:val="3"/>
                <w:sz w:val="21"/>
              </w:rPr>
              <w:tab/>
            </w:r>
            <w:r>
              <w:rPr>
                <w:rFonts w:hint="eastAsia" w:ascii="宋体" w:eastAsia="宋体"/>
                <w:b/>
                <w:position w:val="3"/>
                <w:sz w:val="21"/>
              </w:rPr>
              <w:t>元</w:t>
            </w:r>
          </w:p>
        </w:tc>
      </w:tr>
    </w:tbl>
    <w:p>
      <w:pPr>
        <w:pStyle w:val="12"/>
        <w:rPr>
          <w:b/>
          <w:sz w:val="20"/>
        </w:rPr>
      </w:pPr>
    </w:p>
    <w:p>
      <w:pPr>
        <w:pStyle w:val="12"/>
        <w:spacing w:before="2"/>
        <w:rPr>
          <w:b/>
          <w:sz w:val="27"/>
        </w:rPr>
      </w:pPr>
    </w:p>
    <w:p>
      <w:pPr>
        <w:pStyle w:val="12"/>
        <w:spacing w:before="67" w:line="458" w:lineRule="auto"/>
        <w:ind w:left="718" w:right="8305"/>
      </w:pPr>
      <w:r>
        <w:t>供应商盖章： 日期：</w:t>
      </w:r>
    </w:p>
    <w:p>
      <w:pPr>
        <w:pStyle w:val="12"/>
        <w:tabs>
          <w:tab w:val="left" w:pos="1438"/>
        </w:tabs>
        <w:spacing w:before="1"/>
        <w:ind w:left="718"/>
      </w:pPr>
      <w:r>
        <w:t>注：</w:t>
      </w:r>
      <w:r>
        <w:tab/>
      </w:r>
      <w:r>
        <w:t>1.所有价格以人民币表示。</w:t>
      </w:r>
    </w:p>
    <w:p>
      <w:pPr>
        <w:pStyle w:val="12"/>
        <w:spacing w:before="161" w:line="364" w:lineRule="auto"/>
        <w:ind w:left="1438" w:right="5065"/>
      </w:pPr>
      <w:r>
        <w:t>2. 若总价与单价不符，以单价为准。3.本表表格可根据实际进行增（删）</w:t>
      </w:r>
    </w:p>
    <w:p>
      <w:pPr>
        <w:spacing w:line="364" w:lineRule="auto"/>
        <w:sectPr>
          <w:pgSz w:w="11910" w:h="16840"/>
          <w:pgMar w:top="919" w:right="743" w:bottom="1021" w:left="697" w:header="882" w:footer="1078" w:gutter="0"/>
          <w:cols w:space="720" w:num="1"/>
        </w:sectPr>
      </w:pPr>
    </w:p>
    <w:p>
      <w:pPr>
        <w:pStyle w:val="12"/>
        <w:rPr>
          <w:sz w:val="20"/>
        </w:rPr>
      </w:pPr>
    </w:p>
    <w:p>
      <w:pPr>
        <w:pStyle w:val="12"/>
        <w:rPr>
          <w:sz w:val="20"/>
        </w:rPr>
      </w:pPr>
    </w:p>
    <w:p>
      <w:pPr>
        <w:pStyle w:val="12"/>
        <w:spacing w:before="1"/>
        <w:rPr>
          <w:sz w:val="26"/>
        </w:rPr>
      </w:pPr>
    </w:p>
    <w:p>
      <w:pPr>
        <w:pStyle w:val="12"/>
        <w:spacing w:before="66"/>
        <w:ind w:left="40" w:right="49"/>
        <w:jc w:val="center"/>
      </w:pPr>
      <w:bookmarkStart w:id="60" w:name="供货明细表（二）（根据项目实际填写）"/>
      <w:bookmarkEnd w:id="60"/>
      <w:r>
        <w:t>供货明细表（二）（根据项目实际填写）</w:t>
      </w:r>
    </w:p>
    <w:p>
      <w:pPr>
        <w:pStyle w:val="12"/>
        <w:spacing w:before="161"/>
        <w:ind w:left="718"/>
      </w:pPr>
      <w:r>
        <w:t>（以下为参考格式）</w:t>
      </w:r>
    </w:p>
    <w:p>
      <w:pPr>
        <w:pStyle w:val="12"/>
      </w:pPr>
    </w:p>
    <w:p>
      <w:pPr>
        <w:pStyle w:val="12"/>
        <w:spacing w:before="5"/>
        <w:rPr>
          <w:sz w:val="26"/>
        </w:rPr>
      </w:pPr>
    </w:p>
    <w:p>
      <w:pPr>
        <w:tabs>
          <w:tab w:val="left" w:pos="2607"/>
        </w:tabs>
        <w:spacing w:before="1"/>
        <w:ind w:left="718"/>
        <w:rPr>
          <w:rFonts w:ascii="宋体" w:eastAsia="宋体"/>
          <w:sz w:val="21"/>
        </w:rPr>
      </w:pPr>
      <w:r>
        <w:rPr>
          <w:rFonts w:hint="eastAsia" w:ascii="宋体" w:eastAsia="宋体"/>
          <w:sz w:val="21"/>
        </w:rPr>
        <w:t>报价单位：人民币</w:t>
      </w:r>
      <w:r>
        <w:rPr>
          <w:rFonts w:hint="eastAsia" w:ascii="宋体" w:eastAsia="宋体"/>
          <w:sz w:val="21"/>
        </w:rPr>
        <w:tab/>
      </w:r>
      <w:r>
        <w:rPr>
          <w:rFonts w:hint="eastAsia" w:ascii="宋体" w:eastAsia="宋体"/>
          <w:sz w:val="21"/>
        </w:rPr>
        <w:t>元</w:t>
      </w:r>
    </w:p>
    <w:p>
      <w:pPr>
        <w:pStyle w:val="12"/>
        <w:spacing w:before="1"/>
        <w:rPr>
          <w:sz w:val="18"/>
        </w:rPr>
      </w:pPr>
    </w:p>
    <w:tbl>
      <w:tblPr>
        <w:tblStyle w:val="24"/>
        <w:tblW w:w="0" w:type="auto"/>
        <w:tblInd w:w="6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9"/>
        <w:gridCol w:w="777"/>
        <w:gridCol w:w="720"/>
        <w:gridCol w:w="1110"/>
        <w:gridCol w:w="900"/>
        <w:gridCol w:w="819"/>
        <w:gridCol w:w="900"/>
        <w:gridCol w:w="750"/>
        <w:gridCol w:w="690"/>
        <w:gridCol w:w="810"/>
        <w:gridCol w:w="1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469" w:type="dxa"/>
          </w:tcPr>
          <w:p>
            <w:pPr>
              <w:pStyle w:val="30"/>
              <w:spacing w:before="98"/>
              <w:ind w:left="129"/>
              <w:rPr>
                <w:rFonts w:ascii="宋体" w:eastAsia="宋体"/>
                <w:sz w:val="21"/>
              </w:rPr>
            </w:pPr>
            <w:r>
              <w:rPr>
                <w:rFonts w:hint="eastAsia" w:ascii="宋体" w:eastAsia="宋体"/>
                <w:w w:val="99"/>
                <w:sz w:val="21"/>
              </w:rPr>
              <w:t>序</w:t>
            </w:r>
          </w:p>
          <w:p>
            <w:pPr>
              <w:pStyle w:val="30"/>
              <w:spacing w:before="7"/>
              <w:rPr>
                <w:rFonts w:ascii="宋体"/>
                <w:sz w:val="15"/>
              </w:rPr>
            </w:pPr>
          </w:p>
          <w:p>
            <w:pPr>
              <w:pStyle w:val="30"/>
              <w:ind w:left="129"/>
              <w:rPr>
                <w:rFonts w:ascii="宋体" w:eastAsia="宋体"/>
                <w:sz w:val="21"/>
              </w:rPr>
            </w:pPr>
            <w:r>
              <w:rPr>
                <w:rFonts w:hint="eastAsia" w:ascii="宋体" w:eastAsia="宋体"/>
                <w:w w:val="99"/>
                <w:sz w:val="21"/>
              </w:rPr>
              <w:t>号</w:t>
            </w:r>
          </w:p>
        </w:tc>
        <w:tc>
          <w:tcPr>
            <w:tcW w:w="777" w:type="dxa"/>
          </w:tcPr>
          <w:p>
            <w:pPr>
              <w:pStyle w:val="30"/>
              <w:rPr>
                <w:rFonts w:ascii="宋体"/>
                <w:sz w:val="26"/>
              </w:rPr>
            </w:pPr>
          </w:p>
          <w:p>
            <w:pPr>
              <w:pStyle w:val="30"/>
              <w:ind w:left="178"/>
              <w:rPr>
                <w:rFonts w:ascii="宋体" w:eastAsia="宋体"/>
                <w:sz w:val="21"/>
              </w:rPr>
            </w:pPr>
            <w:r>
              <w:rPr>
                <w:rFonts w:hint="eastAsia" w:ascii="宋体" w:eastAsia="宋体"/>
                <w:sz w:val="21"/>
              </w:rPr>
              <w:t>名称</w:t>
            </w:r>
          </w:p>
        </w:tc>
        <w:tc>
          <w:tcPr>
            <w:tcW w:w="720" w:type="dxa"/>
          </w:tcPr>
          <w:p>
            <w:pPr>
              <w:pStyle w:val="30"/>
              <w:rPr>
                <w:rFonts w:ascii="宋体"/>
                <w:sz w:val="26"/>
              </w:rPr>
            </w:pPr>
          </w:p>
          <w:p>
            <w:pPr>
              <w:pStyle w:val="30"/>
              <w:ind w:left="150"/>
              <w:rPr>
                <w:rFonts w:ascii="宋体" w:eastAsia="宋体"/>
                <w:sz w:val="21"/>
              </w:rPr>
            </w:pPr>
            <w:r>
              <w:rPr>
                <w:rFonts w:hint="eastAsia" w:ascii="宋体" w:eastAsia="宋体"/>
                <w:sz w:val="21"/>
              </w:rPr>
              <w:t>型号</w:t>
            </w:r>
          </w:p>
        </w:tc>
        <w:tc>
          <w:tcPr>
            <w:tcW w:w="1110" w:type="dxa"/>
          </w:tcPr>
          <w:p>
            <w:pPr>
              <w:pStyle w:val="30"/>
              <w:rPr>
                <w:rFonts w:ascii="宋体"/>
                <w:sz w:val="26"/>
              </w:rPr>
            </w:pPr>
          </w:p>
          <w:p>
            <w:pPr>
              <w:pStyle w:val="30"/>
              <w:ind w:left="133"/>
              <w:rPr>
                <w:rFonts w:ascii="宋体" w:eastAsia="宋体"/>
                <w:sz w:val="21"/>
              </w:rPr>
            </w:pPr>
            <w:r>
              <w:rPr>
                <w:rFonts w:hint="eastAsia" w:ascii="宋体" w:eastAsia="宋体"/>
                <w:sz w:val="21"/>
              </w:rPr>
              <w:t>主要参数</w:t>
            </w:r>
          </w:p>
        </w:tc>
        <w:tc>
          <w:tcPr>
            <w:tcW w:w="900" w:type="dxa"/>
          </w:tcPr>
          <w:p>
            <w:pPr>
              <w:pStyle w:val="30"/>
              <w:rPr>
                <w:rFonts w:ascii="宋体"/>
                <w:sz w:val="26"/>
              </w:rPr>
            </w:pPr>
          </w:p>
          <w:p>
            <w:pPr>
              <w:pStyle w:val="30"/>
              <w:ind w:left="134"/>
              <w:rPr>
                <w:rFonts w:ascii="宋体" w:eastAsia="宋体"/>
                <w:sz w:val="21"/>
              </w:rPr>
            </w:pPr>
            <w:r>
              <w:rPr>
                <w:rFonts w:hint="eastAsia" w:ascii="宋体" w:eastAsia="宋体"/>
                <w:sz w:val="21"/>
              </w:rPr>
              <w:t>制造商</w:t>
            </w:r>
          </w:p>
        </w:tc>
        <w:tc>
          <w:tcPr>
            <w:tcW w:w="819" w:type="dxa"/>
          </w:tcPr>
          <w:p>
            <w:pPr>
              <w:pStyle w:val="30"/>
              <w:rPr>
                <w:rFonts w:ascii="宋体"/>
                <w:sz w:val="26"/>
              </w:rPr>
            </w:pPr>
          </w:p>
          <w:p>
            <w:pPr>
              <w:pStyle w:val="30"/>
              <w:ind w:left="199"/>
              <w:rPr>
                <w:rFonts w:ascii="宋体" w:eastAsia="宋体"/>
                <w:sz w:val="21"/>
              </w:rPr>
            </w:pPr>
            <w:r>
              <w:rPr>
                <w:rFonts w:hint="eastAsia" w:ascii="宋体" w:eastAsia="宋体"/>
                <w:sz w:val="21"/>
              </w:rPr>
              <w:t>产地</w:t>
            </w:r>
          </w:p>
        </w:tc>
        <w:tc>
          <w:tcPr>
            <w:tcW w:w="900" w:type="dxa"/>
          </w:tcPr>
          <w:p>
            <w:pPr>
              <w:pStyle w:val="30"/>
              <w:rPr>
                <w:rFonts w:ascii="宋体"/>
                <w:sz w:val="26"/>
              </w:rPr>
            </w:pPr>
          </w:p>
          <w:p>
            <w:pPr>
              <w:pStyle w:val="30"/>
              <w:ind w:left="239"/>
              <w:rPr>
                <w:rFonts w:ascii="宋体" w:eastAsia="宋体"/>
                <w:sz w:val="21"/>
              </w:rPr>
            </w:pPr>
            <w:r>
              <w:rPr>
                <w:rFonts w:hint="eastAsia" w:ascii="宋体" w:eastAsia="宋体"/>
                <w:sz w:val="21"/>
              </w:rPr>
              <w:t>单位</w:t>
            </w:r>
          </w:p>
        </w:tc>
        <w:tc>
          <w:tcPr>
            <w:tcW w:w="750" w:type="dxa"/>
          </w:tcPr>
          <w:p>
            <w:pPr>
              <w:pStyle w:val="30"/>
              <w:rPr>
                <w:rFonts w:ascii="宋体"/>
                <w:sz w:val="26"/>
              </w:rPr>
            </w:pPr>
          </w:p>
          <w:p>
            <w:pPr>
              <w:pStyle w:val="30"/>
              <w:ind w:left="165"/>
              <w:rPr>
                <w:rFonts w:ascii="宋体" w:eastAsia="宋体"/>
                <w:sz w:val="21"/>
              </w:rPr>
            </w:pPr>
            <w:r>
              <w:rPr>
                <w:rFonts w:hint="eastAsia" w:ascii="宋体" w:eastAsia="宋体"/>
                <w:sz w:val="21"/>
              </w:rPr>
              <w:t>数量</w:t>
            </w:r>
          </w:p>
        </w:tc>
        <w:tc>
          <w:tcPr>
            <w:tcW w:w="690" w:type="dxa"/>
          </w:tcPr>
          <w:p>
            <w:pPr>
              <w:pStyle w:val="30"/>
              <w:rPr>
                <w:rFonts w:ascii="宋体"/>
                <w:sz w:val="26"/>
              </w:rPr>
            </w:pPr>
          </w:p>
          <w:p>
            <w:pPr>
              <w:pStyle w:val="30"/>
              <w:ind w:left="135"/>
              <w:rPr>
                <w:rFonts w:ascii="宋体" w:eastAsia="宋体"/>
                <w:sz w:val="21"/>
              </w:rPr>
            </w:pPr>
            <w:r>
              <w:rPr>
                <w:rFonts w:hint="eastAsia" w:ascii="宋体" w:eastAsia="宋体"/>
                <w:sz w:val="21"/>
              </w:rPr>
              <w:t>单价</w:t>
            </w:r>
          </w:p>
        </w:tc>
        <w:tc>
          <w:tcPr>
            <w:tcW w:w="810" w:type="dxa"/>
          </w:tcPr>
          <w:p>
            <w:pPr>
              <w:pStyle w:val="30"/>
              <w:rPr>
                <w:rFonts w:ascii="宋体"/>
                <w:sz w:val="26"/>
              </w:rPr>
            </w:pPr>
          </w:p>
          <w:p>
            <w:pPr>
              <w:pStyle w:val="30"/>
              <w:ind w:left="194"/>
              <w:rPr>
                <w:rFonts w:ascii="宋体" w:eastAsia="宋体"/>
                <w:sz w:val="21"/>
              </w:rPr>
            </w:pPr>
            <w:r>
              <w:rPr>
                <w:rFonts w:hint="eastAsia" w:ascii="宋体" w:eastAsia="宋体"/>
                <w:sz w:val="21"/>
              </w:rPr>
              <w:t>合计</w:t>
            </w:r>
          </w:p>
        </w:tc>
        <w:tc>
          <w:tcPr>
            <w:tcW w:w="1140" w:type="dxa"/>
          </w:tcPr>
          <w:p>
            <w:pPr>
              <w:pStyle w:val="30"/>
              <w:rPr>
                <w:rFonts w:ascii="宋体"/>
                <w:sz w:val="26"/>
              </w:rPr>
            </w:pPr>
          </w:p>
          <w:p>
            <w:pPr>
              <w:pStyle w:val="30"/>
              <w:ind w:left="358"/>
              <w:rPr>
                <w:rFonts w:ascii="宋体" w:eastAsia="宋体"/>
                <w:sz w:val="21"/>
              </w:rPr>
            </w:pPr>
            <w:r>
              <w:rPr>
                <w:rFonts w:hint="eastAsia" w:ascii="宋体" w:eastAsia="宋体"/>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469" w:type="dxa"/>
          </w:tcPr>
          <w:p>
            <w:pPr>
              <w:pStyle w:val="30"/>
              <w:rPr>
                <w:rFonts w:ascii="Times New Roman"/>
                <w:sz w:val="20"/>
              </w:rPr>
            </w:pPr>
          </w:p>
        </w:tc>
        <w:tc>
          <w:tcPr>
            <w:tcW w:w="777" w:type="dxa"/>
          </w:tcPr>
          <w:p>
            <w:pPr>
              <w:pStyle w:val="30"/>
              <w:rPr>
                <w:rFonts w:ascii="Times New Roman"/>
                <w:sz w:val="20"/>
              </w:rPr>
            </w:pPr>
          </w:p>
        </w:tc>
        <w:tc>
          <w:tcPr>
            <w:tcW w:w="720" w:type="dxa"/>
          </w:tcPr>
          <w:p>
            <w:pPr>
              <w:pStyle w:val="30"/>
              <w:rPr>
                <w:rFonts w:ascii="Times New Roman"/>
                <w:sz w:val="20"/>
              </w:rPr>
            </w:pPr>
          </w:p>
        </w:tc>
        <w:tc>
          <w:tcPr>
            <w:tcW w:w="1110" w:type="dxa"/>
          </w:tcPr>
          <w:p>
            <w:pPr>
              <w:pStyle w:val="30"/>
              <w:rPr>
                <w:rFonts w:ascii="Times New Roman"/>
                <w:sz w:val="20"/>
              </w:rPr>
            </w:pPr>
          </w:p>
        </w:tc>
        <w:tc>
          <w:tcPr>
            <w:tcW w:w="900" w:type="dxa"/>
          </w:tcPr>
          <w:p>
            <w:pPr>
              <w:pStyle w:val="30"/>
              <w:rPr>
                <w:rFonts w:ascii="Times New Roman"/>
                <w:sz w:val="20"/>
              </w:rPr>
            </w:pPr>
          </w:p>
        </w:tc>
        <w:tc>
          <w:tcPr>
            <w:tcW w:w="819" w:type="dxa"/>
          </w:tcPr>
          <w:p>
            <w:pPr>
              <w:pStyle w:val="30"/>
              <w:rPr>
                <w:rFonts w:ascii="Times New Roman"/>
                <w:sz w:val="20"/>
              </w:rPr>
            </w:pPr>
          </w:p>
        </w:tc>
        <w:tc>
          <w:tcPr>
            <w:tcW w:w="900" w:type="dxa"/>
          </w:tcPr>
          <w:p>
            <w:pPr>
              <w:pStyle w:val="30"/>
              <w:rPr>
                <w:rFonts w:ascii="Times New Roman"/>
                <w:sz w:val="20"/>
              </w:rPr>
            </w:pPr>
          </w:p>
        </w:tc>
        <w:tc>
          <w:tcPr>
            <w:tcW w:w="750" w:type="dxa"/>
          </w:tcPr>
          <w:p>
            <w:pPr>
              <w:pStyle w:val="30"/>
              <w:rPr>
                <w:rFonts w:ascii="Times New Roman"/>
                <w:sz w:val="20"/>
              </w:rPr>
            </w:pPr>
          </w:p>
        </w:tc>
        <w:tc>
          <w:tcPr>
            <w:tcW w:w="690" w:type="dxa"/>
          </w:tcPr>
          <w:p>
            <w:pPr>
              <w:pStyle w:val="30"/>
              <w:rPr>
                <w:rFonts w:ascii="Times New Roman"/>
                <w:sz w:val="20"/>
              </w:rPr>
            </w:pPr>
          </w:p>
        </w:tc>
        <w:tc>
          <w:tcPr>
            <w:tcW w:w="810" w:type="dxa"/>
          </w:tcPr>
          <w:p>
            <w:pPr>
              <w:pStyle w:val="30"/>
              <w:rPr>
                <w:rFonts w:ascii="Times New Roman"/>
                <w:sz w:val="20"/>
              </w:rPr>
            </w:pPr>
          </w:p>
        </w:tc>
        <w:tc>
          <w:tcPr>
            <w:tcW w:w="1140" w:type="dxa"/>
          </w:tcPr>
          <w:p>
            <w:pPr>
              <w:pStyle w:val="3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469" w:type="dxa"/>
          </w:tcPr>
          <w:p>
            <w:pPr>
              <w:pStyle w:val="30"/>
              <w:rPr>
                <w:rFonts w:ascii="Times New Roman"/>
                <w:sz w:val="20"/>
              </w:rPr>
            </w:pPr>
          </w:p>
        </w:tc>
        <w:tc>
          <w:tcPr>
            <w:tcW w:w="777" w:type="dxa"/>
          </w:tcPr>
          <w:p>
            <w:pPr>
              <w:pStyle w:val="30"/>
              <w:rPr>
                <w:rFonts w:ascii="Times New Roman"/>
                <w:sz w:val="20"/>
              </w:rPr>
            </w:pPr>
          </w:p>
        </w:tc>
        <w:tc>
          <w:tcPr>
            <w:tcW w:w="720" w:type="dxa"/>
          </w:tcPr>
          <w:p>
            <w:pPr>
              <w:pStyle w:val="30"/>
              <w:rPr>
                <w:rFonts w:ascii="Times New Roman"/>
                <w:sz w:val="20"/>
              </w:rPr>
            </w:pPr>
          </w:p>
        </w:tc>
        <w:tc>
          <w:tcPr>
            <w:tcW w:w="1110" w:type="dxa"/>
          </w:tcPr>
          <w:p>
            <w:pPr>
              <w:pStyle w:val="30"/>
              <w:rPr>
                <w:rFonts w:ascii="Times New Roman"/>
                <w:sz w:val="20"/>
              </w:rPr>
            </w:pPr>
          </w:p>
        </w:tc>
        <w:tc>
          <w:tcPr>
            <w:tcW w:w="900" w:type="dxa"/>
          </w:tcPr>
          <w:p>
            <w:pPr>
              <w:pStyle w:val="30"/>
              <w:rPr>
                <w:rFonts w:ascii="Times New Roman"/>
                <w:sz w:val="20"/>
              </w:rPr>
            </w:pPr>
          </w:p>
        </w:tc>
        <w:tc>
          <w:tcPr>
            <w:tcW w:w="819" w:type="dxa"/>
          </w:tcPr>
          <w:p>
            <w:pPr>
              <w:pStyle w:val="30"/>
              <w:rPr>
                <w:rFonts w:ascii="Times New Roman"/>
                <w:sz w:val="20"/>
              </w:rPr>
            </w:pPr>
          </w:p>
        </w:tc>
        <w:tc>
          <w:tcPr>
            <w:tcW w:w="900" w:type="dxa"/>
          </w:tcPr>
          <w:p>
            <w:pPr>
              <w:pStyle w:val="30"/>
              <w:rPr>
                <w:rFonts w:ascii="Times New Roman"/>
                <w:sz w:val="20"/>
              </w:rPr>
            </w:pPr>
          </w:p>
        </w:tc>
        <w:tc>
          <w:tcPr>
            <w:tcW w:w="750" w:type="dxa"/>
          </w:tcPr>
          <w:p>
            <w:pPr>
              <w:pStyle w:val="30"/>
              <w:rPr>
                <w:rFonts w:ascii="Times New Roman"/>
                <w:sz w:val="20"/>
              </w:rPr>
            </w:pPr>
          </w:p>
        </w:tc>
        <w:tc>
          <w:tcPr>
            <w:tcW w:w="690" w:type="dxa"/>
          </w:tcPr>
          <w:p>
            <w:pPr>
              <w:pStyle w:val="30"/>
              <w:rPr>
                <w:rFonts w:ascii="Times New Roman"/>
                <w:sz w:val="20"/>
              </w:rPr>
            </w:pPr>
          </w:p>
        </w:tc>
        <w:tc>
          <w:tcPr>
            <w:tcW w:w="810" w:type="dxa"/>
          </w:tcPr>
          <w:p>
            <w:pPr>
              <w:pStyle w:val="30"/>
              <w:rPr>
                <w:rFonts w:ascii="Times New Roman"/>
                <w:sz w:val="20"/>
              </w:rPr>
            </w:pPr>
          </w:p>
        </w:tc>
        <w:tc>
          <w:tcPr>
            <w:tcW w:w="1140" w:type="dxa"/>
          </w:tcPr>
          <w:p>
            <w:pPr>
              <w:pStyle w:val="3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469" w:type="dxa"/>
          </w:tcPr>
          <w:p>
            <w:pPr>
              <w:pStyle w:val="30"/>
              <w:rPr>
                <w:rFonts w:ascii="Times New Roman"/>
                <w:sz w:val="20"/>
              </w:rPr>
            </w:pPr>
          </w:p>
        </w:tc>
        <w:tc>
          <w:tcPr>
            <w:tcW w:w="777" w:type="dxa"/>
          </w:tcPr>
          <w:p>
            <w:pPr>
              <w:pStyle w:val="30"/>
              <w:rPr>
                <w:rFonts w:ascii="Times New Roman"/>
                <w:sz w:val="20"/>
              </w:rPr>
            </w:pPr>
          </w:p>
        </w:tc>
        <w:tc>
          <w:tcPr>
            <w:tcW w:w="720" w:type="dxa"/>
          </w:tcPr>
          <w:p>
            <w:pPr>
              <w:pStyle w:val="30"/>
              <w:rPr>
                <w:rFonts w:ascii="Times New Roman"/>
                <w:sz w:val="20"/>
              </w:rPr>
            </w:pPr>
          </w:p>
        </w:tc>
        <w:tc>
          <w:tcPr>
            <w:tcW w:w="1110" w:type="dxa"/>
          </w:tcPr>
          <w:p>
            <w:pPr>
              <w:pStyle w:val="30"/>
              <w:rPr>
                <w:rFonts w:ascii="Times New Roman"/>
                <w:sz w:val="20"/>
              </w:rPr>
            </w:pPr>
          </w:p>
        </w:tc>
        <w:tc>
          <w:tcPr>
            <w:tcW w:w="900" w:type="dxa"/>
          </w:tcPr>
          <w:p>
            <w:pPr>
              <w:pStyle w:val="30"/>
              <w:rPr>
                <w:rFonts w:ascii="Times New Roman"/>
                <w:sz w:val="20"/>
              </w:rPr>
            </w:pPr>
          </w:p>
        </w:tc>
        <w:tc>
          <w:tcPr>
            <w:tcW w:w="819" w:type="dxa"/>
          </w:tcPr>
          <w:p>
            <w:pPr>
              <w:pStyle w:val="30"/>
              <w:rPr>
                <w:rFonts w:ascii="Times New Roman"/>
                <w:sz w:val="20"/>
              </w:rPr>
            </w:pPr>
          </w:p>
        </w:tc>
        <w:tc>
          <w:tcPr>
            <w:tcW w:w="900" w:type="dxa"/>
          </w:tcPr>
          <w:p>
            <w:pPr>
              <w:pStyle w:val="30"/>
              <w:rPr>
                <w:rFonts w:ascii="Times New Roman"/>
                <w:sz w:val="20"/>
              </w:rPr>
            </w:pPr>
          </w:p>
        </w:tc>
        <w:tc>
          <w:tcPr>
            <w:tcW w:w="750" w:type="dxa"/>
          </w:tcPr>
          <w:p>
            <w:pPr>
              <w:pStyle w:val="30"/>
              <w:rPr>
                <w:rFonts w:ascii="Times New Roman"/>
                <w:sz w:val="20"/>
              </w:rPr>
            </w:pPr>
          </w:p>
        </w:tc>
        <w:tc>
          <w:tcPr>
            <w:tcW w:w="690" w:type="dxa"/>
          </w:tcPr>
          <w:p>
            <w:pPr>
              <w:pStyle w:val="30"/>
              <w:rPr>
                <w:rFonts w:ascii="Times New Roman"/>
                <w:sz w:val="20"/>
              </w:rPr>
            </w:pPr>
          </w:p>
        </w:tc>
        <w:tc>
          <w:tcPr>
            <w:tcW w:w="810" w:type="dxa"/>
          </w:tcPr>
          <w:p>
            <w:pPr>
              <w:pStyle w:val="30"/>
              <w:rPr>
                <w:rFonts w:ascii="Times New Roman"/>
                <w:sz w:val="20"/>
              </w:rPr>
            </w:pPr>
          </w:p>
        </w:tc>
        <w:tc>
          <w:tcPr>
            <w:tcW w:w="1140" w:type="dxa"/>
          </w:tcPr>
          <w:p>
            <w:pPr>
              <w:pStyle w:val="3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2" w:hRule="atLeast"/>
        </w:trPr>
        <w:tc>
          <w:tcPr>
            <w:tcW w:w="469" w:type="dxa"/>
          </w:tcPr>
          <w:p>
            <w:pPr>
              <w:pStyle w:val="30"/>
              <w:rPr>
                <w:rFonts w:ascii="Times New Roman"/>
                <w:sz w:val="20"/>
              </w:rPr>
            </w:pPr>
          </w:p>
        </w:tc>
        <w:tc>
          <w:tcPr>
            <w:tcW w:w="777" w:type="dxa"/>
          </w:tcPr>
          <w:p>
            <w:pPr>
              <w:pStyle w:val="30"/>
              <w:rPr>
                <w:rFonts w:ascii="Times New Roman"/>
                <w:sz w:val="20"/>
              </w:rPr>
            </w:pPr>
          </w:p>
        </w:tc>
        <w:tc>
          <w:tcPr>
            <w:tcW w:w="720" w:type="dxa"/>
          </w:tcPr>
          <w:p>
            <w:pPr>
              <w:pStyle w:val="30"/>
              <w:rPr>
                <w:rFonts w:ascii="Times New Roman"/>
                <w:sz w:val="20"/>
              </w:rPr>
            </w:pPr>
          </w:p>
        </w:tc>
        <w:tc>
          <w:tcPr>
            <w:tcW w:w="1110" w:type="dxa"/>
          </w:tcPr>
          <w:p>
            <w:pPr>
              <w:pStyle w:val="30"/>
              <w:rPr>
                <w:rFonts w:ascii="Times New Roman"/>
                <w:sz w:val="20"/>
              </w:rPr>
            </w:pPr>
          </w:p>
        </w:tc>
        <w:tc>
          <w:tcPr>
            <w:tcW w:w="900" w:type="dxa"/>
          </w:tcPr>
          <w:p>
            <w:pPr>
              <w:pStyle w:val="30"/>
              <w:rPr>
                <w:rFonts w:ascii="Times New Roman"/>
                <w:sz w:val="20"/>
              </w:rPr>
            </w:pPr>
          </w:p>
        </w:tc>
        <w:tc>
          <w:tcPr>
            <w:tcW w:w="819" w:type="dxa"/>
          </w:tcPr>
          <w:p>
            <w:pPr>
              <w:pStyle w:val="30"/>
              <w:rPr>
                <w:rFonts w:ascii="Times New Roman"/>
                <w:sz w:val="20"/>
              </w:rPr>
            </w:pPr>
          </w:p>
        </w:tc>
        <w:tc>
          <w:tcPr>
            <w:tcW w:w="900" w:type="dxa"/>
          </w:tcPr>
          <w:p>
            <w:pPr>
              <w:pStyle w:val="30"/>
              <w:rPr>
                <w:rFonts w:ascii="Times New Roman"/>
                <w:sz w:val="20"/>
              </w:rPr>
            </w:pPr>
          </w:p>
        </w:tc>
        <w:tc>
          <w:tcPr>
            <w:tcW w:w="750" w:type="dxa"/>
          </w:tcPr>
          <w:p>
            <w:pPr>
              <w:pStyle w:val="30"/>
              <w:rPr>
                <w:rFonts w:ascii="Times New Roman"/>
                <w:sz w:val="20"/>
              </w:rPr>
            </w:pPr>
          </w:p>
        </w:tc>
        <w:tc>
          <w:tcPr>
            <w:tcW w:w="690" w:type="dxa"/>
          </w:tcPr>
          <w:p>
            <w:pPr>
              <w:pStyle w:val="30"/>
              <w:rPr>
                <w:rFonts w:ascii="Times New Roman"/>
                <w:sz w:val="20"/>
              </w:rPr>
            </w:pPr>
          </w:p>
        </w:tc>
        <w:tc>
          <w:tcPr>
            <w:tcW w:w="810" w:type="dxa"/>
          </w:tcPr>
          <w:p>
            <w:pPr>
              <w:pStyle w:val="30"/>
              <w:rPr>
                <w:rFonts w:ascii="Times New Roman"/>
                <w:sz w:val="20"/>
              </w:rPr>
            </w:pPr>
          </w:p>
        </w:tc>
        <w:tc>
          <w:tcPr>
            <w:tcW w:w="1140" w:type="dxa"/>
          </w:tcPr>
          <w:p>
            <w:pPr>
              <w:pStyle w:val="30"/>
              <w:rPr>
                <w:rFonts w:ascii="Times New Roman"/>
                <w:sz w:val="20"/>
              </w:rPr>
            </w:pPr>
          </w:p>
        </w:tc>
      </w:tr>
    </w:tbl>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spacing w:before="7"/>
        <w:rPr>
          <w:sz w:val="28"/>
        </w:rPr>
      </w:pPr>
    </w:p>
    <w:p>
      <w:pPr>
        <w:spacing w:before="69"/>
        <w:ind w:left="718"/>
        <w:rPr>
          <w:rFonts w:ascii="宋体" w:eastAsia="宋体"/>
          <w:sz w:val="21"/>
        </w:rPr>
      </w:pPr>
      <w:r>
        <w:rPr>
          <w:rFonts w:hint="eastAsia" w:ascii="宋体" w:eastAsia="宋体"/>
          <w:sz w:val="21"/>
        </w:rPr>
        <w:t>以上货物价款包括送达需方单位的运输、搬卸、安装、调试、服务、人员培训、税金等费用。</w:t>
      </w: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spacing w:before="12"/>
        <w:rPr>
          <w:sz w:val="15"/>
        </w:rPr>
      </w:pPr>
    </w:p>
    <w:p>
      <w:pPr>
        <w:pStyle w:val="12"/>
        <w:tabs>
          <w:tab w:val="left" w:pos="9777"/>
        </w:tabs>
        <w:ind w:left="6118"/>
        <w:rPr>
          <w:rFonts w:ascii="Times New Roman" w:eastAsia="Times New Roman"/>
        </w:rPr>
      </w:pPr>
      <w:r>
        <w:rPr>
          <w:spacing w:val="-1"/>
        </w:rPr>
        <w:t>供应</w:t>
      </w:r>
      <w:r>
        <w:t>商(盖章):</w:t>
      </w:r>
      <w:r>
        <w:rPr>
          <w:rFonts w:ascii="Times New Roman" w:eastAsia="Times New Roman"/>
          <w:u w:val="single"/>
        </w:rPr>
        <w:t xml:space="preserve"> </w:t>
      </w:r>
      <w:r>
        <w:rPr>
          <w:rFonts w:ascii="Times New Roman" w:eastAsia="Times New Roman"/>
          <w:u w:val="single"/>
        </w:rPr>
        <w:tab/>
      </w:r>
    </w:p>
    <w:p>
      <w:pPr>
        <w:pStyle w:val="12"/>
        <w:rPr>
          <w:rFonts w:ascii="Times New Roman"/>
          <w:sz w:val="20"/>
        </w:rPr>
      </w:pPr>
    </w:p>
    <w:p>
      <w:pPr>
        <w:pStyle w:val="12"/>
        <w:spacing w:before="10"/>
        <w:rPr>
          <w:rFonts w:ascii="Times New Roman"/>
          <w:sz w:val="28"/>
        </w:rPr>
      </w:pPr>
    </w:p>
    <w:p>
      <w:pPr>
        <w:pStyle w:val="12"/>
        <w:tabs>
          <w:tab w:val="left" w:pos="479"/>
          <w:tab w:val="left" w:pos="959"/>
        </w:tabs>
        <w:spacing w:before="66"/>
        <w:ind w:right="726"/>
        <w:jc w:val="right"/>
      </w:pPr>
      <w:r>
        <w:t>年</w:t>
      </w:r>
      <w:r>
        <w:tab/>
      </w:r>
      <w:r>
        <w:t>月</w:t>
      </w:r>
      <w:r>
        <w:tab/>
      </w:r>
      <w:r>
        <w:t>日</w:t>
      </w:r>
    </w:p>
    <w:p>
      <w:pPr>
        <w:jc w:val="right"/>
        <w:sectPr>
          <w:pgSz w:w="11910" w:h="16840"/>
          <w:pgMar w:top="919" w:right="743" w:bottom="1021" w:left="697" w:header="882" w:footer="1078" w:gutter="0"/>
          <w:cols w:space="720" w:num="1"/>
        </w:sectPr>
      </w:pPr>
    </w:p>
    <w:p>
      <w:pPr>
        <w:pStyle w:val="12"/>
        <w:rPr>
          <w:sz w:val="20"/>
        </w:rPr>
      </w:pPr>
    </w:p>
    <w:p>
      <w:pPr>
        <w:pStyle w:val="12"/>
        <w:rPr>
          <w:sz w:val="20"/>
        </w:rPr>
      </w:pPr>
    </w:p>
    <w:p>
      <w:pPr>
        <w:pStyle w:val="12"/>
        <w:spacing w:before="1"/>
        <w:rPr>
          <w:sz w:val="26"/>
        </w:rPr>
      </w:pPr>
    </w:p>
    <w:p>
      <w:pPr>
        <w:pStyle w:val="12"/>
        <w:spacing w:before="66"/>
        <w:ind w:left="40" w:right="249"/>
        <w:jc w:val="center"/>
      </w:pPr>
      <w:bookmarkStart w:id="61" w:name="备件专用工具价格表(若无不用填写)"/>
      <w:bookmarkEnd w:id="61"/>
      <w:r>
        <w:t>备件专用工具价格表(若无不用填写)</w:t>
      </w:r>
    </w:p>
    <w:p>
      <w:pPr>
        <w:pStyle w:val="12"/>
        <w:spacing w:before="161"/>
        <w:ind w:left="718"/>
      </w:pPr>
      <w:bookmarkStart w:id="62" w:name="（以下为参考格式）"/>
      <w:bookmarkEnd w:id="62"/>
      <w:r>
        <w:t>（以下为参考格式）</w:t>
      </w:r>
    </w:p>
    <w:p>
      <w:pPr>
        <w:pStyle w:val="12"/>
      </w:pPr>
    </w:p>
    <w:p>
      <w:pPr>
        <w:pStyle w:val="12"/>
        <w:rPr>
          <w:sz w:val="25"/>
        </w:rPr>
      </w:pPr>
    </w:p>
    <w:p>
      <w:pPr>
        <w:pStyle w:val="12"/>
        <w:ind w:left="718"/>
      </w:pPr>
      <w:r>
        <w:t>报价单位：人民币元</w:t>
      </w:r>
    </w:p>
    <w:p>
      <w:pPr>
        <w:pStyle w:val="12"/>
        <w:spacing w:before="3"/>
        <w:rPr>
          <w:sz w:val="6"/>
        </w:rPr>
      </w:pPr>
    </w:p>
    <w:tbl>
      <w:tblPr>
        <w:tblStyle w:val="24"/>
        <w:tblW w:w="0" w:type="auto"/>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9"/>
        <w:gridCol w:w="1438"/>
        <w:gridCol w:w="1661"/>
        <w:gridCol w:w="1332"/>
        <w:gridCol w:w="1001"/>
        <w:gridCol w:w="1001"/>
        <w:gridCol w:w="1001"/>
        <w:gridCol w:w="1001"/>
        <w:gridCol w:w="10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789" w:type="dxa"/>
          </w:tcPr>
          <w:p>
            <w:pPr>
              <w:pStyle w:val="30"/>
              <w:spacing w:before="168"/>
              <w:ind w:left="184"/>
              <w:rPr>
                <w:rFonts w:ascii="宋体" w:eastAsia="宋体"/>
                <w:sz w:val="21"/>
              </w:rPr>
            </w:pPr>
            <w:r>
              <w:rPr>
                <w:rFonts w:hint="eastAsia" w:ascii="宋体" w:eastAsia="宋体"/>
                <w:sz w:val="21"/>
              </w:rPr>
              <w:t>序号</w:t>
            </w:r>
          </w:p>
        </w:tc>
        <w:tc>
          <w:tcPr>
            <w:tcW w:w="1438" w:type="dxa"/>
          </w:tcPr>
          <w:p>
            <w:pPr>
              <w:pStyle w:val="30"/>
              <w:spacing w:before="168"/>
              <w:ind w:left="488" w:right="480"/>
              <w:jc w:val="center"/>
              <w:rPr>
                <w:rFonts w:ascii="宋体" w:eastAsia="宋体"/>
                <w:sz w:val="21"/>
              </w:rPr>
            </w:pPr>
            <w:r>
              <w:rPr>
                <w:rFonts w:hint="eastAsia" w:ascii="宋体" w:eastAsia="宋体"/>
                <w:sz w:val="21"/>
              </w:rPr>
              <w:t>名称</w:t>
            </w:r>
          </w:p>
        </w:tc>
        <w:tc>
          <w:tcPr>
            <w:tcW w:w="1661" w:type="dxa"/>
          </w:tcPr>
          <w:p>
            <w:pPr>
              <w:pStyle w:val="30"/>
              <w:spacing w:before="168"/>
              <w:ind w:left="410"/>
              <w:rPr>
                <w:rFonts w:ascii="宋体" w:eastAsia="宋体"/>
                <w:sz w:val="21"/>
              </w:rPr>
            </w:pPr>
            <w:r>
              <w:rPr>
                <w:rFonts w:hint="eastAsia" w:ascii="宋体" w:eastAsia="宋体"/>
                <w:sz w:val="21"/>
              </w:rPr>
              <w:t>规格型号</w:t>
            </w:r>
          </w:p>
        </w:tc>
        <w:tc>
          <w:tcPr>
            <w:tcW w:w="1332" w:type="dxa"/>
          </w:tcPr>
          <w:p>
            <w:pPr>
              <w:pStyle w:val="30"/>
              <w:spacing w:before="168"/>
              <w:ind w:left="350"/>
              <w:rPr>
                <w:rFonts w:ascii="宋体" w:eastAsia="宋体"/>
                <w:sz w:val="21"/>
              </w:rPr>
            </w:pPr>
            <w:r>
              <w:rPr>
                <w:rFonts w:hint="eastAsia" w:ascii="宋体" w:eastAsia="宋体"/>
                <w:sz w:val="21"/>
              </w:rPr>
              <w:t>制造商</w:t>
            </w:r>
          </w:p>
        </w:tc>
        <w:tc>
          <w:tcPr>
            <w:tcW w:w="1001" w:type="dxa"/>
          </w:tcPr>
          <w:p>
            <w:pPr>
              <w:pStyle w:val="30"/>
              <w:spacing w:before="168"/>
              <w:ind w:left="290"/>
              <w:rPr>
                <w:rFonts w:ascii="宋体" w:eastAsia="宋体"/>
                <w:sz w:val="21"/>
              </w:rPr>
            </w:pPr>
            <w:r>
              <w:rPr>
                <w:rFonts w:hint="eastAsia" w:ascii="宋体" w:eastAsia="宋体"/>
                <w:sz w:val="21"/>
              </w:rPr>
              <w:t>单位</w:t>
            </w:r>
          </w:p>
        </w:tc>
        <w:tc>
          <w:tcPr>
            <w:tcW w:w="1001" w:type="dxa"/>
          </w:tcPr>
          <w:p>
            <w:pPr>
              <w:pStyle w:val="30"/>
              <w:spacing w:before="168"/>
              <w:ind w:left="289"/>
              <w:rPr>
                <w:rFonts w:ascii="宋体" w:eastAsia="宋体"/>
                <w:sz w:val="21"/>
              </w:rPr>
            </w:pPr>
            <w:r>
              <w:rPr>
                <w:rFonts w:hint="eastAsia" w:ascii="宋体" w:eastAsia="宋体"/>
                <w:sz w:val="21"/>
              </w:rPr>
              <w:t>数量</w:t>
            </w:r>
          </w:p>
        </w:tc>
        <w:tc>
          <w:tcPr>
            <w:tcW w:w="1001" w:type="dxa"/>
          </w:tcPr>
          <w:p>
            <w:pPr>
              <w:pStyle w:val="30"/>
              <w:spacing w:before="168"/>
              <w:ind w:left="289"/>
              <w:rPr>
                <w:rFonts w:ascii="宋体" w:eastAsia="宋体"/>
                <w:sz w:val="21"/>
              </w:rPr>
            </w:pPr>
            <w:r>
              <w:rPr>
                <w:rFonts w:hint="eastAsia" w:ascii="宋体" w:eastAsia="宋体"/>
                <w:sz w:val="21"/>
              </w:rPr>
              <w:t>单价</w:t>
            </w:r>
          </w:p>
        </w:tc>
        <w:tc>
          <w:tcPr>
            <w:tcW w:w="1001" w:type="dxa"/>
          </w:tcPr>
          <w:p>
            <w:pPr>
              <w:pStyle w:val="30"/>
              <w:spacing w:before="168"/>
              <w:ind w:left="289"/>
              <w:rPr>
                <w:rFonts w:ascii="宋体" w:eastAsia="宋体"/>
                <w:sz w:val="21"/>
              </w:rPr>
            </w:pPr>
            <w:r>
              <w:rPr>
                <w:rFonts w:hint="eastAsia" w:ascii="宋体" w:eastAsia="宋体"/>
                <w:sz w:val="21"/>
              </w:rPr>
              <w:t>合计</w:t>
            </w:r>
          </w:p>
        </w:tc>
        <w:tc>
          <w:tcPr>
            <w:tcW w:w="1001" w:type="dxa"/>
          </w:tcPr>
          <w:p>
            <w:pPr>
              <w:pStyle w:val="30"/>
              <w:spacing w:before="168"/>
              <w:ind w:left="289"/>
              <w:rPr>
                <w:rFonts w:ascii="宋体" w:eastAsia="宋体"/>
                <w:sz w:val="21"/>
              </w:rPr>
            </w:pPr>
            <w:r>
              <w:rPr>
                <w:rFonts w:hint="eastAsia" w:ascii="宋体" w:eastAsia="宋体"/>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789" w:type="dxa"/>
          </w:tcPr>
          <w:p>
            <w:pPr>
              <w:pStyle w:val="30"/>
              <w:rPr>
                <w:rFonts w:ascii="Times New Roman"/>
                <w:sz w:val="20"/>
              </w:rPr>
            </w:pPr>
          </w:p>
        </w:tc>
        <w:tc>
          <w:tcPr>
            <w:tcW w:w="1438" w:type="dxa"/>
          </w:tcPr>
          <w:p>
            <w:pPr>
              <w:pStyle w:val="30"/>
              <w:rPr>
                <w:rFonts w:ascii="Times New Roman"/>
                <w:sz w:val="20"/>
              </w:rPr>
            </w:pPr>
          </w:p>
        </w:tc>
        <w:tc>
          <w:tcPr>
            <w:tcW w:w="1661" w:type="dxa"/>
          </w:tcPr>
          <w:p>
            <w:pPr>
              <w:pStyle w:val="30"/>
              <w:rPr>
                <w:rFonts w:ascii="Times New Roman"/>
                <w:sz w:val="20"/>
              </w:rPr>
            </w:pPr>
          </w:p>
        </w:tc>
        <w:tc>
          <w:tcPr>
            <w:tcW w:w="1332" w:type="dxa"/>
          </w:tcPr>
          <w:p>
            <w:pPr>
              <w:pStyle w:val="30"/>
              <w:rPr>
                <w:rFonts w:ascii="Times New Roman"/>
                <w:sz w:val="20"/>
              </w:rPr>
            </w:pPr>
          </w:p>
        </w:tc>
        <w:tc>
          <w:tcPr>
            <w:tcW w:w="1001" w:type="dxa"/>
          </w:tcPr>
          <w:p>
            <w:pPr>
              <w:pStyle w:val="30"/>
              <w:rPr>
                <w:rFonts w:ascii="Times New Roman"/>
                <w:sz w:val="20"/>
              </w:rPr>
            </w:pPr>
          </w:p>
        </w:tc>
        <w:tc>
          <w:tcPr>
            <w:tcW w:w="1001" w:type="dxa"/>
          </w:tcPr>
          <w:p>
            <w:pPr>
              <w:pStyle w:val="30"/>
              <w:rPr>
                <w:rFonts w:ascii="Times New Roman"/>
                <w:sz w:val="20"/>
              </w:rPr>
            </w:pPr>
          </w:p>
        </w:tc>
        <w:tc>
          <w:tcPr>
            <w:tcW w:w="1001" w:type="dxa"/>
          </w:tcPr>
          <w:p>
            <w:pPr>
              <w:pStyle w:val="30"/>
              <w:rPr>
                <w:rFonts w:ascii="Times New Roman"/>
                <w:sz w:val="20"/>
              </w:rPr>
            </w:pPr>
          </w:p>
        </w:tc>
        <w:tc>
          <w:tcPr>
            <w:tcW w:w="1001" w:type="dxa"/>
          </w:tcPr>
          <w:p>
            <w:pPr>
              <w:pStyle w:val="30"/>
              <w:rPr>
                <w:rFonts w:ascii="Times New Roman"/>
                <w:sz w:val="20"/>
              </w:rPr>
            </w:pPr>
          </w:p>
        </w:tc>
        <w:tc>
          <w:tcPr>
            <w:tcW w:w="1001" w:type="dxa"/>
          </w:tcPr>
          <w:p>
            <w:pPr>
              <w:pStyle w:val="3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789" w:type="dxa"/>
          </w:tcPr>
          <w:p>
            <w:pPr>
              <w:pStyle w:val="30"/>
              <w:rPr>
                <w:rFonts w:ascii="Times New Roman"/>
                <w:sz w:val="20"/>
              </w:rPr>
            </w:pPr>
          </w:p>
        </w:tc>
        <w:tc>
          <w:tcPr>
            <w:tcW w:w="1438" w:type="dxa"/>
          </w:tcPr>
          <w:p>
            <w:pPr>
              <w:pStyle w:val="30"/>
              <w:rPr>
                <w:rFonts w:ascii="Times New Roman"/>
                <w:sz w:val="20"/>
              </w:rPr>
            </w:pPr>
          </w:p>
        </w:tc>
        <w:tc>
          <w:tcPr>
            <w:tcW w:w="1661" w:type="dxa"/>
          </w:tcPr>
          <w:p>
            <w:pPr>
              <w:pStyle w:val="30"/>
              <w:rPr>
                <w:rFonts w:ascii="Times New Roman"/>
                <w:sz w:val="20"/>
              </w:rPr>
            </w:pPr>
          </w:p>
        </w:tc>
        <w:tc>
          <w:tcPr>
            <w:tcW w:w="1332" w:type="dxa"/>
          </w:tcPr>
          <w:p>
            <w:pPr>
              <w:pStyle w:val="30"/>
              <w:rPr>
                <w:rFonts w:ascii="Times New Roman"/>
                <w:sz w:val="20"/>
              </w:rPr>
            </w:pPr>
          </w:p>
        </w:tc>
        <w:tc>
          <w:tcPr>
            <w:tcW w:w="1001" w:type="dxa"/>
          </w:tcPr>
          <w:p>
            <w:pPr>
              <w:pStyle w:val="30"/>
              <w:rPr>
                <w:rFonts w:ascii="Times New Roman"/>
                <w:sz w:val="20"/>
              </w:rPr>
            </w:pPr>
          </w:p>
        </w:tc>
        <w:tc>
          <w:tcPr>
            <w:tcW w:w="1001" w:type="dxa"/>
          </w:tcPr>
          <w:p>
            <w:pPr>
              <w:pStyle w:val="30"/>
              <w:rPr>
                <w:rFonts w:ascii="Times New Roman"/>
                <w:sz w:val="20"/>
              </w:rPr>
            </w:pPr>
          </w:p>
        </w:tc>
        <w:tc>
          <w:tcPr>
            <w:tcW w:w="1001" w:type="dxa"/>
          </w:tcPr>
          <w:p>
            <w:pPr>
              <w:pStyle w:val="30"/>
              <w:rPr>
                <w:rFonts w:ascii="Times New Roman"/>
                <w:sz w:val="20"/>
              </w:rPr>
            </w:pPr>
          </w:p>
        </w:tc>
        <w:tc>
          <w:tcPr>
            <w:tcW w:w="1001" w:type="dxa"/>
          </w:tcPr>
          <w:p>
            <w:pPr>
              <w:pStyle w:val="30"/>
              <w:rPr>
                <w:rFonts w:ascii="Times New Roman"/>
                <w:sz w:val="20"/>
              </w:rPr>
            </w:pPr>
          </w:p>
        </w:tc>
        <w:tc>
          <w:tcPr>
            <w:tcW w:w="1001" w:type="dxa"/>
          </w:tcPr>
          <w:p>
            <w:pPr>
              <w:pStyle w:val="3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789" w:type="dxa"/>
          </w:tcPr>
          <w:p>
            <w:pPr>
              <w:pStyle w:val="30"/>
              <w:rPr>
                <w:rFonts w:ascii="Times New Roman"/>
                <w:sz w:val="20"/>
              </w:rPr>
            </w:pPr>
          </w:p>
        </w:tc>
        <w:tc>
          <w:tcPr>
            <w:tcW w:w="1438" w:type="dxa"/>
          </w:tcPr>
          <w:p>
            <w:pPr>
              <w:pStyle w:val="30"/>
              <w:rPr>
                <w:rFonts w:ascii="Times New Roman"/>
                <w:sz w:val="20"/>
              </w:rPr>
            </w:pPr>
          </w:p>
        </w:tc>
        <w:tc>
          <w:tcPr>
            <w:tcW w:w="1661" w:type="dxa"/>
          </w:tcPr>
          <w:p>
            <w:pPr>
              <w:pStyle w:val="30"/>
              <w:rPr>
                <w:rFonts w:ascii="Times New Roman"/>
                <w:sz w:val="20"/>
              </w:rPr>
            </w:pPr>
          </w:p>
        </w:tc>
        <w:tc>
          <w:tcPr>
            <w:tcW w:w="1332" w:type="dxa"/>
          </w:tcPr>
          <w:p>
            <w:pPr>
              <w:pStyle w:val="30"/>
              <w:rPr>
                <w:rFonts w:ascii="Times New Roman"/>
                <w:sz w:val="20"/>
              </w:rPr>
            </w:pPr>
          </w:p>
        </w:tc>
        <w:tc>
          <w:tcPr>
            <w:tcW w:w="1001" w:type="dxa"/>
          </w:tcPr>
          <w:p>
            <w:pPr>
              <w:pStyle w:val="30"/>
              <w:rPr>
                <w:rFonts w:ascii="Times New Roman"/>
                <w:sz w:val="20"/>
              </w:rPr>
            </w:pPr>
          </w:p>
        </w:tc>
        <w:tc>
          <w:tcPr>
            <w:tcW w:w="1001" w:type="dxa"/>
          </w:tcPr>
          <w:p>
            <w:pPr>
              <w:pStyle w:val="30"/>
              <w:rPr>
                <w:rFonts w:ascii="Times New Roman"/>
                <w:sz w:val="20"/>
              </w:rPr>
            </w:pPr>
          </w:p>
        </w:tc>
        <w:tc>
          <w:tcPr>
            <w:tcW w:w="1001" w:type="dxa"/>
          </w:tcPr>
          <w:p>
            <w:pPr>
              <w:pStyle w:val="30"/>
              <w:rPr>
                <w:rFonts w:ascii="Times New Roman"/>
                <w:sz w:val="20"/>
              </w:rPr>
            </w:pPr>
          </w:p>
        </w:tc>
        <w:tc>
          <w:tcPr>
            <w:tcW w:w="1001" w:type="dxa"/>
          </w:tcPr>
          <w:p>
            <w:pPr>
              <w:pStyle w:val="30"/>
              <w:rPr>
                <w:rFonts w:ascii="Times New Roman"/>
                <w:sz w:val="20"/>
              </w:rPr>
            </w:pPr>
          </w:p>
        </w:tc>
        <w:tc>
          <w:tcPr>
            <w:tcW w:w="1001" w:type="dxa"/>
          </w:tcPr>
          <w:p>
            <w:pPr>
              <w:pStyle w:val="3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789" w:type="dxa"/>
          </w:tcPr>
          <w:p>
            <w:pPr>
              <w:pStyle w:val="30"/>
              <w:rPr>
                <w:rFonts w:ascii="Times New Roman"/>
                <w:sz w:val="20"/>
              </w:rPr>
            </w:pPr>
          </w:p>
        </w:tc>
        <w:tc>
          <w:tcPr>
            <w:tcW w:w="1438" w:type="dxa"/>
          </w:tcPr>
          <w:p>
            <w:pPr>
              <w:pStyle w:val="30"/>
              <w:rPr>
                <w:rFonts w:ascii="Times New Roman"/>
                <w:sz w:val="20"/>
              </w:rPr>
            </w:pPr>
          </w:p>
        </w:tc>
        <w:tc>
          <w:tcPr>
            <w:tcW w:w="1661" w:type="dxa"/>
          </w:tcPr>
          <w:p>
            <w:pPr>
              <w:pStyle w:val="30"/>
              <w:rPr>
                <w:rFonts w:ascii="Times New Roman"/>
                <w:sz w:val="20"/>
              </w:rPr>
            </w:pPr>
          </w:p>
        </w:tc>
        <w:tc>
          <w:tcPr>
            <w:tcW w:w="1332" w:type="dxa"/>
          </w:tcPr>
          <w:p>
            <w:pPr>
              <w:pStyle w:val="30"/>
              <w:rPr>
                <w:rFonts w:ascii="Times New Roman"/>
                <w:sz w:val="20"/>
              </w:rPr>
            </w:pPr>
          </w:p>
        </w:tc>
        <w:tc>
          <w:tcPr>
            <w:tcW w:w="1001" w:type="dxa"/>
          </w:tcPr>
          <w:p>
            <w:pPr>
              <w:pStyle w:val="30"/>
              <w:rPr>
                <w:rFonts w:ascii="Times New Roman"/>
                <w:sz w:val="20"/>
              </w:rPr>
            </w:pPr>
          </w:p>
        </w:tc>
        <w:tc>
          <w:tcPr>
            <w:tcW w:w="1001" w:type="dxa"/>
          </w:tcPr>
          <w:p>
            <w:pPr>
              <w:pStyle w:val="30"/>
              <w:rPr>
                <w:rFonts w:ascii="Times New Roman"/>
                <w:sz w:val="20"/>
              </w:rPr>
            </w:pPr>
          </w:p>
        </w:tc>
        <w:tc>
          <w:tcPr>
            <w:tcW w:w="1001" w:type="dxa"/>
          </w:tcPr>
          <w:p>
            <w:pPr>
              <w:pStyle w:val="30"/>
              <w:rPr>
                <w:rFonts w:ascii="Times New Roman"/>
                <w:sz w:val="20"/>
              </w:rPr>
            </w:pPr>
          </w:p>
        </w:tc>
        <w:tc>
          <w:tcPr>
            <w:tcW w:w="1001" w:type="dxa"/>
          </w:tcPr>
          <w:p>
            <w:pPr>
              <w:pStyle w:val="30"/>
              <w:rPr>
                <w:rFonts w:ascii="Times New Roman"/>
                <w:sz w:val="20"/>
              </w:rPr>
            </w:pPr>
          </w:p>
        </w:tc>
        <w:tc>
          <w:tcPr>
            <w:tcW w:w="1001" w:type="dxa"/>
          </w:tcPr>
          <w:p>
            <w:pPr>
              <w:pStyle w:val="3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789" w:type="dxa"/>
          </w:tcPr>
          <w:p>
            <w:pPr>
              <w:pStyle w:val="30"/>
              <w:rPr>
                <w:rFonts w:ascii="Times New Roman"/>
                <w:sz w:val="20"/>
              </w:rPr>
            </w:pPr>
          </w:p>
        </w:tc>
        <w:tc>
          <w:tcPr>
            <w:tcW w:w="1438" w:type="dxa"/>
          </w:tcPr>
          <w:p>
            <w:pPr>
              <w:pStyle w:val="30"/>
              <w:rPr>
                <w:rFonts w:ascii="Times New Roman"/>
                <w:sz w:val="20"/>
              </w:rPr>
            </w:pPr>
          </w:p>
        </w:tc>
        <w:tc>
          <w:tcPr>
            <w:tcW w:w="1661" w:type="dxa"/>
          </w:tcPr>
          <w:p>
            <w:pPr>
              <w:pStyle w:val="30"/>
              <w:rPr>
                <w:rFonts w:ascii="Times New Roman"/>
                <w:sz w:val="20"/>
              </w:rPr>
            </w:pPr>
          </w:p>
        </w:tc>
        <w:tc>
          <w:tcPr>
            <w:tcW w:w="1332" w:type="dxa"/>
          </w:tcPr>
          <w:p>
            <w:pPr>
              <w:pStyle w:val="30"/>
              <w:rPr>
                <w:rFonts w:ascii="Times New Roman"/>
                <w:sz w:val="20"/>
              </w:rPr>
            </w:pPr>
          </w:p>
        </w:tc>
        <w:tc>
          <w:tcPr>
            <w:tcW w:w="1001" w:type="dxa"/>
          </w:tcPr>
          <w:p>
            <w:pPr>
              <w:pStyle w:val="30"/>
              <w:rPr>
                <w:rFonts w:ascii="Times New Roman"/>
                <w:sz w:val="20"/>
              </w:rPr>
            </w:pPr>
          </w:p>
        </w:tc>
        <w:tc>
          <w:tcPr>
            <w:tcW w:w="1001" w:type="dxa"/>
          </w:tcPr>
          <w:p>
            <w:pPr>
              <w:pStyle w:val="30"/>
              <w:rPr>
                <w:rFonts w:ascii="Times New Roman"/>
                <w:sz w:val="20"/>
              </w:rPr>
            </w:pPr>
          </w:p>
        </w:tc>
        <w:tc>
          <w:tcPr>
            <w:tcW w:w="1001" w:type="dxa"/>
          </w:tcPr>
          <w:p>
            <w:pPr>
              <w:pStyle w:val="30"/>
              <w:rPr>
                <w:rFonts w:ascii="Times New Roman"/>
                <w:sz w:val="20"/>
              </w:rPr>
            </w:pPr>
          </w:p>
        </w:tc>
        <w:tc>
          <w:tcPr>
            <w:tcW w:w="1001" w:type="dxa"/>
          </w:tcPr>
          <w:p>
            <w:pPr>
              <w:pStyle w:val="30"/>
              <w:rPr>
                <w:rFonts w:ascii="Times New Roman"/>
                <w:sz w:val="20"/>
              </w:rPr>
            </w:pPr>
          </w:p>
        </w:tc>
        <w:tc>
          <w:tcPr>
            <w:tcW w:w="1001" w:type="dxa"/>
          </w:tcPr>
          <w:p>
            <w:pPr>
              <w:pStyle w:val="3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789" w:type="dxa"/>
          </w:tcPr>
          <w:p>
            <w:pPr>
              <w:pStyle w:val="30"/>
              <w:rPr>
                <w:rFonts w:ascii="Times New Roman"/>
                <w:sz w:val="20"/>
              </w:rPr>
            </w:pPr>
          </w:p>
        </w:tc>
        <w:tc>
          <w:tcPr>
            <w:tcW w:w="1438" w:type="dxa"/>
          </w:tcPr>
          <w:p>
            <w:pPr>
              <w:pStyle w:val="30"/>
              <w:rPr>
                <w:rFonts w:ascii="Times New Roman"/>
                <w:sz w:val="20"/>
              </w:rPr>
            </w:pPr>
          </w:p>
        </w:tc>
        <w:tc>
          <w:tcPr>
            <w:tcW w:w="1661" w:type="dxa"/>
          </w:tcPr>
          <w:p>
            <w:pPr>
              <w:pStyle w:val="30"/>
              <w:rPr>
                <w:rFonts w:ascii="Times New Roman"/>
                <w:sz w:val="20"/>
              </w:rPr>
            </w:pPr>
          </w:p>
        </w:tc>
        <w:tc>
          <w:tcPr>
            <w:tcW w:w="1332" w:type="dxa"/>
          </w:tcPr>
          <w:p>
            <w:pPr>
              <w:pStyle w:val="30"/>
              <w:rPr>
                <w:rFonts w:ascii="Times New Roman"/>
                <w:sz w:val="20"/>
              </w:rPr>
            </w:pPr>
          </w:p>
        </w:tc>
        <w:tc>
          <w:tcPr>
            <w:tcW w:w="1001" w:type="dxa"/>
          </w:tcPr>
          <w:p>
            <w:pPr>
              <w:pStyle w:val="30"/>
              <w:rPr>
                <w:rFonts w:ascii="Times New Roman"/>
                <w:sz w:val="20"/>
              </w:rPr>
            </w:pPr>
          </w:p>
        </w:tc>
        <w:tc>
          <w:tcPr>
            <w:tcW w:w="1001" w:type="dxa"/>
          </w:tcPr>
          <w:p>
            <w:pPr>
              <w:pStyle w:val="30"/>
              <w:rPr>
                <w:rFonts w:ascii="Times New Roman"/>
                <w:sz w:val="20"/>
              </w:rPr>
            </w:pPr>
          </w:p>
        </w:tc>
        <w:tc>
          <w:tcPr>
            <w:tcW w:w="1001" w:type="dxa"/>
          </w:tcPr>
          <w:p>
            <w:pPr>
              <w:pStyle w:val="30"/>
              <w:rPr>
                <w:rFonts w:ascii="Times New Roman"/>
                <w:sz w:val="20"/>
              </w:rPr>
            </w:pPr>
          </w:p>
        </w:tc>
        <w:tc>
          <w:tcPr>
            <w:tcW w:w="1001" w:type="dxa"/>
          </w:tcPr>
          <w:p>
            <w:pPr>
              <w:pStyle w:val="30"/>
              <w:rPr>
                <w:rFonts w:ascii="Times New Roman"/>
                <w:sz w:val="20"/>
              </w:rPr>
            </w:pPr>
          </w:p>
        </w:tc>
        <w:tc>
          <w:tcPr>
            <w:tcW w:w="1001" w:type="dxa"/>
          </w:tcPr>
          <w:p>
            <w:pPr>
              <w:pStyle w:val="3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789" w:type="dxa"/>
          </w:tcPr>
          <w:p>
            <w:pPr>
              <w:pStyle w:val="30"/>
              <w:rPr>
                <w:rFonts w:ascii="Times New Roman"/>
                <w:sz w:val="20"/>
              </w:rPr>
            </w:pPr>
          </w:p>
        </w:tc>
        <w:tc>
          <w:tcPr>
            <w:tcW w:w="1438" w:type="dxa"/>
          </w:tcPr>
          <w:p>
            <w:pPr>
              <w:pStyle w:val="30"/>
              <w:rPr>
                <w:rFonts w:ascii="Times New Roman"/>
                <w:sz w:val="20"/>
              </w:rPr>
            </w:pPr>
          </w:p>
        </w:tc>
        <w:tc>
          <w:tcPr>
            <w:tcW w:w="1661" w:type="dxa"/>
          </w:tcPr>
          <w:p>
            <w:pPr>
              <w:pStyle w:val="30"/>
              <w:rPr>
                <w:rFonts w:ascii="Times New Roman"/>
                <w:sz w:val="20"/>
              </w:rPr>
            </w:pPr>
          </w:p>
        </w:tc>
        <w:tc>
          <w:tcPr>
            <w:tcW w:w="1332" w:type="dxa"/>
          </w:tcPr>
          <w:p>
            <w:pPr>
              <w:pStyle w:val="30"/>
              <w:rPr>
                <w:rFonts w:ascii="Times New Roman"/>
                <w:sz w:val="20"/>
              </w:rPr>
            </w:pPr>
          </w:p>
        </w:tc>
        <w:tc>
          <w:tcPr>
            <w:tcW w:w="1001" w:type="dxa"/>
          </w:tcPr>
          <w:p>
            <w:pPr>
              <w:pStyle w:val="30"/>
              <w:rPr>
                <w:rFonts w:ascii="Times New Roman"/>
                <w:sz w:val="20"/>
              </w:rPr>
            </w:pPr>
          </w:p>
        </w:tc>
        <w:tc>
          <w:tcPr>
            <w:tcW w:w="1001" w:type="dxa"/>
          </w:tcPr>
          <w:p>
            <w:pPr>
              <w:pStyle w:val="30"/>
              <w:rPr>
                <w:rFonts w:ascii="Times New Roman"/>
                <w:sz w:val="20"/>
              </w:rPr>
            </w:pPr>
          </w:p>
        </w:tc>
        <w:tc>
          <w:tcPr>
            <w:tcW w:w="1001" w:type="dxa"/>
          </w:tcPr>
          <w:p>
            <w:pPr>
              <w:pStyle w:val="30"/>
              <w:rPr>
                <w:rFonts w:ascii="Times New Roman"/>
                <w:sz w:val="20"/>
              </w:rPr>
            </w:pPr>
          </w:p>
        </w:tc>
        <w:tc>
          <w:tcPr>
            <w:tcW w:w="1001" w:type="dxa"/>
          </w:tcPr>
          <w:p>
            <w:pPr>
              <w:pStyle w:val="30"/>
              <w:rPr>
                <w:rFonts w:ascii="Times New Roman"/>
                <w:sz w:val="20"/>
              </w:rPr>
            </w:pPr>
          </w:p>
        </w:tc>
        <w:tc>
          <w:tcPr>
            <w:tcW w:w="1001" w:type="dxa"/>
          </w:tcPr>
          <w:p>
            <w:pPr>
              <w:pStyle w:val="30"/>
              <w:rPr>
                <w:rFonts w:ascii="Times New Roman"/>
                <w:sz w:val="20"/>
              </w:rPr>
            </w:pPr>
          </w:p>
        </w:tc>
      </w:tr>
    </w:tbl>
    <w:p>
      <w:pPr>
        <w:pStyle w:val="12"/>
        <w:rPr>
          <w:sz w:val="20"/>
        </w:rPr>
      </w:pPr>
    </w:p>
    <w:p>
      <w:pPr>
        <w:pStyle w:val="12"/>
        <w:rPr>
          <w:sz w:val="20"/>
        </w:rPr>
      </w:pPr>
    </w:p>
    <w:p>
      <w:pPr>
        <w:pStyle w:val="12"/>
        <w:rPr>
          <w:sz w:val="20"/>
        </w:rPr>
      </w:pPr>
    </w:p>
    <w:p>
      <w:pPr>
        <w:pStyle w:val="12"/>
        <w:spacing w:before="4"/>
        <w:rPr>
          <w:sz w:val="19"/>
        </w:rPr>
      </w:pPr>
    </w:p>
    <w:p>
      <w:pPr>
        <w:pStyle w:val="12"/>
        <w:tabs>
          <w:tab w:val="left" w:pos="5337"/>
        </w:tabs>
        <w:spacing w:before="1"/>
        <w:ind w:left="718"/>
        <w:rPr>
          <w:rFonts w:ascii="Times New Roman" w:eastAsia="Times New Roman"/>
        </w:rPr>
      </w:pPr>
      <w:r>
        <w:t>供应商(盖章):</w:t>
      </w:r>
      <w:r>
        <w:rPr>
          <w:spacing w:val="-1"/>
        </w:rPr>
        <w:t xml:space="preserve"> </w:t>
      </w:r>
      <w:r>
        <w:rPr>
          <w:rFonts w:ascii="Times New Roman" w:eastAsia="Times New Roman"/>
          <w:u w:val="single"/>
        </w:rPr>
        <w:t xml:space="preserve"> </w:t>
      </w:r>
      <w:r>
        <w:rPr>
          <w:rFonts w:ascii="Times New Roman" w:eastAsia="Times New Roman"/>
          <w:u w:val="single"/>
        </w:rPr>
        <w:tab/>
      </w:r>
    </w:p>
    <w:p>
      <w:pPr>
        <w:pStyle w:val="12"/>
        <w:rPr>
          <w:rFonts w:ascii="Times New Roman"/>
          <w:sz w:val="20"/>
        </w:rPr>
      </w:pPr>
    </w:p>
    <w:p>
      <w:pPr>
        <w:pStyle w:val="12"/>
        <w:spacing w:before="10"/>
        <w:rPr>
          <w:rFonts w:ascii="Times New Roman"/>
          <w:sz w:val="28"/>
        </w:rPr>
      </w:pPr>
    </w:p>
    <w:p>
      <w:pPr>
        <w:pStyle w:val="12"/>
        <w:tabs>
          <w:tab w:val="left" w:pos="1918"/>
          <w:tab w:val="left" w:pos="2398"/>
        </w:tabs>
        <w:spacing w:before="66"/>
        <w:ind w:left="1438"/>
      </w:pPr>
      <w:r>
        <w:t>年</w:t>
      </w:r>
      <w:r>
        <w:tab/>
      </w:r>
      <w:r>
        <w:t>月</w:t>
      </w:r>
      <w:r>
        <w:tab/>
      </w:r>
      <w:r>
        <w:t>日</w:t>
      </w:r>
    </w:p>
    <w:p>
      <w:pPr>
        <w:sectPr>
          <w:pgSz w:w="11910" w:h="16840"/>
          <w:pgMar w:top="919" w:right="743" w:bottom="1021" w:left="697" w:header="882" w:footer="1078" w:gutter="0"/>
          <w:cols w:space="720" w:num="1"/>
        </w:sectPr>
      </w:pPr>
    </w:p>
    <w:p>
      <w:pPr>
        <w:pStyle w:val="12"/>
        <w:rPr>
          <w:sz w:val="20"/>
        </w:rPr>
      </w:pPr>
    </w:p>
    <w:p>
      <w:pPr>
        <w:pStyle w:val="12"/>
        <w:rPr>
          <w:sz w:val="20"/>
        </w:rPr>
      </w:pPr>
    </w:p>
    <w:p>
      <w:pPr>
        <w:pStyle w:val="12"/>
        <w:spacing w:before="1"/>
        <w:rPr>
          <w:sz w:val="26"/>
        </w:rPr>
      </w:pPr>
    </w:p>
    <w:p>
      <w:pPr>
        <w:spacing w:before="66"/>
        <w:ind w:left="40" w:right="273"/>
        <w:jc w:val="center"/>
        <w:rPr>
          <w:rFonts w:ascii="宋体" w:eastAsia="宋体"/>
          <w:b/>
          <w:sz w:val="24"/>
        </w:rPr>
      </w:pPr>
      <w:bookmarkStart w:id="63" w:name="三、技术规格偏差表（以下为参考格式）"/>
      <w:bookmarkEnd w:id="63"/>
      <w:r>
        <w:rPr>
          <w:rFonts w:hint="eastAsia" w:ascii="宋体" w:eastAsia="宋体"/>
          <w:b/>
          <w:sz w:val="24"/>
        </w:rPr>
        <w:t>三、技术规格偏差表（ 以下为参考格式）</w:t>
      </w:r>
    </w:p>
    <w:p>
      <w:pPr>
        <w:spacing w:before="161"/>
        <w:ind w:left="33"/>
        <w:jc w:val="center"/>
        <w:rPr>
          <w:rFonts w:ascii="宋体" w:eastAsia="宋体"/>
          <w:b/>
          <w:sz w:val="24"/>
        </w:rPr>
      </w:pPr>
      <w:r>
        <w:rPr>
          <w:rFonts w:hint="eastAsia" w:ascii="宋体" w:eastAsia="宋体"/>
          <w:b/>
          <w:sz w:val="24"/>
        </w:rPr>
        <w:t>技术参数偏离表</w:t>
      </w:r>
    </w:p>
    <w:p>
      <w:pPr>
        <w:pStyle w:val="12"/>
        <w:spacing w:before="3"/>
        <w:rPr>
          <w:b/>
          <w:sz w:val="6"/>
        </w:rPr>
      </w:pPr>
    </w:p>
    <w:tbl>
      <w:tblPr>
        <w:tblStyle w:val="24"/>
        <w:tblW w:w="0" w:type="auto"/>
        <w:tblInd w:w="5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6"/>
        <w:gridCol w:w="1476"/>
        <w:gridCol w:w="1792"/>
        <w:gridCol w:w="1985"/>
        <w:gridCol w:w="1984"/>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876" w:type="dxa"/>
            <w:shd w:val="clear" w:color="auto" w:fill="D6D6D6"/>
          </w:tcPr>
          <w:p>
            <w:pPr>
              <w:pStyle w:val="30"/>
              <w:spacing w:before="8"/>
              <w:rPr>
                <w:rFonts w:ascii="宋体"/>
                <w:b/>
                <w:sz w:val="24"/>
              </w:rPr>
            </w:pPr>
          </w:p>
          <w:p>
            <w:pPr>
              <w:pStyle w:val="30"/>
              <w:ind w:left="198"/>
              <w:rPr>
                <w:rFonts w:ascii="宋体" w:eastAsia="宋体"/>
                <w:sz w:val="24"/>
              </w:rPr>
            </w:pPr>
            <w:r>
              <w:rPr>
                <w:rFonts w:hint="eastAsia" w:ascii="宋体" w:eastAsia="宋体"/>
                <w:sz w:val="24"/>
              </w:rPr>
              <w:t>序号</w:t>
            </w:r>
          </w:p>
        </w:tc>
        <w:tc>
          <w:tcPr>
            <w:tcW w:w="1476" w:type="dxa"/>
            <w:shd w:val="clear" w:color="auto" w:fill="D6D6D6"/>
          </w:tcPr>
          <w:p>
            <w:pPr>
              <w:pStyle w:val="30"/>
              <w:spacing w:before="8"/>
              <w:rPr>
                <w:rFonts w:ascii="宋体"/>
                <w:b/>
                <w:sz w:val="24"/>
              </w:rPr>
            </w:pPr>
          </w:p>
          <w:p>
            <w:pPr>
              <w:pStyle w:val="30"/>
              <w:ind w:left="227"/>
              <w:rPr>
                <w:rFonts w:ascii="宋体" w:eastAsia="宋体"/>
                <w:sz w:val="24"/>
              </w:rPr>
            </w:pPr>
            <w:r>
              <w:rPr>
                <w:rFonts w:hint="eastAsia" w:ascii="宋体" w:eastAsia="宋体"/>
                <w:sz w:val="24"/>
              </w:rPr>
              <w:t>产品名称</w:t>
            </w:r>
          </w:p>
        </w:tc>
        <w:tc>
          <w:tcPr>
            <w:tcW w:w="1792" w:type="dxa"/>
            <w:shd w:val="clear" w:color="auto" w:fill="D6D6D6"/>
          </w:tcPr>
          <w:p>
            <w:pPr>
              <w:pStyle w:val="30"/>
              <w:spacing w:before="80"/>
              <w:ind w:left="154" w:right="147"/>
              <w:jc w:val="center"/>
              <w:rPr>
                <w:rFonts w:ascii="宋体" w:eastAsia="宋体"/>
                <w:sz w:val="24"/>
              </w:rPr>
            </w:pPr>
            <w:r>
              <w:rPr>
                <w:rFonts w:hint="eastAsia" w:ascii="宋体" w:eastAsia="宋体"/>
                <w:sz w:val="24"/>
              </w:rPr>
              <w:t>招标文件技术</w:t>
            </w:r>
          </w:p>
          <w:p>
            <w:pPr>
              <w:pStyle w:val="30"/>
              <w:spacing w:before="161"/>
              <w:ind w:left="154" w:right="147"/>
              <w:jc w:val="center"/>
              <w:rPr>
                <w:rFonts w:ascii="宋体" w:eastAsia="宋体"/>
                <w:sz w:val="24"/>
              </w:rPr>
            </w:pPr>
            <w:r>
              <w:rPr>
                <w:rFonts w:hint="eastAsia" w:ascii="宋体" w:eastAsia="宋体"/>
                <w:sz w:val="24"/>
              </w:rPr>
              <w:t>要求</w:t>
            </w:r>
          </w:p>
        </w:tc>
        <w:tc>
          <w:tcPr>
            <w:tcW w:w="1985" w:type="dxa"/>
            <w:shd w:val="clear" w:color="auto" w:fill="D6D6D6"/>
          </w:tcPr>
          <w:p>
            <w:pPr>
              <w:pStyle w:val="30"/>
              <w:spacing w:before="80"/>
              <w:ind w:left="131" w:right="124"/>
              <w:jc w:val="center"/>
              <w:rPr>
                <w:rFonts w:ascii="宋体" w:eastAsia="宋体"/>
                <w:sz w:val="24"/>
              </w:rPr>
            </w:pPr>
            <w:r>
              <w:rPr>
                <w:rFonts w:hint="eastAsia" w:ascii="宋体" w:eastAsia="宋体"/>
                <w:sz w:val="24"/>
              </w:rPr>
              <w:t>供应商响应技术</w:t>
            </w:r>
          </w:p>
          <w:p>
            <w:pPr>
              <w:pStyle w:val="30"/>
              <w:spacing w:before="161"/>
              <w:ind w:left="131" w:right="124"/>
              <w:jc w:val="center"/>
              <w:rPr>
                <w:rFonts w:ascii="宋体" w:eastAsia="宋体"/>
                <w:sz w:val="24"/>
              </w:rPr>
            </w:pPr>
            <w:r>
              <w:rPr>
                <w:rFonts w:hint="eastAsia" w:ascii="宋体" w:eastAsia="宋体"/>
                <w:sz w:val="24"/>
              </w:rPr>
              <w:t>条款</w:t>
            </w:r>
          </w:p>
        </w:tc>
        <w:tc>
          <w:tcPr>
            <w:tcW w:w="1984" w:type="dxa"/>
            <w:shd w:val="clear" w:color="auto" w:fill="D6D6D6"/>
          </w:tcPr>
          <w:p>
            <w:pPr>
              <w:pStyle w:val="30"/>
              <w:spacing w:before="8"/>
              <w:rPr>
                <w:rFonts w:ascii="宋体"/>
                <w:b/>
                <w:sz w:val="24"/>
              </w:rPr>
            </w:pPr>
          </w:p>
          <w:p>
            <w:pPr>
              <w:pStyle w:val="30"/>
              <w:ind w:left="451"/>
              <w:rPr>
                <w:rFonts w:ascii="宋体" w:eastAsia="宋体"/>
                <w:sz w:val="24"/>
              </w:rPr>
            </w:pPr>
            <w:r>
              <w:rPr>
                <w:rFonts w:hint="eastAsia" w:ascii="宋体" w:eastAsia="宋体"/>
                <w:sz w:val="24"/>
              </w:rPr>
              <w:t>响应/偏离</w:t>
            </w:r>
          </w:p>
        </w:tc>
        <w:tc>
          <w:tcPr>
            <w:tcW w:w="1276" w:type="dxa"/>
            <w:shd w:val="clear" w:color="auto" w:fill="D6D6D6"/>
          </w:tcPr>
          <w:p>
            <w:pPr>
              <w:pStyle w:val="30"/>
              <w:spacing w:before="80"/>
              <w:ind w:left="156"/>
              <w:rPr>
                <w:rFonts w:ascii="宋体" w:eastAsia="宋体"/>
                <w:sz w:val="24"/>
              </w:rPr>
            </w:pPr>
            <w:r>
              <w:rPr>
                <w:rFonts w:hint="eastAsia" w:ascii="宋体" w:eastAsia="宋体"/>
                <w:sz w:val="24"/>
              </w:rPr>
              <w:t>证明文件</w:t>
            </w:r>
          </w:p>
          <w:p>
            <w:pPr>
              <w:pStyle w:val="30"/>
              <w:spacing w:before="161"/>
              <w:ind w:left="156"/>
              <w:rPr>
                <w:rFonts w:ascii="宋体" w:eastAsia="宋体"/>
                <w:sz w:val="24"/>
              </w:rPr>
            </w:pPr>
            <w:r>
              <w:rPr>
                <w:rFonts w:hint="eastAsia" w:ascii="宋体" w:eastAsia="宋体"/>
                <w:sz w:val="24"/>
              </w:rPr>
              <w:t>（如有）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876" w:type="dxa"/>
          </w:tcPr>
          <w:p>
            <w:pPr>
              <w:pStyle w:val="30"/>
              <w:rPr>
                <w:rFonts w:ascii="Times New Roman"/>
                <w:sz w:val="20"/>
              </w:rPr>
            </w:pPr>
          </w:p>
        </w:tc>
        <w:tc>
          <w:tcPr>
            <w:tcW w:w="1476" w:type="dxa"/>
          </w:tcPr>
          <w:p>
            <w:pPr>
              <w:pStyle w:val="30"/>
              <w:rPr>
                <w:rFonts w:ascii="Times New Roman"/>
                <w:sz w:val="20"/>
              </w:rPr>
            </w:pPr>
          </w:p>
        </w:tc>
        <w:tc>
          <w:tcPr>
            <w:tcW w:w="1792" w:type="dxa"/>
          </w:tcPr>
          <w:p>
            <w:pPr>
              <w:pStyle w:val="30"/>
              <w:rPr>
                <w:rFonts w:ascii="Times New Roman"/>
                <w:sz w:val="20"/>
              </w:rPr>
            </w:pPr>
          </w:p>
        </w:tc>
        <w:tc>
          <w:tcPr>
            <w:tcW w:w="1985" w:type="dxa"/>
          </w:tcPr>
          <w:p>
            <w:pPr>
              <w:pStyle w:val="30"/>
              <w:rPr>
                <w:rFonts w:ascii="Times New Roman"/>
                <w:sz w:val="20"/>
              </w:rPr>
            </w:pPr>
          </w:p>
        </w:tc>
        <w:tc>
          <w:tcPr>
            <w:tcW w:w="1984" w:type="dxa"/>
          </w:tcPr>
          <w:p>
            <w:pPr>
              <w:pStyle w:val="30"/>
              <w:rPr>
                <w:rFonts w:ascii="Times New Roman"/>
                <w:sz w:val="20"/>
              </w:rPr>
            </w:pPr>
          </w:p>
        </w:tc>
        <w:tc>
          <w:tcPr>
            <w:tcW w:w="1276" w:type="dxa"/>
          </w:tcPr>
          <w:p>
            <w:pPr>
              <w:pStyle w:val="30"/>
              <w:spacing w:before="80"/>
              <w:ind w:left="108"/>
              <w:rPr>
                <w:rFonts w:ascii="宋体" w:eastAsia="宋体"/>
                <w:sz w:val="24"/>
              </w:rPr>
            </w:pPr>
            <w:r>
              <w:rPr>
                <w:rFonts w:hint="eastAsia" w:ascii="宋体" w:eastAsia="宋体"/>
                <w:sz w:val="24"/>
              </w:rPr>
              <w:t>见投标文</w:t>
            </w:r>
          </w:p>
          <w:p>
            <w:pPr>
              <w:pStyle w:val="30"/>
              <w:spacing w:before="160"/>
              <w:ind w:left="108"/>
              <w:rPr>
                <w:rFonts w:ascii="宋体" w:eastAsia="宋体"/>
                <w:sz w:val="24"/>
              </w:rPr>
            </w:pPr>
            <w:r>
              <w:rPr>
                <w:rFonts w:hint="eastAsia" w:ascii="宋体" w:eastAsia="宋体"/>
                <w:sz w:val="24"/>
              </w:rPr>
              <w:t>件（）页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6" w:type="dxa"/>
          </w:tcPr>
          <w:p>
            <w:pPr>
              <w:pStyle w:val="30"/>
              <w:rPr>
                <w:rFonts w:ascii="Times New Roman"/>
                <w:sz w:val="20"/>
              </w:rPr>
            </w:pPr>
          </w:p>
        </w:tc>
        <w:tc>
          <w:tcPr>
            <w:tcW w:w="1476" w:type="dxa"/>
          </w:tcPr>
          <w:p>
            <w:pPr>
              <w:pStyle w:val="30"/>
              <w:rPr>
                <w:rFonts w:ascii="Times New Roman"/>
                <w:sz w:val="20"/>
              </w:rPr>
            </w:pPr>
          </w:p>
        </w:tc>
        <w:tc>
          <w:tcPr>
            <w:tcW w:w="1792" w:type="dxa"/>
          </w:tcPr>
          <w:p>
            <w:pPr>
              <w:pStyle w:val="30"/>
              <w:rPr>
                <w:rFonts w:ascii="Times New Roman"/>
                <w:sz w:val="20"/>
              </w:rPr>
            </w:pPr>
          </w:p>
        </w:tc>
        <w:tc>
          <w:tcPr>
            <w:tcW w:w="1985" w:type="dxa"/>
          </w:tcPr>
          <w:p>
            <w:pPr>
              <w:pStyle w:val="30"/>
              <w:rPr>
                <w:rFonts w:ascii="Times New Roman"/>
                <w:sz w:val="20"/>
              </w:rPr>
            </w:pPr>
          </w:p>
        </w:tc>
        <w:tc>
          <w:tcPr>
            <w:tcW w:w="1984" w:type="dxa"/>
          </w:tcPr>
          <w:p>
            <w:pPr>
              <w:pStyle w:val="30"/>
              <w:rPr>
                <w:rFonts w:ascii="Times New Roman"/>
                <w:sz w:val="20"/>
              </w:rPr>
            </w:pPr>
          </w:p>
        </w:tc>
        <w:tc>
          <w:tcPr>
            <w:tcW w:w="1276" w:type="dxa"/>
          </w:tcPr>
          <w:p>
            <w:pPr>
              <w:pStyle w:val="3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76" w:type="dxa"/>
          </w:tcPr>
          <w:p>
            <w:pPr>
              <w:pStyle w:val="30"/>
              <w:rPr>
                <w:rFonts w:ascii="Times New Roman"/>
                <w:sz w:val="20"/>
              </w:rPr>
            </w:pPr>
          </w:p>
        </w:tc>
        <w:tc>
          <w:tcPr>
            <w:tcW w:w="1476" w:type="dxa"/>
          </w:tcPr>
          <w:p>
            <w:pPr>
              <w:pStyle w:val="30"/>
              <w:rPr>
                <w:rFonts w:ascii="Times New Roman"/>
                <w:sz w:val="20"/>
              </w:rPr>
            </w:pPr>
          </w:p>
        </w:tc>
        <w:tc>
          <w:tcPr>
            <w:tcW w:w="1792" w:type="dxa"/>
          </w:tcPr>
          <w:p>
            <w:pPr>
              <w:pStyle w:val="30"/>
              <w:rPr>
                <w:rFonts w:ascii="Times New Roman"/>
                <w:sz w:val="20"/>
              </w:rPr>
            </w:pPr>
          </w:p>
        </w:tc>
        <w:tc>
          <w:tcPr>
            <w:tcW w:w="1985" w:type="dxa"/>
          </w:tcPr>
          <w:p>
            <w:pPr>
              <w:pStyle w:val="30"/>
              <w:rPr>
                <w:rFonts w:ascii="Times New Roman"/>
                <w:sz w:val="20"/>
              </w:rPr>
            </w:pPr>
          </w:p>
        </w:tc>
        <w:tc>
          <w:tcPr>
            <w:tcW w:w="1984" w:type="dxa"/>
          </w:tcPr>
          <w:p>
            <w:pPr>
              <w:pStyle w:val="30"/>
              <w:rPr>
                <w:rFonts w:ascii="Times New Roman"/>
                <w:sz w:val="20"/>
              </w:rPr>
            </w:pPr>
          </w:p>
        </w:tc>
        <w:tc>
          <w:tcPr>
            <w:tcW w:w="1276" w:type="dxa"/>
          </w:tcPr>
          <w:p>
            <w:pPr>
              <w:pStyle w:val="3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6" w:type="dxa"/>
          </w:tcPr>
          <w:p>
            <w:pPr>
              <w:pStyle w:val="30"/>
              <w:rPr>
                <w:rFonts w:ascii="Times New Roman"/>
                <w:sz w:val="20"/>
              </w:rPr>
            </w:pPr>
          </w:p>
        </w:tc>
        <w:tc>
          <w:tcPr>
            <w:tcW w:w="1476" w:type="dxa"/>
          </w:tcPr>
          <w:p>
            <w:pPr>
              <w:pStyle w:val="30"/>
              <w:rPr>
                <w:rFonts w:ascii="Times New Roman"/>
                <w:sz w:val="20"/>
              </w:rPr>
            </w:pPr>
          </w:p>
        </w:tc>
        <w:tc>
          <w:tcPr>
            <w:tcW w:w="1792" w:type="dxa"/>
          </w:tcPr>
          <w:p>
            <w:pPr>
              <w:pStyle w:val="30"/>
              <w:rPr>
                <w:rFonts w:ascii="Times New Roman"/>
                <w:sz w:val="20"/>
              </w:rPr>
            </w:pPr>
          </w:p>
        </w:tc>
        <w:tc>
          <w:tcPr>
            <w:tcW w:w="1985" w:type="dxa"/>
          </w:tcPr>
          <w:p>
            <w:pPr>
              <w:pStyle w:val="30"/>
              <w:rPr>
                <w:rFonts w:ascii="Times New Roman"/>
                <w:sz w:val="20"/>
              </w:rPr>
            </w:pPr>
          </w:p>
        </w:tc>
        <w:tc>
          <w:tcPr>
            <w:tcW w:w="1984" w:type="dxa"/>
          </w:tcPr>
          <w:p>
            <w:pPr>
              <w:pStyle w:val="30"/>
              <w:rPr>
                <w:rFonts w:ascii="Times New Roman"/>
                <w:sz w:val="20"/>
              </w:rPr>
            </w:pPr>
          </w:p>
        </w:tc>
        <w:tc>
          <w:tcPr>
            <w:tcW w:w="1276" w:type="dxa"/>
          </w:tcPr>
          <w:p>
            <w:pPr>
              <w:pStyle w:val="3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76" w:type="dxa"/>
          </w:tcPr>
          <w:p>
            <w:pPr>
              <w:pStyle w:val="30"/>
              <w:rPr>
                <w:rFonts w:ascii="Times New Roman"/>
                <w:sz w:val="20"/>
              </w:rPr>
            </w:pPr>
          </w:p>
        </w:tc>
        <w:tc>
          <w:tcPr>
            <w:tcW w:w="1476" w:type="dxa"/>
          </w:tcPr>
          <w:p>
            <w:pPr>
              <w:pStyle w:val="30"/>
              <w:rPr>
                <w:rFonts w:ascii="Times New Roman"/>
                <w:sz w:val="20"/>
              </w:rPr>
            </w:pPr>
          </w:p>
        </w:tc>
        <w:tc>
          <w:tcPr>
            <w:tcW w:w="1792" w:type="dxa"/>
          </w:tcPr>
          <w:p>
            <w:pPr>
              <w:pStyle w:val="30"/>
              <w:rPr>
                <w:rFonts w:ascii="Times New Roman"/>
                <w:sz w:val="20"/>
              </w:rPr>
            </w:pPr>
          </w:p>
        </w:tc>
        <w:tc>
          <w:tcPr>
            <w:tcW w:w="1985" w:type="dxa"/>
          </w:tcPr>
          <w:p>
            <w:pPr>
              <w:pStyle w:val="30"/>
              <w:rPr>
                <w:rFonts w:ascii="Times New Roman"/>
                <w:sz w:val="20"/>
              </w:rPr>
            </w:pPr>
          </w:p>
        </w:tc>
        <w:tc>
          <w:tcPr>
            <w:tcW w:w="1984" w:type="dxa"/>
          </w:tcPr>
          <w:p>
            <w:pPr>
              <w:pStyle w:val="30"/>
              <w:rPr>
                <w:rFonts w:ascii="Times New Roman"/>
                <w:sz w:val="20"/>
              </w:rPr>
            </w:pPr>
          </w:p>
        </w:tc>
        <w:tc>
          <w:tcPr>
            <w:tcW w:w="1276" w:type="dxa"/>
          </w:tcPr>
          <w:p>
            <w:pPr>
              <w:pStyle w:val="3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6" w:type="dxa"/>
          </w:tcPr>
          <w:p>
            <w:pPr>
              <w:pStyle w:val="30"/>
              <w:rPr>
                <w:rFonts w:ascii="Times New Roman"/>
                <w:sz w:val="20"/>
              </w:rPr>
            </w:pPr>
          </w:p>
        </w:tc>
        <w:tc>
          <w:tcPr>
            <w:tcW w:w="1476" w:type="dxa"/>
          </w:tcPr>
          <w:p>
            <w:pPr>
              <w:pStyle w:val="30"/>
              <w:rPr>
                <w:rFonts w:ascii="Times New Roman"/>
                <w:sz w:val="20"/>
              </w:rPr>
            </w:pPr>
          </w:p>
        </w:tc>
        <w:tc>
          <w:tcPr>
            <w:tcW w:w="1792" w:type="dxa"/>
          </w:tcPr>
          <w:p>
            <w:pPr>
              <w:pStyle w:val="30"/>
              <w:rPr>
                <w:rFonts w:ascii="Times New Roman"/>
                <w:sz w:val="20"/>
              </w:rPr>
            </w:pPr>
          </w:p>
        </w:tc>
        <w:tc>
          <w:tcPr>
            <w:tcW w:w="1985" w:type="dxa"/>
          </w:tcPr>
          <w:p>
            <w:pPr>
              <w:pStyle w:val="30"/>
              <w:rPr>
                <w:rFonts w:ascii="Times New Roman"/>
                <w:sz w:val="20"/>
              </w:rPr>
            </w:pPr>
          </w:p>
        </w:tc>
        <w:tc>
          <w:tcPr>
            <w:tcW w:w="1984" w:type="dxa"/>
          </w:tcPr>
          <w:p>
            <w:pPr>
              <w:pStyle w:val="30"/>
              <w:rPr>
                <w:rFonts w:ascii="Times New Roman"/>
                <w:sz w:val="20"/>
              </w:rPr>
            </w:pPr>
          </w:p>
        </w:tc>
        <w:tc>
          <w:tcPr>
            <w:tcW w:w="1276" w:type="dxa"/>
          </w:tcPr>
          <w:p>
            <w:pPr>
              <w:pStyle w:val="3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76" w:type="dxa"/>
          </w:tcPr>
          <w:p>
            <w:pPr>
              <w:pStyle w:val="30"/>
              <w:rPr>
                <w:rFonts w:ascii="Times New Roman"/>
                <w:sz w:val="20"/>
              </w:rPr>
            </w:pPr>
          </w:p>
        </w:tc>
        <w:tc>
          <w:tcPr>
            <w:tcW w:w="1476" w:type="dxa"/>
          </w:tcPr>
          <w:p>
            <w:pPr>
              <w:pStyle w:val="30"/>
              <w:rPr>
                <w:rFonts w:ascii="Times New Roman"/>
                <w:sz w:val="20"/>
              </w:rPr>
            </w:pPr>
          </w:p>
        </w:tc>
        <w:tc>
          <w:tcPr>
            <w:tcW w:w="1792" w:type="dxa"/>
          </w:tcPr>
          <w:p>
            <w:pPr>
              <w:pStyle w:val="30"/>
              <w:rPr>
                <w:rFonts w:ascii="Times New Roman"/>
                <w:sz w:val="20"/>
              </w:rPr>
            </w:pPr>
          </w:p>
        </w:tc>
        <w:tc>
          <w:tcPr>
            <w:tcW w:w="1985" w:type="dxa"/>
          </w:tcPr>
          <w:p>
            <w:pPr>
              <w:pStyle w:val="30"/>
              <w:rPr>
                <w:rFonts w:ascii="Times New Roman"/>
                <w:sz w:val="20"/>
              </w:rPr>
            </w:pPr>
          </w:p>
        </w:tc>
        <w:tc>
          <w:tcPr>
            <w:tcW w:w="1984" w:type="dxa"/>
          </w:tcPr>
          <w:p>
            <w:pPr>
              <w:pStyle w:val="30"/>
              <w:rPr>
                <w:rFonts w:ascii="Times New Roman"/>
                <w:sz w:val="20"/>
              </w:rPr>
            </w:pPr>
          </w:p>
        </w:tc>
        <w:tc>
          <w:tcPr>
            <w:tcW w:w="1276" w:type="dxa"/>
          </w:tcPr>
          <w:p>
            <w:pPr>
              <w:pStyle w:val="3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6" w:type="dxa"/>
          </w:tcPr>
          <w:p>
            <w:pPr>
              <w:pStyle w:val="30"/>
              <w:rPr>
                <w:rFonts w:ascii="Times New Roman"/>
                <w:sz w:val="20"/>
              </w:rPr>
            </w:pPr>
          </w:p>
        </w:tc>
        <w:tc>
          <w:tcPr>
            <w:tcW w:w="1476" w:type="dxa"/>
          </w:tcPr>
          <w:p>
            <w:pPr>
              <w:pStyle w:val="30"/>
              <w:rPr>
                <w:rFonts w:ascii="Times New Roman"/>
                <w:sz w:val="20"/>
              </w:rPr>
            </w:pPr>
          </w:p>
        </w:tc>
        <w:tc>
          <w:tcPr>
            <w:tcW w:w="1792" w:type="dxa"/>
          </w:tcPr>
          <w:p>
            <w:pPr>
              <w:pStyle w:val="30"/>
              <w:rPr>
                <w:rFonts w:ascii="Times New Roman"/>
                <w:sz w:val="20"/>
              </w:rPr>
            </w:pPr>
          </w:p>
        </w:tc>
        <w:tc>
          <w:tcPr>
            <w:tcW w:w="1985" w:type="dxa"/>
          </w:tcPr>
          <w:p>
            <w:pPr>
              <w:pStyle w:val="30"/>
              <w:rPr>
                <w:rFonts w:ascii="Times New Roman"/>
                <w:sz w:val="20"/>
              </w:rPr>
            </w:pPr>
          </w:p>
        </w:tc>
        <w:tc>
          <w:tcPr>
            <w:tcW w:w="1984" w:type="dxa"/>
          </w:tcPr>
          <w:p>
            <w:pPr>
              <w:pStyle w:val="30"/>
              <w:rPr>
                <w:rFonts w:ascii="Times New Roman"/>
                <w:sz w:val="20"/>
              </w:rPr>
            </w:pPr>
          </w:p>
        </w:tc>
        <w:tc>
          <w:tcPr>
            <w:tcW w:w="1276" w:type="dxa"/>
          </w:tcPr>
          <w:p>
            <w:pPr>
              <w:pStyle w:val="3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6" w:type="dxa"/>
          </w:tcPr>
          <w:p>
            <w:pPr>
              <w:pStyle w:val="30"/>
              <w:rPr>
                <w:rFonts w:ascii="Times New Roman"/>
                <w:sz w:val="20"/>
              </w:rPr>
            </w:pPr>
          </w:p>
        </w:tc>
        <w:tc>
          <w:tcPr>
            <w:tcW w:w="1476" w:type="dxa"/>
          </w:tcPr>
          <w:p>
            <w:pPr>
              <w:pStyle w:val="30"/>
              <w:rPr>
                <w:rFonts w:ascii="Times New Roman"/>
                <w:sz w:val="20"/>
              </w:rPr>
            </w:pPr>
          </w:p>
        </w:tc>
        <w:tc>
          <w:tcPr>
            <w:tcW w:w="1792" w:type="dxa"/>
          </w:tcPr>
          <w:p>
            <w:pPr>
              <w:pStyle w:val="30"/>
              <w:rPr>
                <w:rFonts w:ascii="Times New Roman"/>
                <w:sz w:val="20"/>
              </w:rPr>
            </w:pPr>
          </w:p>
        </w:tc>
        <w:tc>
          <w:tcPr>
            <w:tcW w:w="1985" w:type="dxa"/>
          </w:tcPr>
          <w:p>
            <w:pPr>
              <w:pStyle w:val="30"/>
              <w:rPr>
                <w:rFonts w:ascii="Times New Roman"/>
                <w:sz w:val="20"/>
              </w:rPr>
            </w:pPr>
          </w:p>
        </w:tc>
        <w:tc>
          <w:tcPr>
            <w:tcW w:w="1984" w:type="dxa"/>
          </w:tcPr>
          <w:p>
            <w:pPr>
              <w:pStyle w:val="30"/>
              <w:rPr>
                <w:rFonts w:ascii="Times New Roman"/>
                <w:sz w:val="20"/>
              </w:rPr>
            </w:pPr>
          </w:p>
        </w:tc>
        <w:tc>
          <w:tcPr>
            <w:tcW w:w="1276" w:type="dxa"/>
          </w:tcPr>
          <w:p>
            <w:pPr>
              <w:pStyle w:val="30"/>
              <w:rPr>
                <w:rFonts w:ascii="Times New Roman"/>
                <w:sz w:val="20"/>
              </w:rPr>
            </w:pPr>
          </w:p>
        </w:tc>
      </w:tr>
    </w:tbl>
    <w:p>
      <w:pPr>
        <w:tabs>
          <w:tab w:val="left" w:pos="4758"/>
        </w:tabs>
        <w:spacing w:before="99"/>
        <w:ind w:left="718"/>
        <w:rPr>
          <w:rFonts w:ascii="Times New Roman" w:eastAsia="Times New Roman"/>
          <w:sz w:val="21"/>
        </w:rPr>
      </w:pPr>
      <w:r>
        <w:rPr>
          <w:rFonts w:hint="eastAsia" w:ascii="宋体" w:eastAsia="宋体"/>
          <w:w w:val="95"/>
          <w:sz w:val="21"/>
        </w:rPr>
        <w:t>供应商盖章：</w:t>
      </w:r>
      <w:r>
        <w:rPr>
          <w:rFonts w:ascii="Times New Roman" w:eastAsia="Times New Roman"/>
          <w:w w:val="95"/>
          <w:sz w:val="21"/>
          <w:u w:val="single"/>
        </w:rPr>
        <w:t xml:space="preserve"> </w:t>
      </w:r>
      <w:r>
        <w:rPr>
          <w:rFonts w:ascii="Times New Roman" w:eastAsia="Times New Roman"/>
          <w:sz w:val="21"/>
          <w:u w:val="single"/>
        </w:rPr>
        <w:tab/>
      </w:r>
    </w:p>
    <w:p>
      <w:pPr>
        <w:pStyle w:val="12"/>
        <w:rPr>
          <w:rFonts w:ascii="Times New Roman"/>
          <w:sz w:val="20"/>
        </w:rPr>
      </w:pPr>
    </w:p>
    <w:p>
      <w:pPr>
        <w:pStyle w:val="12"/>
        <w:rPr>
          <w:rFonts w:ascii="Times New Roman"/>
          <w:sz w:val="20"/>
        </w:rPr>
      </w:pPr>
    </w:p>
    <w:p>
      <w:pPr>
        <w:pStyle w:val="12"/>
        <w:rPr>
          <w:rFonts w:ascii="Times New Roman"/>
          <w:sz w:val="18"/>
        </w:rPr>
      </w:pPr>
    </w:p>
    <w:p>
      <w:pPr>
        <w:ind w:left="718"/>
        <w:jc w:val="both"/>
        <w:rPr>
          <w:rFonts w:ascii="宋体" w:hAnsi="宋体" w:eastAsia="宋体"/>
          <w:b/>
          <w:sz w:val="21"/>
        </w:rPr>
      </w:pPr>
      <w:r>
        <w:rPr>
          <w:rFonts w:hint="eastAsia" w:ascii="宋体" w:hAnsi="宋体" w:eastAsia="宋体"/>
          <w:b/>
          <w:sz w:val="21"/>
        </w:rPr>
        <w:t>注：1、 技术要求见第六章招标项目需求“采购需求书”，供应商需逐条对应填写。</w:t>
      </w:r>
    </w:p>
    <w:p>
      <w:pPr>
        <w:pStyle w:val="12"/>
        <w:spacing w:before="7"/>
        <w:rPr>
          <w:b/>
          <w:sz w:val="15"/>
        </w:rPr>
      </w:pPr>
    </w:p>
    <w:p>
      <w:pPr>
        <w:spacing w:line="417" w:lineRule="auto"/>
        <w:ind w:left="718" w:right="860" w:firstLine="420"/>
        <w:jc w:val="both"/>
        <w:rPr>
          <w:rFonts w:ascii="宋体" w:hAnsi="宋体" w:eastAsia="宋体"/>
          <w:b/>
          <w:sz w:val="21"/>
        </w:rPr>
      </w:pPr>
      <w:r>
        <w:rPr>
          <w:rFonts w:hint="eastAsia" w:ascii="宋体" w:hAnsi="宋体" w:eastAsia="宋体"/>
          <w:b/>
          <w:sz w:val="21"/>
        </w:rPr>
        <w:t>2、“响应/偏离”一栏中，如供应商提供的货物规格与招标文件招标项目需求“技术部分” 的货物规格有所差异，则在该栏中说明差异之处。如供应商提供的货物规格与招标文件招标项目需求“技术部分”的货物规格一致则填写“无差异”或“完全响应”。供应商须逐条对照招标文件填写。</w:t>
      </w:r>
    </w:p>
    <w:p>
      <w:pPr>
        <w:spacing w:line="417" w:lineRule="auto"/>
        <w:ind w:left="718" w:right="894" w:firstLine="420"/>
        <w:rPr>
          <w:rFonts w:ascii="宋体" w:eastAsia="宋体"/>
          <w:b/>
          <w:sz w:val="21"/>
        </w:rPr>
      </w:pPr>
      <w:r>
        <w:rPr>
          <w:rFonts w:hint="eastAsia" w:ascii="宋体" w:eastAsia="宋体"/>
          <w:b/>
          <w:w w:val="95"/>
          <w:sz w:val="21"/>
        </w:rPr>
        <w:t>3</w:t>
      </w:r>
      <w:r>
        <w:rPr>
          <w:rFonts w:hint="eastAsia" w:ascii="宋体" w:eastAsia="宋体"/>
          <w:b/>
          <w:spacing w:val="-1"/>
          <w:w w:val="95"/>
          <w:sz w:val="21"/>
        </w:rPr>
        <w:t>、响应</w:t>
      </w:r>
      <w:r>
        <w:rPr>
          <w:rFonts w:hint="eastAsia" w:ascii="宋体" w:eastAsia="宋体"/>
          <w:b/>
          <w:w w:val="95"/>
          <w:sz w:val="21"/>
        </w:rPr>
        <w:t>/</w:t>
      </w:r>
      <w:r>
        <w:rPr>
          <w:rFonts w:hint="eastAsia" w:ascii="宋体" w:eastAsia="宋体"/>
          <w:b/>
          <w:spacing w:val="-1"/>
          <w:w w:val="95"/>
          <w:sz w:val="21"/>
        </w:rPr>
        <w:t>偏离内容应在说明栏中说明该条款在投标文件中</w:t>
      </w:r>
      <w:r>
        <w:rPr>
          <w:rFonts w:hint="eastAsia" w:ascii="宋体" w:eastAsia="宋体"/>
          <w:b/>
          <w:w w:val="95"/>
          <w:sz w:val="21"/>
        </w:rPr>
        <w:t>（</w:t>
      </w:r>
      <w:r>
        <w:rPr>
          <w:rFonts w:hint="eastAsia" w:ascii="宋体" w:eastAsia="宋体"/>
          <w:b/>
          <w:spacing w:val="1"/>
          <w:w w:val="95"/>
          <w:sz w:val="21"/>
        </w:rPr>
        <w:t>或页码</w:t>
      </w:r>
      <w:r>
        <w:rPr>
          <w:rFonts w:hint="eastAsia" w:ascii="宋体" w:eastAsia="宋体"/>
          <w:b/>
          <w:spacing w:val="-5"/>
          <w:w w:val="95"/>
          <w:sz w:val="21"/>
        </w:rPr>
        <w:t>）</w:t>
      </w:r>
      <w:r>
        <w:rPr>
          <w:rFonts w:hint="eastAsia" w:ascii="宋体" w:eastAsia="宋体"/>
          <w:b/>
          <w:spacing w:val="-2"/>
          <w:w w:val="95"/>
          <w:sz w:val="21"/>
        </w:rPr>
        <w:t xml:space="preserve">的依据，如未付相应资   </w:t>
      </w:r>
      <w:r>
        <w:rPr>
          <w:rFonts w:hint="eastAsia" w:ascii="宋体" w:eastAsia="宋体"/>
          <w:b/>
          <w:spacing w:val="-2"/>
          <w:sz w:val="21"/>
        </w:rPr>
        <w:t>料的评标委员会有权视为无效正偏离。</w:t>
      </w:r>
    </w:p>
    <w:p>
      <w:pPr>
        <w:spacing w:line="269" w:lineRule="exact"/>
        <w:ind w:left="1138"/>
        <w:rPr>
          <w:rFonts w:ascii="宋体" w:eastAsia="宋体"/>
          <w:b/>
          <w:sz w:val="21"/>
        </w:rPr>
      </w:pPr>
      <w:r>
        <w:rPr>
          <w:rFonts w:hint="eastAsia" w:ascii="宋体" w:eastAsia="宋体"/>
          <w:b/>
          <w:sz w:val="21"/>
        </w:rPr>
        <w:t>4、投标设备存在偏差的必须如实填写本表，否则需承担相应的责任。</w:t>
      </w:r>
    </w:p>
    <w:p>
      <w:pPr>
        <w:spacing w:line="269" w:lineRule="exact"/>
        <w:rPr>
          <w:rFonts w:ascii="宋体" w:eastAsia="宋体"/>
          <w:sz w:val="21"/>
        </w:rPr>
        <w:sectPr>
          <w:pgSz w:w="11910" w:h="16840"/>
          <w:pgMar w:top="919" w:right="743" w:bottom="1021" w:left="697" w:header="882" w:footer="1078" w:gutter="0"/>
          <w:cols w:space="720" w:num="1"/>
        </w:sectPr>
      </w:pPr>
    </w:p>
    <w:p>
      <w:pPr>
        <w:pStyle w:val="12"/>
        <w:spacing w:before="5"/>
        <w:rPr>
          <w:b/>
          <w:sz w:val="17"/>
        </w:rPr>
      </w:pPr>
    </w:p>
    <w:p>
      <w:pPr>
        <w:spacing w:before="66"/>
        <w:ind w:left="40" w:right="283"/>
        <w:jc w:val="center"/>
        <w:rPr>
          <w:rFonts w:ascii="宋体" w:eastAsia="宋体"/>
          <w:b/>
          <w:sz w:val="24"/>
        </w:rPr>
      </w:pPr>
      <w:bookmarkStart w:id="64" w:name="四、投标承诺函"/>
      <w:bookmarkEnd w:id="64"/>
      <w:r>
        <w:rPr>
          <w:rFonts w:hint="eastAsia" w:ascii="宋体" w:eastAsia="宋体"/>
          <w:b/>
          <w:sz w:val="24"/>
        </w:rPr>
        <w:t>四、投标承诺函</w:t>
      </w:r>
    </w:p>
    <w:p>
      <w:pPr>
        <w:pStyle w:val="12"/>
        <w:rPr>
          <w:b/>
        </w:rPr>
      </w:pPr>
    </w:p>
    <w:p>
      <w:pPr>
        <w:pStyle w:val="12"/>
        <w:spacing w:before="2"/>
        <w:rPr>
          <w:b/>
          <w:sz w:val="26"/>
        </w:rPr>
      </w:pPr>
    </w:p>
    <w:p>
      <w:pPr>
        <w:pStyle w:val="12"/>
        <w:ind w:left="718"/>
      </w:pPr>
      <w:r>
        <w:t>致（采购人及采购代理机构）：</w:t>
      </w:r>
    </w:p>
    <w:p>
      <w:pPr>
        <w:pStyle w:val="12"/>
        <w:spacing w:before="53" w:line="280" w:lineRule="auto"/>
        <w:ind w:left="1198" w:right="834"/>
      </w:pPr>
      <w:r>
        <w:t>我公司作为本次采购项目的投标人，根据招标文件要求，现郑重承诺如下： 一、具备《中华人民共和国政府采购法》第二十二条第一款和本项目规定的</w:t>
      </w:r>
    </w:p>
    <w:p>
      <w:pPr>
        <w:pStyle w:val="12"/>
        <w:ind w:left="718"/>
      </w:pPr>
      <w:r>
        <w:t>条件：</w:t>
      </w:r>
    </w:p>
    <w:p>
      <w:pPr>
        <w:pStyle w:val="12"/>
        <w:spacing w:before="53"/>
        <w:ind w:left="1198"/>
      </w:pPr>
      <w:r>
        <w:t>（一）具有独立承担民事责任的能力；</w:t>
      </w:r>
    </w:p>
    <w:p>
      <w:pPr>
        <w:pStyle w:val="12"/>
        <w:spacing w:before="52"/>
        <w:ind w:left="1198"/>
      </w:pPr>
      <w:r>
        <w:rPr>
          <w:spacing w:val="16"/>
        </w:rPr>
        <w:t>（</w:t>
      </w:r>
      <w:r>
        <w:rPr>
          <w:spacing w:val="14"/>
        </w:rPr>
        <w:t>二</w:t>
      </w:r>
      <w:r>
        <w:rPr>
          <w:spacing w:val="16"/>
        </w:rPr>
        <w:t>）</w:t>
      </w:r>
      <w:r>
        <w:rPr>
          <w:spacing w:val="13"/>
        </w:rPr>
        <w:t>具有良好的商业信誉和健全的财务会计制度；</w:t>
      </w:r>
    </w:p>
    <w:p>
      <w:pPr>
        <w:pStyle w:val="12"/>
        <w:spacing w:before="53"/>
        <w:ind w:left="1198"/>
      </w:pPr>
      <w:r>
        <w:rPr>
          <w:spacing w:val="16"/>
        </w:rPr>
        <w:t>（</w:t>
      </w:r>
      <w:r>
        <w:rPr>
          <w:spacing w:val="14"/>
        </w:rPr>
        <w:t>三</w:t>
      </w:r>
      <w:r>
        <w:rPr>
          <w:spacing w:val="16"/>
        </w:rPr>
        <w:t>）</w:t>
      </w:r>
      <w:r>
        <w:rPr>
          <w:spacing w:val="13"/>
        </w:rPr>
        <w:t>具有履行合同所必需的设备和专业技术能力；</w:t>
      </w:r>
    </w:p>
    <w:p>
      <w:pPr>
        <w:pStyle w:val="12"/>
        <w:spacing w:before="52"/>
        <w:ind w:left="1198"/>
      </w:pPr>
      <w:r>
        <w:rPr>
          <w:spacing w:val="16"/>
        </w:rPr>
        <w:t>（</w:t>
      </w:r>
      <w:r>
        <w:rPr>
          <w:spacing w:val="14"/>
        </w:rPr>
        <w:t>四</w:t>
      </w:r>
      <w:r>
        <w:rPr>
          <w:spacing w:val="16"/>
        </w:rPr>
        <w:t>）</w:t>
      </w:r>
      <w:r>
        <w:rPr>
          <w:spacing w:val="13"/>
        </w:rPr>
        <w:t>有依法缴纳税收和社会保障资金的良好记录；</w:t>
      </w:r>
    </w:p>
    <w:p>
      <w:pPr>
        <w:pStyle w:val="12"/>
        <w:spacing w:before="53"/>
        <w:ind w:left="1198"/>
      </w:pPr>
      <w:r>
        <w:t>（五）参加政府采购活动前三年内，在经营活动中没有重大违法记录；</w:t>
      </w:r>
    </w:p>
    <w:p>
      <w:pPr>
        <w:pStyle w:val="12"/>
        <w:spacing w:before="52"/>
        <w:ind w:left="1198"/>
      </w:pPr>
      <w:r>
        <w:t>（六）法律、行政法规规定的其他条件；</w:t>
      </w:r>
    </w:p>
    <w:p>
      <w:pPr>
        <w:pStyle w:val="12"/>
        <w:spacing w:before="53"/>
        <w:ind w:left="1198"/>
      </w:pPr>
      <w:r>
        <w:t>（七）根据采购项目提出的特殊条件。</w:t>
      </w:r>
    </w:p>
    <w:p>
      <w:pPr>
        <w:pStyle w:val="12"/>
        <w:spacing w:before="52" w:line="280" w:lineRule="auto"/>
        <w:ind w:left="718" w:right="940" w:firstLine="480"/>
      </w:pPr>
      <w:r>
        <w:t>二、完全接受和满足本项目招标文件中规定的实质性要求，如对招标文件有异议，已经在投标截止时间届满前依法进行维权，不存在对招标文件有异议同时又参加投标以求侥幸中标或者为实现其他非法目的的行为。</w:t>
      </w:r>
    </w:p>
    <w:p>
      <w:pPr>
        <w:pStyle w:val="12"/>
        <w:spacing w:before="1" w:line="280" w:lineRule="auto"/>
        <w:ind w:left="718" w:right="940" w:firstLine="480"/>
      </w:pPr>
      <w:r>
        <w:t>三、参加本次招标采购活动，不存在与单位负责人为同一人或者存在直接控股、管理关系的其他供应商参与同一合同项下的政府采购活动的行为。</w:t>
      </w:r>
    </w:p>
    <w:p>
      <w:pPr>
        <w:pStyle w:val="12"/>
        <w:spacing w:line="280" w:lineRule="auto"/>
        <w:ind w:left="718" w:right="942" w:firstLine="480"/>
      </w:pPr>
      <w:r>
        <w:t>四、参加本次招标采购活动，不存在为采购项目提供整体设计、规范编制或者项目管理、监理、检测等服务的行为。</w:t>
      </w:r>
    </w:p>
    <w:p>
      <w:pPr>
        <w:pStyle w:val="12"/>
        <w:spacing w:before="1" w:line="280" w:lineRule="auto"/>
        <w:ind w:left="718" w:right="940" w:firstLine="480"/>
      </w:pPr>
      <w:r>
        <w:t>五、参加本次招标采购活动，不存在和其他供应商在同一合同项下的采购项目中，同时委托同一个自然人、同一家庭的人员、同一单位的人员作为代理人的行为。</w:t>
      </w:r>
    </w:p>
    <w:p>
      <w:pPr>
        <w:pStyle w:val="12"/>
        <w:spacing w:before="1" w:line="280" w:lineRule="auto"/>
        <w:ind w:left="718" w:right="940" w:firstLine="480"/>
      </w:pPr>
      <w:r>
        <w:t>六、投标人参加本次政府采购活动要求在近三年内投标人和其法定代表人没有行贿犯罪行为。</w:t>
      </w:r>
    </w:p>
    <w:p>
      <w:pPr>
        <w:pStyle w:val="12"/>
        <w:spacing w:line="280" w:lineRule="auto"/>
        <w:ind w:left="718" w:right="940" w:firstLine="480"/>
      </w:pPr>
      <w:r>
        <w:t>七、投标文件中提供的能够给予我公司带来优惠、好处的任何材料资料和技术、服务、商务等响应承诺情况都是真实的、有效的、合法的。</w:t>
      </w:r>
    </w:p>
    <w:p>
      <w:pPr>
        <w:pStyle w:val="12"/>
        <w:spacing w:before="46" w:line="316" w:lineRule="auto"/>
        <w:ind w:left="718" w:right="940" w:firstLine="528"/>
        <w:jc w:val="both"/>
      </w:pPr>
      <w:r>
        <w:t>八、如本项目评标过程中需要提供样品，则我公司提供的样品即为中标后将要提供的中标产品，我公司对提供样品的性能和质量负责，因样品存在缺陷或者不符合招标文件要求导致未能中标的， 我公司愿意承担相应不利后果。</w:t>
      </w:r>
    </w:p>
    <w:p>
      <w:pPr>
        <w:pStyle w:val="12"/>
        <w:spacing w:line="304" w:lineRule="exact"/>
        <w:ind w:left="1486"/>
      </w:pPr>
      <w:r>
        <w:t>九、存在以下行为之一的愿意接受相关部门的处理：</w:t>
      </w:r>
    </w:p>
    <w:p>
      <w:pPr>
        <w:pStyle w:val="12"/>
        <w:spacing w:before="98"/>
        <w:ind w:left="1349"/>
      </w:pPr>
      <w:r>
        <w:t>（一）投标有效期内撤销投标文件的；</w:t>
      </w:r>
    </w:p>
    <w:p>
      <w:pPr>
        <w:pStyle w:val="12"/>
        <w:spacing w:before="98"/>
        <w:ind w:left="1349"/>
      </w:pPr>
      <w:r>
        <w:t>（二）在采购人确定中标人以前放弃中标候选资格的；</w:t>
      </w:r>
    </w:p>
    <w:p>
      <w:pPr>
        <w:pStyle w:val="12"/>
        <w:spacing w:before="96"/>
        <w:ind w:left="1349"/>
      </w:pPr>
      <w:r>
        <w:t>（三）由于中标人的原因未能按照招标文件的规定与采购人签订合同；</w:t>
      </w:r>
    </w:p>
    <w:p>
      <w:pPr>
        <w:pStyle w:val="12"/>
        <w:spacing w:before="98"/>
        <w:ind w:left="1349"/>
      </w:pPr>
      <w:r>
        <w:t>（四）由于中标人的原因未能按照招标文件的规定交纳履约保证金；</w:t>
      </w:r>
    </w:p>
    <w:p>
      <w:pPr>
        <w:pStyle w:val="12"/>
        <w:spacing w:before="98"/>
        <w:ind w:left="1349"/>
      </w:pPr>
      <w:r>
        <w:t>（五）在投标文件中提供虚假材料谋取中标；</w:t>
      </w:r>
    </w:p>
    <w:p>
      <w:pPr>
        <w:sectPr>
          <w:pgSz w:w="11910" w:h="16840"/>
          <w:pgMar w:top="919" w:right="743" w:bottom="1021" w:left="697" w:header="882" w:footer="1078" w:gutter="0"/>
          <w:cols w:space="720" w:num="1"/>
        </w:sectPr>
      </w:pPr>
    </w:p>
    <w:p>
      <w:pPr>
        <w:pStyle w:val="12"/>
        <w:spacing w:before="6"/>
        <w:rPr>
          <w:sz w:val="18"/>
        </w:rPr>
      </w:pPr>
    </w:p>
    <w:p>
      <w:pPr>
        <w:pStyle w:val="12"/>
        <w:spacing w:before="67"/>
        <w:ind w:left="1349"/>
      </w:pPr>
      <w:r>
        <w:t>（六）与采购人、其他供应商或者采购代理机构恶意串通的；</w:t>
      </w:r>
    </w:p>
    <w:p>
      <w:pPr>
        <w:pStyle w:val="12"/>
        <w:spacing w:before="98" w:line="316" w:lineRule="auto"/>
        <w:ind w:left="968" w:right="812" w:firstLine="357"/>
      </w:pPr>
      <w:r>
        <w:t>（七）投标有效期内，投标人在政府采购活动中有违法、违规、违纪行为。由此产生的一切法律后果和责任由我公司承担。我公司声明放弃对此提出任</w:t>
      </w:r>
    </w:p>
    <w:p>
      <w:pPr>
        <w:pStyle w:val="12"/>
        <w:spacing w:line="307" w:lineRule="exact"/>
        <w:ind w:left="718"/>
      </w:pPr>
      <w:r>
        <w:t>何异议和追索的权利。</w:t>
      </w:r>
    </w:p>
    <w:p>
      <w:pPr>
        <w:pStyle w:val="12"/>
        <w:spacing w:before="95" w:line="316" w:lineRule="auto"/>
        <w:ind w:left="718" w:right="940" w:firstLine="688"/>
      </w:pPr>
      <w:r>
        <w:t>本公司对上述承诺的内容事项真实性负责。如经查实上述承诺的内容事项存在虚假，我公司愿意接受以提供虚假材料谋取中标追究法律责任。</w:t>
      </w:r>
    </w:p>
    <w:p>
      <w:pPr>
        <w:pStyle w:val="12"/>
        <w:spacing w:before="7"/>
      </w:pPr>
    </w:p>
    <w:p>
      <w:pPr>
        <w:pStyle w:val="12"/>
        <w:tabs>
          <w:tab w:val="left" w:pos="7183"/>
        </w:tabs>
        <w:ind w:left="1184"/>
      </w:pPr>
      <w:r>
        <w:rPr>
          <w:spacing w:val="16"/>
        </w:rPr>
        <w:t>投</w:t>
      </w:r>
      <w:r>
        <w:rPr>
          <w:spacing w:val="14"/>
        </w:rPr>
        <w:t>标</w:t>
      </w:r>
      <w:r>
        <w:rPr>
          <w:spacing w:val="16"/>
        </w:rPr>
        <w:t>人名</w:t>
      </w:r>
      <w:r>
        <w:rPr>
          <w:spacing w:val="14"/>
        </w:rPr>
        <w:t>称</w:t>
      </w:r>
      <w:r>
        <w:rPr>
          <w:spacing w:val="16"/>
        </w:rPr>
        <w:t>：</w:t>
      </w:r>
      <w:r>
        <w:rPr>
          <w:spacing w:val="16"/>
          <w:u w:val="single" w:color="333333"/>
        </w:rPr>
        <w:t xml:space="preserve"> </w:t>
      </w:r>
      <w:r>
        <w:rPr>
          <w:spacing w:val="16"/>
          <w:u w:val="single" w:color="333333"/>
        </w:rPr>
        <w:tab/>
      </w:r>
      <w:r>
        <w:rPr>
          <w:spacing w:val="16"/>
        </w:rPr>
        <w:t>（</w:t>
      </w:r>
      <w:r>
        <w:rPr>
          <w:spacing w:val="14"/>
        </w:rPr>
        <w:t>盖</w:t>
      </w:r>
      <w:r>
        <w:rPr>
          <w:spacing w:val="16"/>
        </w:rPr>
        <w:t>章</w:t>
      </w:r>
      <w:r>
        <w:t>）</w:t>
      </w:r>
    </w:p>
    <w:p>
      <w:pPr>
        <w:pStyle w:val="12"/>
        <w:tabs>
          <w:tab w:val="left" w:pos="5495"/>
          <w:tab w:val="left" w:pos="6975"/>
        </w:tabs>
        <w:spacing w:before="52" w:line="242" w:lineRule="auto"/>
        <w:ind w:left="1198" w:right="1712" w:hanging="15"/>
        <w:rPr>
          <w:rFonts w:ascii="Times New Roman" w:eastAsia="Times New Roman"/>
        </w:rPr>
      </w:pPr>
      <w:r>
        <w:rPr>
          <w:spacing w:val="16"/>
        </w:rPr>
        <w:t>法</w:t>
      </w:r>
      <w:r>
        <w:rPr>
          <w:spacing w:val="14"/>
        </w:rPr>
        <w:t>定</w:t>
      </w:r>
      <w:r>
        <w:rPr>
          <w:spacing w:val="16"/>
        </w:rPr>
        <w:t>代表</w:t>
      </w:r>
      <w:r>
        <w:rPr>
          <w:spacing w:val="14"/>
        </w:rPr>
        <w:t>人</w:t>
      </w:r>
      <w:r>
        <w:rPr>
          <w:spacing w:val="16"/>
        </w:rPr>
        <w:t>或授</w:t>
      </w:r>
      <w:r>
        <w:rPr>
          <w:spacing w:val="14"/>
        </w:rPr>
        <w:t>权</w:t>
      </w:r>
      <w:r>
        <w:rPr>
          <w:spacing w:val="16"/>
        </w:rPr>
        <w:t>代表</w:t>
      </w:r>
      <w:r>
        <w:rPr>
          <w:spacing w:val="14"/>
        </w:rPr>
        <w:t>：</w:t>
      </w:r>
      <w:r>
        <w:rPr>
          <w:spacing w:val="14"/>
          <w:u w:val="single" w:color="333333"/>
        </w:rPr>
        <w:t xml:space="preserve"> </w:t>
      </w:r>
      <w:r>
        <w:rPr>
          <w:spacing w:val="14"/>
          <w:u w:val="single" w:color="333333"/>
        </w:rPr>
        <w:tab/>
      </w:r>
      <w:r>
        <w:rPr>
          <w:spacing w:val="14"/>
          <w:u w:val="single" w:color="333333"/>
        </w:rPr>
        <w:tab/>
      </w:r>
      <w:r>
        <w:rPr>
          <w:spacing w:val="16"/>
        </w:rPr>
        <w:t>（</w:t>
      </w:r>
      <w:r>
        <w:rPr>
          <w:spacing w:val="14"/>
        </w:rPr>
        <w:t>签</w:t>
      </w:r>
      <w:r>
        <w:rPr>
          <w:spacing w:val="16"/>
        </w:rPr>
        <w:t>字或</w:t>
      </w:r>
      <w:r>
        <w:rPr>
          <w:spacing w:val="14"/>
        </w:rPr>
        <w:t>盖</w:t>
      </w:r>
      <w:r>
        <w:rPr>
          <w:spacing w:val="16"/>
        </w:rPr>
        <w:t>章</w:t>
      </w:r>
      <w:r>
        <w:rPr>
          <w:spacing w:val="-13"/>
        </w:rPr>
        <w:t xml:space="preserve">） </w:t>
      </w:r>
      <w:r>
        <w:rPr>
          <w:spacing w:val="16"/>
        </w:rPr>
        <w:t>日</w:t>
      </w:r>
      <w:r>
        <w:rPr>
          <w:spacing w:val="14"/>
        </w:rPr>
        <w:t>期</w:t>
      </w:r>
      <w:r>
        <w:rPr>
          <w:spacing w:val="16"/>
        </w:rPr>
        <w:t>：</w:t>
      </w:r>
      <w:r>
        <w:rPr>
          <w:rFonts w:ascii="Times New Roman" w:eastAsia="Times New Roman"/>
          <w:u w:val="single" w:color="333333"/>
        </w:rPr>
        <w:t xml:space="preserve"> </w:t>
      </w:r>
      <w:r>
        <w:rPr>
          <w:rFonts w:ascii="Times New Roman" w:eastAsia="Times New Roman"/>
          <w:u w:val="single" w:color="333333"/>
        </w:rPr>
        <w:tab/>
      </w: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6"/>
        <w:rPr>
          <w:rFonts w:ascii="Times New Roman"/>
          <w:sz w:val="22"/>
        </w:rPr>
      </w:pPr>
    </w:p>
    <w:p>
      <w:pPr>
        <w:spacing w:before="66"/>
        <w:ind w:left="40" w:right="254"/>
        <w:jc w:val="center"/>
        <w:rPr>
          <w:rFonts w:ascii="宋体" w:eastAsia="宋体"/>
          <w:b/>
          <w:sz w:val="24"/>
        </w:rPr>
      </w:pPr>
      <w:r>
        <w:rPr>
          <w:rFonts w:hint="eastAsia" w:ascii="宋体" w:eastAsia="宋体"/>
          <w:b/>
          <w:sz w:val="24"/>
        </w:rPr>
        <w:t>招标代理服务费承诺函</w:t>
      </w:r>
    </w:p>
    <w:p>
      <w:pPr>
        <w:pStyle w:val="12"/>
        <w:spacing w:before="9"/>
        <w:rPr>
          <w:b/>
        </w:rPr>
      </w:pPr>
    </w:p>
    <w:p>
      <w:pPr>
        <w:pStyle w:val="12"/>
        <w:ind w:left="718"/>
        <w:jc w:val="both"/>
      </w:pPr>
      <w:r>
        <w:t>致（采购人及采购代理机构） ：</w:t>
      </w:r>
    </w:p>
    <w:p>
      <w:pPr>
        <w:pStyle w:val="12"/>
        <w:tabs>
          <w:tab w:val="left" w:pos="3322"/>
          <w:tab w:val="left" w:pos="7907"/>
        </w:tabs>
        <w:spacing w:before="5" w:line="242" w:lineRule="auto"/>
        <w:ind w:left="718" w:right="940" w:firstLine="480"/>
        <w:jc w:val="both"/>
      </w:pPr>
      <w:r>
        <w:rPr>
          <w:spacing w:val="36"/>
        </w:rPr>
        <w:t>我</w:t>
      </w:r>
      <w:r>
        <w:rPr>
          <w:spacing w:val="33"/>
        </w:rPr>
        <w:t>们</w:t>
      </w:r>
      <w:r>
        <w:rPr>
          <w:spacing w:val="36"/>
        </w:rPr>
        <w:t>在</w:t>
      </w:r>
      <w:r>
        <w:rPr>
          <w:spacing w:val="33"/>
        </w:rPr>
        <w:t>贵</w:t>
      </w:r>
      <w:r>
        <w:rPr>
          <w:spacing w:val="36"/>
        </w:rPr>
        <w:t>公</w:t>
      </w:r>
      <w:r>
        <w:rPr>
          <w:spacing w:val="33"/>
        </w:rPr>
        <w:t>司</w:t>
      </w:r>
      <w:r>
        <w:rPr>
          <w:spacing w:val="36"/>
        </w:rPr>
        <w:t>组</w:t>
      </w:r>
      <w:r>
        <w:rPr>
          <w:spacing w:val="33"/>
        </w:rPr>
        <w:t>织</w:t>
      </w:r>
      <w:r>
        <w:rPr>
          <w:spacing w:val="36"/>
        </w:rPr>
        <w:t>的</w:t>
      </w:r>
      <w:r>
        <w:t>（</w:t>
      </w:r>
      <w:r>
        <w:rPr>
          <w:spacing w:val="-87"/>
        </w:rPr>
        <w:t xml:space="preserve"> </w:t>
      </w:r>
      <w:r>
        <w:rPr>
          <w:spacing w:val="36"/>
        </w:rPr>
        <w:t>项</w:t>
      </w:r>
      <w:r>
        <w:rPr>
          <w:spacing w:val="33"/>
        </w:rPr>
        <w:t>目</w:t>
      </w:r>
      <w:r>
        <w:rPr>
          <w:spacing w:val="36"/>
        </w:rPr>
        <w:t>名</w:t>
      </w:r>
      <w:r>
        <w:rPr>
          <w:spacing w:val="33"/>
        </w:rPr>
        <w:t>称</w:t>
      </w:r>
      <w:r>
        <w:rPr>
          <w:u w:val="single" w:color="333333"/>
        </w:rPr>
        <w:t>：</w:t>
      </w:r>
      <w:r>
        <w:rPr>
          <w:u w:val="single" w:color="333333"/>
        </w:rPr>
        <w:tab/>
      </w:r>
      <w:r>
        <w:t>，</w:t>
      </w:r>
      <w:r>
        <w:rPr>
          <w:spacing w:val="-84"/>
        </w:rPr>
        <w:t xml:space="preserve"> </w:t>
      </w:r>
      <w:r>
        <w:rPr>
          <w:spacing w:val="33"/>
        </w:rPr>
        <w:t>采</w:t>
      </w:r>
      <w:r>
        <w:rPr>
          <w:spacing w:val="36"/>
        </w:rPr>
        <w:t>购</w:t>
      </w:r>
      <w:r>
        <w:rPr>
          <w:spacing w:val="33"/>
        </w:rPr>
        <w:t>代</w:t>
      </w:r>
      <w:r>
        <w:rPr>
          <w:spacing w:val="36"/>
        </w:rPr>
        <w:t>理</w:t>
      </w:r>
      <w:r>
        <w:rPr>
          <w:spacing w:val="-15"/>
        </w:rPr>
        <w:t>编</w:t>
      </w:r>
      <w:r>
        <w:rPr>
          <w:spacing w:val="19"/>
        </w:rPr>
        <w:t>号</w:t>
      </w:r>
      <w:r>
        <w:rPr>
          <w:spacing w:val="18"/>
        </w:rPr>
        <w:t>：</w:t>
      </w:r>
      <w:r>
        <w:rPr>
          <w:spacing w:val="18"/>
          <w:u w:val="single" w:color="333333"/>
        </w:rPr>
        <w:t xml:space="preserve"> </w:t>
      </w:r>
      <w:r>
        <w:rPr>
          <w:spacing w:val="18"/>
          <w:u w:val="single" w:color="333333"/>
        </w:rPr>
        <w:tab/>
      </w:r>
      <w:r>
        <w:rPr>
          <w:spacing w:val="19"/>
        </w:rPr>
        <w:t>）招标中若获中标，我们保证在中</w:t>
      </w:r>
      <w:r>
        <w:rPr>
          <w:spacing w:val="16"/>
        </w:rPr>
        <w:t>标</w:t>
      </w:r>
      <w:r>
        <w:rPr>
          <w:spacing w:val="19"/>
        </w:rPr>
        <w:t>公告发布</w:t>
      </w:r>
      <w:r>
        <w:t>后</w:t>
      </w:r>
      <w:r>
        <w:rPr>
          <w:spacing w:val="-36"/>
        </w:rPr>
        <w:t xml:space="preserve"> </w:t>
      </w:r>
      <w:r>
        <w:t>5</w:t>
      </w:r>
      <w:r>
        <w:rPr>
          <w:spacing w:val="-46"/>
        </w:rPr>
        <w:t xml:space="preserve"> </w:t>
      </w:r>
      <w:r>
        <w:rPr>
          <w:spacing w:val="19"/>
        </w:rPr>
        <w:t>个</w:t>
      </w:r>
      <w:r>
        <w:rPr>
          <w:spacing w:val="-10"/>
        </w:rPr>
        <w:t>工</w:t>
      </w:r>
      <w:r>
        <w:rPr>
          <w:spacing w:val="19"/>
        </w:rPr>
        <w:t>作日内</w:t>
      </w:r>
      <w:r>
        <w:t>，</w:t>
      </w:r>
      <w:r>
        <w:rPr>
          <w:spacing w:val="-99"/>
        </w:rPr>
        <w:t xml:space="preserve"> </w:t>
      </w:r>
      <w:r>
        <w:rPr>
          <w:spacing w:val="19"/>
        </w:rPr>
        <w:t>按招标文件的</w:t>
      </w:r>
      <w:r>
        <w:rPr>
          <w:spacing w:val="21"/>
        </w:rPr>
        <w:t>规</w:t>
      </w:r>
      <w:r>
        <w:rPr>
          <w:spacing w:val="19"/>
        </w:rPr>
        <w:t>定，以银行转</w:t>
      </w:r>
      <w:r>
        <w:rPr>
          <w:spacing w:val="21"/>
        </w:rPr>
        <w:t>账</w:t>
      </w:r>
      <w:r>
        <w:rPr>
          <w:spacing w:val="19"/>
        </w:rPr>
        <w:t>向贵公司一次</w:t>
      </w:r>
      <w:r>
        <w:rPr>
          <w:spacing w:val="21"/>
        </w:rPr>
        <w:t>性</w:t>
      </w:r>
      <w:r>
        <w:rPr>
          <w:spacing w:val="19"/>
        </w:rPr>
        <w:t>支付招标代理</w:t>
      </w:r>
      <w:r>
        <w:rPr>
          <w:spacing w:val="21"/>
        </w:rPr>
        <w:t>服</w:t>
      </w:r>
      <w:r>
        <w:rPr>
          <w:spacing w:val="19"/>
        </w:rPr>
        <w:t>务</w:t>
      </w:r>
      <w:r>
        <w:t>费</w:t>
      </w:r>
      <w:r>
        <w:rPr>
          <w:spacing w:val="19"/>
        </w:rPr>
        <w:t>用。否</w:t>
      </w:r>
      <w:r>
        <w:rPr>
          <w:spacing w:val="21"/>
        </w:rPr>
        <w:t>则</w:t>
      </w:r>
      <w:r>
        <w:rPr>
          <w:spacing w:val="19"/>
        </w:rPr>
        <w:t>，由此产生的</w:t>
      </w:r>
      <w:r>
        <w:rPr>
          <w:spacing w:val="21"/>
        </w:rPr>
        <w:t>一</w:t>
      </w:r>
      <w:r>
        <w:rPr>
          <w:spacing w:val="19"/>
        </w:rPr>
        <w:t>切法律后果和</w:t>
      </w:r>
      <w:r>
        <w:rPr>
          <w:spacing w:val="21"/>
        </w:rPr>
        <w:t>责</w:t>
      </w:r>
      <w:r>
        <w:rPr>
          <w:spacing w:val="19"/>
        </w:rPr>
        <w:t>任由我公司承</w:t>
      </w:r>
      <w:r>
        <w:rPr>
          <w:spacing w:val="21"/>
        </w:rPr>
        <w:t>担</w:t>
      </w:r>
      <w:r>
        <w:rPr>
          <w:spacing w:val="19"/>
        </w:rPr>
        <w:t>。我公司声明</w:t>
      </w:r>
      <w:r>
        <w:rPr>
          <w:spacing w:val="21"/>
        </w:rPr>
        <w:t>放</w:t>
      </w:r>
      <w:r>
        <w:rPr>
          <w:spacing w:val="19"/>
        </w:rPr>
        <w:t>弃</w:t>
      </w:r>
      <w:r>
        <w:t>对</w:t>
      </w:r>
      <w:r>
        <w:rPr>
          <w:spacing w:val="16"/>
        </w:rPr>
        <w:t>此</w:t>
      </w:r>
      <w:r>
        <w:rPr>
          <w:spacing w:val="14"/>
        </w:rPr>
        <w:t>提</w:t>
      </w:r>
      <w:r>
        <w:rPr>
          <w:spacing w:val="16"/>
        </w:rPr>
        <w:t>出任</w:t>
      </w:r>
      <w:r>
        <w:rPr>
          <w:spacing w:val="14"/>
        </w:rPr>
        <w:t>何</w:t>
      </w:r>
      <w:r>
        <w:rPr>
          <w:spacing w:val="16"/>
        </w:rPr>
        <w:t>异议</w:t>
      </w:r>
      <w:r>
        <w:rPr>
          <w:spacing w:val="14"/>
        </w:rPr>
        <w:t>和</w:t>
      </w:r>
      <w:r>
        <w:rPr>
          <w:spacing w:val="16"/>
        </w:rPr>
        <w:t>追索</w:t>
      </w:r>
      <w:r>
        <w:rPr>
          <w:spacing w:val="14"/>
        </w:rPr>
        <w:t>的</w:t>
      </w:r>
      <w:r>
        <w:rPr>
          <w:spacing w:val="16"/>
        </w:rPr>
        <w:t>权利</w:t>
      </w:r>
      <w:r>
        <w:t>。</w:t>
      </w:r>
    </w:p>
    <w:p>
      <w:pPr>
        <w:pStyle w:val="12"/>
        <w:spacing w:before="7"/>
        <w:ind w:left="718"/>
      </w:pPr>
      <w:r>
        <w:t>特此承诺。</w:t>
      </w:r>
    </w:p>
    <w:p>
      <w:pPr>
        <w:pStyle w:val="12"/>
      </w:pPr>
    </w:p>
    <w:p>
      <w:pPr>
        <w:pStyle w:val="12"/>
        <w:spacing w:before="10"/>
        <w:rPr>
          <w:sz w:val="28"/>
        </w:rPr>
      </w:pPr>
    </w:p>
    <w:p>
      <w:pPr>
        <w:pStyle w:val="12"/>
        <w:tabs>
          <w:tab w:val="left" w:pos="7183"/>
        </w:tabs>
        <w:ind w:left="1184"/>
      </w:pPr>
      <w:r>
        <w:rPr>
          <w:spacing w:val="16"/>
        </w:rPr>
        <w:t>投</w:t>
      </w:r>
      <w:r>
        <w:rPr>
          <w:spacing w:val="14"/>
        </w:rPr>
        <w:t>标</w:t>
      </w:r>
      <w:r>
        <w:rPr>
          <w:spacing w:val="16"/>
        </w:rPr>
        <w:t>人名</w:t>
      </w:r>
      <w:r>
        <w:rPr>
          <w:spacing w:val="14"/>
        </w:rPr>
        <w:t>称</w:t>
      </w:r>
      <w:r>
        <w:rPr>
          <w:spacing w:val="16"/>
        </w:rPr>
        <w:t>：</w:t>
      </w:r>
      <w:r>
        <w:rPr>
          <w:spacing w:val="16"/>
          <w:u w:val="single" w:color="333333"/>
        </w:rPr>
        <w:t xml:space="preserve"> </w:t>
      </w:r>
      <w:r>
        <w:rPr>
          <w:spacing w:val="16"/>
          <w:u w:val="single" w:color="333333"/>
        </w:rPr>
        <w:tab/>
      </w:r>
      <w:r>
        <w:rPr>
          <w:spacing w:val="16"/>
        </w:rPr>
        <w:t>（</w:t>
      </w:r>
      <w:r>
        <w:rPr>
          <w:spacing w:val="14"/>
        </w:rPr>
        <w:t>盖</w:t>
      </w:r>
      <w:r>
        <w:rPr>
          <w:spacing w:val="16"/>
        </w:rPr>
        <w:t>章</w:t>
      </w:r>
      <w:r>
        <w:t>）</w:t>
      </w:r>
    </w:p>
    <w:p>
      <w:pPr>
        <w:pStyle w:val="12"/>
        <w:tabs>
          <w:tab w:val="left" w:pos="5495"/>
          <w:tab w:val="left" w:pos="6975"/>
        </w:tabs>
        <w:spacing w:before="53" w:line="242" w:lineRule="auto"/>
        <w:ind w:left="1198" w:right="1712" w:hanging="15"/>
        <w:rPr>
          <w:rFonts w:ascii="Times New Roman" w:eastAsia="Times New Roman"/>
        </w:rPr>
      </w:pPr>
      <w:r>
        <w:rPr>
          <w:spacing w:val="16"/>
        </w:rPr>
        <w:t>法</w:t>
      </w:r>
      <w:r>
        <w:rPr>
          <w:spacing w:val="14"/>
        </w:rPr>
        <w:t>定</w:t>
      </w:r>
      <w:r>
        <w:rPr>
          <w:spacing w:val="16"/>
        </w:rPr>
        <w:t>代表</w:t>
      </w:r>
      <w:r>
        <w:rPr>
          <w:spacing w:val="14"/>
        </w:rPr>
        <w:t>人</w:t>
      </w:r>
      <w:r>
        <w:rPr>
          <w:spacing w:val="16"/>
        </w:rPr>
        <w:t>或授</w:t>
      </w:r>
      <w:r>
        <w:rPr>
          <w:spacing w:val="14"/>
        </w:rPr>
        <w:t>权</w:t>
      </w:r>
      <w:r>
        <w:rPr>
          <w:spacing w:val="16"/>
        </w:rPr>
        <w:t>代表</w:t>
      </w:r>
      <w:r>
        <w:rPr>
          <w:spacing w:val="14"/>
        </w:rPr>
        <w:t>：</w:t>
      </w:r>
      <w:r>
        <w:rPr>
          <w:spacing w:val="14"/>
          <w:u w:val="single" w:color="333333"/>
        </w:rPr>
        <w:t xml:space="preserve"> </w:t>
      </w:r>
      <w:r>
        <w:rPr>
          <w:spacing w:val="14"/>
          <w:u w:val="single" w:color="333333"/>
        </w:rPr>
        <w:tab/>
      </w:r>
      <w:r>
        <w:rPr>
          <w:spacing w:val="14"/>
          <w:u w:val="single" w:color="333333"/>
        </w:rPr>
        <w:tab/>
      </w:r>
      <w:r>
        <w:rPr>
          <w:spacing w:val="16"/>
        </w:rPr>
        <w:t>（</w:t>
      </w:r>
      <w:r>
        <w:rPr>
          <w:spacing w:val="14"/>
        </w:rPr>
        <w:t>签</w:t>
      </w:r>
      <w:r>
        <w:rPr>
          <w:spacing w:val="16"/>
        </w:rPr>
        <w:t>字或</w:t>
      </w:r>
      <w:r>
        <w:rPr>
          <w:spacing w:val="14"/>
        </w:rPr>
        <w:t>盖</w:t>
      </w:r>
      <w:r>
        <w:rPr>
          <w:spacing w:val="16"/>
        </w:rPr>
        <w:t>章</w:t>
      </w:r>
      <w:r>
        <w:rPr>
          <w:spacing w:val="-13"/>
        </w:rPr>
        <w:t xml:space="preserve">） </w:t>
      </w:r>
      <w:r>
        <w:rPr>
          <w:spacing w:val="16"/>
        </w:rPr>
        <w:t>日</w:t>
      </w:r>
      <w:r>
        <w:rPr>
          <w:spacing w:val="14"/>
        </w:rPr>
        <w:t>期</w:t>
      </w:r>
      <w:r>
        <w:rPr>
          <w:spacing w:val="16"/>
        </w:rPr>
        <w:t>：</w:t>
      </w:r>
      <w:r>
        <w:rPr>
          <w:rFonts w:ascii="Times New Roman" w:eastAsia="Times New Roman"/>
          <w:u w:val="single" w:color="333333"/>
        </w:rPr>
        <w:t xml:space="preserve"> </w:t>
      </w:r>
      <w:r>
        <w:rPr>
          <w:rFonts w:ascii="Times New Roman" w:eastAsia="Times New Roman"/>
          <w:u w:val="single" w:color="333333"/>
        </w:rPr>
        <w:tab/>
      </w:r>
    </w:p>
    <w:p>
      <w:pPr>
        <w:spacing w:line="242" w:lineRule="auto"/>
        <w:rPr>
          <w:rFonts w:ascii="Times New Roman" w:eastAsia="Times New Roman"/>
        </w:rPr>
        <w:sectPr>
          <w:footerReference r:id="rId15" w:type="default"/>
          <w:pgSz w:w="11910" w:h="16840"/>
          <w:pgMar w:top="919" w:right="743" w:bottom="1021" w:left="697" w:header="882" w:footer="1078" w:gutter="0"/>
          <w:pgNumType w:start="60"/>
          <w:cols w:space="720" w:num="1"/>
        </w:sect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rPr>
          <w:rFonts w:ascii="Times New Roman"/>
          <w:sz w:val="20"/>
        </w:rPr>
      </w:pPr>
    </w:p>
    <w:p>
      <w:pPr>
        <w:spacing w:before="187"/>
        <w:ind w:left="40" w:right="276"/>
        <w:jc w:val="center"/>
        <w:rPr>
          <w:rFonts w:ascii="宋体" w:eastAsia="宋体"/>
          <w:b/>
          <w:sz w:val="24"/>
        </w:rPr>
      </w:pPr>
      <w:bookmarkStart w:id="65" w:name="五、商务标（格式自拟）"/>
      <w:bookmarkEnd w:id="65"/>
      <w:r>
        <w:rPr>
          <w:rFonts w:hint="eastAsia" w:ascii="宋体" w:eastAsia="宋体"/>
          <w:b/>
          <w:sz w:val="24"/>
        </w:rPr>
        <w:t>五、商务标（ 格式自拟）</w:t>
      </w:r>
    </w:p>
    <w:p>
      <w:pPr>
        <w:jc w:val="center"/>
        <w:rPr>
          <w:rFonts w:ascii="宋体" w:eastAsia="宋体"/>
          <w:sz w:val="24"/>
        </w:rPr>
        <w:sectPr>
          <w:pgSz w:w="11910" w:h="16840"/>
          <w:pgMar w:top="919" w:right="743" w:bottom="1021" w:left="697" w:header="882" w:footer="1078" w:gutter="0"/>
          <w:cols w:space="720" w:num="1"/>
        </w:sectPr>
      </w:pPr>
    </w:p>
    <w:p>
      <w:pPr>
        <w:pStyle w:val="12"/>
        <w:rPr>
          <w:b/>
          <w:sz w:val="20"/>
        </w:rPr>
      </w:pPr>
    </w:p>
    <w:p>
      <w:pPr>
        <w:pStyle w:val="12"/>
        <w:rPr>
          <w:b/>
          <w:sz w:val="20"/>
        </w:rPr>
      </w:pPr>
    </w:p>
    <w:p>
      <w:pPr>
        <w:pStyle w:val="12"/>
        <w:spacing w:before="1"/>
        <w:rPr>
          <w:b/>
          <w:sz w:val="19"/>
        </w:rPr>
      </w:pPr>
    </w:p>
    <w:p>
      <w:pPr>
        <w:ind w:left="40" w:right="271"/>
        <w:jc w:val="center"/>
        <w:rPr>
          <w:rFonts w:ascii="宋体" w:eastAsia="宋体"/>
          <w:b/>
          <w:sz w:val="24"/>
        </w:rPr>
      </w:pPr>
      <w:bookmarkStart w:id="66" w:name="六、法定代表人授权书（以下为参考格式）"/>
      <w:bookmarkEnd w:id="66"/>
      <w:r>
        <w:rPr>
          <w:rFonts w:hint="eastAsia" w:ascii="宋体" w:eastAsia="宋体"/>
          <w:b/>
          <w:sz w:val="24"/>
        </w:rPr>
        <w:t>六、法定代表人授权书（ 以下为参考格式）</w:t>
      </w:r>
    </w:p>
    <w:p>
      <w:pPr>
        <w:pStyle w:val="12"/>
        <w:rPr>
          <w:b/>
        </w:rPr>
      </w:pPr>
    </w:p>
    <w:p>
      <w:pPr>
        <w:pStyle w:val="12"/>
        <w:rPr>
          <w:b/>
        </w:rPr>
      </w:pPr>
    </w:p>
    <w:p>
      <w:pPr>
        <w:pStyle w:val="12"/>
        <w:tabs>
          <w:tab w:val="left" w:pos="3370"/>
          <w:tab w:val="left" w:pos="5009"/>
          <w:tab w:val="left" w:pos="7858"/>
          <w:tab w:val="left" w:pos="9060"/>
        </w:tabs>
        <w:spacing w:before="169" w:line="364" w:lineRule="auto"/>
        <w:ind w:left="718" w:right="925" w:firstLine="568"/>
        <w:jc w:val="both"/>
      </w:pPr>
      <w:r>
        <w:t>本授权书声明</w:t>
      </w:r>
      <w:r>
        <w:rPr>
          <w:spacing w:val="-10"/>
        </w:rPr>
        <w:t>：</w:t>
      </w:r>
      <w:r>
        <w:t>注册于</w:t>
      </w:r>
      <w:r>
        <w:rPr>
          <w:u w:val="single"/>
        </w:rPr>
        <w:t xml:space="preserve">   </w:t>
      </w:r>
      <w:r>
        <w:rPr>
          <w:spacing w:val="109"/>
          <w:u w:val="single"/>
        </w:rPr>
        <w:t xml:space="preserve"> </w:t>
      </w:r>
      <w:r>
        <w:t>（注册地址</w:t>
      </w:r>
      <w:r>
        <w:rPr>
          <w:spacing w:val="-10"/>
        </w:rPr>
        <w:t>）</w:t>
      </w:r>
      <w:r>
        <w:t>的</w:t>
      </w:r>
      <w:r>
        <w:rPr>
          <w:u w:val="single"/>
        </w:rPr>
        <w:t xml:space="preserve"> </w:t>
      </w:r>
      <w:r>
        <w:rPr>
          <w:u w:val="single"/>
        </w:rPr>
        <w:tab/>
      </w:r>
      <w:r>
        <w:t>公司的在下面</w:t>
      </w:r>
      <w:r>
        <w:rPr>
          <w:spacing w:val="-17"/>
        </w:rPr>
        <w:t>签</w:t>
      </w:r>
      <w:r>
        <w:t>字或盖章的</w:t>
      </w:r>
      <w:r>
        <w:rPr>
          <w:u w:val="single"/>
        </w:rPr>
        <w:t xml:space="preserve"> </w:t>
      </w:r>
      <w:r>
        <w:rPr>
          <w:u w:val="single"/>
        </w:rPr>
        <w:tab/>
      </w:r>
      <w:r>
        <w:rPr>
          <w:u w:val="single"/>
        </w:rPr>
        <w:t>（</w:t>
      </w:r>
      <w:r>
        <w:t>法定代表人姓名</w:t>
      </w:r>
      <w:r>
        <w:rPr>
          <w:spacing w:val="-108"/>
        </w:rPr>
        <w:t>、</w:t>
      </w:r>
      <w:r>
        <w:t>职务</w:t>
      </w:r>
      <w:r>
        <w:rPr>
          <w:spacing w:val="-108"/>
        </w:rPr>
        <w:t>）</w:t>
      </w:r>
      <w:r>
        <w:t>代表本公司授权</w:t>
      </w:r>
      <w:r>
        <w:rPr>
          <w:u w:val="single"/>
        </w:rPr>
        <w:t xml:space="preserve"> </w:t>
      </w:r>
      <w:r>
        <w:rPr>
          <w:u w:val="single"/>
        </w:rPr>
        <w:tab/>
      </w:r>
      <w:r>
        <w:rPr>
          <w:u w:val="single"/>
        </w:rPr>
        <w:tab/>
      </w:r>
      <w:r>
        <w:rPr>
          <w:spacing w:val="-3"/>
          <w:u w:val="single"/>
        </w:rPr>
        <w:t>（</w:t>
      </w:r>
      <w:r>
        <w:rPr>
          <w:spacing w:val="-16"/>
        </w:rPr>
        <w:t>单</w:t>
      </w:r>
      <w:r>
        <w:t>位</w:t>
      </w:r>
      <w:r>
        <w:rPr>
          <w:spacing w:val="-15"/>
        </w:rPr>
        <w:t>）</w:t>
      </w:r>
      <w:r>
        <w:t>的在下面签字或盖章的</w:t>
      </w:r>
      <w:r>
        <w:rPr>
          <w:u w:val="single"/>
        </w:rPr>
        <w:t xml:space="preserve"> </w:t>
      </w:r>
      <w:r>
        <w:rPr>
          <w:u w:val="single"/>
        </w:rPr>
        <w:tab/>
      </w:r>
      <w:r>
        <w:t>（被授权人的姓名</w:t>
      </w:r>
      <w:r>
        <w:rPr>
          <w:spacing w:val="-17"/>
        </w:rPr>
        <w:t>、</w:t>
      </w:r>
      <w:r>
        <w:t>职务</w:t>
      </w:r>
      <w:r>
        <w:rPr>
          <w:spacing w:val="-15"/>
        </w:rPr>
        <w:t>）</w:t>
      </w:r>
      <w:r>
        <w:t>为本公司的合</w:t>
      </w:r>
      <w:r>
        <w:rPr>
          <w:spacing w:val="-16"/>
        </w:rPr>
        <w:t>法</w:t>
      </w:r>
      <w:r>
        <w:t>代理人，就</w:t>
      </w:r>
      <w:r>
        <w:rPr>
          <w:spacing w:val="119"/>
          <w:u w:val="single"/>
        </w:rPr>
        <w:t xml:space="preserve"> </w:t>
      </w:r>
      <w:r>
        <w:rPr>
          <w:u w:val="single"/>
        </w:rPr>
        <w:t>项目名称</w:t>
      </w:r>
      <w:r>
        <w:rPr>
          <w:spacing w:val="-1"/>
          <w:u w:val="single"/>
        </w:rPr>
        <w:t xml:space="preserve"> </w:t>
      </w:r>
      <w:r>
        <w:t>的投标，以本公司名义处理一切与之有关的事务。</w:t>
      </w:r>
    </w:p>
    <w:p>
      <w:pPr>
        <w:pStyle w:val="12"/>
        <w:tabs>
          <w:tab w:val="left" w:pos="3087"/>
        </w:tabs>
        <w:spacing w:before="3" w:line="364" w:lineRule="auto"/>
        <w:ind w:left="958" w:right="3056" w:firstLine="328"/>
      </w:pPr>
      <w:r>
        <w:t>本授权书于</w:t>
      </w:r>
      <w:r>
        <w:rPr>
          <w:u w:val="single"/>
        </w:rPr>
        <w:t xml:space="preserve"> </w:t>
      </w:r>
      <w:r>
        <w:rPr>
          <w:u w:val="single"/>
        </w:rPr>
        <w:tab/>
      </w:r>
      <w:r>
        <w:t>年</w:t>
      </w:r>
      <w:r>
        <w:rPr>
          <w:spacing w:val="119"/>
          <w:u w:val="single"/>
        </w:rPr>
        <w:t xml:space="preserve"> </w:t>
      </w:r>
      <w:r>
        <w:t>月</w:t>
      </w:r>
      <w:r>
        <w:rPr>
          <w:spacing w:val="119"/>
          <w:u w:val="single"/>
        </w:rPr>
        <w:t xml:space="preserve"> </w:t>
      </w:r>
      <w:r>
        <w:t>日签字或盖章生效，特此声明</w:t>
      </w:r>
      <w:r>
        <w:rPr>
          <w:spacing w:val="-15"/>
        </w:rPr>
        <w:t>。</w:t>
      </w:r>
      <w:r>
        <w:t>附：法定代表人身份证、授权委托人身份证</w:t>
      </w:r>
    </w:p>
    <w:p>
      <w:pPr>
        <w:pStyle w:val="12"/>
      </w:pPr>
    </w:p>
    <w:p>
      <w:pPr>
        <w:pStyle w:val="12"/>
      </w:pPr>
    </w:p>
    <w:p>
      <w:pPr>
        <w:pStyle w:val="12"/>
      </w:pPr>
    </w:p>
    <w:p>
      <w:pPr>
        <w:pStyle w:val="12"/>
      </w:pPr>
    </w:p>
    <w:p>
      <w:pPr>
        <w:pStyle w:val="12"/>
        <w:tabs>
          <w:tab w:val="left" w:pos="6417"/>
        </w:tabs>
        <w:spacing w:before="175" w:line="364" w:lineRule="auto"/>
        <w:ind w:left="718" w:right="4046"/>
        <w:jc w:val="both"/>
        <w:rPr>
          <w:rFonts w:ascii="Times New Roman" w:eastAsia="Times New Roman"/>
        </w:rPr>
      </w:pPr>
      <w:r>
        <w:rPr>
          <w:spacing w:val="-1"/>
        </w:rPr>
        <w:t>法</w:t>
      </w:r>
      <w:r>
        <w:t>定代表人签字或盖章：</w:t>
      </w:r>
      <w:r>
        <w:rPr>
          <w:rFonts w:ascii="Times New Roman" w:eastAsia="Times New Roman"/>
          <w:u w:val="single"/>
        </w:rPr>
        <w:t xml:space="preserve"> </w:t>
      </w:r>
      <w:r>
        <w:rPr>
          <w:rFonts w:ascii="Times New Roman" w:eastAsia="Times New Roman"/>
          <w:u w:val="single"/>
        </w:rPr>
        <w:tab/>
      </w:r>
      <w:r>
        <w:rPr>
          <w:rFonts w:ascii="Times New Roman" w:eastAsia="Times New Roman"/>
          <w:spacing w:val="-1"/>
          <w:u w:val="single"/>
        </w:rPr>
        <w:t xml:space="preserve">                       </w:t>
      </w:r>
      <w:r>
        <w:rPr>
          <w:rFonts w:ascii="Times New Roman" w:eastAsia="Times New Roman"/>
          <w:spacing w:val="23"/>
          <w:u w:val="single"/>
        </w:rPr>
        <w:t xml:space="preserve"> </w:t>
      </w:r>
      <w:r>
        <w:rPr>
          <w:spacing w:val="-1"/>
        </w:rPr>
        <w:t>代</w:t>
      </w:r>
      <w:r>
        <w:t>理人（被授权人）签字或盖章：</w:t>
      </w:r>
      <w:r>
        <w:rPr>
          <w:rFonts w:ascii="Times New Roman" w:eastAsia="Times New Roman"/>
          <w:u w:val="single"/>
        </w:rPr>
        <w:t xml:space="preserve"> </w:t>
      </w:r>
      <w:r>
        <w:rPr>
          <w:rFonts w:ascii="Times New Roman" w:eastAsia="Times New Roman"/>
          <w:u w:val="single"/>
        </w:rPr>
        <w:tab/>
      </w:r>
      <w:r>
        <w:rPr>
          <w:rFonts w:ascii="Times New Roman" w:eastAsia="Times New Roman"/>
          <w:spacing w:val="-1"/>
          <w:u w:val="single"/>
        </w:rPr>
        <w:t xml:space="preserve">               </w:t>
      </w:r>
      <w:r>
        <w:rPr>
          <w:rFonts w:ascii="Times New Roman" w:eastAsia="Times New Roman"/>
          <w:spacing w:val="15"/>
          <w:u w:val="single"/>
        </w:rPr>
        <w:t xml:space="preserve"> </w:t>
      </w:r>
      <w:r>
        <w:rPr>
          <w:spacing w:val="-1"/>
        </w:rPr>
        <w:t>单</w:t>
      </w:r>
      <w:r>
        <w:t>位名称（盖章）：</w:t>
      </w:r>
      <w:r>
        <w:rPr>
          <w:rFonts w:ascii="Times New Roman" w:eastAsia="Times New Roman"/>
          <w:u w:val="single"/>
        </w:rPr>
        <w:t xml:space="preserve"> </w:t>
      </w:r>
      <w:r>
        <w:rPr>
          <w:rFonts w:ascii="Times New Roman" w:eastAsia="Times New Roman"/>
          <w:u w:val="single"/>
        </w:rPr>
        <w:tab/>
      </w:r>
      <w:r>
        <w:rPr>
          <w:rFonts w:ascii="Times New Roman" w:eastAsia="Times New Roman"/>
          <w:spacing w:val="-1"/>
          <w:u w:val="single"/>
        </w:rPr>
        <w:t xml:space="preserve">                           </w:t>
      </w:r>
      <w:r>
        <w:rPr>
          <w:rFonts w:ascii="Times New Roman" w:eastAsia="Times New Roman"/>
          <w:spacing w:val="27"/>
          <w:u w:val="single"/>
        </w:rPr>
        <w:t xml:space="preserve"> </w:t>
      </w:r>
      <w:r>
        <w:rPr>
          <w:spacing w:val="-1"/>
        </w:rPr>
        <w:t>地</w:t>
      </w:r>
      <w:r>
        <w:t>址：</w:t>
      </w:r>
      <w:r>
        <w:rPr>
          <w:rFonts w:ascii="Times New Roman" w:eastAsia="Times New Roman"/>
          <w:u w:val="single"/>
        </w:rPr>
        <w:t xml:space="preserve"> </w:t>
      </w:r>
      <w:r>
        <w:rPr>
          <w:rFonts w:ascii="Times New Roman" w:eastAsia="Times New Roman"/>
          <w:u w:val="single"/>
        </w:rPr>
        <w:tab/>
      </w:r>
      <w:r>
        <w:rPr>
          <w:rFonts w:ascii="Times New Roman" w:eastAsia="Times New Roman"/>
          <w:spacing w:val="-1"/>
          <w:u w:val="single"/>
        </w:rPr>
        <w:t xml:space="preserve">                                       </w:t>
      </w:r>
      <w:r>
        <w:rPr>
          <w:rFonts w:ascii="Times New Roman" w:eastAsia="Times New Roman"/>
          <w:spacing w:val="39"/>
          <w:u w:val="single"/>
        </w:rPr>
        <w:t xml:space="preserve"> </w:t>
      </w:r>
      <w:r>
        <w:rPr>
          <w:spacing w:val="-1"/>
        </w:rPr>
        <w:t>日</w:t>
      </w:r>
      <w:r>
        <w:t>期：</w:t>
      </w:r>
      <w:r>
        <w:rPr>
          <w:rFonts w:ascii="Times New Roman" w:eastAsia="Times New Roman"/>
          <w:u w:val="single"/>
        </w:rPr>
        <w:t xml:space="preserve"> </w:t>
      </w:r>
      <w:r>
        <w:rPr>
          <w:rFonts w:ascii="Times New Roman" w:eastAsia="Times New Roman"/>
          <w:u w:val="single"/>
        </w:rPr>
        <w:tab/>
      </w:r>
    </w:p>
    <w:p>
      <w:pPr>
        <w:spacing w:line="364" w:lineRule="auto"/>
        <w:jc w:val="both"/>
        <w:rPr>
          <w:rFonts w:ascii="Times New Roman" w:eastAsia="Times New Roman"/>
        </w:rPr>
        <w:sectPr>
          <w:pgSz w:w="11910" w:h="16840"/>
          <w:pgMar w:top="919" w:right="743" w:bottom="1021" w:left="697" w:header="882" w:footer="1078" w:gutter="0"/>
          <w:cols w:space="720" w:num="1"/>
        </w:sectPr>
      </w:pPr>
    </w:p>
    <w:p>
      <w:pPr>
        <w:pStyle w:val="12"/>
        <w:rPr>
          <w:rFonts w:ascii="Times New Roman"/>
          <w:sz w:val="20"/>
        </w:rPr>
      </w:pPr>
    </w:p>
    <w:p>
      <w:pPr>
        <w:pStyle w:val="12"/>
        <w:rPr>
          <w:rFonts w:ascii="Times New Roman"/>
          <w:sz w:val="20"/>
        </w:rPr>
      </w:pPr>
    </w:p>
    <w:p>
      <w:pPr>
        <w:pStyle w:val="12"/>
        <w:rPr>
          <w:rFonts w:ascii="Times New Roman"/>
          <w:sz w:val="20"/>
        </w:rPr>
      </w:pPr>
    </w:p>
    <w:p>
      <w:pPr>
        <w:pStyle w:val="12"/>
        <w:spacing w:before="4"/>
        <w:rPr>
          <w:rFonts w:ascii="Times New Roman"/>
          <w:sz w:val="19"/>
        </w:rPr>
      </w:pPr>
    </w:p>
    <w:p>
      <w:pPr>
        <w:ind w:left="40" w:right="271"/>
        <w:jc w:val="center"/>
        <w:rPr>
          <w:rFonts w:ascii="宋体" w:eastAsia="宋体"/>
          <w:b/>
          <w:sz w:val="24"/>
        </w:rPr>
      </w:pPr>
      <w:bookmarkStart w:id="67" w:name="七、反商业贿赂承诺书（以下为参考格式）"/>
      <w:bookmarkEnd w:id="67"/>
      <w:r>
        <w:rPr>
          <w:rFonts w:hint="eastAsia" w:ascii="宋体" w:eastAsia="宋体"/>
          <w:b/>
          <w:sz w:val="24"/>
        </w:rPr>
        <w:t>七、反商业贿赂承诺书（ 以下为参考格式）</w:t>
      </w:r>
    </w:p>
    <w:p>
      <w:pPr>
        <w:pStyle w:val="12"/>
        <w:rPr>
          <w:b/>
        </w:rPr>
      </w:pPr>
    </w:p>
    <w:p>
      <w:pPr>
        <w:pStyle w:val="12"/>
        <w:rPr>
          <w:b/>
        </w:rPr>
      </w:pPr>
    </w:p>
    <w:p>
      <w:pPr>
        <w:pStyle w:val="12"/>
        <w:spacing w:before="170"/>
        <w:ind w:left="718"/>
      </w:pPr>
      <w:r>
        <w:t>我公司承诺：</w:t>
      </w:r>
    </w:p>
    <w:p>
      <w:pPr>
        <w:pStyle w:val="12"/>
        <w:tabs>
          <w:tab w:val="left" w:pos="2443"/>
          <w:tab w:val="left" w:pos="5803"/>
        </w:tabs>
        <w:spacing w:before="160" w:line="364" w:lineRule="auto"/>
        <w:ind w:left="1364" w:right="1301"/>
      </w:pPr>
      <w:r>
        <w:t>在</w:t>
      </w:r>
      <w:r>
        <w:rPr>
          <w:u w:val="single"/>
        </w:rPr>
        <w:t xml:space="preserve"> </w:t>
      </w:r>
      <w:r>
        <w:rPr>
          <w:u w:val="single"/>
        </w:rPr>
        <w:tab/>
      </w:r>
      <w:r>
        <w:rPr>
          <w:u w:val="single"/>
        </w:rPr>
        <w:t>项目名称及编号</w:t>
      </w:r>
      <w:r>
        <w:rPr>
          <w:u w:val="single"/>
        </w:rPr>
        <w:tab/>
      </w:r>
      <w:r>
        <w:t>招标活动中，我公司保证做到</w:t>
      </w:r>
      <w:r>
        <w:rPr>
          <w:spacing w:val="-18"/>
        </w:rPr>
        <w:t xml:space="preserve">： </w:t>
      </w:r>
      <w:r>
        <w:t>一、公平竞争参加本次招标活动。</w:t>
      </w:r>
    </w:p>
    <w:p>
      <w:pPr>
        <w:pStyle w:val="12"/>
        <w:spacing w:before="2" w:line="364" w:lineRule="auto"/>
        <w:ind w:left="718" w:right="805" w:firstLine="645"/>
        <w:jc w:val="both"/>
      </w:pPr>
      <w:r>
        <w:t>二、杜绝任何形式的商业贿赂行为，不向国家工作人员、政府采购机构工作人</w:t>
      </w:r>
      <w:r>
        <w:rPr>
          <w:spacing w:val="-8"/>
        </w:rPr>
        <w:t>员、评审专家及其亲属提供礼品礼金、有价证券、购物券、回扣、佣金、咨询费、劳</w:t>
      </w:r>
      <w:r>
        <w:rPr>
          <w:spacing w:val="-15"/>
        </w:rPr>
        <w:t>务费、赞助、宣传费、宴请；不为其报销各种消费凭证，不支付其旅游、娱乐等费用。</w:t>
      </w:r>
    </w:p>
    <w:p>
      <w:pPr>
        <w:pStyle w:val="12"/>
        <w:spacing w:before="1" w:line="364" w:lineRule="auto"/>
        <w:ind w:left="718" w:right="923" w:firstLine="645"/>
      </w:pPr>
      <w:r>
        <w:t>三、若有上述行为，我公司及参与投标的工作人员愿意接受按照国家法律法规等有关规定给予的处罚。</w:t>
      </w:r>
    </w:p>
    <w:p>
      <w:pPr>
        <w:pStyle w:val="12"/>
      </w:pPr>
    </w:p>
    <w:p>
      <w:pPr>
        <w:pStyle w:val="12"/>
      </w:pPr>
    </w:p>
    <w:p>
      <w:pPr>
        <w:pStyle w:val="12"/>
        <w:spacing w:before="2"/>
        <w:rPr>
          <w:sz w:val="25"/>
        </w:rPr>
      </w:pPr>
    </w:p>
    <w:p>
      <w:pPr>
        <w:pStyle w:val="12"/>
        <w:spacing w:line="364" w:lineRule="auto"/>
        <w:ind w:left="4604" w:right="2501"/>
      </w:pPr>
      <w:r>
        <w:t>公司法人代表（签字或盖章）： 法人授权代表（签字或盖章）：</w:t>
      </w:r>
    </w:p>
    <w:p>
      <w:pPr>
        <w:pStyle w:val="12"/>
      </w:pPr>
    </w:p>
    <w:p>
      <w:pPr>
        <w:pStyle w:val="12"/>
        <w:spacing w:before="162"/>
        <w:ind w:left="6182"/>
        <w:jc w:val="center"/>
      </w:pPr>
      <w:r>
        <w:t>公章</w:t>
      </w:r>
    </w:p>
    <w:p>
      <w:pPr>
        <w:pStyle w:val="12"/>
      </w:pPr>
    </w:p>
    <w:p>
      <w:pPr>
        <w:pStyle w:val="12"/>
        <w:spacing w:before="1"/>
        <w:rPr>
          <w:sz w:val="25"/>
        </w:rPr>
      </w:pPr>
    </w:p>
    <w:p>
      <w:pPr>
        <w:pStyle w:val="12"/>
        <w:tabs>
          <w:tab w:val="left" w:pos="6575"/>
          <w:tab w:val="left" w:pos="7055"/>
        </w:tabs>
        <w:ind w:left="6095"/>
        <w:jc w:val="center"/>
      </w:pPr>
      <w:r>
        <w:t>年</w:t>
      </w:r>
      <w:r>
        <w:tab/>
      </w:r>
      <w:r>
        <w:t>月</w:t>
      </w:r>
      <w:r>
        <w:tab/>
      </w:r>
      <w:r>
        <w:t>日</w:t>
      </w:r>
    </w:p>
    <w:p>
      <w:pPr>
        <w:jc w:val="center"/>
        <w:sectPr>
          <w:pgSz w:w="11910" w:h="16840"/>
          <w:pgMar w:top="919" w:right="743" w:bottom="1021" w:left="697" w:header="882" w:footer="1078" w:gutter="0"/>
          <w:cols w:space="720" w:num="1"/>
        </w:sectPr>
      </w:pPr>
    </w:p>
    <w:p>
      <w:pPr>
        <w:pStyle w:val="12"/>
        <w:rPr>
          <w:sz w:val="20"/>
        </w:rPr>
      </w:pPr>
    </w:p>
    <w:p>
      <w:pPr>
        <w:pStyle w:val="12"/>
        <w:rPr>
          <w:sz w:val="20"/>
        </w:rPr>
      </w:pPr>
    </w:p>
    <w:p>
      <w:pPr>
        <w:pStyle w:val="12"/>
        <w:spacing w:before="1"/>
        <w:ind w:firstLine="2891" w:firstLineChars="1200"/>
        <w:rPr>
          <w:rFonts w:hAnsi="微软雅黑" w:cs="微软雅黑"/>
          <w:b/>
          <w:szCs w:val="22"/>
        </w:rPr>
      </w:pPr>
      <w:r>
        <w:rPr>
          <w:rFonts w:hint="eastAsia" w:hAnsi="微软雅黑" w:cs="微软雅黑"/>
          <w:b/>
          <w:szCs w:val="22"/>
        </w:rPr>
        <w:t>八、技术参数相应对照表（</w:t>
      </w:r>
      <w:r>
        <w:rPr>
          <w:rFonts w:hint="eastAsia"/>
          <w:b/>
        </w:rPr>
        <w:t>以下为参考格式</w:t>
      </w:r>
      <w:r>
        <w:rPr>
          <w:rFonts w:hint="eastAsia" w:hAnsi="微软雅黑" w:cs="微软雅黑"/>
          <w:b/>
          <w:szCs w:val="22"/>
        </w:rPr>
        <w:t>）</w:t>
      </w:r>
    </w:p>
    <w:tbl>
      <w:tblPr>
        <w:tblStyle w:val="24"/>
        <w:tblW w:w="0" w:type="auto"/>
        <w:tblInd w:w="5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6"/>
        <w:gridCol w:w="1476"/>
        <w:gridCol w:w="2784"/>
        <w:gridCol w:w="2977"/>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876" w:type="dxa"/>
            <w:shd w:val="clear" w:color="auto" w:fill="D6D6D6"/>
          </w:tcPr>
          <w:p>
            <w:pPr>
              <w:pStyle w:val="30"/>
              <w:spacing w:before="8"/>
              <w:rPr>
                <w:rFonts w:ascii="宋体"/>
                <w:b/>
                <w:sz w:val="24"/>
              </w:rPr>
            </w:pPr>
          </w:p>
          <w:p>
            <w:pPr>
              <w:pStyle w:val="30"/>
              <w:ind w:left="198"/>
              <w:rPr>
                <w:rFonts w:ascii="宋体" w:eastAsia="宋体"/>
                <w:sz w:val="24"/>
              </w:rPr>
            </w:pPr>
            <w:r>
              <w:rPr>
                <w:rFonts w:hint="eastAsia" w:ascii="宋体" w:eastAsia="宋体"/>
                <w:sz w:val="24"/>
              </w:rPr>
              <w:t>序号</w:t>
            </w:r>
          </w:p>
        </w:tc>
        <w:tc>
          <w:tcPr>
            <w:tcW w:w="1476" w:type="dxa"/>
            <w:shd w:val="clear" w:color="auto" w:fill="D6D6D6"/>
          </w:tcPr>
          <w:p>
            <w:pPr>
              <w:pStyle w:val="30"/>
              <w:spacing w:before="8"/>
              <w:rPr>
                <w:rFonts w:ascii="宋体"/>
                <w:b/>
                <w:sz w:val="24"/>
              </w:rPr>
            </w:pPr>
          </w:p>
          <w:p>
            <w:pPr>
              <w:pStyle w:val="30"/>
              <w:ind w:left="227"/>
              <w:rPr>
                <w:rFonts w:ascii="宋体" w:eastAsia="宋体"/>
                <w:sz w:val="24"/>
              </w:rPr>
            </w:pPr>
            <w:r>
              <w:rPr>
                <w:rFonts w:hint="eastAsia" w:ascii="宋体" w:eastAsia="宋体"/>
                <w:sz w:val="24"/>
              </w:rPr>
              <w:t>产品名称</w:t>
            </w:r>
          </w:p>
        </w:tc>
        <w:tc>
          <w:tcPr>
            <w:tcW w:w="2784" w:type="dxa"/>
            <w:shd w:val="clear" w:color="auto" w:fill="D6D6D6"/>
            <w:vAlign w:val="center"/>
          </w:tcPr>
          <w:p>
            <w:pPr>
              <w:pStyle w:val="30"/>
              <w:spacing w:before="80"/>
              <w:ind w:left="154" w:right="147"/>
              <w:jc w:val="center"/>
              <w:rPr>
                <w:rFonts w:ascii="宋体" w:eastAsia="宋体"/>
                <w:sz w:val="24"/>
              </w:rPr>
            </w:pPr>
            <w:r>
              <w:rPr>
                <w:rFonts w:hint="eastAsia" w:ascii="宋体" w:eastAsia="宋体"/>
                <w:sz w:val="24"/>
              </w:rPr>
              <w:t>招标文件技术需求内容</w:t>
            </w:r>
            <w:r>
              <w:rPr>
                <w:rFonts w:hint="eastAsia" w:ascii="宋体" w:eastAsia="宋体"/>
                <w:sz w:val="21"/>
              </w:rPr>
              <w:t>“★”</w:t>
            </w:r>
            <w:r>
              <w:rPr>
                <w:rFonts w:hint="eastAsia" w:ascii="宋体" w:eastAsia="宋体"/>
                <w:sz w:val="24"/>
              </w:rPr>
              <w:t>必须满足项</w:t>
            </w:r>
          </w:p>
        </w:tc>
        <w:tc>
          <w:tcPr>
            <w:tcW w:w="2977" w:type="dxa"/>
            <w:shd w:val="clear" w:color="auto" w:fill="D6D6D6"/>
          </w:tcPr>
          <w:p>
            <w:pPr>
              <w:pStyle w:val="30"/>
              <w:spacing w:before="80"/>
              <w:ind w:left="131" w:right="124"/>
              <w:jc w:val="center"/>
              <w:rPr>
                <w:rFonts w:ascii="宋体" w:eastAsia="宋体"/>
                <w:sz w:val="24"/>
              </w:rPr>
            </w:pPr>
            <w:r>
              <w:rPr>
                <w:rFonts w:hint="eastAsia" w:ascii="宋体" w:eastAsia="宋体"/>
                <w:sz w:val="24"/>
              </w:rPr>
              <w:t>供应商响应技术</w:t>
            </w:r>
          </w:p>
          <w:p>
            <w:pPr>
              <w:pStyle w:val="30"/>
              <w:spacing w:before="161"/>
              <w:ind w:left="131" w:right="124"/>
              <w:jc w:val="center"/>
              <w:rPr>
                <w:rFonts w:ascii="宋体" w:eastAsia="宋体"/>
                <w:sz w:val="24"/>
              </w:rPr>
            </w:pPr>
            <w:r>
              <w:rPr>
                <w:rFonts w:hint="eastAsia" w:ascii="宋体" w:eastAsia="宋体"/>
                <w:sz w:val="24"/>
              </w:rPr>
              <w:t>需求内容</w:t>
            </w:r>
          </w:p>
        </w:tc>
        <w:tc>
          <w:tcPr>
            <w:tcW w:w="1701" w:type="dxa"/>
            <w:shd w:val="clear" w:color="auto" w:fill="D6D6D6"/>
          </w:tcPr>
          <w:p>
            <w:pPr>
              <w:pStyle w:val="30"/>
              <w:spacing w:before="8"/>
              <w:rPr>
                <w:rFonts w:ascii="宋体"/>
                <w:b/>
                <w:sz w:val="24"/>
              </w:rPr>
            </w:pPr>
          </w:p>
          <w:p>
            <w:pPr>
              <w:pStyle w:val="30"/>
              <w:ind w:firstLine="120" w:firstLineChars="50"/>
              <w:rPr>
                <w:rFonts w:ascii="宋体" w:eastAsia="宋体"/>
                <w:sz w:val="24"/>
              </w:rPr>
            </w:pPr>
            <w:r>
              <w:rPr>
                <w:rFonts w:hint="eastAsia" w:ascii="宋体" w:eastAsia="宋体"/>
                <w:sz w:val="24"/>
              </w:rPr>
              <w:t>是否对照一致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876" w:type="dxa"/>
          </w:tcPr>
          <w:p>
            <w:pPr>
              <w:pStyle w:val="30"/>
              <w:rPr>
                <w:rFonts w:ascii="Times New Roman"/>
                <w:sz w:val="20"/>
              </w:rPr>
            </w:pPr>
          </w:p>
        </w:tc>
        <w:tc>
          <w:tcPr>
            <w:tcW w:w="1476" w:type="dxa"/>
          </w:tcPr>
          <w:p>
            <w:pPr>
              <w:pStyle w:val="30"/>
              <w:rPr>
                <w:rFonts w:ascii="Times New Roman"/>
                <w:sz w:val="20"/>
              </w:rPr>
            </w:pPr>
          </w:p>
        </w:tc>
        <w:tc>
          <w:tcPr>
            <w:tcW w:w="2784" w:type="dxa"/>
          </w:tcPr>
          <w:p>
            <w:pPr>
              <w:pStyle w:val="30"/>
              <w:rPr>
                <w:rFonts w:ascii="Times New Roman"/>
                <w:sz w:val="20"/>
              </w:rPr>
            </w:pPr>
          </w:p>
        </w:tc>
        <w:tc>
          <w:tcPr>
            <w:tcW w:w="2977" w:type="dxa"/>
          </w:tcPr>
          <w:p>
            <w:pPr>
              <w:pStyle w:val="30"/>
              <w:rPr>
                <w:rFonts w:ascii="Times New Roman"/>
                <w:sz w:val="20"/>
              </w:rPr>
            </w:pPr>
          </w:p>
        </w:tc>
        <w:tc>
          <w:tcPr>
            <w:tcW w:w="1701" w:type="dxa"/>
          </w:tcPr>
          <w:p>
            <w:pPr>
              <w:pStyle w:val="3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6" w:type="dxa"/>
          </w:tcPr>
          <w:p>
            <w:pPr>
              <w:pStyle w:val="30"/>
              <w:rPr>
                <w:rFonts w:ascii="Times New Roman"/>
                <w:sz w:val="20"/>
              </w:rPr>
            </w:pPr>
          </w:p>
        </w:tc>
        <w:tc>
          <w:tcPr>
            <w:tcW w:w="1476" w:type="dxa"/>
          </w:tcPr>
          <w:p>
            <w:pPr>
              <w:pStyle w:val="30"/>
              <w:rPr>
                <w:rFonts w:ascii="Times New Roman"/>
                <w:sz w:val="20"/>
              </w:rPr>
            </w:pPr>
          </w:p>
        </w:tc>
        <w:tc>
          <w:tcPr>
            <w:tcW w:w="2784" w:type="dxa"/>
          </w:tcPr>
          <w:p>
            <w:pPr>
              <w:pStyle w:val="30"/>
              <w:rPr>
                <w:rFonts w:ascii="Times New Roman"/>
                <w:sz w:val="20"/>
              </w:rPr>
            </w:pPr>
          </w:p>
        </w:tc>
        <w:tc>
          <w:tcPr>
            <w:tcW w:w="2977" w:type="dxa"/>
          </w:tcPr>
          <w:p>
            <w:pPr>
              <w:pStyle w:val="30"/>
              <w:rPr>
                <w:rFonts w:ascii="Times New Roman"/>
                <w:sz w:val="20"/>
              </w:rPr>
            </w:pPr>
          </w:p>
        </w:tc>
        <w:tc>
          <w:tcPr>
            <w:tcW w:w="1701" w:type="dxa"/>
          </w:tcPr>
          <w:p>
            <w:pPr>
              <w:pStyle w:val="3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76" w:type="dxa"/>
          </w:tcPr>
          <w:p>
            <w:pPr>
              <w:pStyle w:val="30"/>
              <w:rPr>
                <w:rFonts w:ascii="Times New Roman"/>
                <w:sz w:val="20"/>
              </w:rPr>
            </w:pPr>
          </w:p>
        </w:tc>
        <w:tc>
          <w:tcPr>
            <w:tcW w:w="1476" w:type="dxa"/>
          </w:tcPr>
          <w:p>
            <w:pPr>
              <w:pStyle w:val="30"/>
              <w:rPr>
                <w:rFonts w:ascii="Times New Roman"/>
                <w:sz w:val="20"/>
              </w:rPr>
            </w:pPr>
          </w:p>
        </w:tc>
        <w:tc>
          <w:tcPr>
            <w:tcW w:w="2784" w:type="dxa"/>
          </w:tcPr>
          <w:p>
            <w:pPr>
              <w:pStyle w:val="30"/>
              <w:rPr>
                <w:rFonts w:ascii="Times New Roman"/>
                <w:sz w:val="20"/>
              </w:rPr>
            </w:pPr>
          </w:p>
        </w:tc>
        <w:tc>
          <w:tcPr>
            <w:tcW w:w="2977" w:type="dxa"/>
          </w:tcPr>
          <w:p>
            <w:pPr>
              <w:pStyle w:val="30"/>
              <w:rPr>
                <w:rFonts w:ascii="Times New Roman"/>
                <w:sz w:val="20"/>
              </w:rPr>
            </w:pPr>
          </w:p>
        </w:tc>
        <w:tc>
          <w:tcPr>
            <w:tcW w:w="1701" w:type="dxa"/>
          </w:tcPr>
          <w:p>
            <w:pPr>
              <w:pStyle w:val="3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6" w:type="dxa"/>
          </w:tcPr>
          <w:p>
            <w:pPr>
              <w:pStyle w:val="30"/>
              <w:spacing w:before="8"/>
              <w:rPr>
                <w:rFonts w:ascii="宋体"/>
                <w:b/>
                <w:sz w:val="24"/>
              </w:rPr>
            </w:pPr>
          </w:p>
          <w:p>
            <w:pPr>
              <w:pStyle w:val="30"/>
              <w:ind w:left="198"/>
              <w:rPr>
                <w:rFonts w:ascii="宋体" w:eastAsia="宋体"/>
                <w:sz w:val="24"/>
              </w:rPr>
            </w:pPr>
            <w:r>
              <w:rPr>
                <w:rFonts w:hint="eastAsia" w:ascii="宋体" w:eastAsia="宋体"/>
                <w:sz w:val="24"/>
              </w:rPr>
              <w:t>序号</w:t>
            </w:r>
          </w:p>
        </w:tc>
        <w:tc>
          <w:tcPr>
            <w:tcW w:w="1476" w:type="dxa"/>
          </w:tcPr>
          <w:p>
            <w:pPr>
              <w:pStyle w:val="30"/>
              <w:spacing w:before="8"/>
              <w:rPr>
                <w:rFonts w:ascii="宋体"/>
                <w:b/>
                <w:sz w:val="24"/>
              </w:rPr>
            </w:pPr>
          </w:p>
          <w:p>
            <w:pPr>
              <w:pStyle w:val="30"/>
              <w:ind w:left="227"/>
              <w:rPr>
                <w:rFonts w:ascii="宋体" w:eastAsia="宋体"/>
                <w:sz w:val="24"/>
              </w:rPr>
            </w:pPr>
            <w:r>
              <w:rPr>
                <w:rFonts w:hint="eastAsia" w:ascii="宋体" w:eastAsia="宋体"/>
                <w:sz w:val="24"/>
              </w:rPr>
              <w:t>产品名称</w:t>
            </w:r>
          </w:p>
        </w:tc>
        <w:tc>
          <w:tcPr>
            <w:tcW w:w="2784" w:type="dxa"/>
            <w:vAlign w:val="center"/>
          </w:tcPr>
          <w:p>
            <w:pPr>
              <w:pStyle w:val="30"/>
              <w:spacing w:before="80"/>
              <w:ind w:left="154" w:right="147"/>
              <w:jc w:val="center"/>
              <w:rPr>
                <w:rFonts w:ascii="宋体" w:eastAsia="宋体"/>
                <w:sz w:val="24"/>
              </w:rPr>
            </w:pPr>
            <w:r>
              <w:rPr>
                <w:rFonts w:hint="eastAsia" w:ascii="宋体" w:eastAsia="宋体"/>
                <w:sz w:val="24"/>
              </w:rPr>
              <w:t>招标文件技术需求内容</w:t>
            </w:r>
            <w:r>
              <w:rPr>
                <w:rFonts w:hint="eastAsia" w:ascii="宋体" w:eastAsia="宋体"/>
                <w:sz w:val="21"/>
              </w:rPr>
              <w:t>“</w:t>
            </w:r>
            <w:r>
              <w:rPr>
                <w:rFonts w:hint="eastAsia" w:ascii="宋体" w:hAnsi="宋体" w:eastAsia="宋体" w:cs="宋体"/>
                <w:sz w:val="20"/>
                <w:szCs w:val="20"/>
                <w:lang w:val="en-US"/>
              </w:rPr>
              <w:t>▲</w:t>
            </w:r>
            <w:r>
              <w:rPr>
                <w:rFonts w:hint="eastAsia" w:ascii="宋体" w:eastAsia="宋体"/>
                <w:sz w:val="21"/>
              </w:rPr>
              <w:t>”</w:t>
            </w:r>
            <w:r>
              <w:rPr>
                <w:rFonts w:hint="eastAsia" w:ascii="宋体" w:eastAsia="宋体"/>
                <w:sz w:val="24"/>
              </w:rPr>
              <w:t>重点技术项</w:t>
            </w:r>
          </w:p>
        </w:tc>
        <w:tc>
          <w:tcPr>
            <w:tcW w:w="2977" w:type="dxa"/>
          </w:tcPr>
          <w:p>
            <w:pPr>
              <w:pStyle w:val="30"/>
              <w:spacing w:before="80"/>
              <w:ind w:left="131" w:right="124"/>
              <w:jc w:val="center"/>
              <w:rPr>
                <w:rFonts w:ascii="宋体" w:eastAsia="宋体"/>
                <w:sz w:val="24"/>
              </w:rPr>
            </w:pPr>
            <w:r>
              <w:rPr>
                <w:rFonts w:hint="eastAsia" w:ascii="宋体" w:eastAsia="宋体"/>
                <w:sz w:val="24"/>
              </w:rPr>
              <w:t>供应商响应技术</w:t>
            </w:r>
          </w:p>
          <w:p>
            <w:pPr>
              <w:pStyle w:val="30"/>
              <w:spacing w:before="161"/>
              <w:ind w:left="131" w:right="124"/>
              <w:jc w:val="center"/>
              <w:rPr>
                <w:rFonts w:ascii="宋体" w:eastAsia="宋体"/>
                <w:sz w:val="24"/>
              </w:rPr>
            </w:pPr>
            <w:r>
              <w:rPr>
                <w:rFonts w:hint="eastAsia" w:ascii="宋体" w:eastAsia="宋体"/>
                <w:sz w:val="24"/>
              </w:rPr>
              <w:t>需求内容</w:t>
            </w:r>
          </w:p>
        </w:tc>
        <w:tc>
          <w:tcPr>
            <w:tcW w:w="1701" w:type="dxa"/>
          </w:tcPr>
          <w:p>
            <w:pPr>
              <w:pStyle w:val="30"/>
              <w:spacing w:before="8"/>
              <w:rPr>
                <w:rFonts w:ascii="宋体"/>
                <w:b/>
                <w:sz w:val="24"/>
              </w:rPr>
            </w:pPr>
          </w:p>
          <w:p>
            <w:pPr>
              <w:pStyle w:val="30"/>
              <w:ind w:firstLine="120" w:firstLineChars="50"/>
              <w:rPr>
                <w:rFonts w:ascii="宋体" w:eastAsia="宋体"/>
                <w:sz w:val="24"/>
              </w:rPr>
            </w:pPr>
            <w:r>
              <w:rPr>
                <w:rFonts w:hint="eastAsia" w:ascii="宋体" w:eastAsia="宋体"/>
                <w:sz w:val="24"/>
              </w:rPr>
              <w:t>是否对照一致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76" w:type="dxa"/>
          </w:tcPr>
          <w:p>
            <w:pPr>
              <w:pStyle w:val="30"/>
              <w:rPr>
                <w:rFonts w:ascii="Times New Roman"/>
                <w:sz w:val="20"/>
              </w:rPr>
            </w:pPr>
          </w:p>
        </w:tc>
        <w:tc>
          <w:tcPr>
            <w:tcW w:w="1476" w:type="dxa"/>
          </w:tcPr>
          <w:p>
            <w:pPr>
              <w:pStyle w:val="30"/>
              <w:rPr>
                <w:rFonts w:ascii="Times New Roman"/>
                <w:sz w:val="20"/>
              </w:rPr>
            </w:pPr>
          </w:p>
        </w:tc>
        <w:tc>
          <w:tcPr>
            <w:tcW w:w="2784" w:type="dxa"/>
          </w:tcPr>
          <w:p>
            <w:pPr>
              <w:pStyle w:val="30"/>
              <w:rPr>
                <w:rFonts w:ascii="Times New Roman"/>
                <w:sz w:val="20"/>
              </w:rPr>
            </w:pPr>
          </w:p>
        </w:tc>
        <w:tc>
          <w:tcPr>
            <w:tcW w:w="2977" w:type="dxa"/>
          </w:tcPr>
          <w:p>
            <w:pPr>
              <w:pStyle w:val="30"/>
              <w:rPr>
                <w:rFonts w:ascii="Times New Roman"/>
                <w:sz w:val="20"/>
              </w:rPr>
            </w:pPr>
          </w:p>
        </w:tc>
        <w:tc>
          <w:tcPr>
            <w:tcW w:w="1701" w:type="dxa"/>
          </w:tcPr>
          <w:p>
            <w:pPr>
              <w:pStyle w:val="3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6" w:type="dxa"/>
          </w:tcPr>
          <w:p>
            <w:pPr>
              <w:pStyle w:val="30"/>
              <w:rPr>
                <w:rFonts w:ascii="Times New Roman"/>
                <w:sz w:val="20"/>
              </w:rPr>
            </w:pPr>
          </w:p>
        </w:tc>
        <w:tc>
          <w:tcPr>
            <w:tcW w:w="1476" w:type="dxa"/>
          </w:tcPr>
          <w:p>
            <w:pPr>
              <w:pStyle w:val="30"/>
              <w:rPr>
                <w:rFonts w:ascii="Times New Roman"/>
                <w:sz w:val="20"/>
              </w:rPr>
            </w:pPr>
          </w:p>
        </w:tc>
        <w:tc>
          <w:tcPr>
            <w:tcW w:w="2784" w:type="dxa"/>
          </w:tcPr>
          <w:p>
            <w:pPr>
              <w:pStyle w:val="30"/>
              <w:rPr>
                <w:rFonts w:ascii="Times New Roman"/>
                <w:sz w:val="20"/>
              </w:rPr>
            </w:pPr>
          </w:p>
        </w:tc>
        <w:tc>
          <w:tcPr>
            <w:tcW w:w="2977" w:type="dxa"/>
          </w:tcPr>
          <w:p>
            <w:pPr>
              <w:pStyle w:val="30"/>
              <w:rPr>
                <w:rFonts w:ascii="Times New Roman"/>
                <w:sz w:val="20"/>
              </w:rPr>
            </w:pPr>
          </w:p>
        </w:tc>
        <w:tc>
          <w:tcPr>
            <w:tcW w:w="1701" w:type="dxa"/>
          </w:tcPr>
          <w:p>
            <w:pPr>
              <w:pStyle w:val="3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76" w:type="dxa"/>
          </w:tcPr>
          <w:p>
            <w:pPr>
              <w:pStyle w:val="30"/>
              <w:rPr>
                <w:rFonts w:ascii="Times New Roman"/>
                <w:sz w:val="20"/>
              </w:rPr>
            </w:pPr>
          </w:p>
        </w:tc>
        <w:tc>
          <w:tcPr>
            <w:tcW w:w="1476" w:type="dxa"/>
          </w:tcPr>
          <w:p>
            <w:pPr>
              <w:pStyle w:val="30"/>
              <w:rPr>
                <w:rFonts w:ascii="Times New Roman"/>
                <w:sz w:val="20"/>
              </w:rPr>
            </w:pPr>
          </w:p>
        </w:tc>
        <w:tc>
          <w:tcPr>
            <w:tcW w:w="2784" w:type="dxa"/>
          </w:tcPr>
          <w:p>
            <w:pPr>
              <w:pStyle w:val="30"/>
              <w:rPr>
                <w:rFonts w:ascii="Times New Roman"/>
                <w:sz w:val="20"/>
              </w:rPr>
            </w:pPr>
          </w:p>
        </w:tc>
        <w:tc>
          <w:tcPr>
            <w:tcW w:w="2977" w:type="dxa"/>
          </w:tcPr>
          <w:p>
            <w:pPr>
              <w:pStyle w:val="30"/>
              <w:rPr>
                <w:rFonts w:ascii="Times New Roman"/>
                <w:sz w:val="20"/>
              </w:rPr>
            </w:pPr>
          </w:p>
        </w:tc>
        <w:tc>
          <w:tcPr>
            <w:tcW w:w="1701" w:type="dxa"/>
          </w:tcPr>
          <w:p>
            <w:pPr>
              <w:pStyle w:val="3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6" w:type="dxa"/>
          </w:tcPr>
          <w:p>
            <w:pPr>
              <w:pStyle w:val="30"/>
              <w:rPr>
                <w:rFonts w:ascii="Times New Roman"/>
                <w:sz w:val="20"/>
              </w:rPr>
            </w:pPr>
          </w:p>
        </w:tc>
        <w:tc>
          <w:tcPr>
            <w:tcW w:w="1476" w:type="dxa"/>
          </w:tcPr>
          <w:p>
            <w:pPr>
              <w:pStyle w:val="30"/>
              <w:rPr>
                <w:rFonts w:ascii="Times New Roman"/>
                <w:sz w:val="20"/>
              </w:rPr>
            </w:pPr>
          </w:p>
        </w:tc>
        <w:tc>
          <w:tcPr>
            <w:tcW w:w="2784" w:type="dxa"/>
          </w:tcPr>
          <w:p>
            <w:pPr>
              <w:pStyle w:val="30"/>
              <w:rPr>
                <w:rFonts w:ascii="Times New Roman"/>
                <w:sz w:val="20"/>
              </w:rPr>
            </w:pPr>
          </w:p>
        </w:tc>
        <w:tc>
          <w:tcPr>
            <w:tcW w:w="2977" w:type="dxa"/>
          </w:tcPr>
          <w:p>
            <w:pPr>
              <w:pStyle w:val="30"/>
              <w:rPr>
                <w:rFonts w:ascii="Times New Roman"/>
                <w:sz w:val="20"/>
              </w:rPr>
            </w:pPr>
          </w:p>
        </w:tc>
        <w:tc>
          <w:tcPr>
            <w:tcW w:w="1701" w:type="dxa"/>
          </w:tcPr>
          <w:p>
            <w:pPr>
              <w:pStyle w:val="3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6" w:type="dxa"/>
          </w:tcPr>
          <w:p>
            <w:pPr>
              <w:pStyle w:val="30"/>
              <w:rPr>
                <w:rFonts w:ascii="Times New Roman"/>
                <w:sz w:val="20"/>
              </w:rPr>
            </w:pPr>
          </w:p>
        </w:tc>
        <w:tc>
          <w:tcPr>
            <w:tcW w:w="1476" w:type="dxa"/>
          </w:tcPr>
          <w:p>
            <w:pPr>
              <w:pStyle w:val="30"/>
              <w:rPr>
                <w:rFonts w:ascii="Times New Roman"/>
                <w:sz w:val="20"/>
              </w:rPr>
            </w:pPr>
          </w:p>
        </w:tc>
        <w:tc>
          <w:tcPr>
            <w:tcW w:w="2784" w:type="dxa"/>
          </w:tcPr>
          <w:p>
            <w:pPr>
              <w:pStyle w:val="30"/>
              <w:rPr>
                <w:rFonts w:ascii="Times New Roman"/>
                <w:sz w:val="20"/>
              </w:rPr>
            </w:pPr>
          </w:p>
        </w:tc>
        <w:tc>
          <w:tcPr>
            <w:tcW w:w="2977" w:type="dxa"/>
          </w:tcPr>
          <w:p>
            <w:pPr>
              <w:pStyle w:val="30"/>
              <w:rPr>
                <w:rFonts w:ascii="Times New Roman"/>
                <w:sz w:val="20"/>
              </w:rPr>
            </w:pPr>
          </w:p>
        </w:tc>
        <w:tc>
          <w:tcPr>
            <w:tcW w:w="1701" w:type="dxa"/>
          </w:tcPr>
          <w:p>
            <w:pPr>
              <w:pStyle w:val="30"/>
              <w:rPr>
                <w:rFonts w:ascii="Times New Roman"/>
                <w:sz w:val="20"/>
              </w:rPr>
            </w:pPr>
          </w:p>
        </w:tc>
      </w:tr>
    </w:tbl>
    <w:p>
      <w:pPr>
        <w:pStyle w:val="12"/>
        <w:spacing w:before="1"/>
        <w:ind w:firstLine="4337" w:firstLineChars="1800"/>
        <w:rPr>
          <w:rFonts w:hAnsi="微软雅黑" w:cs="微软雅黑"/>
          <w:b/>
          <w:szCs w:val="22"/>
        </w:rPr>
      </w:pPr>
    </w:p>
    <w:p>
      <w:pPr>
        <w:pStyle w:val="12"/>
        <w:spacing w:before="1"/>
        <w:rPr>
          <w:rFonts w:hAnsi="微软雅黑" w:cs="微软雅黑"/>
          <w:b/>
          <w:szCs w:val="22"/>
        </w:rPr>
      </w:pPr>
      <w:r>
        <w:rPr>
          <w:rFonts w:hint="eastAsia" w:hAnsi="微软雅黑" w:cs="微软雅黑"/>
          <w:b/>
          <w:szCs w:val="22"/>
        </w:rPr>
        <w:t>注：本表需单独密封提供，随投标文件一起递交！</w:t>
      </w:r>
    </w:p>
    <w:p>
      <w:pPr>
        <w:spacing w:before="66"/>
        <w:ind w:left="40" w:right="285"/>
        <w:jc w:val="center"/>
        <w:rPr>
          <w:rFonts w:ascii="宋体" w:eastAsia="宋体"/>
          <w:b/>
          <w:sz w:val="24"/>
        </w:rPr>
      </w:pPr>
      <w:bookmarkStart w:id="68" w:name="九、其他材料"/>
      <w:bookmarkEnd w:id="68"/>
    </w:p>
    <w:p>
      <w:pPr>
        <w:spacing w:before="66"/>
        <w:ind w:left="40" w:right="285"/>
        <w:jc w:val="center"/>
        <w:rPr>
          <w:rFonts w:ascii="宋体" w:eastAsia="宋体"/>
          <w:b/>
          <w:sz w:val="24"/>
        </w:rPr>
      </w:pPr>
    </w:p>
    <w:p>
      <w:pPr>
        <w:spacing w:before="66"/>
        <w:ind w:left="40" w:right="285"/>
        <w:jc w:val="center"/>
        <w:rPr>
          <w:rFonts w:ascii="宋体" w:eastAsia="宋体"/>
          <w:b/>
          <w:sz w:val="24"/>
        </w:rPr>
      </w:pPr>
    </w:p>
    <w:p>
      <w:pPr>
        <w:spacing w:before="66"/>
        <w:ind w:left="40" w:right="285"/>
        <w:jc w:val="center"/>
        <w:rPr>
          <w:rFonts w:ascii="宋体" w:eastAsia="宋体"/>
          <w:b/>
          <w:sz w:val="24"/>
        </w:rPr>
      </w:pPr>
    </w:p>
    <w:p>
      <w:pPr>
        <w:spacing w:before="66"/>
        <w:ind w:left="40" w:right="285"/>
        <w:jc w:val="center"/>
        <w:rPr>
          <w:rFonts w:ascii="宋体" w:eastAsia="宋体"/>
          <w:b/>
          <w:sz w:val="24"/>
        </w:rPr>
      </w:pPr>
    </w:p>
    <w:p>
      <w:pPr>
        <w:spacing w:before="66"/>
        <w:ind w:left="40" w:right="285"/>
        <w:jc w:val="center"/>
        <w:rPr>
          <w:rFonts w:ascii="宋体" w:eastAsia="宋体"/>
          <w:b/>
          <w:sz w:val="24"/>
        </w:rPr>
      </w:pPr>
    </w:p>
    <w:p>
      <w:pPr>
        <w:spacing w:before="66"/>
        <w:ind w:left="40" w:right="285"/>
        <w:jc w:val="center"/>
        <w:rPr>
          <w:rFonts w:ascii="宋体" w:eastAsia="宋体"/>
          <w:b/>
          <w:sz w:val="24"/>
        </w:rPr>
      </w:pPr>
    </w:p>
    <w:p>
      <w:pPr>
        <w:spacing w:before="66"/>
        <w:ind w:left="40" w:right="285"/>
        <w:jc w:val="center"/>
        <w:rPr>
          <w:rFonts w:ascii="宋体" w:eastAsia="宋体"/>
          <w:b/>
          <w:sz w:val="24"/>
        </w:rPr>
      </w:pPr>
    </w:p>
    <w:p>
      <w:pPr>
        <w:spacing w:before="66"/>
        <w:ind w:left="40" w:right="285"/>
        <w:jc w:val="center"/>
        <w:rPr>
          <w:rFonts w:ascii="宋体" w:eastAsia="宋体"/>
          <w:b/>
          <w:sz w:val="24"/>
        </w:rPr>
      </w:pPr>
    </w:p>
    <w:p>
      <w:pPr>
        <w:spacing w:before="66"/>
        <w:ind w:left="40" w:right="285"/>
        <w:jc w:val="center"/>
        <w:rPr>
          <w:rFonts w:ascii="宋体" w:eastAsia="宋体"/>
          <w:b/>
          <w:sz w:val="24"/>
        </w:rPr>
      </w:pPr>
    </w:p>
    <w:p>
      <w:pPr>
        <w:spacing w:before="66"/>
        <w:ind w:left="40" w:right="285"/>
        <w:jc w:val="center"/>
        <w:rPr>
          <w:rFonts w:ascii="宋体" w:eastAsia="宋体"/>
          <w:b/>
          <w:sz w:val="24"/>
        </w:rPr>
      </w:pPr>
    </w:p>
    <w:p>
      <w:pPr>
        <w:spacing w:before="66"/>
        <w:ind w:left="40" w:right="285"/>
        <w:jc w:val="center"/>
        <w:rPr>
          <w:rFonts w:ascii="宋体" w:eastAsia="宋体"/>
          <w:b/>
          <w:sz w:val="24"/>
        </w:rPr>
      </w:pPr>
    </w:p>
    <w:p>
      <w:pPr>
        <w:spacing w:before="66"/>
        <w:ind w:left="40" w:right="285"/>
        <w:jc w:val="center"/>
        <w:rPr>
          <w:rFonts w:ascii="宋体" w:eastAsia="宋体"/>
          <w:b/>
          <w:sz w:val="24"/>
        </w:rPr>
      </w:pPr>
    </w:p>
    <w:p>
      <w:pPr>
        <w:spacing w:before="66"/>
        <w:ind w:left="40" w:right="285"/>
        <w:jc w:val="center"/>
        <w:rPr>
          <w:rFonts w:ascii="宋体" w:eastAsia="宋体"/>
          <w:b/>
          <w:sz w:val="24"/>
        </w:rPr>
      </w:pPr>
    </w:p>
    <w:p>
      <w:pPr>
        <w:spacing w:before="66"/>
        <w:ind w:left="40" w:right="285"/>
        <w:jc w:val="center"/>
        <w:rPr>
          <w:rFonts w:ascii="宋体" w:eastAsia="宋体"/>
          <w:b/>
          <w:sz w:val="24"/>
        </w:rPr>
      </w:pPr>
    </w:p>
    <w:p>
      <w:pPr>
        <w:spacing w:before="66"/>
        <w:ind w:left="40" w:right="285"/>
        <w:jc w:val="center"/>
        <w:rPr>
          <w:rFonts w:ascii="宋体" w:eastAsia="宋体"/>
          <w:b/>
          <w:sz w:val="24"/>
        </w:rPr>
      </w:pPr>
    </w:p>
    <w:p>
      <w:pPr>
        <w:spacing w:before="66"/>
        <w:ind w:left="40" w:right="285"/>
        <w:jc w:val="center"/>
        <w:rPr>
          <w:rFonts w:ascii="宋体" w:eastAsia="宋体"/>
          <w:b/>
          <w:sz w:val="24"/>
        </w:rPr>
      </w:pPr>
    </w:p>
    <w:p>
      <w:pPr>
        <w:spacing w:before="66"/>
        <w:ind w:left="40" w:right="285"/>
        <w:jc w:val="center"/>
        <w:rPr>
          <w:rFonts w:ascii="宋体" w:eastAsia="宋体"/>
          <w:b/>
          <w:sz w:val="24"/>
        </w:rPr>
      </w:pPr>
    </w:p>
    <w:p>
      <w:pPr>
        <w:spacing w:before="66"/>
        <w:ind w:left="40" w:right="285"/>
        <w:jc w:val="center"/>
        <w:rPr>
          <w:rFonts w:ascii="宋体" w:eastAsia="宋体"/>
          <w:b/>
          <w:sz w:val="24"/>
        </w:rPr>
      </w:pPr>
    </w:p>
    <w:p>
      <w:pPr>
        <w:spacing w:before="66"/>
        <w:ind w:left="40" w:right="285"/>
        <w:jc w:val="center"/>
        <w:rPr>
          <w:rFonts w:ascii="宋体" w:eastAsia="宋体"/>
          <w:b/>
          <w:sz w:val="24"/>
        </w:rPr>
      </w:pPr>
      <w:r>
        <w:rPr>
          <w:rFonts w:hint="eastAsia" w:ascii="宋体" w:eastAsia="宋体"/>
          <w:b/>
          <w:sz w:val="24"/>
        </w:rPr>
        <w:t>九、其他材料</w:t>
      </w:r>
    </w:p>
    <w:p>
      <w:pPr>
        <w:pStyle w:val="12"/>
        <w:spacing w:before="161"/>
        <w:ind w:left="718"/>
      </w:pPr>
      <w:bookmarkStart w:id="69" w:name="供应商认为需要的其他材料，包括但不限于以下内容："/>
      <w:bookmarkEnd w:id="69"/>
      <w:r>
        <w:t>供应商认为需要的其他材料，包括但不限于以下内容：</w:t>
      </w:r>
    </w:p>
    <w:p>
      <w:pPr>
        <w:pStyle w:val="12"/>
        <w:spacing w:before="160" w:line="364" w:lineRule="auto"/>
        <w:ind w:left="718" w:right="925" w:firstLine="480"/>
      </w:pPr>
      <w:r>
        <w:t>1、中小企业声明函【供应商须提供中小企业声明函，否则不予认可。（小型、微型企业提供中型企业制造的货物的，视同为中型企业。）】</w:t>
      </w:r>
    </w:p>
    <w:p>
      <w:pPr>
        <w:spacing w:line="364" w:lineRule="auto"/>
        <w:sectPr>
          <w:pgSz w:w="11910" w:h="16840"/>
          <w:pgMar w:top="919" w:right="743" w:bottom="1021" w:left="697" w:header="882" w:footer="1078" w:gutter="0"/>
          <w:cols w:space="720" w:num="1"/>
        </w:sectPr>
      </w:pPr>
    </w:p>
    <w:p>
      <w:pPr>
        <w:pStyle w:val="12"/>
        <w:rPr>
          <w:sz w:val="20"/>
        </w:rPr>
      </w:pPr>
    </w:p>
    <w:p>
      <w:pPr>
        <w:pStyle w:val="12"/>
        <w:rPr>
          <w:sz w:val="20"/>
        </w:rPr>
      </w:pPr>
    </w:p>
    <w:p>
      <w:pPr>
        <w:pStyle w:val="12"/>
        <w:rPr>
          <w:sz w:val="17"/>
        </w:rPr>
      </w:pPr>
    </w:p>
    <w:p>
      <w:pPr>
        <w:spacing w:before="55"/>
        <w:ind w:right="925"/>
        <w:jc w:val="right"/>
        <w:rPr>
          <w:rFonts w:ascii="宋体" w:eastAsia="宋体"/>
          <w:sz w:val="32"/>
        </w:rPr>
      </w:pPr>
      <w:r>
        <w:rPr>
          <w:rFonts w:hint="eastAsia" w:ascii="宋体" w:eastAsia="宋体"/>
          <w:w w:val="95"/>
          <w:sz w:val="32"/>
        </w:rPr>
        <w:t>正本/副本</w:t>
      </w:r>
    </w:p>
    <w:p>
      <w:pPr>
        <w:pStyle w:val="12"/>
        <w:rPr>
          <w:sz w:val="20"/>
        </w:rPr>
      </w:pPr>
    </w:p>
    <w:p>
      <w:pPr>
        <w:pStyle w:val="12"/>
        <w:rPr>
          <w:sz w:val="20"/>
        </w:rPr>
      </w:pPr>
    </w:p>
    <w:p>
      <w:pPr>
        <w:pStyle w:val="12"/>
        <w:spacing w:before="4"/>
        <w:rPr>
          <w:sz w:val="20"/>
        </w:rPr>
      </w:pPr>
    </w:p>
    <w:p>
      <w:pPr>
        <w:tabs>
          <w:tab w:val="left" w:pos="1119"/>
          <w:tab w:val="left" w:pos="3998"/>
        </w:tabs>
        <w:spacing w:before="65"/>
        <w:ind w:right="210"/>
        <w:jc w:val="center"/>
        <w:rPr>
          <w:rFonts w:ascii="宋体" w:eastAsia="宋体"/>
          <w:sz w:val="32"/>
        </w:rPr>
      </w:pPr>
      <w:r>
        <w:rPr>
          <w:rFonts w:ascii="Times New Roman" w:eastAsia="Times New Roman"/>
          <w:w w:val="99"/>
          <w:sz w:val="32"/>
          <w:u w:val="single"/>
        </w:rPr>
        <w:t xml:space="preserve"> </w:t>
      </w:r>
      <w:r>
        <w:rPr>
          <w:rFonts w:ascii="Times New Roman" w:eastAsia="Times New Roman"/>
          <w:sz w:val="32"/>
          <w:u w:val="single"/>
        </w:rPr>
        <w:tab/>
      </w:r>
      <w:r>
        <w:rPr>
          <w:rFonts w:hint="eastAsia" w:ascii="宋体" w:eastAsia="宋体"/>
          <w:sz w:val="32"/>
          <w:u w:val="single"/>
        </w:rPr>
        <w:t>（项目名称）</w:t>
      </w:r>
      <w:r>
        <w:rPr>
          <w:rFonts w:hint="eastAsia" w:ascii="宋体" w:eastAsia="宋体"/>
          <w:sz w:val="32"/>
          <w:u w:val="single"/>
        </w:rPr>
        <w:tab/>
      </w:r>
      <w:r>
        <w:rPr>
          <w:rFonts w:hint="eastAsia" w:ascii="宋体" w:eastAsia="宋体"/>
          <w:sz w:val="32"/>
        </w:rPr>
        <w:t>招标</w:t>
      </w:r>
    </w:p>
    <w:p>
      <w:pPr>
        <w:pStyle w:val="12"/>
        <w:rPr>
          <w:sz w:val="34"/>
        </w:rPr>
      </w:pPr>
    </w:p>
    <w:p>
      <w:pPr>
        <w:pStyle w:val="12"/>
        <w:rPr>
          <w:sz w:val="34"/>
        </w:rPr>
      </w:pPr>
    </w:p>
    <w:p>
      <w:pPr>
        <w:pStyle w:val="12"/>
        <w:rPr>
          <w:sz w:val="34"/>
        </w:rPr>
      </w:pPr>
    </w:p>
    <w:p>
      <w:pPr>
        <w:pStyle w:val="12"/>
        <w:rPr>
          <w:sz w:val="34"/>
        </w:rPr>
      </w:pPr>
    </w:p>
    <w:p>
      <w:pPr>
        <w:pStyle w:val="12"/>
        <w:rPr>
          <w:sz w:val="25"/>
        </w:rPr>
      </w:pPr>
    </w:p>
    <w:p>
      <w:pPr>
        <w:tabs>
          <w:tab w:val="left" w:pos="1259"/>
          <w:tab w:val="left" w:pos="2519"/>
          <w:tab w:val="left" w:pos="3779"/>
          <w:tab w:val="left" w:pos="5039"/>
          <w:tab w:val="left" w:pos="6299"/>
        </w:tabs>
        <w:ind w:right="207"/>
        <w:jc w:val="center"/>
        <w:rPr>
          <w:rFonts w:ascii="宋体" w:eastAsia="宋体"/>
          <w:sz w:val="84"/>
        </w:rPr>
      </w:pPr>
      <w:r>
        <w:rPr>
          <w:rFonts w:hint="eastAsia" w:ascii="宋体" w:eastAsia="宋体"/>
          <w:sz w:val="84"/>
        </w:rPr>
        <w:t>资</w:t>
      </w:r>
      <w:r>
        <w:rPr>
          <w:rFonts w:hint="eastAsia" w:ascii="宋体" w:eastAsia="宋体"/>
          <w:sz w:val="84"/>
        </w:rPr>
        <w:tab/>
      </w:r>
      <w:r>
        <w:rPr>
          <w:rFonts w:hint="eastAsia" w:ascii="宋体" w:eastAsia="宋体"/>
          <w:sz w:val="84"/>
        </w:rPr>
        <w:t>格</w:t>
      </w:r>
      <w:r>
        <w:rPr>
          <w:rFonts w:hint="eastAsia" w:ascii="宋体" w:eastAsia="宋体"/>
          <w:sz w:val="84"/>
        </w:rPr>
        <w:tab/>
      </w:r>
      <w:r>
        <w:rPr>
          <w:rFonts w:hint="eastAsia" w:ascii="宋体" w:eastAsia="宋体"/>
          <w:sz w:val="84"/>
        </w:rPr>
        <w:t>证</w:t>
      </w:r>
      <w:r>
        <w:rPr>
          <w:rFonts w:hint="eastAsia" w:ascii="宋体" w:eastAsia="宋体"/>
          <w:sz w:val="84"/>
        </w:rPr>
        <w:tab/>
      </w:r>
      <w:r>
        <w:rPr>
          <w:rFonts w:hint="eastAsia" w:ascii="宋体" w:eastAsia="宋体"/>
          <w:sz w:val="84"/>
        </w:rPr>
        <w:t>明</w:t>
      </w:r>
      <w:r>
        <w:rPr>
          <w:rFonts w:hint="eastAsia" w:ascii="宋体" w:eastAsia="宋体"/>
          <w:sz w:val="84"/>
        </w:rPr>
        <w:tab/>
      </w:r>
      <w:r>
        <w:rPr>
          <w:rFonts w:hint="eastAsia" w:ascii="宋体" w:eastAsia="宋体"/>
          <w:sz w:val="84"/>
        </w:rPr>
        <w:t>文</w:t>
      </w:r>
      <w:r>
        <w:rPr>
          <w:rFonts w:hint="eastAsia" w:ascii="宋体" w:eastAsia="宋体"/>
          <w:sz w:val="84"/>
        </w:rPr>
        <w:tab/>
      </w:r>
      <w:r>
        <w:rPr>
          <w:rFonts w:hint="eastAsia" w:ascii="宋体" w:eastAsia="宋体"/>
          <w:sz w:val="84"/>
        </w:rPr>
        <w:t>件</w:t>
      </w:r>
    </w:p>
    <w:p>
      <w:pPr>
        <w:pStyle w:val="12"/>
        <w:rPr>
          <w:sz w:val="84"/>
        </w:rPr>
      </w:pPr>
    </w:p>
    <w:p>
      <w:pPr>
        <w:pStyle w:val="12"/>
        <w:rPr>
          <w:sz w:val="84"/>
        </w:rPr>
      </w:pPr>
    </w:p>
    <w:p>
      <w:pPr>
        <w:pStyle w:val="12"/>
        <w:rPr>
          <w:sz w:val="84"/>
        </w:rPr>
      </w:pPr>
    </w:p>
    <w:p>
      <w:pPr>
        <w:pStyle w:val="12"/>
        <w:rPr>
          <w:sz w:val="84"/>
        </w:rPr>
      </w:pPr>
    </w:p>
    <w:p>
      <w:pPr>
        <w:pStyle w:val="12"/>
        <w:spacing w:before="8"/>
        <w:rPr>
          <w:sz w:val="70"/>
        </w:rPr>
      </w:pPr>
    </w:p>
    <w:p>
      <w:pPr>
        <w:tabs>
          <w:tab w:val="left" w:pos="6948"/>
          <w:tab w:val="left" w:pos="7087"/>
        </w:tabs>
        <w:spacing w:line="417" w:lineRule="auto"/>
        <w:ind w:left="1208" w:right="1415" w:firstLine="420"/>
        <w:rPr>
          <w:rFonts w:ascii="宋体" w:eastAsia="宋体"/>
          <w:sz w:val="28"/>
        </w:rPr>
      </w:pPr>
      <w:r>
        <w:rPr>
          <w:rFonts w:hint="eastAsia" w:ascii="宋体" w:eastAsia="宋体"/>
          <w:sz w:val="28"/>
        </w:rPr>
        <w:t>供</w:t>
      </w:r>
      <w:r>
        <w:rPr>
          <w:rFonts w:hint="eastAsia" w:ascii="宋体" w:eastAsia="宋体"/>
          <w:spacing w:val="-3"/>
          <w:sz w:val="28"/>
        </w:rPr>
        <w:t>应</w:t>
      </w:r>
      <w:r>
        <w:rPr>
          <w:rFonts w:hint="eastAsia" w:ascii="宋体" w:eastAsia="宋体"/>
          <w:sz w:val="28"/>
        </w:rPr>
        <w:t>商：</w:t>
      </w:r>
      <w:r>
        <w:rPr>
          <w:rFonts w:hint="eastAsia" w:ascii="宋体" w:eastAsia="宋体"/>
          <w:sz w:val="28"/>
          <w:u w:val="single"/>
        </w:rPr>
        <w:t xml:space="preserve"> </w:t>
      </w:r>
      <w:r>
        <w:rPr>
          <w:rFonts w:hint="eastAsia" w:ascii="宋体" w:eastAsia="宋体"/>
          <w:sz w:val="28"/>
          <w:u w:val="single"/>
        </w:rPr>
        <w:tab/>
      </w:r>
      <w:r>
        <w:rPr>
          <w:rFonts w:hint="eastAsia" w:ascii="宋体" w:eastAsia="宋体"/>
          <w:sz w:val="28"/>
        </w:rPr>
        <w:t>（</w:t>
      </w:r>
      <w:r>
        <w:rPr>
          <w:rFonts w:hint="eastAsia" w:ascii="宋体" w:eastAsia="宋体"/>
          <w:spacing w:val="-3"/>
          <w:sz w:val="28"/>
        </w:rPr>
        <w:t>盖</w:t>
      </w:r>
      <w:r>
        <w:rPr>
          <w:rFonts w:hint="eastAsia" w:ascii="宋体" w:eastAsia="宋体"/>
          <w:sz w:val="28"/>
        </w:rPr>
        <w:t>单位</w:t>
      </w:r>
      <w:r>
        <w:rPr>
          <w:rFonts w:hint="eastAsia" w:ascii="宋体" w:eastAsia="宋体"/>
          <w:spacing w:val="-3"/>
          <w:sz w:val="28"/>
        </w:rPr>
        <w:t>章</w:t>
      </w:r>
      <w:r>
        <w:rPr>
          <w:rFonts w:hint="eastAsia" w:ascii="宋体" w:eastAsia="宋体"/>
          <w:sz w:val="28"/>
        </w:rPr>
        <w:t>）  法</w:t>
      </w:r>
      <w:r>
        <w:rPr>
          <w:rFonts w:hint="eastAsia" w:ascii="宋体" w:eastAsia="宋体"/>
          <w:spacing w:val="-3"/>
          <w:sz w:val="28"/>
        </w:rPr>
        <w:t>定</w:t>
      </w:r>
      <w:r>
        <w:rPr>
          <w:rFonts w:hint="eastAsia" w:ascii="宋体" w:eastAsia="宋体"/>
          <w:sz w:val="28"/>
        </w:rPr>
        <w:t>代表</w:t>
      </w:r>
      <w:r>
        <w:rPr>
          <w:rFonts w:hint="eastAsia" w:ascii="宋体" w:eastAsia="宋体"/>
          <w:spacing w:val="-3"/>
          <w:sz w:val="28"/>
        </w:rPr>
        <w:t>人</w:t>
      </w:r>
      <w:r>
        <w:rPr>
          <w:rFonts w:hint="eastAsia" w:ascii="宋体" w:eastAsia="宋体"/>
          <w:sz w:val="28"/>
        </w:rPr>
        <w:t>或其</w:t>
      </w:r>
      <w:r>
        <w:rPr>
          <w:rFonts w:hint="eastAsia" w:ascii="宋体" w:eastAsia="宋体"/>
          <w:spacing w:val="-3"/>
          <w:sz w:val="28"/>
        </w:rPr>
        <w:t>委</w:t>
      </w:r>
      <w:r>
        <w:rPr>
          <w:rFonts w:hint="eastAsia" w:ascii="宋体" w:eastAsia="宋体"/>
          <w:sz w:val="28"/>
        </w:rPr>
        <w:t>托代</w:t>
      </w:r>
      <w:r>
        <w:rPr>
          <w:rFonts w:hint="eastAsia" w:ascii="宋体" w:eastAsia="宋体"/>
          <w:spacing w:val="-3"/>
          <w:sz w:val="28"/>
        </w:rPr>
        <w:t>理</w:t>
      </w:r>
      <w:r>
        <w:rPr>
          <w:rFonts w:hint="eastAsia" w:ascii="宋体" w:eastAsia="宋体"/>
          <w:sz w:val="28"/>
        </w:rPr>
        <w:t>人：</w:t>
      </w:r>
      <w:r>
        <w:rPr>
          <w:rFonts w:hint="eastAsia" w:ascii="宋体" w:eastAsia="宋体"/>
          <w:sz w:val="28"/>
          <w:u w:val="single"/>
        </w:rPr>
        <w:t xml:space="preserve"> </w:t>
      </w:r>
      <w:r>
        <w:rPr>
          <w:rFonts w:hint="eastAsia" w:ascii="宋体" w:eastAsia="宋体"/>
          <w:sz w:val="28"/>
          <w:u w:val="single"/>
        </w:rPr>
        <w:tab/>
      </w:r>
      <w:r>
        <w:rPr>
          <w:rFonts w:hint="eastAsia" w:ascii="宋体" w:eastAsia="宋体"/>
          <w:sz w:val="28"/>
          <w:u w:val="single"/>
        </w:rPr>
        <w:tab/>
      </w:r>
      <w:r>
        <w:rPr>
          <w:rFonts w:hint="eastAsia" w:ascii="宋体" w:eastAsia="宋体"/>
          <w:spacing w:val="-1"/>
          <w:sz w:val="28"/>
        </w:rPr>
        <w:t>（</w:t>
      </w:r>
      <w:r>
        <w:rPr>
          <w:rFonts w:hint="eastAsia" w:ascii="宋体" w:eastAsia="宋体"/>
          <w:spacing w:val="-3"/>
          <w:sz w:val="28"/>
        </w:rPr>
        <w:t>签</w:t>
      </w:r>
      <w:r>
        <w:rPr>
          <w:rFonts w:hint="eastAsia" w:ascii="宋体" w:eastAsia="宋体"/>
          <w:spacing w:val="-1"/>
          <w:sz w:val="28"/>
        </w:rPr>
        <w:t>字或</w:t>
      </w:r>
      <w:r>
        <w:rPr>
          <w:rFonts w:hint="eastAsia" w:ascii="宋体" w:eastAsia="宋体"/>
          <w:spacing w:val="-3"/>
          <w:sz w:val="28"/>
        </w:rPr>
        <w:t>盖</w:t>
      </w:r>
      <w:r>
        <w:rPr>
          <w:rFonts w:hint="eastAsia" w:ascii="宋体" w:eastAsia="宋体"/>
          <w:spacing w:val="-1"/>
          <w:sz w:val="28"/>
        </w:rPr>
        <w:t>章</w:t>
      </w:r>
      <w:r>
        <w:rPr>
          <w:rFonts w:hint="eastAsia" w:ascii="宋体" w:eastAsia="宋体"/>
          <w:spacing w:val="-13"/>
          <w:sz w:val="28"/>
        </w:rPr>
        <w:t>）</w:t>
      </w:r>
    </w:p>
    <w:p>
      <w:pPr>
        <w:tabs>
          <w:tab w:val="left" w:pos="1120"/>
          <w:tab w:val="left" w:pos="2520"/>
          <w:tab w:val="left" w:pos="3921"/>
        </w:tabs>
        <w:ind w:right="207"/>
        <w:jc w:val="center"/>
        <w:rPr>
          <w:rFonts w:ascii="宋体" w:eastAsia="宋体"/>
          <w:sz w:val="28"/>
        </w:rPr>
      </w:pPr>
      <w:r>
        <w:rPr>
          <w:rFonts w:ascii="Times New Roman" w:eastAsia="Times New Roman"/>
          <w:sz w:val="28"/>
          <w:u w:val="single"/>
        </w:rPr>
        <w:t xml:space="preserve"> </w:t>
      </w:r>
      <w:r>
        <w:rPr>
          <w:rFonts w:ascii="Times New Roman" w:eastAsia="Times New Roman"/>
          <w:sz w:val="28"/>
          <w:u w:val="single"/>
        </w:rPr>
        <w:tab/>
      </w:r>
      <w:r>
        <w:rPr>
          <w:rFonts w:hint="eastAsia" w:ascii="宋体" w:eastAsia="宋体"/>
          <w:sz w:val="28"/>
        </w:rPr>
        <w:t>年</w:t>
      </w:r>
      <w:r>
        <w:rPr>
          <w:rFonts w:hint="eastAsia" w:ascii="宋体" w:eastAsia="宋体"/>
          <w:sz w:val="28"/>
          <w:u w:val="single"/>
        </w:rPr>
        <w:t xml:space="preserve"> </w:t>
      </w:r>
      <w:r>
        <w:rPr>
          <w:rFonts w:hint="eastAsia" w:ascii="宋体" w:eastAsia="宋体"/>
          <w:sz w:val="28"/>
          <w:u w:val="single"/>
        </w:rPr>
        <w:tab/>
      </w:r>
      <w:r>
        <w:rPr>
          <w:rFonts w:hint="eastAsia" w:ascii="宋体" w:eastAsia="宋体"/>
          <w:sz w:val="28"/>
        </w:rPr>
        <w:t>月</w:t>
      </w:r>
      <w:r>
        <w:rPr>
          <w:rFonts w:hint="eastAsia" w:ascii="宋体" w:eastAsia="宋体"/>
          <w:sz w:val="28"/>
          <w:u w:val="single"/>
        </w:rPr>
        <w:t xml:space="preserve"> </w:t>
      </w:r>
      <w:r>
        <w:rPr>
          <w:rFonts w:hint="eastAsia" w:ascii="宋体" w:eastAsia="宋体"/>
          <w:sz w:val="28"/>
          <w:u w:val="single"/>
        </w:rPr>
        <w:tab/>
      </w:r>
      <w:r>
        <w:rPr>
          <w:rFonts w:hint="eastAsia" w:ascii="宋体" w:eastAsia="宋体"/>
          <w:sz w:val="28"/>
        </w:rPr>
        <w:t>日</w:t>
      </w:r>
    </w:p>
    <w:p>
      <w:pPr>
        <w:pStyle w:val="12"/>
        <w:rPr>
          <w:sz w:val="30"/>
        </w:rPr>
      </w:pPr>
    </w:p>
    <w:p>
      <w:pPr>
        <w:pStyle w:val="12"/>
        <w:spacing w:before="2"/>
        <w:rPr>
          <w:sz w:val="23"/>
        </w:rPr>
      </w:pPr>
    </w:p>
    <w:p>
      <w:pPr>
        <w:spacing w:before="1"/>
        <w:ind w:left="718"/>
        <w:rPr>
          <w:rFonts w:ascii="宋体" w:eastAsia="宋体"/>
          <w:b/>
          <w:sz w:val="24"/>
        </w:rPr>
      </w:pPr>
      <w:bookmarkStart w:id="70" w:name="注：资格证明文件需单独装订，可单独密封或同投标文件密封在一起"/>
      <w:bookmarkEnd w:id="70"/>
      <w:r>
        <w:rPr>
          <w:rFonts w:hint="eastAsia" w:ascii="宋体" w:eastAsia="宋体"/>
          <w:b/>
          <w:sz w:val="24"/>
        </w:rPr>
        <w:t>注： 资格证明文件需单独装订， 可单独密封或同投标文件密封在一起</w:t>
      </w:r>
    </w:p>
    <w:p>
      <w:pPr>
        <w:rPr>
          <w:rFonts w:ascii="宋体" w:eastAsia="宋体"/>
          <w:sz w:val="24"/>
        </w:rPr>
        <w:sectPr>
          <w:pgSz w:w="11910" w:h="16840"/>
          <w:pgMar w:top="919" w:right="743" w:bottom="1021" w:left="697" w:header="882" w:footer="1078" w:gutter="0"/>
          <w:cols w:space="720" w:num="1"/>
        </w:sectPr>
      </w:pPr>
    </w:p>
    <w:p>
      <w:pPr>
        <w:pStyle w:val="12"/>
        <w:rPr>
          <w:b/>
          <w:sz w:val="20"/>
        </w:rPr>
      </w:pPr>
    </w:p>
    <w:p>
      <w:pPr>
        <w:pStyle w:val="12"/>
        <w:rPr>
          <w:b/>
          <w:sz w:val="20"/>
        </w:rPr>
      </w:pPr>
    </w:p>
    <w:p>
      <w:pPr>
        <w:pStyle w:val="12"/>
        <w:spacing w:before="1"/>
        <w:rPr>
          <w:b/>
          <w:sz w:val="19"/>
        </w:rPr>
      </w:pPr>
    </w:p>
    <w:p>
      <w:pPr>
        <w:ind w:left="40" w:right="271"/>
        <w:jc w:val="center"/>
        <w:rPr>
          <w:rFonts w:ascii="宋体" w:eastAsia="宋体"/>
          <w:b/>
          <w:sz w:val="24"/>
        </w:rPr>
      </w:pPr>
      <w:bookmarkStart w:id="71" w:name="一、关于资格的声明函（以下为参考格式）"/>
      <w:bookmarkEnd w:id="71"/>
      <w:r>
        <w:rPr>
          <w:rFonts w:hint="eastAsia" w:ascii="宋体" w:eastAsia="宋体"/>
          <w:b/>
          <w:sz w:val="24"/>
        </w:rPr>
        <w:t>一、关于资格的声明函（ 以下为参考格式）</w:t>
      </w:r>
    </w:p>
    <w:p>
      <w:pPr>
        <w:pStyle w:val="12"/>
        <w:rPr>
          <w:b/>
        </w:rPr>
      </w:pPr>
    </w:p>
    <w:p>
      <w:pPr>
        <w:pStyle w:val="12"/>
        <w:rPr>
          <w:b/>
        </w:rPr>
      </w:pPr>
    </w:p>
    <w:p>
      <w:pPr>
        <w:pStyle w:val="12"/>
        <w:tabs>
          <w:tab w:val="left" w:pos="1318"/>
          <w:tab w:val="left" w:pos="4077"/>
        </w:tabs>
        <w:spacing w:before="169"/>
        <w:ind w:left="718"/>
      </w:pPr>
      <w:r>
        <w:rPr>
          <w:rFonts w:ascii="Times New Roman" w:eastAsia="Times New Roman"/>
          <w:u w:val="single"/>
        </w:rPr>
        <w:t xml:space="preserve"> </w:t>
      </w:r>
      <w:r>
        <w:rPr>
          <w:rFonts w:ascii="Times New Roman" w:eastAsia="Times New Roman"/>
          <w:u w:val="single"/>
        </w:rPr>
        <w:tab/>
      </w:r>
      <w:r>
        <w:rPr>
          <w:u w:val="single"/>
        </w:rPr>
        <w:t>（采购人）</w:t>
      </w:r>
      <w:r>
        <w:rPr>
          <w:u w:val="single"/>
        </w:rPr>
        <w:tab/>
      </w:r>
      <w:r>
        <w:t>：</w:t>
      </w:r>
    </w:p>
    <w:p>
      <w:pPr>
        <w:pStyle w:val="12"/>
        <w:tabs>
          <w:tab w:val="left" w:pos="5908"/>
        </w:tabs>
        <w:spacing w:before="161" w:line="364" w:lineRule="auto"/>
        <w:ind w:left="718" w:right="803" w:firstLine="480"/>
      </w:pPr>
      <w:r>
        <w:t>关于贵方</w:t>
      </w:r>
      <w:r>
        <w:rPr>
          <w:spacing w:val="119"/>
          <w:u w:val="single"/>
        </w:rPr>
        <w:t xml:space="preserve"> </w:t>
      </w:r>
      <w:r>
        <w:rPr>
          <w:u w:val="single"/>
        </w:rPr>
        <w:t>开标日期</w:t>
      </w:r>
      <w:r>
        <w:rPr>
          <w:spacing w:val="-92"/>
          <w:u w:val="single"/>
        </w:rPr>
        <w:t>、</w:t>
      </w:r>
      <w:r>
        <w:rPr>
          <w:u w:val="single"/>
        </w:rPr>
        <w:t>采购编号及项目名称</w:t>
      </w:r>
      <w:r>
        <w:rPr>
          <w:u w:val="single"/>
        </w:rPr>
        <w:tab/>
      </w:r>
      <w:r>
        <w:t>投标邀请</w:t>
      </w:r>
      <w:r>
        <w:rPr>
          <w:spacing w:val="-92"/>
        </w:rPr>
        <w:t>，</w:t>
      </w:r>
      <w:r>
        <w:t>本签字人愿意参加投标</w:t>
      </w:r>
      <w:r>
        <w:rPr>
          <w:spacing w:val="-15"/>
        </w:rPr>
        <w:t xml:space="preserve">， </w:t>
      </w:r>
      <w:r>
        <w:t>提供招标采购项目一览表中规定的货物，并声明提交的下列文件是准确的和真实的。</w:t>
      </w:r>
    </w:p>
    <w:p>
      <w:pPr>
        <w:pStyle w:val="29"/>
        <w:numPr>
          <w:ilvl w:val="1"/>
          <w:numId w:val="11"/>
        </w:numPr>
        <w:tabs>
          <w:tab w:val="left" w:pos="1591"/>
          <w:tab w:val="left" w:pos="1592"/>
        </w:tabs>
        <w:spacing w:before="1"/>
        <w:ind w:left="1592" w:hanging="421"/>
        <w:rPr>
          <w:sz w:val="24"/>
        </w:rPr>
      </w:pPr>
      <w:r>
        <w:rPr>
          <w:sz w:val="24"/>
        </w:rPr>
        <w:t>由工商局签发的我方企业法人营业执照副本复印件</w:t>
      </w:r>
    </w:p>
    <w:p>
      <w:pPr>
        <w:pStyle w:val="29"/>
        <w:numPr>
          <w:ilvl w:val="1"/>
          <w:numId w:val="11"/>
        </w:numPr>
        <w:tabs>
          <w:tab w:val="left" w:pos="1591"/>
          <w:tab w:val="left" w:pos="1592"/>
        </w:tabs>
        <w:spacing w:before="161"/>
        <w:ind w:left="1592" w:hanging="421"/>
        <w:rPr>
          <w:sz w:val="24"/>
        </w:rPr>
      </w:pPr>
      <w:r>
        <w:rPr>
          <w:sz w:val="24"/>
        </w:rPr>
        <w:t>法定代表人授权书（原件）</w:t>
      </w:r>
    </w:p>
    <w:p>
      <w:pPr>
        <w:pStyle w:val="29"/>
        <w:numPr>
          <w:ilvl w:val="1"/>
          <w:numId w:val="11"/>
        </w:numPr>
        <w:tabs>
          <w:tab w:val="left" w:pos="1591"/>
          <w:tab w:val="left" w:pos="1592"/>
        </w:tabs>
        <w:spacing w:before="160"/>
        <w:ind w:left="1592" w:hanging="421"/>
        <w:rPr>
          <w:sz w:val="24"/>
        </w:rPr>
      </w:pPr>
      <w:r>
        <w:rPr>
          <w:sz w:val="24"/>
        </w:rPr>
        <w:t>委托代理人身份证复印件（答疑时出示原件）。</w:t>
      </w:r>
    </w:p>
    <w:p>
      <w:pPr>
        <w:pStyle w:val="29"/>
        <w:numPr>
          <w:ilvl w:val="1"/>
          <w:numId w:val="11"/>
        </w:numPr>
        <w:tabs>
          <w:tab w:val="left" w:pos="1591"/>
          <w:tab w:val="left" w:pos="1592"/>
        </w:tabs>
        <w:spacing w:before="161"/>
        <w:ind w:left="1592" w:hanging="421"/>
        <w:rPr>
          <w:sz w:val="24"/>
        </w:rPr>
      </w:pPr>
      <w:r>
        <w:rPr>
          <w:sz w:val="24"/>
        </w:rPr>
        <w:t>依据“投标项目资料表”中的要求提交相应的资格证明文件</w:t>
      </w:r>
    </w:p>
    <w:p>
      <w:pPr>
        <w:pStyle w:val="29"/>
        <w:numPr>
          <w:ilvl w:val="1"/>
          <w:numId w:val="11"/>
        </w:numPr>
        <w:tabs>
          <w:tab w:val="left" w:pos="1591"/>
          <w:tab w:val="left" w:pos="1592"/>
        </w:tabs>
        <w:spacing w:before="160"/>
        <w:ind w:left="1592" w:hanging="421"/>
        <w:rPr>
          <w:sz w:val="24"/>
        </w:rPr>
      </w:pPr>
      <w:r>
        <w:rPr>
          <w:sz w:val="24"/>
        </w:rPr>
        <w:t>其它证明文件或证件</w:t>
      </w:r>
    </w:p>
    <w:p>
      <w:pPr>
        <w:pStyle w:val="29"/>
        <w:numPr>
          <w:ilvl w:val="1"/>
          <w:numId w:val="11"/>
        </w:numPr>
        <w:tabs>
          <w:tab w:val="left" w:pos="1591"/>
          <w:tab w:val="left" w:pos="1592"/>
        </w:tabs>
        <w:spacing w:before="161" w:line="364" w:lineRule="auto"/>
        <w:ind w:right="3593" w:hanging="27"/>
        <w:rPr>
          <w:sz w:val="24"/>
        </w:rPr>
      </w:pPr>
      <w:r>
        <w:rPr>
          <w:spacing w:val="-1"/>
          <w:sz w:val="24"/>
        </w:rPr>
        <w:t>本签字人确认资格文件中的说明是真实的、准确的</w:t>
      </w:r>
      <w:r>
        <w:rPr>
          <w:sz w:val="24"/>
        </w:rPr>
        <w:t>单位名称：（签章）</w:t>
      </w:r>
    </w:p>
    <w:p>
      <w:pPr>
        <w:pStyle w:val="12"/>
        <w:spacing w:before="1"/>
        <w:ind w:left="1198"/>
      </w:pPr>
      <w:r>
        <w:t>地址：</w:t>
      </w:r>
    </w:p>
    <w:p>
      <w:pPr>
        <w:pStyle w:val="12"/>
        <w:spacing w:before="160" w:line="364" w:lineRule="auto"/>
        <w:ind w:left="1198" w:right="5905"/>
      </w:pPr>
      <w:r>
        <w:t>被授权人代表（签字或盖章</w:t>
      </w:r>
      <w:r>
        <w:rPr>
          <w:spacing w:val="-9"/>
        </w:rPr>
        <w:t xml:space="preserve">）： </w:t>
      </w:r>
      <w:r>
        <w:t>电话：</w:t>
      </w:r>
    </w:p>
    <w:p>
      <w:pPr>
        <w:pStyle w:val="12"/>
        <w:spacing w:before="2"/>
        <w:ind w:left="1198"/>
      </w:pPr>
      <w:bookmarkStart w:id="72" w:name="____日期："/>
      <w:bookmarkEnd w:id="72"/>
      <w:r>
        <w:t>日期：</w:t>
      </w:r>
    </w:p>
    <w:p>
      <w:pPr>
        <w:sectPr>
          <w:pgSz w:w="11910" w:h="16840"/>
          <w:pgMar w:top="919" w:right="743" w:bottom="1021" w:left="697" w:header="882" w:footer="1078" w:gutter="0"/>
          <w:cols w:space="720" w:num="1"/>
        </w:sectPr>
      </w:pPr>
    </w:p>
    <w:p>
      <w:pPr>
        <w:pStyle w:val="12"/>
        <w:spacing w:before="5"/>
        <w:rPr>
          <w:sz w:val="17"/>
        </w:rPr>
      </w:pPr>
    </w:p>
    <w:p>
      <w:pPr>
        <w:spacing w:before="66"/>
        <w:ind w:left="352"/>
        <w:jc w:val="center"/>
        <w:rPr>
          <w:rFonts w:ascii="宋体" w:eastAsia="宋体"/>
          <w:b/>
          <w:sz w:val="24"/>
        </w:rPr>
      </w:pPr>
      <w:r>
        <w:rPr>
          <w:rFonts w:hint="eastAsia" w:ascii="宋体" w:eastAsia="宋体"/>
          <w:b/>
          <w:sz w:val="24"/>
        </w:rPr>
        <w:t>二、资格证明材料</w:t>
      </w:r>
    </w:p>
    <w:p>
      <w:pPr>
        <w:pStyle w:val="12"/>
        <w:spacing w:before="161"/>
        <w:ind w:left="718"/>
      </w:pPr>
      <w:r>
        <w:t>包括但不限于以下内容：</w:t>
      </w:r>
    </w:p>
    <w:p>
      <w:pPr>
        <w:pStyle w:val="12"/>
        <w:spacing w:before="3"/>
        <w:rPr>
          <w:sz w:val="17"/>
        </w:rPr>
      </w:pPr>
    </w:p>
    <w:p>
      <w:pPr>
        <w:pStyle w:val="12"/>
        <w:spacing w:before="66"/>
        <w:ind w:left="321"/>
        <w:jc w:val="center"/>
      </w:pPr>
      <w:r>
        <w:t>1.供应商必须符合《中华人民共和国政府采购法》第二十二条规定的条件：</w:t>
      </w:r>
    </w:p>
    <w:p>
      <w:pPr>
        <w:pStyle w:val="12"/>
        <w:spacing w:before="11"/>
        <w:rPr>
          <w:sz w:val="19"/>
        </w:rPr>
      </w:pPr>
    </w:p>
    <w:p>
      <w:pPr>
        <w:pStyle w:val="12"/>
        <w:ind w:left="1272"/>
      </w:pPr>
      <w:r>
        <w:t>（一）具有独立承担民事责任的能力；</w:t>
      </w:r>
    </w:p>
    <w:p>
      <w:pPr>
        <w:pStyle w:val="12"/>
        <w:spacing w:before="8"/>
        <w:rPr>
          <w:sz w:val="19"/>
        </w:rPr>
      </w:pPr>
    </w:p>
    <w:p>
      <w:pPr>
        <w:pStyle w:val="12"/>
        <w:spacing w:line="436" w:lineRule="auto"/>
        <w:ind w:left="718" w:right="671" w:firstLine="554"/>
      </w:pPr>
      <w:r>
        <w:t>（二）具有良好的商业信誉和健全的财务会计制度（如：2018 年度财务状况报告（成立不足一年的单位从成立月份算起的财务证明资料）或银行出具的资信证明）；</w:t>
      </w:r>
    </w:p>
    <w:p>
      <w:pPr>
        <w:pStyle w:val="12"/>
        <w:spacing w:before="2" w:line="436" w:lineRule="auto"/>
        <w:ind w:left="718" w:right="925" w:firstLine="554"/>
      </w:pPr>
      <w:r>
        <w:t>（三）具有履行合同所必需的设备和专业技术能力（如：提供类似项目业绩合同一份或履行合同所必需的设备发票和专业技术能力人员证书等证明材料）；</w:t>
      </w:r>
    </w:p>
    <w:p>
      <w:pPr>
        <w:pStyle w:val="12"/>
        <w:spacing w:line="307" w:lineRule="exact"/>
        <w:ind w:left="1272"/>
      </w:pPr>
      <w:r>
        <w:t>（四）有依法缴纳税收和社会保障资金的良好记录（如：提供企业 2019 年 4 月</w:t>
      </w:r>
    </w:p>
    <w:p>
      <w:pPr>
        <w:pStyle w:val="12"/>
        <w:spacing w:before="10"/>
        <w:rPr>
          <w:sz w:val="19"/>
        </w:rPr>
      </w:pPr>
    </w:p>
    <w:p>
      <w:pPr>
        <w:pStyle w:val="12"/>
        <w:spacing w:before="1"/>
        <w:ind w:left="718"/>
      </w:pPr>
      <w:r>
        <w:t>1 日以来，任意 1 个月的纳税和社保缴纳证明材料）；</w:t>
      </w:r>
    </w:p>
    <w:p>
      <w:pPr>
        <w:pStyle w:val="12"/>
        <w:spacing w:before="8"/>
        <w:rPr>
          <w:sz w:val="19"/>
        </w:rPr>
      </w:pPr>
    </w:p>
    <w:p>
      <w:pPr>
        <w:pStyle w:val="12"/>
        <w:spacing w:line="436" w:lineRule="auto"/>
        <w:ind w:left="718" w:right="925" w:firstLine="554"/>
      </w:pPr>
      <w:r>
        <w:t>（五）参加政府采购活动前三年内，在经营活动中没有重大违法记录（格式自拟）；</w:t>
      </w:r>
    </w:p>
    <w:p>
      <w:pPr>
        <w:pStyle w:val="12"/>
        <w:spacing w:before="1"/>
        <w:ind w:left="1272"/>
      </w:pPr>
      <w:r>
        <w:t>（六）法律、行政法规规定的其他条件（如无写“无”）。</w:t>
      </w:r>
    </w:p>
    <w:sectPr>
      <w:pgSz w:w="11910" w:h="16840"/>
      <w:pgMar w:top="919" w:right="743" w:bottom="1021" w:left="697" w:header="882" w:footer="107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Songti SC">
    <w:altName w:val="宋体"/>
    <w:panose1 w:val="00000000000000000000"/>
    <w:charset w:val="86"/>
    <w:family w:val="auto"/>
    <w:pitch w:val="default"/>
    <w:sig w:usb0="00000000" w:usb1="00000000" w:usb2="00000000" w:usb3="00000000" w:csb0="00040000" w:csb1="00000000"/>
  </w:font>
  <w:font w:name="DejaVu Sans">
    <w:altName w:val="Times New Roman"/>
    <w:panose1 w:val="00000000000000000000"/>
    <w:charset w:val="00"/>
    <w:family w:val="roman"/>
    <w:pitch w:val="default"/>
    <w:sig w:usb0="00000000" w:usb1="00000000" w:usb2="00000008" w:usb3="00000000" w:csb0="000001FF" w:csb1="00000000"/>
  </w:font>
  <w:font w:name="方正黑体_GBK">
    <w:altName w:val="微软雅黑"/>
    <w:panose1 w:val="00000000000000000000"/>
    <w:charset w:val="00"/>
    <w:family w:val="auto"/>
    <w:pitch w:val="default"/>
    <w:sig w:usb0="00000000" w:usb1="00000000" w:usb2="00000000" w:usb3="00000000" w:csb0="00040000" w:csb1="00000000"/>
  </w:font>
  <w:font w:name="方正书宋_GBK">
    <w:altName w:val="微软雅黑"/>
    <w:panose1 w:val="00000000000000000000"/>
    <w:charset w:val="86"/>
    <w:family w:val="auto"/>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r>
      <w:pict>
        <v:shape id="_x0000_s2139" o:spid="_x0000_s2139" o:spt="202" type="#_x0000_t202" style="position:absolute;left:0pt;margin-left:294.45pt;margin-top:778.7pt;height:12pt;width:6.5pt;mso-position-horizontal-relative:page;mso-position-vertical-relative:page;z-index:-258569216;mso-width-relative:page;mso-height-relative:page;" filled="f" stroked="f" coordsize="21600,21600">
          <v:path/>
          <v:fill on="f" focussize="0,0"/>
          <v:stroke on="f" joinstyle="miter"/>
          <v:imagedata o:title=""/>
          <o:lock v:ext="edit"/>
          <v:textbox inset="0mm,0mm,0mm,0mm">
            <w:txbxContent>
              <w:p>
                <w:pPr>
                  <w:spacing w:before="12"/>
                  <w:ind w:left="20"/>
                  <w:rPr>
                    <w:rFonts w:ascii="Times New Roman"/>
                    <w:sz w:val="18"/>
                  </w:rPr>
                </w:pPr>
              </w:p>
            </w:txbxContent>
          </v:textbox>
        </v:shape>
      </w:pict>
    </w:r>
    <w:r>
      <w:pict>
        <v:shape id="_x0000_s2138" o:spid="_x0000_s2138" o:spt="202" type="#_x0000_t202" style="position:absolute;left:0pt;margin-left:69.9pt;margin-top:779.85pt;height:11.95pt;width:161.95pt;mso-position-horizontal-relative:page;mso-position-vertical-relative:page;z-index:-258568192;mso-width-relative:page;mso-height-relative:page;" filled="f" stroked="f" coordsize="21600,21600">
          <v:path/>
          <v:fill on="f" focussize="0,0"/>
          <v:stroke on="f" joinstyle="miter"/>
          <v:imagedata o:title=""/>
          <o:lock v:ext="edit"/>
          <v:textbox inset="0mm,0mm,0mm,0mm">
            <w:txbxContent>
              <w:p>
                <w:pPr>
                  <w:spacing w:line="239" w:lineRule="exact"/>
                  <w:ind w:left="20"/>
                  <w:rPr>
                    <w:rFonts w:ascii="宋体" w:eastAsia="宋体"/>
                    <w:sz w:val="20"/>
                  </w:rPr>
                </w:pPr>
                <w:r>
                  <w:rPr>
                    <w:rFonts w:hint="eastAsia" w:ascii="宋体" w:eastAsia="宋体"/>
                    <w:sz w:val="20"/>
                  </w:rPr>
                  <w:t>新疆谱诚项目管理咨询有限公司编制</w:t>
                </w:r>
              </w:p>
            </w:txbxContent>
          </v:textbox>
        </v:shape>
      </w:pict>
    </w:r>
    <w:r>
      <w:pict>
        <v:shape id="_x0000_s2137" o:spid="_x0000_s2137" o:spt="202" type="#_x0000_t202" style="position:absolute;left:0pt;margin-left:444.9pt;margin-top:780.95pt;height:11.95pt;width:65.75pt;mso-position-horizontal-relative:page;mso-position-vertical-relative:page;z-index:-258567168;mso-width-relative:page;mso-height-relative:page;" filled="f" stroked="f" coordsize="21600,21600">
          <v:path/>
          <v:fill on="f" focussize="0,0"/>
          <v:stroke on="f" joinstyle="miter"/>
          <v:imagedata o:title=""/>
          <o:lock v:ext="edit"/>
          <v:textbox inset="0mm,0mm,0mm,0mm">
            <w:txbxContent>
              <w:p>
                <w:pPr>
                  <w:spacing w:line="223" w:lineRule="exact"/>
                  <w:ind w:left="20"/>
                  <w:rPr>
                    <w:rFonts w:ascii="Calibri"/>
                    <w:sz w:val="20"/>
                  </w:rPr>
                </w:pPr>
                <w:r>
                  <w:rPr>
                    <w:rFonts w:hint="eastAsia" w:ascii="Calibri"/>
                    <w:sz w:val="20"/>
                  </w:rPr>
                  <w:t>0991</w:t>
                </w:r>
                <w:r>
                  <w:rPr>
                    <w:rFonts w:ascii="Calibri"/>
                    <w:sz w:val="20"/>
                  </w:rPr>
                  <w:t>-</w:t>
                </w:r>
                <w:r>
                  <w:rPr>
                    <w:rFonts w:hint="eastAsia" w:ascii="Calibri"/>
                    <w:sz w:val="20"/>
                  </w:rPr>
                  <w:t>8828891</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12915"/>
      <w:docPartObj>
        <w:docPartGallery w:val="AutoText"/>
      </w:docPartObj>
    </w:sdtPr>
    <w:sdtContent>
      <w:p>
        <w:pPr>
          <w:pStyle w:val="16"/>
          <w:jc w:val="center"/>
        </w:pPr>
        <w:r>
          <w:fldChar w:fldCharType="begin"/>
        </w:r>
        <w:r>
          <w:instrText xml:space="preserve"> PAGE   \* MERGEFORMAT </w:instrText>
        </w:r>
        <w:r>
          <w:fldChar w:fldCharType="separate"/>
        </w:r>
        <w:r>
          <w:t>1</w:t>
        </w:r>
        <w:r>
          <w:fldChar w:fldCharType="end"/>
        </w:r>
      </w:p>
    </w:sdtContent>
  </w:sdt>
  <w:p>
    <w:pPr>
      <w:pStyle w:val="12"/>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sdt>
      <w:sdtPr>
        <w:id w:val="7860579"/>
        <w:docPartObj>
          <w:docPartGallery w:val="AutoText"/>
        </w:docPartObj>
      </w:sdtPr>
      <w:sdtContent>
        <w:r>
          <w:fldChar w:fldCharType="begin"/>
        </w:r>
        <w:r>
          <w:instrText xml:space="preserve"> PAGE   \* MERGEFORMAT </w:instrText>
        </w:r>
        <w:r>
          <w:fldChar w:fldCharType="separate"/>
        </w:r>
        <w:r>
          <w:t>18</w:t>
        </w:r>
        <w:r>
          <w:fldChar w:fldCharType="end"/>
        </w:r>
      </w:sdtContent>
    </w:sdt>
  </w:p>
  <w:p>
    <w:pPr>
      <w:pStyle w:val="12"/>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10019"/>
      <w:docPartObj>
        <w:docPartGallery w:val="AutoText"/>
      </w:docPartObj>
    </w:sdtPr>
    <w:sdtContent>
      <w:p>
        <w:pPr>
          <w:pStyle w:val="16"/>
          <w:jc w:val="center"/>
        </w:pPr>
        <w:r>
          <w:fldChar w:fldCharType="begin"/>
        </w:r>
        <w:r>
          <w:instrText xml:space="preserve"> PAGE   \* MERGEFORMAT </w:instrText>
        </w:r>
        <w:r>
          <w:fldChar w:fldCharType="separate"/>
        </w:r>
        <w:r>
          <w:t>34</w:t>
        </w:r>
        <w:r>
          <w:fldChar w:fldCharType="end"/>
        </w:r>
      </w:p>
    </w:sdtContent>
  </w:sdt>
  <w:p>
    <w:pPr>
      <w:pStyle w:val="12"/>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r>
      <w:pict>
        <v:shape id="_x0000_s2104" o:spid="_x0000_s2104" o:spt="202" type="#_x0000_t202" style="position:absolute;left:0pt;margin-left:62.85pt;margin-top:792.6pt;height:18.05pt;width:162.55pt;mso-position-horizontal-relative:page;mso-position-vertical-relative:page;z-index:-258543616;mso-width-relative:page;mso-height-relative:page;" filled="f" stroked="f" coordsize="21600,21600">
          <v:path/>
          <v:fill on="f" focussize="0,0"/>
          <v:stroke on="f" joinstyle="miter"/>
          <v:imagedata o:title=""/>
          <o:lock v:ext="edit"/>
          <v:textbox inset="0mm,0mm,0mm,0mm">
            <w:txbxContent>
              <w:p>
                <w:pPr>
                  <w:spacing w:line="239" w:lineRule="exact"/>
                  <w:ind w:left="20"/>
                  <w:rPr>
                    <w:rFonts w:ascii="宋体" w:eastAsia="宋体"/>
                    <w:sz w:val="20"/>
                  </w:rPr>
                </w:pPr>
                <w:r>
                  <w:rPr>
                    <w:rFonts w:hint="eastAsia" w:ascii="宋体" w:eastAsia="宋体"/>
                    <w:sz w:val="20"/>
                  </w:rPr>
                  <w:t>新疆谱诚项目管理咨询有限公司编制</w:t>
                </w:r>
              </w:p>
            </w:txbxContent>
          </v:textbox>
        </v:shape>
      </w:pict>
    </w:r>
    <w:r>
      <w:pict>
        <v:shape id="_x0000_s2103" o:spid="_x0000_s2103" o:spt="202" type="#_x0000_t202" style="position:absolute;left:0pt;margin-left:463.6pt;margin-top:793.65pt;height:11.95pt;width:65.85pt;mso-position-horizontal-relative:page;mso-position-vertical-relative:page;z-index:-258542592;mso-width-relative:page;mso-height-relative:page;" filled="f" stroked="f" coordsize="21600,21600">
          <v:path/>
          <v:fill on="f" focussize="0,0"/>
          <v:stroke on="f" joinstyle="miter"/>
          <v:imagedata o:title=""/>
          <o:lock v:ext="edit"/>
          <v:textbox inset="0mm,0mm,0mm,0mm">
            <w:txbxContent>
              <w:p>
                <w:pPr>
                  <w:spacing w:line="223" w:lineRule="exact"/>
                  <w:ind w:left="20"/>
                  <w:rPr>
                    <w:rFonts w:ascii="Calibri"/>
                    <w:sz w:val="20"/>
                  </w:rPr>
                </w:pPr>
                <w:r>
                  <w:rPr>
                    <w:rFonts w:hint="eastAsia" w:ascii="Calibri"/>
                    <w:sz w:val="20"/>
                  </w:rPr>
                  <w:t>0991-8828891</w:t>
                </w:r>
              </w:p>
            </w:txbxContent>
          </v:textbox>
        </v:shape>
      </w:pict>
    </w:r>
    <w:r>
      <w:pict>
        <v:group id="_x0000_s2106" o:spid="_x0000_s2106" o:spt="203" style="position:absolute;left:0pt;margin-left:63.8pt;margin-top:786.7pt;height:4.35pt;width:467.8pt;mso-position-horizontal-relative:page;mso-position-vertical-relative:page;z-index:-258545664;mso-width-relative:page;mso-height-relative:page;" coordorigin="1276,15734" coordsize="9356,87">
          <o:lock v:ext="edit"/>
          <v:line id="_x0000_s2108" o:spid="_x0000_s2108" o:spt="20" style="position:absolute;left:1276;top:15763;height:0;width:9356;" coordsize="21600,21600">
            <v:path arrowok="t"/>
            <v:fill focussize="0,0"/>
            <v:stroke weight="2.88pt"/>
            <v:imagedata o:title=""/>
            <o:lock v:ext="edit"/>
          </v:line>
          <v:line id="_x0000_s2107" o:spid="_x0000_s2107" o:spt="20" style="position:absolute;left:1276;top:15813;height:0;width:9356;" coordsize="21600,21600">
            <v:path arrowok="t"/>
            <v:fill focussize="0,0"/>
            <v:stroke weight="0.72pt"/>
            <v:imagedata o:title=""/>
            <o:lock v:ext="edit"/>
          </v:line>
        </v:group>
      </w:pict>
    </w:r>
    <w:r>
      <w:pict>
        <v:shape id="_x0000_s2105" o:spid="_x0000_s2105" o:spt="202" type="#_x0000_t202" style="position:absolute;left:0pt;margin-left:291.15pt;margin-top:791.45pt;height:12pt;width:13.1pt;mso-position-horizontal-relative:page;mso-position-vertical-relative:page;z-index:-258544640;mso-width-relative:page;mso-height-relative:page;" filled="f" stroked="f" coordsize="21600,21600">
          <v:path/>
          <v:fill on="f" focussize="0,0"/>
          <v:stroke on="f" joinstyle="miter"/>
          <v:imagedata o:title=""/>
          <o:lock v:ext="edit"/>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30</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r>
      <w:rPr>
        <w:lang w:val="en-US" w:bidi="ar-SA"/>
      </w:rPr>
      <w:pict>
        <v:shape id="_x0000_s2162" o:spid="_x0000_s2162" o:spt="202" type="#_x0000_t202" style="position:absolute;left:0pt;margin-left:74.85pt;margin-top:796.9pt;height:15.75pt;width:162.55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line="239" w:lineRule="exact"/>
                  <w:ind w:left="20"/>
                  <w:rPr>
                    <w:rFonts w:ascii="宋体" w:eastAsia="宋体"/>
                    <w:sz w:val="20"/>
                  </w:rPr>
                </w:pPr>
                <w:r>
                  <w:rPr>
                    <w:rFonts w:hint="eastAsia" w:ascii="宋体" w:eastAsia="宋体"/>
                    <w:sz w:val="20"/>
                  </w:rPr>
                  <w:t>新疆谱诚项目管理咨询有限公司编制</w:t>
                </w:r>
              </w:p>
            </w:txbxContent>
          </v:textbox>
        </v:shape>
      </w:pict>
    </w:r>
    <w:r>
      <w:pict>
        <v:group id="_x0000_s2078" o:spid="_x0000_s2078" o:spt="203" style="position:absolute;left:0pt;margin-left:63.8pt;margin-top:786.7pt;height:4.35pt;width:467.8pt;mso-position-horizontal-relative:page;mso-position-vertical-relative:page;z-index:-258525184;mso-width-relative:page;mso-height-relative:page;" coordorigin="1276,15734" coordsize="9356,87">
          <o:lock v:ext="edit"/>
          <v:line id="_x0000_s2080" o:spid="_x0000_s2080" o:spt="20" style="position:absolute;left:1276;top:15763;height:0;width:9356;" coordsize="21600,21600">
            <v:path arrowok="t"/>
            <v:fill focussize="0,0"/>
            <v:stroke weight="2.88pt"/>
            <v:imagedata o:title=""/>
            <o:lock v:ext="edit"/>
          </v:line>
          <v:line id="_x0000_s2079" o:spid="_x0000_s2079" o:spt="20" style="position:absolute;left:1276;top:15813;height:0;width:9356;" coordsize="21600,21600">
            <v:path arrowok="t"/>
            <v:fill focussize="0,0"/>
            <v:stroke weight="0.72pt"/>
            <v:imagedata o:title=""/>
            <o:lock v:ext="edit"/>
          </v:line>
        </v:group>
      </w:pict>
    </w:r>
    <w:r>
      <w:pict>
        <v:shape id="_x0000_s2077" o:spid="_x0000_s2077" o:spt="202" type="#_x0000_t202" style="position:absolute;left:0pt;margin-left:291.15pt;margin-top:791.45pt;height:12pt;width:13.1pt;mso-position-horizontal-relative:page;mso-position-vertical-relative:page;z-index:-258524160;mso-width-relative:page;mso-height-relative:page;" filled="f" stroked="f" coordsize="21600,21600">
          <v:path/>
          <v:fill on="f" focussize="0,0"/>
          <v:stroke on="f" joinstyle="miter"/>
          <v:imagedata o:title=""/>
          <o:lock v:ext="edit"/>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106</w:t>
                </w:r>
                <w:r>
                  <w:fldChar w:fldCharType="end"/>
                </w:r>
              </w:p>
            </w:txbxContent>
          </v:textbox>
        </v:shape>
      </w:pict>
    </w:r>
    <w:r>
      <w:pict>
        <v:shape id="_x0000_s2075" o:spid="_x0000_s2075" o:spt="202" type="#_x0000_t202" style="position:absolute;left:0pt;margin-left:437.85pt;margin-top:793.65pt;height:11.95pt;width:65.75pt;mso-position-horizontal-relative:page;mso-position-vertical-relative:page;z-index:-258522112;mso-width-relative:page;mso-height-relative:page;" filled="f" stroked="f" coordsize="21600,21600">
          <v:path/>
          <v:fill on="f" focussize="0,0"/>
          <v:stroke on="f" joinstyle="miter"/>
          <v:imagedata o:title=""/>
          <o:lock v:ext="edit"/>
          <v:textbox inset="0mm,0mm,0mm,0mm">
            <w:txbxContent>
              <w:p>
                <w:pPr>
                  <w:spacing w:line="223" w:lineRule="exact"/>
                  <w:ind w:left="20"/>
                  <w:rPr>
                    <w:rFonts w:ascii="Calibri"/>
                    <w:sz w:val="20"/>
                  </w:rPr>
                </w:pPr>
                <w:r>
                  <w:rPr>
                    <w:rFonts w:hint="eastAsia" w:ascii="Calibri"/>
                    <w:sz w:val="20"/>
                  </w:rPr>
                  <w:t>0991-8828891</w:t>
                </w:r>
              </w:p>
              <w:p>
                <w:pPr>
                  <w:spacing w:line="223" w:lineRule="exact"/>
                  <w:ind w:left="20"/>
                  <w:rPr>
                    <w:rFonts w:ascii="Calibri"/>
                    <w:sz w:val="20"/>
                  </w:rPr>
                </w:pP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r>
      <w:pict>
        <v:shape id="_x0000_s2065" o:spid="_x0000_s2065" o:spt="202" type="#_x0000_t202" style="position:absolute;left:0pt;margin-left:463.6pt;margin-top:793.65pt;height:11.95pt;width:65.85pt;mso-position-horizontal-relative:page;mso-position-vertical-relative:page;z-index:-258513920;mso-width-relative:page;mso-height-relative:page;" filled="f" stroked="f" coordsize="21600,21600">
          <v:path/>
          <v:fill on="f" focussize="0,0"/>
          <v:stroke on="f" joinstyle="miter"/>
          <v:imagedata o:title=""/>
          <o:lock v:ext="edit"/>
          <v:textbox inset="0mm,0mm,0mm,0mm">
            <w:txbxContent>
              <w:p>
                <w:pPr>
                  <w:spacing w:line="223" w:lineRule="exact"/>
                  <w:ind w:left="20"/>
                  <w:rPr>
                    <w:rFonts w:ascii="Calibri"/>
                    <w:sz w:val="20"/>
                  </w:rPr>
                </w:pPr>
                <w:r>
                  <w:rPr>
                    <w:rFonts w:hint="eastAsia" w:ascii="Calibri"/>
                    <w:sz w:val="20"/>
                  </w:rPr>
                  <w:t>0991-8828891</w:t>
                </w:r>
              </w:p>
            </w:txbxContent>
          </v:textbox>
        </v:shape>
      </w:pict>
    </w:r>
    <w:r>
      <w:pict>
        <v:group id="_x0000_s2068" o:spid="_x0000_s2068" o:spt="203" style="position:absolute;left:0pt;margin-left:63.8pt;margin-top:786.7pt;height:4.35pt;width:467.8pt;mso-position-horizontal-relative:page;mso-position-vertical-relative:page;z-index:-258516992;mso-width-relative:page;mso-height-relative:page;" coordorigin="1276,15734" coordsize="9356,87">
          <o:lock v:ext="edit"/>
          <v:line id="_x0000_s2070" o:spid="_x0000_s2070" o:spt="20" style="position:absolute;left:1276;top:15763;height:0;width:9356;" coordsize="21600,21600">
            <v:path arrowok="t"/>
            <v:fill focussize="0,0"/>
            <v:stroke weight="2.88pt"/>
            <v:imagedata o:title=""/>
            <o:lock v:ext="edit"/>
          </v:line>
          <v:line id="_x0000_s2069" o:spid="_x0000_s2069" o:spt="20" style="position:absolute;left:1276;top:15813;height:0;width:9356;" coordsize="21600,21600">
            <v:path arrowok="t"/>
            <v:fill focussize="0,0"/>
            <v:stroke weight="0.72pt"/>
            <v:imagedata o:title=""/>
            <o:lock v:ext="edit"/>
          </v:line>
        </v:group>
      </w:pict>
    </w:r>
    <w:r>
      <w:pict>
        <v:shape id="_x0000_s2067" o:spid="_x0000_s2067" o:spt="202" type="#_x0000_t202" style="position:absolute;left:0pt;margin-left:291.15pt;margin-top:791.45pt;height:12pt;width:13.1pt;mso-position-horizontal-relative:page;mso-position-vertical-relative:page;z-index:-258515968;mso-width-relative:page;mso-height-relative:page;" filled="f" stroked="f" coordsize="21600,21600">
          <v:path/>
          <v:fill on="f" focussize="0,0"/>
          <v:stroke on="f" joinstyle="miter"/>
          <v:imagedata o:title=""/>
          <o:lock v:ext="edit"/>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52</w:t>
                </w:r>
                <w:r>
                  <w:fldChar w:fldCharType="end"/>
                </w:r>
              </w:p>
            </w:txbxContent>
          </v:textbox>
        </v:shape>
      </w:pict>
    </w:r>
    <w:r>
      <w:pict>
        <v:shape id="_x0000_s2066" o:spid="_x0000_s2066" o:spt="202" type="#_x0000_t202" style="position:absolute;left:0pt;margin-left:62.85pt;margin-top:792.6pt;height:11.95pt;width:141.95pt;mso-position-horizontal-relative:page;mso-position-vertical-relative:page;z-index:-258514944;mso-width-relative:page;mso-height-relative:page;" filled="f" stroked="f" coordsize="21600,21600">
          <v:path/>
          <v:fill on="f" focussize="0,0"/>
          <v:stroke on="f" joinstyle="miter"/>
          <v:imagedata o:title=""/>
          <o:lock v:ext="edit"/>
          <v:textbox inset="0mm,0mm,0mm,0mm">
            <w:txbxContent>
              <w:p>
                <w:pPr>
                  <w:spacing w:line="239" w:lineRule="exact"/>
                  <w:ind w:left="20"/>
                  <w:rPr>
                    <w:rFonts w:ascii="宋体" w:eastAsia="宋体"/>
                    <w:sz w:val="20"/>
                  </w:rPr>
                </w:pPr>
                <w:r>
                  <w:rPr>
                    <w:rFonts w:hint="eastAsia" w:ascii="宋体" w:eastAsia="宋体"/>
                    <w:sz w:val="20"/>
                  </w:rPr>
                  <w:t>新疆谱诚项目管理咨询有限公司</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r>
      <w:pict>
        <v:shape id="_x0000_s2055" o:spid="_x0000_s2055" o:spt="202" type="#_x0000_t202" style="position:absolute;left:0pt;margin-left:456pt;margin-top:780.95pt;height:11.95pt;width:65.85pt;mso-position-horizontal-relative:page;mso-position-vertical-relative:page;z-index:-258505728;mso-width-relative:page;mso-height-relative:page;" filled="f" stroked="f" coordsize="21600,21600">
          <v:path/>
          <v:fill on="f" focussize="0,0"/>
          <v:stroke on="f" joinstyle="miter"/>
          <v:imagedata o:title=""/>
          <o:lock v:ext="edit"/>
          <v:textbox inset="0mm,0mm,0mm,0mm">
            <w:txbxContent>
              <w:p>
                <w:pPr>
                  <w:spacing w:line="223" w:lineRule="exact"/>
                  <w:ind w:left="20"/>
                  <w:rPr>
                    <w:rFonts w:ascii="Calibri"/>
                    <w:sz w:val="20"/>
                  </w:rPr>
                </w:pPr>
                <w:r>
                  <w:rPr>
                    <w:rFonts w:hint="eastAsia" w:ascii="Calibri"/>
                    <w:sz w:val="20"/>
                  </w:rPr>
                  <w:t>0991-8828891</w:t>
                </w:r>
              </w:p>
            </w:txbxContent>
          </v:textbox>
        </v:shape>
      </w:pict>
    </w:r>
    <w:r>
      <w:pict>
        <v:group id="_x0000_s2058" o:spid="_x0000_s2058" o:spt="203" style="position:absolute;left:0pt;margin-left:70.9pt;margin-top:774pt;height:4.35pt;width:450.95pt;mso-position-horizontal-relative:page;mso-position-vertical-relative:page;z-index:-258508800;mso-width-relative:page;mso-height-relative:page;" coordorigin="1418,15480" coordsize="9019,87">
          <o:lock v:ext="edit"/>
          <v:line id="_x0000_s2060" o:spid="_x0000_s2060" o:spt="20" style="position:absolute;left:1418;top:15509;height:0;width:9019;" coordsize="21600,21600">
            <v:path arrowok="t"/>
            <v:fill focussize="0,0"/>
            <v:stroke weight="2.88pt"/>
            <v:imagedata o:title=""/>
            <o:lock v:ext="edit"/>
          </v:line>
          <v:line id="_x0000_s2059" o:spid="_x0000_s2059" o:spt="20" style="position:absolute;left:1418;top:15559;height:0;width:9019;" coordsize="21600,21600">
            <v:path arrowok="t"/>
            <v:fill focussize="0,0"/>
            <v:stroke weight="0.72pt"/>
            <v:imagedata o:title=""/>
            <o:lock v:ext="edit"/>
          </v:line>
        </v:group>
      </w:pict>
    </w:r>
    <w:r>
      <w:pict>
        <v:shape id="_x0000_s2057" o:spid="_x0000_s2057" o:spt="202" type="#_x0000_t202" style="position:absolute;left:0pt;margin-left:289.85pt;margin-top:778.7pt;height:12pt;width:13.2pt;mso-position-horizontal-relative:page;mso-position-vertical-relative:page;z-index:-258507776;mso-width-relative:page;mso-height-relative:page;" filled="f" stroked="f" coordsize="21600,21600">
          <v:path/>
          <v:fill on="f" focussize="0,0"/>
          <v:stroke on="f" joinstyle="miter"/>
          <v:imagedata o:title=""/>
          <o:lock v:ext="edit"/>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59</w:t>
                </w:r>
                <w:r>
                  <w:fldChar w:fldCharType="end"/>
                </w:r>
              </w:p>
            </w:txbxContent>
          </v:textbox>
        </v:shape>
      </w:pict>
    </w:r>
    <w:r>
      <w:pict>
        <v:shape id="_x0000_s2056" o:spid="_x0000_s2056" o:spt="202" type="#_x0000_t202" style="position:absolute;left:0pt;margin-left:69.9pt;margin-top:779.85pt;height:11.95pt;width:141.95pt;mso-position-horizontal-relative:page;mso-position-vertical-relative:page;z-index:-258506752;mso-width-relative:page;mso-height-relative:page;" filled="f" stroked="f" coordsize="21600,21600">
          <v:path/>
          <v:fill on="f" focussize="0,0"/>
          <v:stroke on="f" joinstyle="miter"/>
          <v:imagedata o:title=""/>
          <o:lock v:ext="edit"/>
          <v:textbox inset="0mm,0mm,0mm,0mm">
            <w:txbxContent>
              <w:p>
                <w:pPr>
                  <w:spacing w:line="239" w:lineRule="exact"/>
                  <w:ind w:left="20"/>
                  <w:rPr>
                    <w:rFonts w:ascii="宋体" w:eastAsia="宋体"/>
                    <w:sz w:val="20"/>
                  </w:rPr>
                </w:pPr>
                <w:r>
                  <w:rPr>
                    <w:rFonts w:hint="eastAsia" w:ascii="宋体" w:eastAsia="宋体"/>
                    <w:sz w:val="20"/>
                  </w:rPr>
                  <w:t>新疆谱诚项目管理咨询有限公司</w:t>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r>
      <w:pict>
        <v:shape id="_x0000_s2049" o:spid="_x0000_s2049" o:spt="202" type="#_x0000_t202" style="position:absolute;left:0pt;margin-left:456pt;margin-top:780.95pt;height:11.95pt;width:65.85pt;mso-position-horizontal-relative:page;mso-position-vertical-relative:page;z-index:-258501632;mso-width-relative:page;mso-height-relative:page;" filled="f" stroked="f" coordsize="21600,21600">
          <v:path/>
          <v:fill on="f" focussize="0,0"/>
          <v:stroke on="f" joinstyle="miter"/>
          <v:imagedata o:title=""/>
          <o:lock v:ext="edit"/>
          <v:textbox inset="0mm,0mm,0mm,0mm">
            <w:txbxContent>
              <w:p>
                <w:pPr>
                  <w:spacing w:line="223" w:lineRule="exact"/>
                  <w:ind w:left="20"/>
                  <w:rPr>
                    <w:rFonts w:ascii="Calibri"/>
                    <w:sz w:val="20"/>
                  </w:rPr>
                </w:pPr>
                <w:r>
                  <w:rPr>
                    <w:rFonts w:hint="eastAsia" w:ascii="Calibri"/>
                    <w:sz w:val="20"/>
                  </w:rPr>
                  <w:t>0991-8828891</w:t>
                </w:r>
              </w:p>
            </w:txbxContent>
          </v:textbox>
        </v:shape>
      </w:pict>
    </w:r>
    <w:r>
      <w:pict>
        <v:shape id="_x0000_s2050" o:spid="_x0000_s2050" o:spt="202" type="#_x0000_t202" style="position:absolute;left:0pt;margin-left:69.9pt;margin-top:779.85pt;height:13.05pt;width:164.5pt;mso-position-horizontal-relative:page;mso-position-vertical-relative:page;z-index:-258502656;mso-width-relative:page;mso-height-relative:page;" filled="f" stroked="f" coordsize="21600,21600">
          <v:path/>
          <v:fill on="f" focussize="0,0"/>
          <v:stroke on="f" joinstyle="miter"/>
          <v:imagedata o:title=""/>
          <o:lock v:ext="edit"/>
          <v:textbox inset="0mm,0mm,0mm,0mm">
            <w:txbxContent>
              <w:p>
                <w:pPr>
                  <w:spacing w:line="239" w:lineRule="exact"/>
                  <w:ind w:left="20"/>
                  <w:rPr>
                    <w:rFonts w:ascii="宋体" w:eastAsia="宋体"/>
                    <w:sz w:val="20"/>
                  </w:rPr>
                </w:pPr>
                <w:r>
                  <w:rPr>
                    <w:rFonts w:hint="eastAsia" w:ascii="宋体" w:eastAsia="宋体"/>
                    <w:sz w:val="20"/>
                  </w:rPr>
                  <w:t>新疆谱诚项目管理咨询有限公司编制</w:t>
                </w:r>
              </w:p>
            </w:txbxContent>
          </v:textbox>
        </v:shape>
      </w:pict>
    </w:r>
    <w:r>
      <w:pict>
        <v:group id="_x0000_s2052" o:spid="_x0000_s2052" o:spt="203" style="position:absolute;left:0pt;margin-left:70.9pt;margin-top:774pt;height:4.35pt;width:451.1pt;mso-position-horizontal-relative:page;mso-position-vertical-relative:page;z-index:-258504704;mso-width-relative:page;mso-height-relative:page;" coordorigin="1418,15480" coordsize="9022,87">
          <o:lock v:ext="edit"/>
          <v:line id="_x0000_s2054" o:spid="_x0000_s2054" o:spt="20" style="position:absolute;left:1418;top:15509;height:0;width:9022;" coordsize="21600,21600">
            <v:path arrowok="t"/>
            <v:fill focussize="0,0"/>
            <v:stroke weight="2.88pt"/>
            <v:imagedata o:title=""/>
            <o:lock v:ext="edit"/>
          </v:line>
          <v:line id="_x0000_s2053" o:spid="_x0000_s2053" o:spt="20" style="position:absolute;left:1418;top:15559;height:0;width:9022;" coordsize="21600,21600">
            <v:path arrowok="t"/>
            <v:fill focussize="0,0"/>
            <v:stroke weight="0.72pt"/>
            <v:imagedata o:title=""/>
            <o:lock v:ext="edit"/>
          </v:line>
        </v:group>
      </w:pict>
    </w:r>
    <w:r>
      <w:pict>
        <v:shape id="_x0000_s2051" o:spid="_x0000_s2051" o:spt="202" type="#_x0000_t202" style="position:absolute;left:0pt;margin-left:289.95pt;margin-top:778.7pt;height:12pt;width:13.1pt;mso-position-horizontal-relative:page;mso-position-vertical-relative:page;z-index:-258503680;mso-width-relative:page;mso-height-relative:page;" filled="f" stroked="f" coordsize="21600,21600">
          <v:path/>
          <v:fill on="f" focussize="0,0"/>
          <v:stroke on="f" joinstyle="miter"/>
          <v:imagedata o:title=""/>
          <o:lock v:ext="edit"/>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68</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r>
      <w:pict>
        <v:shape id="_x0000_s2127" o:spid="_x0000_s2127" o:spt="202" type="#_x0000_t202" style="position:absolute;left:0pt;margin-left:726.8pt;margin-top:28.95pt;height:12.45pt;width:43.9pt;mso-position-horizontal-relative:page;mso-position-vertical-relative:page;z-index:-258558976;mso-width-relative:page;mso-height-relative:page;" filled="f" stroked="f" coordsize="21600,21600">
          <v:path/>
          <v:fill on="f" focussize="0,0"/>
          <v:stroke on="f" joinstyle="miter"/>
          <v:imagedata o:title=""/>
          <o:lock v:ext="edit"/>
          <v:textbox inset="0mm,0mm,0mm,0mm">
            <w:txbxContent>
              <w:p>
                <w:pPr>
                  <w:spacing w:line="249" w:lineRule="exact"/>
                  <w:ind w:left="20"/>
                  <w:rPr>
                    <w:rFonts w:ascii="宋体" w:eastAsia="宋体"/>
                    <w:sz w:val="21"/>
                  </w:rPr>
                </w:pPr>
                <w:r>
                  <w:rPr>
                    <w:rFonts w:hint="eastAsia" w:ascii="宋体" w:eastAsia="宋体"/>
                    <w:sz w:val="21"/>
                  </w:rPr>
                  <w:t>招标文件</w:t>
                </w:r>
              </w:p>
            </w:txbxContent>
          </v:textbox>
        </v:shape>
      </w:pict>
    </w:r>
    <w:r>
      <w:pict>
        <v:line id="_x0000_s2130" o:spid="_x0000_s2130" o:spt="20" style="position:absolute;left:0pt;margin-left:63.8pt;margin-top:42.5pt;height:0pt;width:729.45pt;mso-position-horizontal-relative:page;mso-position-vertical-relative:page;z-index:-258562048;mso-width-relative:page;mso-height-relative:page;" coordsize="21600,21600">
          <v:path arrowok="t"/>
          <v:fill focussize="0,0"/>
          <v:stroke weight="1.08pt"/>
          <v:imagedata o:title=""/>
          <o:lock v:ext="edit"/>
        </v:line>
      </w:pict>
    </w:r>
    <w:r>
      <w:pict>
        <v:line id="_x0000_s2129" o:spid="_x0000_s2129" o:spt="20" style="position:absolute;left:0pt;margin-left:63.8pt;margin-top:45.2pt;height:0pt;width:729.45pt;mso-position-horizontal-relative:page;mso-position-vertical-relative:page;z-index:-258561024;mso-width-relative:page;mso-height-relative:page;" coordsize="21600,21600">
          <v:path arrowok="t"/>
          <v:fill focussize="0,0"/>
          <v:stroke weight="2.16pt"/>
          <v:imagedata o:title=""/>
          <o:lock v:ext="edit"/>
        </v:line>
      </w:pict>
    </w:r>
    <w:r>
      <w:pict>
        <v:shape id="_x0000_s2128" o:spid="_x0000_s2128" o:spt="202" type="#_x0000_t202" style="position:absolute;left:0pt;margin-left:62.85pt;margin-top:28.95pt;height:12.45pt;width:185.65pt;mso-position-horizontal-relative:page;mso-position-vertical-relative:page;z-index:-258560000;mso-width-relative:page;mso-height-relative:page;" filled="f" stroked="f" coordsize="21600,21600">
          <v:path/>
          <v:fill on="f" focussize="0,0"/>
          <v:stroke on="f" joinstyle="miter"/>
          <v:imagedata o:title=""/>
          <o:lock v:ext="edit"/>
          <v:textbox inset="0mm,0mm,0mm,0mm">
            <w:txbxContent>
              <w:p>
                <w:pPr>
                  <w:rPr>
                    <w:rFonts w:ascii="宋体" w:eastAsia="宋体"/>
                    <w:sz w:val="20"/>
                  </w:rPr>
                </w:pPr>
                <w:r>
                  <w:rPr>
                    <w:rFonts w:hint="eastAsia" w:ascii="宋体" w:eastAsia="宋体"/>
                    <w:sz w:val="20"/>
                  </w:rPr>
                  <w:t>水区中小学信息化建设水平优化提升项目</w:t>
                </w:r>
              </w:p>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r>
      <w:pict>
        <v:line id="_x0000_s2074" o:spid="_x0000_s2074" o:spt="20" style="position:absolute;left:0pt;margin-left:63.8pt;margin-top:42.5pt;height:0pt;width:467.8pt;mso-position-horizontal-relative:page;mso-position-vertical-relative:page;z-index:-258521088;mso-width-relative:page;mso-height-relative:page;" coordsize="21600,21600">
          <v:path arrowok="t"/>
          <v:fill focussize="0,0"/>
          <v:stroke weight="1.08pt"/>
          <v:imagedata o:title=""/>
          <o:lock v:ext="edit"/>
        </v:line>
      </w:pict>
    </w:r>
    <w:r>
      <w:pict>
        <v:line id="_x0000_s2073" o:spid="_x0000_s2073" o:spt="20" style="position:absolute;left:0pt;margin-left:63.8pt;margin-top:45.2pt;height:0pt;width:467.8pt;mso-position-horizontal-relative:page;mso-position-vertical-relative:page;z-index:-258520064;mso-width-relative:page;mso-height-relative:page;" coordsize="21600,21600">
          <v:path arrowok="t"/>
          <v:fill focussize="0,0"/>
          <v:stroke weight="2.16pt"/>
          <v:imagedata o:title=""/>
          <o:lock v:ext="edit"/>
        </v:line>
      </w:pict>
    </w:r>
    <w:r>
      <w:pict>
        <v:shape id="_x0000_s2072" o:spid="_x0000_s2072" o:spt="202" type="#_x0000_t202" style="position:absolute;left:0pt;margin-left:62.85pt;margin-top:28.95pt;height:12.45pt;width:185.65pt;mso-position-horizontal-relative:page;mso-position-vertical-relative:page;z-index:-258519040;mso-width-relative:page;mso-height-relative:page;" filled="f" stroked="f" coordsize="21600,21600">
          <v:path/>
          <v:fill on="f" focussize="0,0"/>
          <v:stroke on="f" joinstyle="miter"/>
          <v:imagedata o:title=""/>
          <o:lock v:ext="edit"/>
          <v:textbox inset="0mm,0mm,0mm,0mm">
            <w:txbxContent>
              <w:p>
                <w:pPr>
                  <w:rPr>
                    <w:rFonts w:ascii="宋体" w:eastAsia="宋体"/>
                    <w:sz w:val="20"/>
                  </w:rPr>
                </w:pPr>
                <w:r>
                  <w:rPr>
                    <w:rFonts w:hint="eastAsia" w:ascii="宋体" w:eastAsia="宋体"/>
                    <w:sz w:val="20"/>
                  </w:rPr>
                  <w:t>水区中小学信息化建设水平优化提升项目</w:t>
                </w:r>
              </w:p>
              <w:p/>
            </w:txbxContent>
          </v:textbox>
        </v:shape>
      </w:pict>
    </w:r>
    <w:r>
      <w:pict>
        <v:shape id="_x0000_s2071" o:spid="_x0000_s2071" o:spt="202" type="#_x0000_t202" style="position:absolute;left:0pt;margin-left:467pt;margin-top:28.95pt;height:12.45pt;width:43.9pt;mso-position-horizontal-relative:page;mso-position-vertical-relative:page;z-index:-258518016;mso-width-relative:page;mso-height-relative:page;" filled="f" stroked="f" coordsize="21600,21600">
          <v:path/>
          <v:fill on="f" focussize="0,0"/>
          <v:stroke on="f" joinstyle="miter"/>
          <v:imagedata o:title=""/>
          <o:lock v:ext="edit"/>
          <v:textbox inset="0mm,0mm,0mm,0mm">
            <w:txbxContent>
              <w:p>
                <w:pPr>
                  <w:spacing w:line="249" w:lineRule="exact"/>
                  <w:ind w:left="20"/>
                  <w:rPr>
                    <w:rFonts w:ascii="宋体" w:eastAsia="宋体"/>
                    <w:sz w:val="21"/>
                  </w:rPr>
                </w:pPr>
                <w:r>
                  <w:rPr>
                    <w:rFonts w:hint="eastAsia" w:ascii="宋体" w:eastAsia="宋体"/>
                    <w:sz w:val="21"/>
                  </w:rPr>
                  <w:t>招标文件</w:t>
                </w:r>
              </w:p>
            </w:txbxContent>
          </v:textbox>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r>
      <w:pict>
        <v:line id="_x0000_s2064" o:spid="_x0000_s2064" o:spt="20" style="position:absolute;left:0pt;margin-left:70.9pt;margin-top:56.7pt;height:0pt;width:450.95pt;mso-position-horizontal-relative:page;mso-position-vertical-relative:page;z-index:-258512896;mso-width-relative:page;mso-height-relative:page;" coordsize="21600,21600">
          <v:path arrowok="t"/>
          <v:fill focussize="0,0"/>
          <v:stroke weight="1.08pt"/>
          <v:imagedata o:title=""/>
          <o:lock v:ext="edit"/>
        </v:line>
      </w:pict>
    </w:r>
    <w:r>
      <w:pict>
        <v:line id="_x0000_s2063" o:spid="_x0000_s2063" o:spt="20" style="position:absolute;left:0pt;margin-left:70.9pt;margin-top:59.4pt;height:0pt;width:450.95pt;mso-position-horizontal-relative:page;mso-position-vertical-relative:page;z-index:-258511872;mso-width-relative:page;mso-height-relative:page;" coordsize="21600,21600">
          <v:path arrowok="t"/>
          <v:fill focussize="0,0"/>
          <v:stroke weight="2.16pt"/>
          <v:imagedata o:title=""/>
          <o:lock v:ext="edit"/>
        </v:line>
      </w:pict>
    </w:r>
    <w:r>
      <w:pict>
        <v:shape id="_x0000_s2062" o:spid="_x0000_s2062" o:spt="202" type="#_x0000_t202" style="position:absolute;left:0pt;margin-left:69.9pt;margin-top:43.1pt;height:12.45pt;width:185.65pt;mso-position-horizontal-relative:page;mso-position-vertical-relative:page;z-index:-258510848;mso-width-relative:page;mso-height-relative:page;" filled="f" stroked="f" coordsize="21600,21600">
          <v:path/>
          <v:fill on="f" focussize="0,0"/>
          <v:stroke on="f" joinstyle="miter"/>
          <v:imagedata o:title=""/>
          <o:lock v:ext="edit"/>
          <v:textbox inset="0mm,0mm,0mm,0mm">
            <w:txbxContent>
              <w:p>
                <w:pPr>
                  <w:rPr>
                    <w:rFonts w:ascii="宋体" w:eastAsia="宋体"/>
                    <w:sz w:val="20"/>
                  </w:rPr>
                </w:pPr>
                <w:r>
                  <w:rPr>
                    <w:rFonts w:hint="eastAsia" w:ascii="宋体" w:eastAsia="宋体"/>
                    <w:sz w:val="20"/>
                  </w:rPr>
                  <w:t>水区中小学信息化建设水平优化提升项目</w:t>
                </w:r>
              </w:p>
              <w:p/>
            </w:txbxContent>
          </v:textbox>
        </v:shape>
      </w:pict>
    </w:r>
    <w:r>
      <w:pict>
        <v:shape id="_x0000_s2061" o:spid="_x0000_s2061" o:spt="202" type="#_x0000_t202" style="position:absolute;left:0pt;margin-left:474.2pt;margin-top:43.1pt;height:12.45pt;width:43.9pt;mso-position-horizontal-relative:page;mso-position-vertical-relative:page;z-index:-258509824;mso-width-relative:page;mso-height-relative:page;" filled="f" stroked="f" coordsize="21600,21600">
          <v:path/>
          <v:fill on="f" focussize="0,0"/>
          <v:stroke on="f" joinstyle="miter"/>
          <v:imagedata o:title=""/>
          <o:lock v:ext="edit"/>
          <v:textbox inset="0mm,0mm,0mm,0mm">
            <w:txbxContent>
              <w:p>
                <w:pPr>
                  <w:spacing w:line="249" w:lineRule="exact"/>
                  <w:ind w:left="20"/>
                  <w:rPr>
                    <w:rFonts w:ascii="宋体" w:eastAsia="宋体"/>
                    <w:sz w:val="21"/>
                  </w:rPr>
                </w:pPr>
                <w:r>
                  <w:rPr>
                    <w:rFonts w:hint="eastAsia" w:ascii="宋体" w:eastAsia="宋体"/>
                    <w:sz w:val="21"/>
                  </w:rPr>
                  <w:t>招标文件</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537EA"/>
    <w:multiLevelType w:val="multilevel"/>
    <w:tmpl w:val="127537EA"/>
    <w:lvl w:ilvl="0" w:tentative="0">
      <w:start w:val="3"/>
      <w:numFmt w:val="decimal"/>
      <w:lvlText w:val="%1"/>
      <w:lvlJc w:val="left"/>
      <w:pPr>
        <w:ind w:left="936" w:hanging="360"/>
      </w:pPr>
      <w:rPr>
        <w:rFonts w:hint="default" w:ascii="宋体" w:hAnsi="宋体" w:eastAsia="宋体" w:cs="宋体"/>
        <w:b/>
        <w:bCs/>
        <w:w w:val="99"/>
        <w:sz w:val="24"/>
        <w:szCs w:val="24"/>
        <w:lang w:val="zh-CN" w:eastAsia="zh-CN" w:bidi="zh-CN"/>
      </w:rPr>
    </w:lvl>
    <w:lvl w:ilvl="1" w:tentative="0">
      <w:start w:val="0"/>
      <w:numFmt w:val="none"/>
      <w:lvlText w:val=""/>
      <w:lvlJc w:val="left"/>
      <w:pPr>
        <w:tabs>
          <w:tab w:val="left" w:pos="360"/>
        </w:tabs>
      </w:pPr>
    </w:lvl>
    <w:lvl w:ilvl="2" w:tentative="0">
      <w:start w:val="1"/>
      <w:numFmt w:val="decimal"/>
      <w:lvlText w:val="(%3)"/>
      <w:lvlJc w:val="left"/>
      <w:pPr>
        <w:ind w:left="1476" w:hanging="900"/>
      </w:pPr>
      <w:rPr>
        <w:rFonts w:hint="default" w:ascii="宋体" w:hAnsi="宋体" w:eastAsia="宋体" w:cs="宋体"/>
        <w:spacing w:val="-108"/>
        <w:w w:val="100"/>
        <w:sz w:val="24"/>
        <w:szCs w:val="24"/>
        <w:lang w:val="zh-CN" w:eastAsia="zh-CN" w:bidi="zh-CN"/>
      </w:rPr>
    </w:lvl>
    <w:lvl w:ilvl="3" w:tentative="0">
      <w:start w:val="0"/>
      <w:numFmt w:val="bullet"/>
      <w:lvlText w:val="•"/>
      <w:lvlJc w:val="left"/>
      <w:pPr>
        <w:ind w:left="1320" w:hanging="900"/>
      </w:pPr>
      <w:rPr>
        <w:rFonts w:hint="default"/>
        <w:lang w:val="zh-CN" w:eastAsia="zh-CN" w:bidi="zh-CN"/>
      </w:rPr>
    </w:lvl>
    <w:lvl w:ilvl="4" w:tentative="0">
      <w:start w:val="0"/>
      <w:numFmt w:val="bullet"/>
      <w:lvlText w:val="•"/>
      <w:lvlJc w:val="left"/>
      <w:pPr>
        <w:ind w:left="1480" w:hanging="900"/>
      </w:pPr>
      <w:rPr>
        <w:rFonts w:hint="default"/>
        <w:lang w:val="zh-CN" w:eastAsia="zh-CN" w:bidi="zh-CN"/>
      </w:rPr>
    </w:lvl>
    <w:lvl w:ilvl="5" w:tentative="0">
      <w:start w:val="0"/>
      <w:numFmt w:val="bullet"/>
      <w:lvlText w:val="•"/>
      <w:lvlJc w:val="left"/>
      <w:pPr>
        <w:ind w:left="2977" w:hanging="900"/>
      </w:pPr>
      <w:rPr>
        <w:rFonts w:hint="default"/>
        <w:lang w:val="zh-CN" w:eastAsia="zh-CN" w:bidi="zh-CN"/>
      </w:rPr>
    </w:lvl>
    <w:lvl w:ilvl="6" w:tentative="0">
      <w:start w:val="0"/>
      <w:numFmt w:val="bullet"/>
      <w:lvlText w:val="•"/>
      <w:lvlJc w:val="left"/>
      <w:pPr>
        <w:ind w:left="4475" w:hanging="900"/>
      </w:pPr>
      <w:rPr>
        <w:rFonts w:hint="default"/>
        <w:lang w:val="zh-CN" w:eastAsia="zh-CN" w:bidi="zh-CN"/>
      </w:rPr>
    </w:lvl>
    <w:lvl w:ilvl="7" w:tentative="0">
      <w:start w:val="0"/>
      <w:numFmt w:val="bullet"/>
      <w:lvlText w:val="•"/>
      <w:lvlJc w:val="left"/>
      <w:pPr>
        <w:ind w:left="5973" w:hanging="900"/>
      </w:pPr>
      <w:rPr>
        <w:rFonts w:hint="default"/>
        <w:lang w:val="zh-CN" w:eastAsia="zh-CN" w:bidi="zh-CN"/>
      </w:rPr>
    </w:lvl>
    <w:lvl w:ilvl="8" w:tentative="0">
      <w:start w:val="0"/>
      <w:numFmt w:val="bullet"/>
      <w:lvlText w:val="•"/>
      <w:lvlJc w:val="left"/>
      <w:pPr>
        <w:ind w:left="7470" w:hanging="900"/>
      </w:pPr>
      <w:rPr>
        <w:rFonts w:hint="default"/>
        <w:lang w:val="zh-CN" w:eastAsia="zh-CN" w:bidi="zh-CN"/>
      </w:rPr>
    </w:lvl>
  </w:abstractNum>
  <w:abstractNum w:abstractNumId="1">
    <w:nsid w:val="12B270AE"/>
    <w:multiLevelType w:val="multilevel"/>
    <w:tmpl w:val="12B270AE"/>
    <w:lvl w:ilvl="0" w:tentative="0">
      <w:start w:val="2"/>
      <w:numFmt w:val="decimal"/>
      <w:lvlText w:val="%1"/>
      <w:lvlJc w:val="left"/>
      <w:pPr>
        <w:ind w:left="576" w:hanging="420"/>
      </w:pPr>
      <w:rPr>
        <w:rFonts w:hint="default"/>
        <w:lang w:val="zh-CN" w:eastAsia="zh-CN" w:bidi="zh-CN"/>
      </w:rPr>
    </w:lvl>
    <w:lvl w:ilvl="1" w:tentative="0">
      <w:start w:val="0"/>
      <w:numFmt w:val="none"/>
      <w:lvlText w:val=""/>
      <w:lvlJc w:val="left"/>
      <w:pPr>
        <w:tabs>
          <w:tab w:val="left" w:pos="360"/>
        </w:tabs>
      </w:pPr>
    </w:lvl>
    <w:lvl w:ilvl="2" w:tentative="0">
      <w:start w:val="0"/>
      <w:numFmt w:val="bullet"/>
      <w:lvlText w:val="•"/>
      <w:lvlJc w:val="left"/>
      <w:pPr>
        <w:ind w:left="1962" w:hanging="420"/>
      </w:pPr>
      <w:rPr>
        <w:rFonts w:hint="default"/>
        <w:lang w:val="zh-CN" w:eastAsia="zh-CN" w:bidi="zh-CN"/>
      </w:rPr>
    </w:lvl>
    <w:lvl w:ilvl="3" w:tentative="0">
      <w:start w:val="0"/>
      <w:numFmt w:val="bullet"/>
      <w:lvlText w:val="•"/>
      <w:lvlJc w:val="left"/>
      <w:pPr>
        <w:ind w:left="3025" w:hanging="420"/>
      </w:pPr>
      <w:rPr>
        <w:rFonts w:hint="default"/>
        <w:lang w:val="zh-CN" w:eastAsia="zh-CN" w:bidi="zh-CN"/>
      </w:rPr>
    </w:lvl>
    <w:lvl w:ilvl="4" w:tentative="0">
      <w:start w:val="0"/>
      <w:numFmt w:val="bullet"/>
      <w:lvlText w:val="•"/>
      <w:lvlJc w:val="left"/>
      <w:pPr>
        <w:ind w:left="4088" w:hanging="420"/>
      </w:pPr>
      <w:rPr>
        <w:rFonts w:hint="default"/>
        <w:lang w:val="zh-CN" w:eastAsia="zh-CN" w:bidi="zh-CN"/>
      </w:rPr>
    </w:lvl>
    <w:lvl w:ilvl="5" w:tentative="0">
      <w:start w:val="0"/>
      <w:numFmt w:val="bullet"/>
      <w:lvlText w:val="•"/>
      <w:lvlJc w:val="left"/>
      <w:pPr>
        <w:ind w:left="5151" w:hanging="420"/>
      </w:pPr>
      <w:rPr>
        <w:rFonts w:hint="default"/>
        <w:lang w:val="zh-CN" w:eastAsia="zh-CN" w:bidi="zh-CN"/>
      </w:rPr>
    </w:lvl>
    <w:lvl w:ilvl="6" w:tentative="0">
      <w:start w:val="0"/>
      <w:numFmt w:val="bullet"/>
      <w:lvlText w:val="•"/>
      <w:lvlJc w:val="left"/>
      <w:pPr>
        <w:ind w:left="6214" w:hanging="420"/>
      </w:pPr>
      <w:rPr>
        <w:rFonts w:hint="default"/>
        <w:lang w:val="zh-CN" w:eastAsia="zh-CN" w:bidi="zh-CN"/>
      </w:rPr>
    </w:lvl>
    <w:lvl w:ilvl="7" w:tentative="0">
      <w:start w:val="0"/>
      <w:numFmt w:val="bullet"/>
      <w:lvlText w:val="•"/>
      <w:lvlJc w:val="left"/>
      <w:pPr>
        <w:ind w:left="7277" w:hanging="420"/>
      </w:pPr>
      <w:rPr>
        <w:rFonts w:hint="default"/>
        <w:lang w:val="zh-CN" w:eastAsia="zh-CN" w:bidi="zh-CN"/>
      </w:rPr>
    </w:lvl>
    <w:lvl w:ilvl="8" w:tentative="0">
      <w:start w:val="0"/>
      <w:numFmt w:val="bullet"/>
      <w:lvlText w:val="•"/>
      <w:lvlJc w:val="left"/>
      <w:pPr>
        <w:ind w:left="8340" w:hanging="420"/>
      </w:pPr>
      <w:rPr>
        <w:rFonts w:hint="default"/>
        <w:lang w:val="zh-CN" w:eastAsia="zh-CN" w:bidi="zh-CN"/>
      </w:rPr>
    </w:lvl>
  </w:abstractNum>
  <w:abstractNum w:abstractNumId="2">
    <w:nsid w:val="1B845055"/>
    <w:multiLevelType w:val="multilevel"/>
    <w:tmpl w:val="1B845055"/>
    <w:lvl w:ilvl="0" w:tentative="0">
      <w:start w:val="23"/>
      <w:numFmt w:val="decimal"/>
      <w:lvlText w:val="%1"/>
      <w:lvlJc w:val="left"/>
      <w:pPr>
        <w:ind w:left="1056" w:hanging="480"/>
        <w:jc w:val="right"/>
      </w:pPr>
      <w:rPr>
        <w:rFonts w:hint="default"/>
        <w:b/>
        <w:bCs/>
        <w:spacing w:val="0"/>
        <w:w w:val="99"/>
        <w:lang w:val="zh-CN" w:eastAsia="zh-CN" w:bidi="zh-CN"/>
      </w:rPr>
    </w:lvl>
    <w:lvl w:ilvl="1" w:tentative="0">
      <w:start w:val="0"/>
      <w:numFmt w:val="none"/>
      <w:lvlText w:val=""/>
      <w:lvlJc w:val="left"/>
      <w:pPr>
        <w:tabs>
          <w:tab w:val="left" w:pos="360"/>
        </w:tabs>
      </w:pPr>
    </w:lvl>
    <w:lvl w:ilvl="2" w:tentative="0">
      <w:start w:val="1"/>
      <w:numFmt w:val="decimal"/>
      <w:lvlText w:val="(%3)"/>
      <w:lvlJc w:val="left"/>
      <w:pPr>
        <w:ind w:left="1116" w:hanging="361"/>
      </w:pPr>
      <w:rPr>
        <w:rFonts w:hint="default" w:ascii="宋体" w:hAnsi="宋体" w:eastAsia="宋体" w:cs="宋体"/>
        <w:spacing w:val="-17"/>
        <w:w w:val="100"/>
        <w:sz w:val="22"/>
        <w:szCs w:val="22"/>
        <w:lang w:val="zh-CN" w:eastAsia="zh-CN" w:bidi="zh-CN"/>
      </w:rPr>
    </w:lvl>
    <w:lvl w:ilvl="3" w:tentative="0">
      <w:start w:val="0"/>
      <w:numFmt w:val="bullet"/>
      <w:lvlText w:val="•"/>
      <w:lvlJc w:val="left"/>
      <w:pPr>
        <w:ind w:left="2603" w:hanging="361"/>
      </w:pPr>
      <w:rPr>
        <w:rFonts w:hint="default"/>
        <w:lang w:val="zh-CN" w:eastAsia="zh-CN" w:bidi="zh-CN"/>
      </w:rPr>
    </w:lvl>
    <w:lvl w:ilvl="4" w:tentative="0">
      <w:start w:val="0"/>
      <w:numFmt w:val="bullet"/>
      <w:lvlText w:val="•"/>
      <w:lvlJc w:val="left"/>
      <w:pPr>
        <w:ind w:left="3726" w:hanging="361"/>
      </w:pPr>
      <w:rPr>
        <w:rFonts w:hint="default"/>
        <w:lang w:val="zh-CN" w:eastAsia="zh-CN" w:bidi="zh-CN"/>
      </w:rPr>
    </w:lvl>
    <w:lvl w:ilvl="5" w:tentative="0">
      <w:start w:val="0"/>
      <w:numFmt w:val="bullet"/>
      <w:lvlText w:val="•"/>
      <w:lvlJc w:val="left"/>
      <w:pPr>
        <w:ind w:left="4849" w:hanging="361"/>
      </w:pPr>
      <w:rPr>
        <w:rFonts w:hint="default"/>
        <w:lang w:val="zh-CN" w:eastAsia="zh-CN" w:bidi="zh-CN"/>
      </w:rPr>
    </w:lvl>
    <w:lvl w:ilvl="6" w:tentative="0">
      <w:start w:val="0"/>
      <w:numFmt w:val="bullet"/>
      <w:lvlText w:val="•"/>
      <w:lvlJc w:val="left"/>
      <w:pPr>
        <w:ind w:left="5973" w:hanging="361"/>
      </w:pPr>
      <w:rPr>
        <w:rFonts w:hint="default"/>
        <w:lang w:val="zh-CN" w:eastAsia="zh-CN" w:bidi="zh-CN"/>
      </w:rPr>
    </w:lvl>
    <w:lvl w:ilvl="7" w:tentative="0">
      <w:start w:val="0"/>
      <w:numFmt w:val="bullet"/>
      <w:lvlText w:val="•"/>
      <w:lvlJc w:val="left"/>
      <w:pPr>
        <w:ind w:left="7096" w:hanging="361"/>
      </w:pPr>
      <w:rPr>
        <w:rFonts w:hint="default"/>
        <w:lang w:val="zh-CN" w:eastAsia="zh-CN" w:bidi="zh-CN"/>
      </w:rPr>
    </w:lvl>
    <w:lvl w:ilvl="8" w:tentative="0">
      <w:start w:val="0"/>
      <w:numFmt w:val="bullet"/>
      <w:lvlText w:val="•"/>
      <w:lvlJc w:val="left"/>
      <w:pPr>
        <w:ind w:left="8219" w:hanging="361"/>
      </w:pPr>
      <w:rPr>
        <w:rFonts w:hint="default"/>
        <w:lang w:val="zh-CN" w:eastAsia="zh-CN" w:bidi="zh-CN"/>
      </w:rPr>
    </w:lvl>
  </w:abstractNum>
  <w:abstractNum w:abstractNumId="3">
    <w:nsid w:val="23610951"/>
    <w:multiLevelType w:val="multilevel"/>
    <w:tmpl w:val="23610951"/>
    <w:lvl w:ilvl="0" w:tentative="0">
      <w:start w:val="1"/>
      <w:numFmt w:val="decimal"/>
      <w:lvlText w:val="%1."/>
      <w:lvlJc w:val="left"/>
      <w:pPr>
        <w:ind w:left="351" w:hanging="212"/>
        <w:jc w:val="right"/>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1148" w:hanging="212"/>
      </w:pPr>
      <w:rPr>
        <w:rFonts w:hint="default"/>
        <w:lang w:val="zh-CN" w:eastAsia="zh-CN" w:bidi="zh-CN"/>
      </w:rPr>
    </w:lvl>
    <w:lvl w:ilvl="2" w:tentative="0">
      <w:start w:val="0"/>
      <w:numFmt w:val="bullet"/>
      <w:lvlText w:val="•"/>
      <w:lvlJc w:val="left"/>
      <w:pPr>
        <w:ind w:left="1937" w:hanging="212"/>
      </w:pPr>
      <w:rPr>
        <w:rFonts w:hint="default"/>
        <w:lang w:val="zh-CN" w:eastAsia="zh-CN" w:bidi="zh-CN"/>
      </w:rPr>
    </w:lvl>
    <w:lvl w:ilvl="3" w:tentative="0">
      <w:start w:val="0"/>
      <w:numFmt w:val="bullet"/>
      <w:lvlText w:val="•"/>
      <w:lvlJc w:val="left"/>
      <w:pPr>
        <w:ind w:left="2725" w:hanging="212"/>
      </w:pPr>
      <w:rPr>
        <w:rFonts w:hint="default"/>
        <w:lang w:val="zh-CN" w:eastAsia="zh-CN" w:bidi="zh-CN"/>
      </w:rPr>
    </w:lvl>
    <w:lvl w:ilvl="4" w:tentative="0">
      <w:start w:val="0"/>
      <w:numFmt w:val="bullet"/>
      <w:lvlText w:val="•"/>
      <w:lvlJc w:val="left"/>
      <w:pPr>
        <w:ind w:left="3514" w:hanging="212"/>
      </w:pPr>
      <w:rPr>
        <w:rFonts w:hint="default"/>
        <w:lang w:val="zh-CN" w:eastAsia="zh-CN" w:bidi="zh-CN"/>
      </w:rPr>
    </w:lvl>
    <w:lvl w:ilvl="5" w:tentative="0">
      <w:start w:val="0"/>
      <w:numFmt w:val="bullet"/>
      <w:lvlText w:val="•"/>
      <w:lvlJc w:val="left"/>
      <w:pPr>
        <w:ind w:left="4303" w:hanging="212"/>
      </w:pPr>
      <w:rPr>
        <w:rFonts w:hint="default"/>
        <w:lang w:val="zh-CN" w:eastAsia="zh-CN" w:bidi="zh-CN"/>
      </w:rPr>
    </w:lvl>
    <w:lvl w:ilvl="6" w:tentative="0">
      <w:start w:val="0"/>
      <w:numFmt w:val="bullet"/>
      <w:lvlText w:val="•"/>
      <w:lvlJc w:val="left"/>
      <w:pPr>
        <w:ind w:left="5091" w:hanging="212"/>
      </w:pPr>
      <w:rPr>
        <w:rFonts w:hint="default"/>
        <w:lang w:val="zh-CN" w:eastAsia="zh-CN" w:bidi="zh-CN"/>
      </w:rPr>
    </w:lvl>
    <w:lvl w:ilvl="7" w:tentative="0">
      <w:start w:val="0"/>
      <w:numFmt w:val="bullet"/>
      <w:lvlText w:val="•"/>
      <w:lvlJc w:val="left"/>
      <w:pPr>
        <w:ind w:left="5880" w:hanging="212"/>
      </w:pPr>
      <w:rPr>
        <w:rFonts w:hint="default"/>
        <w:lang w:val="zh-CN" w:eastAsia="zh-CN" w:bidi="zh-CN"/>
      </w:rPr>
    </w:lvl>
    <w:lvl w:ilvl="8" w:tentative="0">
      <w:start w:val="0"/>
      <w:numFmt w:val="bullet"/>
      <w:lvlText w:val="•"/>
      <w:lvlJc w:val="left"/>
      <w:pPr>
        <w:ind w:left="6669" w:hanging="212"/>
      </w:pPr>
      <w:rPr>
        <w:rFonts w:hint="default"/>
        <w:lang w:val="zh-CN" w:eastAsia="zh-CN" w:bidi="zh-CN"/>
      </w:rPr>
    </w:lvl>
  </w:abstractNum>
  <w:abstractNum w:abstractNumId="4">
    <w:nsid w:val="32FF2455"/>
    <w:multiLevelType w:val="multilevel"/>
    <w:tmpl w:val="32FF2455"/>
    <w:lvl w:ilvl="0" w:tentative="0">
      <w:start w:val="2"/>
      <w:numFmt w:val="decimal"/>
      <w:lvlText w:val="%1."/>
      <w:lvlJc w:val="left"/>
      <w:pPr>
        <w:ind w:left="576" w:hanging="365"/>
      </w:pPr>
      <w:rPr>
        <w:rFonts w:hint="default" w:ascii="宋体" w:hAnsi="宋体" w:eastAsia="宋体" w:cs="宋体"/>
        <w:spacing w:val="2"/>
        <w:w w:val="100"/>
        <w:sz w:val="22"/>
        <w:szCs w:val="22"/>
        <w:lang w:val="zh-CN" w:eastAsia="zh-CN" w:bidi="zh-CN"/>
      </w:rPr>
    </w:lvl>
    <w:lvl w:ilvl="1" w:tentative="0">
      <w:start w:val="0"/>
      <w:numFmt w:val="bullet"/>
      <w:lvlText w:val=""/>
      <w:lvlJc w:val="left"/>
      <w:pPr>
        <w:ind w:left="1198" w:hanging="420"/>
      </w:pPr>
      <w:rPr>
        <w:rFonts w:hint="default" w:ascii="Wingdings" w:hAnsi="Wingdings" w:eastAsia="Wingdings" w:cs="Wingdings"/>
        <w:w w:val="100"/>
        <w:sz w:val="24"/>
        <w:szCs w:val="24"/>
        <w:lang w:val="zh-CN" w:eastAsia="zh-CN" w:bidi="zh-CN"/>
      </w:rPr>
    </w:lvl>
    <w:lvl w:ilvl="2" w:tentative="0">
      <w:start w:val="0"/>
      <w:numFmt w:val="bullet"/>
      <w:lvlText w:val="•"/>
      <w:lvlJc w:val="left"/>
      <w:pPr>
        <w:ind w:left="1440" w:hanging="420"/>
      </w:pPr>
      <w:rPr>
        <w:rFonts w:hint="default"/>
        <w:lang w:val="zh-CN" w:eastAsia="zh-CN" w:bidi="zh-CN"/>
      </w:rPr>
    </w:lvl>
    <w:lvl w:ilvl="3" w:tentative="0">
      <w:start w:val="0"/>
      <w:numFmt w:val="bullet"/>
      <w:lvlText w:val="•"/>
      <w:lvlJc w:val="left"/>
      <w:pPr>
        <w:ind w:left="2568" w:hanging="420"/>
      </w:pPr>
      <w:rPr>
        <w:rFonts w:hint="default"/>
        <w:lang w:val="zh-CN" w:eastAsia="zh-CN" w:bidi="zh-CN"/>
      </w:rPr>
    </w:lvl>
    <w:lvl w:ilvl="4" w:tentative="0">
      <w:start w:val="0"/>
      <w:numFmt w:val="bullet"/>
      <w:lvlText w:val="•"/>
      <w:lvlJc w:val="left"/>
      <w:pPr>
        <w:ind w:left="3696" w:hanging="420"/>
      </w:pPr>
      <w:rPr>
        <w:rFonts w:hint="default"/>
        <w:lang w:val="zh-CN" w:eastAsia="zh-CN" w:bidi="zh-CN"/>
      </w:rPr>
    </w:lvl>
    <w:lvl w:ilvl="5" w:tentative="0">
      <w:start w:val="0"/>
      <w:numFmt w:val="bullet"/>
      <w:lvlText w:val="•"/>
      <w:lvlJc w:val="left"/>
      <w:pPr>
        <w:ind w:left="4824" w:hanging="420"/>
      </w:pPr>
      <w:rPr>
        <w:rFonts w:hint="default"/>
        <w:lang w:val="zh-CN" w:eastAsia="zh-CN" w:bidi="zh-CN"/>
      </w:rPr>
    </w:lvl>
    <w:lvl w:ilvl="6" w:tentative="0">
      <w:start w:val="0"/>
      <w:numFmt w:val="bullet"/>
      <w:lvlText w:val="•"/>
      <w:lvlJc w:val="left"/>
      <w:pPr>
        <w:ind w:left="5953" w:hanging="420"/>
      </w:pPr>
      <w:rPr>
        <w:rFonts w:hint="default"/>
        <w:lang w:val="zh-CN" w:eastAsia="zh-CN" w:bidi="zh-CN"/>
      </w:rPr>
    </w:lvl>
    <w:lvl w:ilvl="7" w:tentative="0">
      <w:start w:val="0"/>
      <w:numFmt w:val="bullet"/>
      <w:lvlText w:val="•"/>
      <w:lvlJc w:val="left"/>
      <w:pPr>
        <w:ind w:left="7081" w:hanging="420"/>
      </w:pPr>
      <w:rPr>
        <w:rFonts w:hint="default"/>
        <w:lang w:val="zh-CN" w:eastAsia="zh-CN" w:bidi="zh-CN"/>
      </w:rPr>
    </w:lvl>
    <w:lvl w:ilvl="8" w:tentative="0">
      <w:start w:val="0"/>
      <w:numFmt w:val="bullet"/>
      <w:lvlText w:val="•"/>
      <w:lvlJc w:val="left"/>
      <w:pPr>
        <w:ind w:left="8209" w:hanging="420"/>
      </w:pPr>
      <w:rPr>
        <w:rFonts w:hint="default"/>
        <w:lang w:val="zh-CN" w:eastAsia="zh-CN" w:bidi="zh-CN"/>
      </w:rPr>
    </w:lvl>
  </w:abstractNum>
  <w:abstractNum w:abstractNumId="5">
    <w:nsid w:val="5C946296"/>
    <w:multiLevelType w:val="multilevel"/>
    <w:tmpl w:val="5C946296"/>
    <w:lvl w:ilvl="0" w:tentative="0">
      <w:start w:val="1"/>
      <w:numFmt w:val="decimal"/>
      <w:lvlText w:val="%1."/>
      <w:lvlJc w:val="left"/>
      <w:pPr>
        <w:ind w:left="-420" w:hanging="420"/>
      </w:pPr>
      <w:rPr>
        <w:rFonts w:hint="default"/>
        <w:w w:val="100"/>
      </w:rPr>
    </w:lvl>
    <w:lvl w:ilvl="1" w:tentative="0">
      <w:start w:val="1"/>
      <w:numFmt w:val="lowerLetter"/>
      <w:lvlText w:val="%2)"/>
      <w:lvlJc w:val="left"/>
      <w:pPr>
        <w:ind w:left="840" w:hanging="420"/>
      </w:pPr>
      <w:rPr>
        <w:rFonts w:hint="default"/>
        <w:w w:val="100"/>
      </w:rPr>
    </w:lvl>
    <w:lvl w:ilvl="2" w:tentative="0">
      <w:start w:val="1"/>
      <w:numFmt w:val="lowerRoman"/>
      <w:lvlText w:val="%3."/>
      <w:lvlJc w:val="right"/>
      <w:pPr>
        <w:ind w:left="1260" w:hanging="420"/>
      </w:pPr>
      <w:rPr>
        <w:rFonts w:hint="default"/>
        <w:w w:val="100"/>
      </w:rPr>
    </w:lvl>
    <w:lvl w:ilvl="3" w:tentative="0">
      <w:start w:val="1"/>
      <w:numFmt w:val="decimal"/>
      <w:lvlText w:val="%4."/>
      <w:lvlJc w:val="left"/>
      <w:pPr>
        <w:ind w:left="1680" w:hanging="420"/>
      </w:pPr>
      <w:rPr>
        <w:rFonts w:hint="default"/>
        <w:w w:val="100"/>
      </w:rPr>
    </w:lvl>
    <w:lvl w:ilvl="4" w:tentative="0">
      <w:start w:val="1"/>
      <w:numFmt w:val="lowerLetter"/>
      <w:lvlText w:val="%5)"/>
      <w:lvlJc w:val="left"/>
      <w:pPr>
        <w:ind w:left="2100" w:hanging="420"/>
      </w:pPr>
      <w:rPr>
        <w:rFonts w:hint="default"/>
        <w:w w:val="100"/>
      </w:rPr>
    </w:lvl>
    <w:lvl w:ilvl="5" w:tentative="0">
      <w:start w:val="1"/>
      <w:numFmt w:val="lowerRoman"/>
      <w:lvlText w:val="%6."/>
      <w:lvlJc w:val="right"/>
      <w:pPr>
        <w:ind w:left="2520" w:hanging="420"/>
      </w:pPr>
      <w:rPr>
        <w:rFonts w:hint="default"/>
        <w:w w:val="100"/>
      </w:rPr>
    </w:lvl>
    <w:lvl w:ilvl="6" w:tentative="0">
      <w:start w:val="1"/>
      <w:numFmt w:val="decimal"/>
      <w:lvlText w:val="%7."/>
      <w:lvlJc w:val="left"/>
      <w:pPr>
        <w:ind w:left="2940" w:hanging="420"/>
      </w:pPr>
      <w:rPr>
        <w:rFonts w:hint="default"/>
        <w:w w:val="100"/>
      </w:rPr>
    </w:lvl>
    <w:lvl w:ilvl="7" w:tentative="0">
      <w:start w:val="1"/>
      <w:numFmt w:val="lowerLetter"/>
      <w:lvlText w:val="%8)"/>
      <w:lvlJc w:val="left"/>
      <w:pPr>
        <w:ind w:left="3360" w:hanging="420"/>
      </w:pPr>
      <w:rPr>
        <w:rFonts w:hint="default"/>
        <w:w w:val="100"/>
      </w:rPr>
    </w:lvl>
    <w:lvl w:ilvl="8" w:tentative="0">
      <w:start w:val="1"/>
      <w:numFmt w:val="lowerRoman"/>
      <w:lvlText w:val="%9."/>
      <w:lvlJc w:val="right"/>
      <w:pPr>
        <w:ind w:left="3780" w:hanging="420"/>
      </w:pPr>
      <w:rPr>
        <w:rFonts w:hint="default"/>
        <w:w w:val="100"/>
      </w:rPr>
    </w:lvl>
  </w:abstractNum>
  <w:abstractNum w:abstractNumId="6">
    <w:nsid w:val="66447CE7"/>
    <w:multiLevelType w:val="multilevel"/>
    <w:tmpl w:val="66447CE7"/>
    <w:lvl w:ilvl="0" w:tentative="0">
      <w:start w:val="3"/>
      <w:numFmt w:val="decimal"/>
      <w:lvlText w:val="(%1)"/>
      <w:lvlJc w:val="left"/>
      <w:pPr>
        <w:ind w:left="1477" w:hanging="361"/>
      </w:pPr>
      <w:rPr>
        <w:rFonts w:hint="default" w:ascii="宋体" w:hAnsi="宋体" w:eastAsia="宋体" w:cs="宋体"/>
        <w:w w:val="100"/>
        <w:sz w:val="22"/>
        <w:szCs w:val="22"/>
        <w:lang w:val="zh-CN" w:eastAsia="zh-CN" w:bidi="zh-CN"/>
      </w:rPr>
    </w:lvl>
    <w:lvl w:ilvl="1" w:tentative="0">
      <w:start w:val="0"/>
      <w:numFmt w:val="bullet"/>
      <w:lvlText w:val="•"/>
      <w:lvlJc w:val="left"/>
      <w:pPr>
        <w:ind w:left="2378" w:hanging="361"/>
      </w:pPr>
      <w:rPr>
        <w:rFonts w:hint="default"/>
        <w:lang w:val="zh-CN" w:eastAsia="zh-CN" w:bidi="zh-CN"/>
      </w:rPr>
    </w:lvl>
    <w:lvl w:ilvl="2" w:tentative="0">
      <w:start w:val="0"/>
      <w:numFmt w:val="bullet"/>
      <w:lvlText w:val="•"/>
      <w:lvlJc w:val="left"/>
      <w:pPr>
        <w:ind w:left="3277" w:hanging="361"/>
      </w:pPr>
      <w:rPr>
        <w:rFonts w:hint="default"/>
        <w:lang w:val="zh-CN" w:eastAsia="zh-CN" w:bidi="zh-CN"/>
      </w:rPr>
    </w:lvl>
    <w:lvl w:ilvl="3" w:tentative="0">
      <w:start w:val="0"/>
      <w:numFmt w:val="bullet"/>
      <w:lvlText w:val="•"/>
      <w:lvlJc w:val="left"/>
      <w:pPr>
        <w:ind w:left="4175" w:hanging="361"/>
      </w:pPr>
      <w:rPr>
        <w:rFonts w:hint="default"/>
        <w:lang w:val="zh-CN" w:eastAsia="zh-CN" w:bidi="zh-CN"/>
      </w:rPr>
    </w:lvl>
    <w:lvl w:ilvl="4" w:tentative="0">
      <w:start w:val="0"/>
      <w:numFmt w:val="bullet"/>
      <w:lvlText w:val="•"/>
      <w:lvlJc w:val="left"/>
      <w:pPr>
        <w:ind w:left="5074" w:hanging="361"/>
      </w:pPr>
      <w:rPr>
        <w:rFonts w:hint="default"/>
        <w:lang w:val="zh-CN" w:eastAsia="zh-CN" w:bidi="zh-CN"/>
      </w:rPr>
    </w:lvl>
    <w:lvl w:ilvl="5" w:tentative="0">
      <w:start w:val="0"/>
      <w:numFmt w:val="bullet"/>
      <w:lvlText w:val="•"/>
      <w:lvlJc w:val="left"/>
      <w:pPr>
        <w:ind w:left="5973" w:hanging="361"/>
      </w:pPr>
      <w:rPr>
        <w:rFonts w:hint="default"/>
        <w:lang w:val="zh-CN" w:eastAsia="zh-CN" w:bidi="zh-CN"/>
      </w:rPr>
    </w:lvl>
    <w:lvl w:ilvl="6" w:tentative="0">
      <w:start w:val="0"/>
      <w:numFmt w:val="bullet"/>
      <w:lvlText w:val="•"/>
      <w:lvlJc w:val="left"/>
      <w:pPr>
        <w:ind w:left="6871" w:hanging="361"/>
      </w:pPr>
      <w:rPr>
        <w:rFonts w:hint="default"/>
        <w:lang w:val="zh-CN" w:eastAsia="zh-CN" w:bidi="zh-CN"/>
      </w:rPr>
    </w:lvl>
    <w:lvl w:ilvl="7" w:tentative="0">
      <w:start w:val="0"/>
      <w:numFmt w:val="bullet"/>
      <w:lvlText w:val="•"/>
      <w:lvlJc w:val="left"/>
      <w:pPr>
        <w:ind w:left="7770" w:hanging="361"/>
      </w:pPr>
      <w:rPr>
        <w:rFonts w:hint="default"/>
        <w:lang w:val="zh-CN" w:eastAsia="zh-CN" w:bidi="zh-CN"/>
      </w:rPr>
    </w:lvl>
    <w:lvl w:ilvl="8" w:tentative="0">
      <w:start w:val="0"/>
      <w:numFmt w:val="bullet"/>
      <w:lvlText w:val="•"/>
      <w:lvlJc w:val="left"/>
      <w:pPr>
        <w:ind w:left="8668" w:hanging="361"/>
      </w:pPr>
      <w:rPr>
        <w:rFonts w:hint="default"/>
        <w:lang w:val="zh-CN" w:eastAsia="zh-CN" w:bidi="zh-CN"/>
      </w:rPr>
    </w:lvl>
  </w:abstractNum>
  <w:abstractNum w:abstractNumId="7">
    <w:nsid w:val="6E114B4C"/>
    <w:multiLevelType w:val="multilevel"/>
    <w:tmpl w:val="6E114B4C"/>
    <w:lvl w:ilvl="0" w:tentative="0">
      <w:start w:val="1"/>
      <w:numFmt w:val="decimal"/>
      <w:lvlText w:val="（%1）"/>
      <w:lvlJc w:val="left"/>
      <w:pPr>
        <w:ind w:left="1794"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666" w:hanging="601"/>
      </w:pPr>
      <w:rPr>
        <w:rFonts w:hint="default"/>
        <w:lang w:val="zh-CN" w:eastAsia="zh-CN" w:bidi="zh-CN"/>
      </w:rPr>
    </w:lvl>
    <w:lvl w:ilvl="2" w:tentative="0">
      <w:start w:val="0"/>
      <w:numFmt w:val="bullet"/>
      <w:lvlText w:val="•"/>
      <w:lvlJc w:val="left"/>
      <w:pPr>
        <w:ind w:left="3533" w:hanging="601"/>
      </w:pPr>
      <w:rPr>
        <w:rFonts w:hint="default"/>
        <w:lang w:val="zh-CN" w:eastAsia="zh-CN" w:bidi="zh-CN"/>
      </w:rPr>
    </w:lvl>
    <w:lvl w:ilvl="3" w:tentative="0">
      <w:start w:val="0"/>
      <w:numFmt w:val="bullet"/>
      <w:lvlText w:val="•"/>
      <w:lvlJc w:val="left"/>
      <w:pPr>
        <w:ind w:left="4399" w:hanging="601"/>
      </w:pPr>
      <w:rPr>
        <w:rFonts w:hint="default"/>
        <w:lang w:val="zh-CN" w:eastAsia="zh-CN" w:bidi="zh-CN"/>
      </w:rPr>
    </w:lvl>
    <w:lvl w:ilvl="4" w:tentative="0">
      <w:start w:val="0"/>
      <w:numFmt w:val="bullet"/>
      <w:lvlText w:val="•"/>
      <w:lvlJc w:val="left"/>
      <w:pPr>
        <w:ind w:left="5266" w:hanging="601"/>
      </w:pPr>
      <w:rPr>
        <w:rFonts w:hint="default"/>
        <w:lang w:val="zh-CN" w:eastAsia="zh-CN" w:bidi="zh-CN"/>
      </w:rPr>
    </w:lvl>
    <w:lvl w:ilvl="5" w:tentative="0">
      <w:start w:val="0"/>
      <w:numFmt w:val="bullet"/>
      <w:lvlText w:val="•"/>
      <w:lvlJc w:val="left"/>
      <w:pPr>
        <w:ind w:left="6133" w:hanging="601"/>
      </w:pPr>
      <w:rPr>
        <w:rFonts w:hint="default"/>
        <w:lang w:val="zh-CN" w:eastAsia="zh-CN" w:bidi="zh-CN"/>
      </w:rPr>
    </w:lvl>
    <w:lvl w:ilvl="6" w:tentative="0">
      <w:start w:val="0"/>
      <w:numFmt w:val="bullet"/>
      <w:lvlText w:val="•"/>
      <w:lvlJc w:val="left"/>
      <w:pPr>
        <w:ind w:left="6999" w:hanging="601"/>
      </w:pPr>
      <w:rPr>
        <w:rFonts w:hint="default"/>
        <w:lang w:val="zh-CN" w:eastAsia="zh-CN" w:bidi="zh-CN"/>
      </w:rPr>
    </w:lvl>
    <w:lvl w:ilvl="7" w:tentative="0">
      <w:start w:val="0"/>
      <w:numFmt w:val="bullet"/>
      <w:lvlText w:val="•"/>
      <w:lvlJc w:val="left"/>
      <w:pPr>
        <w:ind w:left="7866" w:hanging="601"/>
      </w:pPr>
      <w:rPr>
        <w:rFonts w:hint="default"/>
        <w:lang w:val="zh-CN" w:eastAsia="zh-CN" w:bidi="zh-CN"/>
      </w:rPr>
    </w:lvl>
    <w:lvl w:ilvl="8" w:tentative="0">
      <w:start w:val="0"/>
      <w:numFmt w:val="bullet"/>
      <w:lvlText w:val="•"/>
      <w:lvlJc w:val="left"/>
      <w:pPr>
        <w:ind w:left="8732" w:hanging="601"/>
      </w:pPr>
      <w:rPr>
        <w:rFonts w:hint="default"/>
        <w:lang w:val="zh-CN" w:eastAsia="zh-CN" w:bidi="zh-CN"/>
      </w:rPr>
    </w:lvl>
  </w:abstractNum>
  <w:abstractNum w:abstractNumId="8">
    <w:nsid w:val="78662E6E"/>
    <w:multiLevelType w:val="multilevel"/>
    <w:tmpl w:val="78662E6E"/>
    <w:lvl w:ilvl="0" w:tentative="0">
      <w:start w:val="1"/>
      <w:numFmt w:val="decimal"/>
      <w:lvlText w:val="（%1）"/>
      <w:lvlJc w:val="left"/>
      <w:pPr>
        <w:ind w:left="1794"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666" w:hanging="601"/>
      </w:pPr>
      <w:rPr>
        <w:rFonts w:hint="default"/>
        <w:lang w:val="zh-CN" w:eastAsia="zh-CN" w:bidi="zh-CN"/>
      </w:rPr>
    </w:lvl>
    <w:lvl w:ilvl="2" w:tentative="0">
      <w:start w:val="0"/>
      <w:numFmt w:val="bullet"/>
      <w:lvlText w:val="•"/>
      <w:lvlJc w:val="left"/>
      <w:pPr>
        <w:ind w:left="3533" w:hanging="601"/>
      </w:pPr>
      <w:rPr>
        <w:rFonts w:hint="default"/>
        <w:lang w:val="zh-CN" w:eastAsia="zh-CN" w:bidi="zh-CN"/>
      </w:rPr>
    </w:lvl>
    <w:lvl w:ilvl="3" w:tentative="0">
      <w:start w:val="0"/>
      <w:numFmt w:val="bullet"/>
      <w:lvlText w:val="•"/>
      <w:lvlJc w:val="left"/>
      <w:pPr>
        <w:ind w:left="4399" w:hanging="601"/>
      </w:pPr>
      <w:rPr>
        <w:rFonts w:hint="default"/>
        <w:lang w:val="zh-CN" w:eastAsia="zh-CN" w:bidi="zh-CN"/>
      </w:rPr>
    </w:lvl>
    <w:lvl w:ilvl="4" w:tentative="0">
      <w:start w:val="0"/>
      <w:numFmt w:val="bullet"/>
      <w:lvlText w:val="•"/>
      <w:lvlJc w:val="left"/>
      <w:pPr>
        <w:ind w:left="5266" w:hanging="601"/>
      </w:pPr>
      <w:rPr>
        <w:rFonts w:hint="default"/>
        <w:lang w:val="zh-CN" w:eastAsia="zh-CN" w:bidi="zh-CN"/>
      </w:rPr>
    </w:lvl>
    <w:lvl w:ilvl="5" w:tentative="0">
      <w:start w:val="0"/>
      <w:numFmt w:val="bullet"/>
      <w:lvlText w:val="•"/>
      <w:lvlJc w:val="left"/>
      <w:pPr>
        <w:ind w:left="6133" w:hanging="601"/>
      </w:pPr>
      <w:rPr>
        <w:rFonts w:hint="default"/>
        <w:lang w:val="zh-CN" w:eastAsia="zh-CN" w:bidi="zh-CN"/>
      </w:rPr>
    </w:lvl>
    <w:lvl w:ilvl="6" w:tentative="0">
      <w:start w:val="0"/>
      <w:numFmt w:val="bullet"/>
      <w:lvlText w:val="•"/>
      <w:lvlJc w:val="left"/>
      <w:pPr>
        <w:ind w:left="6999" w:hanging="601"/>
      </w:pPr>
      <w:rPr>
        <w:rFonts w:hint="default"/>
        <w:lang w:val="zh-CN" w:eastAsia="zh-CN" w:bidi="zh-CN"/>
      </w:rPr>
    </w:lvl>
    <w:lvl w:ilvl="7" w:tentative="0">
      <w:start w:val="0"/>
      <w:numFmt w:val="bullet"/>
      <w:lvlText w:val="•"/>
      <w:lvlJc w:val="left"/>
      <w:pPr>
        <w:ind w:left="7866" w:hanging="601"/>
      </w:pPr>
      <w:rPr>
        <w:rFonts w:hint="default"/>
        <w:lang w:val="zh-CN" w:eastAsia="zh-CN" w:bidi="zh-CN"/>
      </w:rPr>
    </w:lvl>
    <w:lvl w:ilvl="8" w:tentative="0">
      <w:start w:val="0"/>
      <w:numFmt w:val="bullet"/>
      <w:lvlText w:val="•"/>
      <w:lvlJc w:val="left"/>
      <w:pPr>
        <w:ind w:left="8732" w:hanging="601"/>
      </w:pPr>
      <w:rPr>
        <w:rFonts w:hint="default"/>
        <w:lang w:val="zh-CN" w:eastAsia="zh-CN" w:bidi="zh-CN"/>
      </w:rPr>
    </w:lvl>
  </w:abstractNum>
  <w:abstractNum w:abstractNumId="9">
    <w:nsid w:val="7C616412"/>
    <w:multiLevelType w:val="multilevel"/>
    <w:tmpl w:val="7C616412"/>
    <w:lvl w:ilvl="0" w:tentative="0">
      <w:start w:val="1"/>
      <w:numFmt w:val="decimal"/>
      <w:lvlText w:val="%1."/>
      <w:lvlJc w:val="left"/>
      <w:pPr>
        <w:ind w:left="996" w:hanging="420"/>
      </w:pPr>
      <w:rPr>
        <w:rFonts w:hint="default" w:ascii="宋体" w:hAnsi="宋体" w:eastAsia="宋体" w:cs="宋体"/>
        <w:b/>
        <w:bCs/>
        <w:spacing w:val="0"/>
        <w:w w:val="99"/>
        <w:sz w:val="28"/>
        <w:szCs w:val="28"/>
        <w:lang w:val="zh-CN" w:eastAsia="zh-CN" w:bidi="zh-CN"/>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bullet"/>
      <w:lvlText w:val="•"/>
      <w:lvlJc w:val="left"/>
      <w:pPr>
        <w:ind w:left="1720" w:hanging="660"/>
      </w:pPr>
      <w:rPr>
        <w:rFonts w:hint="default"/>
        <w:lang w:val="zh-CN" w:eastAsia="zh-CN" w:bidi="zh-CN"/>
      </w:rPr>
    </w:lvl>
    <w:lvl w:ilvl="4" w:tentative="0">
      <w:start w:val="0"/>
      <w:numFmt w:val="bullet"/>
      <w:lvlText w:val="•"/>
      <w:lvlJc w:val="left"/>
      <w:pPr>
        <w:ind w:left="1920" w:hanging="660"/>
      </w:pPr>
      <w:rPr>
        <w:rFonts w:hint="default"/>
        <w:lang w:val="zh-CN" w:eastAsia="zh-CN" w:bidi="zh-CN"/>
      </w:rPr>
    </w:lvl>
    <w:lvl w:ilvl="5" w:tentative="0">
      <w:start w:val="0"/>
      <w:numFmt w:val="bullet"/>
      <w:lvlText w:val="•"/>
      <w:lvlJc w:val="left"/>
      <w:pPr>
        <w:ind w:left="3344" w:hanging="660"/>
      </w:pPr>
      <w:rPr>
        <w:rFonts w:hint="default"/>
        <w:lang w:val="zh-CN" w:eastAsia="zh-CN" w:bidi="zh-CN"/>
      </w:rPr>
    </w:lvl>
    <w:lvl w:ilvl="6" w:tentative="0">
      <w:start w:val="0"/>
      <w:numFmt w:val="bullet"/>
      <w:lvlText w:val="•"/>
      <w:lvlJc w:val="left"/>
      <w:pPr>
        <w:ind w:left="4768" w:hanging="660"/>
      </w:pPr>
      <w:rPr>
        <w:rFonts w:hint="default"/>
        <w:lang w:val="zh-CN" w:eastAsia="zh-CN" w:bidi="zh-CN"/>
      </w:rPr>
    </w:lvl>
    <w:lvl w:ilvl="7" w:tentative="0">
      <w:start w:val="0"/>
      <w:numFmt w:val="bullet"/>
      <w:lvlText w:val="•"/>
      <w:lvlJc w:val="left"/>
      <w:pPr>
        <w:ind w:left="6193" w:hanging="660"/>
      </w:pPr>
      <w:rPr>
        <w:rFonts w:hint="default"/>
        <w:lang w:val="zh-CN" w:eastAsia="zh-CN" w:bidi="zh-CN"/>
      </w:rPr>
    </w:lvl>
    <w:lvl w:ilvl="8" w:tentative="0">
      <w:start w:val="0"/>
      <w:numFmt w:val="bullet"/>
      <w:lvlText w:val="•"/>
      <w:lvlJc w:val="left"/>
      <w:pPr>
        <w:ind w:left="7617" w:hanging="660"/>
      </w:pPr>
      <w:rPr>
        <w:rFonts w:hint="default"/>
        <w:lang w:val="zh-CN" w:eastAsia="zh-CN" w:bidi="zh-CN"/>
      </w:rPr>
    </w:lvl>
  </w:abstractNum>
  <w:abstractNum w:abstractNumId="10">
    <w:nsid w:val="7CB33D2A"/>
    <w:multiLevelType w:val="multilevel"/>
    <w:tmpl w:val="7CB33D2A"/>
    <w:lvl w:ilvl="0" w:tentative="0">
      <w:start w:val="1"/>
      <w:numFmt w:val="decimal"/>
      <w:lvlText w:val="%1."/>
      <w:lvlJc w:val="left"/>
      <w:pPr>
        <w:ind w:left="936" w:hanging="360"/>
      </w:pPr>
      <w:rPr>
        <w:rFonts w:hint="default" w:ascii="宋体" w:hAnsi="宋体" w:eastAsia="宋体" w:cs="宋体"/>
        <w:b/>
        <w:bCs/>
        <w:spacing w:val="0"/>
        <w:w w:val="99"/>
        <w:sz w:val="24"/>
        <w:szCs w:val="24"/>
        <w:lang w:val="zh-CN" w:eastAsia="zh-CN" w:bidi="zh-CN"/>
      </w:rPr>
    </w:lvl>
    <w:lvl w:ilvl="1" w:tentative="0">
      <w:start w:val="0"/>
      <w:numFmt w:val="none"/>
      <w:lvlText w:val=""/>
      <w:lvlJc w:val="left"/>
      <w:pPr>
        <w:tabs>
          <w:tab w:val="left" w:pos="360"/>
        </w:tabs>
      </w:pPr>
    </w:lvl>
    <w:lvl w:ilvl="2" w:tentative="0">
      <w:start w:val="0"/>
      <w:numFmt w:val="bullet"/>
      <w:lvlText w:val="•"/>
      <w:lvlJc w:val="left"/>
      <w:pPr>
        <w:ind w:left="2318" w:hanging="720"/>
      </w:pPr>
      <w:rPr>
        <w:rFonts w:hint="default"/>
        <w:lang w:val="zh-CN" w:eastAsia="zh-CN" w:bidi="zh-CN"/>
      </w:rPr>
    </w:lvl>
    <w:lvl w:ilvl="3" w:tentative="0">
      <w:start w:val="0"/>
      <w:numFmt w:val="bullet"/>
      <w:lvlText w:val="•"/>
      <w:lvlJc w:val="left"/>
      <w:pPr>
        <w:ind w:left="3336" w:hanging="720"/>
      </w:pPr>
      <w:rPr>
        <w:rFonts w:hint="default"/>
        <w:lang w:val="zh-CN" w:eastAsia="zh-CN" w:bidi="zh-CN"/>
      </w:rPr>
    </w:lvl>
    <w:lvl w:ilvl="4" w:tentative="0">
      <w:start w:val="0"/>
      <w:numFmt w:val="bullet"/>
      <w:lvlText w:val="•"/>
      <w:lvlJc w:val="left"/>
      <w:pPr>
        <w:ind w:left="4355" w:hanging="720"/>
      </w:pPr>
      <w:rPr>
        <w:rFonts w:hint="default"/>
        <w:lang w:val="zh-CN" w:eastAsia="zh-CN" w:bidi="zh-CN"/>
      </w:rPr>
    </w:lvl>
    <w:lvl w:ilvl="5" w:tentative="0">
      <w:start w:val="0"/>
      <w:numFmt w:val="bullet"/>
      <w:lvlText w:val="•"/>
      <w:lvlJc w:val="left"/>
      <w:pPr>
        <w:ind w:left="5373" w:hanging="720"/>
      </w:pPr>
      <w:rPr>
        <w:rFonts w:hint="default"/>
        <w:lang w:val="zh-CN" w:eastAsia="zh-CN" w:bidi="zh-CN"/>
      </w:rPr>
    </w:lvl>
    <w:lvl w:ilvl="6" w:tentative="0">
      <w:start w:val="0"/>
      <w:numFmt w:val="bullet"/>
      <w:lvlText w:val="•"/>
      <w:lvlJc w:val="left"/>
      <w:pPr>
        <w:ind w:left="6392" w:hanging="720"/>
      </w:pPr>
      <w:rPr>
        <w:rFonts w:hint="default"/>
        <w:lang w:val="zh-CN" w:eastAsia="zh-CN" w:bidi="zh-CN"/>
      </w:rPr>
    </w:lvl>
    <w:lvl w:ilvl="7" w:tentative="0">
      <w:start w:val="0"/>
      <w:numFmt w:val="bullet"/>
      <w:lvlText w:val="•"/>
      <w:lvlJc w:val="left"/>
      <w:pPr>
        <w:ind w:left="7410" w:hanging="720"/>
      </w:pPr>
      <w:rPr>
        <w:rFonts w:hint="default"/>
        <w:lang w:val="zh-CN" w:eastAsia="zh-CN" w:bidi="zh-CN"/>
      </w:rPr>
    </w:lvl>
    <w:lvl w:ilvl="8" w:tentative="0">
      <w:start w:val="0"/>
      <w:numFmt w:val="bullet"/>
      <w:lvlText w:val="•"/>
      <w:lvlJc w:val="left"/>
      <w:pPr>
        <w:ind w:left="8429" w:hanging="720"/>
      </w:pPr>
      <w:rPr>
        <w:rFonts w:hint="default"/>
        <w:lang w:val="zh-CN" w:eastAsia="zh-CN" w:bidi="zh-CN"/>
      </w:rPr>
    </w:lvl>
  </w:abstractNum>
  <w:num w:numId="1">
    <w:abstractNumId w:val="3"/>
  </w:num>
  <w:num w:numId="2">
    <w:abstractNumId w:val="10"/>
  </w:num>
  <w:num w:numId="3">
    <w:abstractNumId w:val="0"/>
  </w:num>
  <w:num w:numId="4">
    <w:abstractNumId w:val="2"/>
  </w:num>
  <w:num w:numId="5">
    <w:abstractNumId w:val="6"/>
  </w:num>
  <w:num w:numId="6">
    <w:abstractNumId w:val="9"/>
  </w:num>
  <w:num w:numId="7">
    <w:abstractNumId w:val="7"/>
  </w:num>
  <w:num w:numId="8">
    <w:abstractNumId w:val="8"/>
  </w:num>
  <w:num w:numId="9">
    <w:abstractNumId w:val="5"/>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hideSpellingErrors/>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5C7947"/>
    <w:rsid w:val="00021762"/>
    <w:rsid w:val="00021F92"/>
    <w:rsid w:val="000238E0"/>
    <w:rsid w:val="000654C5"/>
    <w:rsid w:val="00067D3A"/>
    <w:rsid w:val="0008283A"/>
    <w:rsid w:val="00097C34"/>
    <w:rsid w:val="0016596B"/>
    <w:rsid w:val="00214656"/>
    <w:rsid w:val="00217F5D"/>
    <w:rsid w:val="00237ADC"/>
    <w:rsid w:val="002765FF"/>
    <w:rsid w:val="003000C3"/>
    <w:rsid w:val="003446D8"/>
    <w:rsid w:val="00374D58"/>
    <w:rsid w:val="003E47C9"/>
    <w:rsid w:val="004A44F3"/>
    <w:rsid w:val="004B4EDD"/>
    <w:rsid w:val="004D7736"/>
    <w:rsid w:val="004F4409"/>
    <w:rsid w:val="00526AD1"/>
    <w:rsid w:val="0055375F"/>
    <w:rsid w:val="0056365F"/>
    <w:rsid w:val="00583197"/>
    <w:rsid w:val="005A5F27"/>
    <w:rsid w:val="005C7947"/>
    <w:rsid w:val="005D5889"/>
    <w:rsid w:val="006218FF"/>
    <w:rsid w:val="00624100"/>
    <w:rsid w:val="00645EDF"/>
    <w:rsid w:val="006737D9"/>
    <w:rsid w:val="006937F5"/>
    <w:rsid w:val="006A1B78"/>
    <w:rsid w:val="006B04C8"/>
    <w:rsid w:val="006C2524"/>
    <w:rsid w:val="006D5479"/>
    <w:rsid w:val="007562CC"/>
    <w:rsid w:val="007B2002"/>
    <w:rsid w:val="007B4C84"/>
    <w:rsid w:val="00832B24"/>
    <w:rsid w:val="008755D5"/>
    <w:rsid w:val="008F28B5"/>
    <w:rsid w:val="00925CCE"/>
    <w:rsid w:val="00933CB5"/>
    <w:rsid w:val="00944438"/>
    <w:rsid w:val="009B1E33"/>
    <w:rsid w:val="009D37FA"/>
    <w:rsid w:val="009D770C"/>
    <w:rsid w:val="009F418F"/>
    <w:rsid w:val="00A90683"/>
    <w:rsid w:val="00AD1C48"/>
    <w:rsid w:val="00B127C6"/>
    <w:rsid w:val="00B91395"/>
    <w:rsid w:val="00BA6D4C"/>
    <w:rsid w:val="00BC5B52"/>
    <w:rsid w:val="00BD6530"/>
    <w:rsid w:val="00C171A9"/>
    <w:rsid w:val="00C30CC5"/>
    <w:rsid w:val="00C368D5"/>
    <w:rsid w:val="00C446E4"/>
    <w:rsid w:val="00C638D1"/>
    <w:rsid w:val="00C63AFF"/>
    <w:rsid w:val="00CB046C"/>
    <w:rsid w:val="00CB090E"/>
    <w:rsid w:val="00CF7BC8"/>
    <w:rsid w:val="00D747B1"/>
    <w:rsid w:val="00D86E83"/>
    <w:rsid w:val="00D90291"/>
    <w:rsid w:val="00DA381F"/>
    <w:rsid w:val="00DB2C7C"/>
    <w:rsid w:val="00DC2DED"/>
    <w:rsid w:val="00E63CD1"/>
    <w:rsid w:val="00EA2F1B"/>
    <w:rsid w:val="00EB4F63"/>
    <w:rsid w:val="00F20592"/>
    <w:rsid w:val="00F425E1"/>
    <w:rsid w:val="00F440F8"/>
    <w:rsid w:val="00F56EDB"/>
    <w:rsid w:val="00F931C3"/>
    <w:rsid w:val="00FC4710"/>
    <w:rsid w:val="3A40640E"/>
    <w:rsid w:val="687C2607"/>
    <w:rsid w:val="73107387"/>
    <w:rsid w:val="7D072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微软雅黑" w:hAnsi="微软雅黑" w:eastAsia="微软雅黑" w:cs="微软雅黑"/>
      <w:sz w:val="22"/>
      <w:szCs w:val="22"/>
      <w:lang w:val="zh-CN" w:eastAsia="zh-CN" w:bidi="zh-CN"/>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8"/>
    <w:unhideWhenUsed/>
    <w:qFormat/>
    <w:uiPriority w:val="0"/>
    <w:pPr>
      <w:keepNext/>
      <w:keepLines/>
      <w:autoSpaceDE/>
      <w:autoSpaceDN/>
      <w:snapToGrid w:val="0"/>
      <w:ind w:left="720" w:hanging="720"/>
      <w:jc w:val="both"/>
      <w:outlineLvl w:val="2"/>
    </w:pPr>
    <w:rPr>
      <w:rFonts w:ascii="Arial" w:hAnsi="Arial" w:eastAsia="Songti SC" w:cstheme="minorBidi"/>
      <w:b/>
      <w:bCs/>
      <w:kern w:val="2"/>
      <w:sz w:val="30"/>
      <w:szCs w:val="32"/>
      <w:lang w:val="en-US" w:bidi="ar-SA"/>
    </w:rPr>
  </w:style>
  <w:style w:type="paragraph" w:styleId="5">
    <w:name w:val="heading 4"/>
    <w:basedOn w:val="1"/>
    <w:next w:val="1"/>
    <w:link w:val="39"/>
    <w:unhideWhenUsed/>
    <w:qFormat/>
    <w:uiPriority w:val="0"/>
    <w:pPr>
      <w:keepNext/>
      <w:keepLines/>
      <w:autoSpaceDE/>
      <w:autoSpaceDN/>
      <w:adjustRightInd w:val="0"/>
      <w:snapToGrid w:val="0"/>
      <w:spacing w:line="360" w:lineRule="auto"/>
      <w:ind w:left="864" w:hanging="864"/>
      <w:jc w:val="both"/>
      <w:outlineLvl w:val="3"/>
    </w:pPr>
    <w:rPr>
      <w:rFonts w:ascii="Arial" w:hAnsi="Arial" w:eastAsia="Songti SC" w:cstheme="majorBidi"/>
      <w:b/>
      <w:bCs/>
      <w:kern w:val="2"/>
      <w:sz w:val="24"/>
      <w:szCs w:val="28"/>
      <w:lang w:val="en-US" w:bidi="ar-SA"/>
    </w:rPr>
  </w:style>
  <w:style w:type="paragraph" w:styleId="6">
    <w:name w:val="heading 5"/>
    <w:basedOn w:val="1"/>
    <w:next w:val="1"/>
    <w:link w:val="40"/>
    <w:unhideWhenUsed/>
    <w:qFormat/>
    <w:uiPriority w:val="0"/>
    <w:pPr>
      <w:keepNext/>
      <w:keepLines/>
      <w:autoSpaceDE/>
      <w:autoSpaceDN/>
      <w:adjustRightInd w:val="0"/>
      <w:snapToGrid w:val="0"/>
      <w:spacing w:line="360" w:lineRule="auto"/>
      <w:ind w:left="1008" w:hanging="1008"/>
      <w:jc w:val="both"/>
      <w:outlineLvl w:val="4"/>
    </w:pPr>
    <w:rPr>
      <w:rFonts w:ascii="Arial" w:hAnsi="Arial" w:eastAsia="Songti SC" w:cstheme="minorBidi"/>
      <w:b/>
      <w:bCs/>
      <w:kern w:val="2"/>
      <w:sz w:val="24"/>
      <w:szCs w:val="28"/>
      <w:lang w:val="en-US" w:bidi="ar-SA"/>
    </w:rPr>
  </w:style>
  <w:style w:type="paragraph" w:styleId="7">
    <w:name w:val="heading 6"/>
    <w:basedOn w:val="1"/>
    <w:next w:val="1"/>
    <w:link w:val="41"/>
    <w:unhideWhenUsed/>
    <w:qFormat/>
    <w:uiPriority w:val="0"/>
    <w:pPr>
      <w:keepNext/>
      <w:keepLines/>
      <w:autoSpaceDE/>
      <w:autoSpaceDN/>
      <w:spacing w:line="317" w:lineRule="auto"/>
      <w:ind w:left="1152" w:hanging="1152"/>
      <w:jc w:val="both"/>
      <w:outlineLvl w:val="5"/>
    </w:pPr>
    <w:rPr>
      <w:rFonts w:ascii="DejaVu Sans" w:hAnsi="DejaVu Sans" w:eastAsia="方正黑体_GBK" w:cstheme="minorBidi"/>
      <w:b/>
      <w:kern w:val="2"/>
      <w:sz w:val="24"/>
      <w:szCs w:val="24"/>
      <w:lang w:val="en-US" w:bidi="ar-SA"/>
    </w:rPr>
  </w:style>
  <w:style w:type="paragraph" w:styleId="8">
    <w:name w:val="heading 7"/>
    <w:basedOn w:val="1"/>
    <w:next w:val="1"/>
    <w:link w:val="42"/>
    <w:unhideWhenUsed/>
    <w:qFormat/>
    <w:uiPriority w:val="0"/>
    <w:pPr>
      <w:keepNext/>
      <w:keepLines/>
      <w:autoSpaceDE/>
      <w:autoSpaceDN/>
      <w:spacing w:line="317" w:lineRule="auto"/>
      <w:ind w:left="1296" w:hanging="1296"/>
      <w:jc w:val="both"/>
      <w:outlineLvl w:val="6"/>
    </w:pPr>
    <w:rPr>
      <w:rFonts w:asciiTheme="minorHAnsi" w:hAnsiTheme="minorHAnsi" w:eastAsiaTheme="minorEastAsia" w:cstheme="minorBidi"/>
      <w:b/>
      <w:kern w:val="2"/>
      <w:sz w:val="24"/>
      <w:szCs w:val="24"/>
      <w:lang w:val="en-US" w:bidi="ar-SA"/>
    </w:rPr>
  </w:style>
  <w:style w:type="paragraph" w:styleId="9">
    <w:name w:val="heading 8"/>
    <w:basedOn w:val="1"/>
    <w:next w:val="1"/>
    <w:link w:val="43"/>
    <w:unhideWhenUsed/>
    <w:qFormat/>
    <w:uiPriority w:val="0"/>
    <w:pPr>
      <w:keepNext/>
      <w:keepLines/>
      <w:autoSpaceDE/>
      <w:autoSpaceDN/>
      <w:spacing w:line="317" w:lineRule="auto"/>
      <w:ind w:left="1440" w:hanging="1440"/>
      <w:jc w:val="both"/>
      <w:outlineLvl w:val="7"/>
    </w:pPr>
    <w:rPr>
      <w:rFonts w:ascii="DejaVu Sans" w:hAnsi="DejaVu Sans" w:eastAsia="方正黑体_GBK" w:cstheme="minorBidi"/>
      <w:kern w:val="2"/>
      <w:sz w:val="24"/>
      <w:szCs w:val="24"/>
      <w:lang w:val="en-US" w:bidi="ar-SA"/>
    </w:rPr>
  </w:style>
  <w:style w:type="paragraph" w:styleId="10">
    <w:name w:val="heading 9"/>
    <w:basedOn w:val="1"/>
    <w:next w:val="1"/>
    <w:link w:val="44"/>
    <w:unhideWhenUsed/>
    <w:qFormat/>
    <w:uiPriority w:val="0"/>
    <w:pPr>
      <w:keepNext/>
      <w:keepLines/>
      <w:autoSpaceDE/>
      <w:autoSpaceDN/>
      <w:spacing w:line="317" w:lineRule="auto"/>
      <w:ind w:left="1584" w:hanging="1584"/>
      <w:jc w:val="both"/>
      <w:outlineLvl w:val="8"/>
    </w:pPr>
    <w:rPr>
      <w:rFonts w:ascii="DejaVu Sans" w:hAnsi="DejaVu Sans" w:eastAsia="方正黑体_GBK" w:cstheme="minorBidi"/>
      <w:kern w:val="2"/>
      <w:sz w:val="21"/>
      <w:szCs w:val="24"/>
      <w:lang w:val="en-US" w:bidi="ar-SA"/>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55"/>
    <w:qFormat/>
    <w:uiPriority w:val="0"/>
    <w:pPr>
      <w:autoSpaceDE/>
      <w:autoSpaceDN/>
    </w:pPr>
    <w:rPr>
      <w:rFonts w:asciiTheme="minorHAnsi" w:hAnsiTheme="minorHAnsi" w:eastAsiaTheme="minorEastAsia" w:cstheme="minorBidi"/>
      <w:kern w:val="2"/>
      <w:sz w:val="21"/>
      <w:szCs w:val="24"/>
      <w:lang w:val="en-US" w:bidi="ar-SA"/>
    </w:rPr>
  </w:style>
  <w:style w:type="paragraph" w:styleId="12">
    <w:name w:val="Body Text"/>
    <w:basedOn w:val="1"/>
    <w:link w:val="37"/>
    <w:qFormat/>
    <w:uiPriority w:val="1"/>
    <w:rPr>
      <w:rFonts w:ascii="宋体" w:hAnsi="宋体" w:eastAsia="宋体" w:cs="宋体"/>
      <w:sz w:val="24"/>
      <w:szCs w:val="24"/>
    </w:rPr>
  </w:style>
  <w:style w:type="paragraph" w:styleId="13">
    <w:name w:val="Body Text Indent"/>
    <w:basedOn w:val="1"/>
    <w:link w:val="53"/>
    <w:semiHidden/>
    <w:unhideWhenUsed/>
    <w:qFormat/>
    <w:uiPriority w:val="99"/>
    <w:pPr>
      <w:spacing w:after="120"/>
      <w:ind w:left="420" w:leftChars="200"/>
    </w:pPr>
  </w:style>
  <w:style w:type="paragraph" w:styleId="14">
    <w:name w:val="toc 3"/>
    <w:basedOn w:val="1"/>
    <w:next w:val="1"/>
    <w:unhideWhenUsed/>
    <w:qFormat/>
    <w:uiPriority w:val="39"/>
    <w:pPr>
      <w:ind w:left="840" w:leftChars="400"/>
    </w:pPr>
  </w:style>
  <w:style w:type="paragraph" w:styleId="15">
    <w:name w:val="Balloon Text"/>
    <w:basedOn w:val="1"/>
    <w:link w:val="31"/>
    <w:semiHidden/>
    <w:unhideWhenUsed/>
    <w:qFormat/>
    <w:uiPriority w:val="99"/>
    <w:rPr>
      <w:sz w:val="18"/>
      <w:szCs w:val="18"/>
    </w:rPr>
  </w:style>
  <w:style w:type="paragraph" w:styleId="16">
    <w:name w:val="footer"/>
    <w:basedOn w:val="1"/>
    <w:link w:val="33"/>
    <w:unhideWhenUsed/>
    <w:qFormat/>
    <w:uiPriority w:val="0"/>
    <w:pPr>
      <w:tabs>
        <w:tab w:val="center" w:pos="4153"/>
        <w:tab w:val="right" w:pos="8306"/>
      </w:tabs>
      <w:snapToGrid w:val="0"/>
    </w:pPr>
    <w:rPr>
      <w:sz w:val="18"/>
      <w:szCs w:val="18"/>
    </w:rPr>
  </w:style>
  <w:style w:type="paragraph" w:styleId="17">
    <w:name w:val="header"/>
    <w:basedOn w:val="1"/>
    <w:link w:val="32"/>
    <w:unhideWhenUsed/>
    <w:qFormat/>
    <w:uiPriority w:val="0"/>
    <w:pPr>
      <w:pBdr>
        <w:bottom w:val="single" w:color="auto" w:sz="6" w:space="1"/>
      </w:pBdr>
      <w:tabs>
        <w:tab w:val="center" w:pos="4153"/>
        <w:tab w:val="right" w:pos="8306"/>
      </w:tabs>
      <w:snapToGrid w:val="0"/>
      <w:jc w:val="center"/>
    </w:pPr>
    <w:rPr>
      <w:sz w:val="18"/>
      <w:szCs w:val="18"/>
    </w:rPr>
  </w:style>
  <w:style w:type="paragraph" w:styleId="18">
    <w:name w:val="toc 2"/>
    <w:basedOn w:val="1"/>
    <w:next w:val="1"/>
    <w:unhideWhenUsed/>
    <w:qFormat/>
    <w:uiPriority w:val="39"/>
    <w:pPr>
      <w:ind w:left="420" w:leftChars="200"/>
    </w:pPr>
  </w:style>
  <w:style w:type="paragraph" w:styleId="19">
    <w:name w:val="Body Text First Indent 2"/>
    <w:basedOn w:val="13"/>
    <w:link w:val="54"/>
    <w:semiHidden/>
    <w:unhideWhenUsed/>
    <w:qFormat/>
    <w:uiPriority w:val="99"/>
    <w:pPr>
      <w:ind w:firstLine="420" w:firstLineChars="200"/>
    </w:pPr>
  </w:style>
  <w:style w:type="table" w:styleId="21">
    <w:name w:val="Table Grid"/>
    <w:basedOn w:val="20"/>
    <w:qFormat/>
    <w:uiPriority w:val="59"/>
    <w:pPr>
      <w:widowControl/>
      <w:autoSpaceDE/>
      <w:autoSpaceDN/>
    </w:pPr>
    <w:rPr>
      <w:rFonts w:ascii="Times New Roman" w:hAnsi="Times New Roman" w:eastAsia="宋体" w:cs="Times New Roman"/>
      <w:kern w:val="2"/>
      <w:sz w:val="21"/>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Hyperlink"/>
    <w:basedOn w:val="22"/>
    <w:unhideWhenUsed/>
    <w:qFormat/>
    <w:uiPriority w:val="99"/>
    <w:rPr>
      <w:color w:val="0000FF" w:themeColor="hyperlink"/>
      <w:u w:val="single"/>
    </w:rPr>
  </w:style>
  <w:style w:type="table" w:customStyle="1" w:styleId="24">
    <w:name w:val="Table Normal"/>
    <w:semiHidden/>
    <w:unhideWhenUsed/>
    <w:qFormat/>
    <w:uiPriority w:val="2"/>
    <w:tblPr>
      <w:tblCellMar>
        <w:top w:w="0" w:type="dxa"/>
        <w:left w:w="0" w:type="dxa"/>
        <w:bottom w:w="0" w:type="dxa"/>
        <w:right w:w="0" w:type="dxa"/>
      </w:tblCellMar>
    </w:tblPr>
  </w:style>
  <w:style w:type="paragraph" w:customStyle="1" w:styleId="25">
    <w:name w:val="TOC 1"/>
    <w:basedOn w:val="1"/>
    <w:qFormat/>
    <w:uiPriority w:val="1"/>
    <w:pPr>
      <w:spacing w:before="161"/>
      <w:ind w:right="677"/>
      <w:jc w:val="right"/>
    </w:pPr>
    <w:rPr>
      <w:rFonts w:ascii="宋体" w:hAnsi="宋体" w:eastAsia="宋体" w:cs="宋体"/>
      <w:b/>
      <w:bCs/>
      <w:sz w:val="24"/>
      <w:szCs w:val="24"/>
    </w:rPr>
  </w:style>
  <w:style w:type="paragraph" w:customStyle="1" w:styleId="26">
    <w:name w:val="TOC 2"/>
    <w:basedOn w:val="1"/>
    <w:qFormat/>
    <w:uiPriority w:val="1"/>
    <w:pPr>
      <w:spacing w:before="160"/>
      <w:ind w:right="677"/>
      <w:jc w:val="right"/>
    </w:pPr>
    <w:rPr>
      <w:rFonts w:ascii="宋体" w:hAnsi="宋体" w:eastAsia="宋体" w:cs="宋体"/>
      <w:sz w:val="24"/>
      <w:szCs w:val="24"/>
    </w:rPr>
  </w:style>
  <w:style w:type="paragraph" w:customStyle="1" w:styleId="27">
    <w:name w:val="Heading 1"/>
    <w:basedOn w:val="1"/>
    <w:qFormat/>
    <w:uiPriority w:val="1"/>
    <w:pPr>
      <w:spacing w:before="180"/>
      <w:ind w:left="116" w:right="76"/>
      <w:jc w:val="center"/>
      <w:outlineLvl w:val="1"/>
    </w:pPr>
    <w:rPr>
      <w:rFonts w:ascii="宋体" w:hAnsi="宋体" w:eastAsia="宋体" w:cs="宋体"/>
      <w:b/>
      <w:bCs/>
      <w:sz w:val="36"/>
      <w:szCs w:val="36"/>
    </w:rPr>
  </w:style>
  <w:style w:type="paragraph" w:customStyle="1" w:styleId="28">
    <w:name w:val="Heading 2"/>
    <w:basedOn w:val="1"/>
    <w:qFormat/>
    <w:uiPriority w:val="1"/>
    <w:pPr>
      <w:ind w:left="1056"/>
      <w:outlineLvl w:val="2"/>
    </w:pPr>
    <w:rPr>
      <w:rFonts w:ascii="宋体" w:hAnsi="宋体" w:eastAsia="宋体" w:cs="宋体"/>
      <w:b/>
      <w:bCs/>
      <w:sz w:val="24"/>
      <w:szCs w:val="24"/>
    </w:rPr>
  </w:style>
  <w:style w:type="paragraph" w:styleId="29">
    <w:name w:val="List Paragraph"/>
    <w:basedOn w:val="1"/>
    <w:qFormat/>
    <w:uiPriority w:val="1"/>
    <w:pPr>
      <w:ind w:left="1476" w:hanging="900"/>
    </w:pPr>
    <w:rPr>
      <w:rFonts w:ascii="宋体" w:hAnsi="宋体" w:eastAsia="宋体" w:cs="宋体"/>
    </w:rPr>
  </w:style>
  <w:style w:type="paragraph" w:customStyle="1" w:styleId="30">
    <w:name w:val="Table Paragraph"/>
    <w:basedOn w:val="1"/>
    <w:qFormat/>
    <w:uiPriority w:val="1"/>
  </w:style>
  <w:style w:type="character" w:customStyle="1" w:styleId="31">
    <w:name w:val="批注框文本 Char"/>
    <w:basedOn w:val="22"/>
    <w:link w:val="15"/>
    <w:semiHidden/>
    <w:qFormat/>
    <w:uiPriority w:val="99"/>
    <w:rPr>
      <w:rFonts w:ascii="微软雅黑" w:hAnsi="微软雅黑" w:eastAsia="微软雅黑" w:cs="微软雅黑"/>
      <w:sz w:val="18"/>
      <w:szCs w:val="18"/>
      <w:lang w:val="zh-CN" w:eastAsia="zh-CN" w:bidi="zh-CN"/>
    </w:rPr>
  </w:style>
  <w:style w:type="character" w:customStyle="1" w:styleId="32">
    <w:name w:val="页眉 Char"/>
    <w:basedOn w:val="22"/>
    <w:link w:val="17"/>
    <w:qFormat/>
    <w:uiPriority w:val="0"/>
    <w:rPr>
      <w:rFonts w:ascii="微软雅黑" w:hAnsi="微软雅黑" w:eastAsia="微软雅黑" w:cs="微软雅黑"/>
      <w:sz w:val="18"/>
      <w:szCs w:val="18"/>
      <w:lang w:val="zh-CN" w:eastAsia="zh-CN" w:bidi="zh-CN"/>
    </w:rPr>
  </w:style>
  <w:style w:type="character" w:customStyle="1" w:styleId="33">
    <w:name w:val="页脚 Char"/>
    <w:basedOn w:val="22"/>
    <w:link w:val="16"/>
    <w:qFormat/>
    <w:uiPriority w:val="0"/>
    <w:rPr>
      <w:rFonts w:ascii="微软雅黑" w:hAnsi="微软雅黑" w:eastAsia="微软雅黑" w:cs="微软雅黑"/>
      <w:sz w:val="18"/>
      <w:szCs w:val="18"/>
      <w:lang w:val="zh-CN" w:eastAsia="zh-CN" w:bidi="zh-CN"/>
    </w:rPr>
  </w:style>
  <w:style w:type="character" w:customStyle="1" w:styleId="34">
    <w:name w:val="标题 1 Char"/>
    <w:basedOn w:val="22"/>
    <w:link w:val="2"/>
    <w:qFormat/>
    <w:uiPriority w:val="9"/>
    <w:rPr>
      <w:rFonts w:ascii="微软雅黑" w:hAnsi="微软雅黑" w:eastAsia="微软雅黑" w:cs="微软雅黑"/>
      <w:b/>
      <w:bCs/>
      <w:kern w:val="44"/>
      <w:sz w:val="44"/>
      <w:szCs w:val="44"/>
      <w:lang w:val="zh-CN" w:eastAsia="zh-CN" w:bidi="zh-CN"/>
    </w:rPr>
  </w:style>
  <w:style w:type="paragraph" w:customStyle="1" w:styleId="35">
    <w:name w:val="TOC Heading"/>
    <w:basedOn w:val="2"/>
    <w:next w:val="1"/>
    <w:semiHidden/>
    <w:unhideWhenUsed/>
    <w:qFormat/>
    <w:uiPriority w:val="39"/>
    <w:pPr>
      <w:widowControl/>
      <w:autoSpaceDE/>
      <w:autoSpaceDN/>
      <w:spacing w:before="480" w:after="0" w:line="276" w:lineRule="auto"/>
      <w:outlineLvl w:val="9"/>
    </w:pPr>
    <w:rPr>
      <w:rFonts w:asciiTheme="majorHAnsi" w:hAnsiTheme="majorHAnsi" w:eastAsiaTheme="majorEastAsia" w:cstheme="majorBidi"/>
      <w:color w:val="366091" w:themeColor="accent1" w:themeShade="BF"/>
      <w:kern w:val="0"/>
      <w:sz w:val="28"/>
      <w:szCs w:val="28"/>
      <w:lang w:val="en-US" w:bidi="ar-SA"/>
    </w:rPr>
  </w:style>
  <w:style w:type="character" w:customStyle="1" w:styleId="36">
    <w:name w:val="标题 2 Char"/>
    <w:basedOn w:val="22"/>
    <w:link w:val="3"/>
    <w:qFormat/>
    <w:uiPriority w:val="9"/>
    <w:rPr>
      <w:rFonts w:asciiTheme="majorHAnsi" w:hAnsiTheme="majorHAnsi" w:eastAsiaTheme="majorEastAsia" w:cstheme="majorBidi"/>
      <w:b/>
      <w:bCs/>
      <w:sz w:val="32"/>
      <w:szCs w:val="32"/>
      <w:lang w:val="zh-CN" w:eastAsia="zh-CN" w:bidi="zh-CN"/>
    </w:rPr>
  </w:style>
  <w:style w:type="character" w:customStyle="1" w:styleId="37">
    <w:name w:val="正文文本 Char"/>
    <w:basedOn w:val="22"/>
    <w:link w:val="12"/>
    <w:qFormat/>
    <w:uiPriority w:val="1"/>
    <w:rPr>
      <w:rFonts w:ascii="宋体" w:hAnsi="宋体" w:eastAsia="宋体" w:cs="宋体"/>
      <w:sz w:val="24"/>
      <w:szCs w:val="24"/>
      <w:lang w:val="zh-CN" w:eastAsia="zh-CN" w:bidi="zh-CN"/>
    </w:rPr>
  </w:style>
  <w:style w:type="character" w:customStyle="1" w:styleId="38">
    <w:name w:val="标题 3 Char"/>
    <w:basedOn w:val="22"/>
    <w:link w:val="4"/>
    <w:qFormat/>
    <w:uiPriority w:val="0"/>
    <w:rPr>
      <w:rFonts w:ascii="Arial" w:hAnsi="Arial" w:eastAsia="Songti SC"/>
      <w:b/>
      <w:bCs/>
      <w:kern w:val="2"/>
      <w:sz w:val="30"/>
      <w:szCs w:val="32"/>
      <w:lang w:eastAsia="zh-CN"/>
    </w:rPr>
  </w:style>
  <w:style w:type="character" w:customStyle="1" w:styleId="39">
    <w:name w:val="标题 4 Char"/>
    <w:basedOn w:val="22"/>
    <w:link w:val="5"/>
    <w:qFormat/>
    <w:uiPriority w:val="9"/>
    <w:rPr>
      <w:rFonts w:ascii="Arial" w:hAnsi="Arial" w:eastAsia="Songti SC" w:cstheme="majorBidi"/>
      <w:b/>
      <w:bCs/>
      <w:kern w:val="2"/>
      <w:sz w:val="24"/>
      <w:szCs w:val="28"/>
      <w:lang w:eastAsia="zh-CN"/>
    </w:rPr>
  </w:style>
  <w:style w:type="character" w:customStyle="1" w:styleId="40">
    <w:name w:val="标题 5 Char"/>
    <w:basedOn w:val="22"/>
    <w:link w:val="6"/>
    <w:qFormat/>
    <w:uiPriority w:val="9"/>
    <w:rPr>
      <w:rFonts w:ascii="Arial" w:hAnsi="Arial" w:eastAsia="Songti SC"/>
      <w:b/>
      <w:bCs/>
      <w:kern w:val="2"/>
      <w:sz w:val="24"/>
      <w:szCs w:val="28"/>
      <w:lang w:eastAsia="zh-CN"/>
    </w:rPr>
  </w:style>
  <w:style w:type="character" w:customStyle="1" w:styleId="41">
    <w:name w:val="标题 6 Char"/>
    <w:basedOn w:val="22"/>
    <w:link w:val="7"/>
    <w:qFormat/>
    <w:uiPriority w:val="0"/>
    <w:rPr>
      <w:rFonts w:ascii="DejaVu Sans" w:hAnsi="DejaVu Sans" w:eastAsia="方正黑体_GBK"/>
      <w:b/>
      <w:kern w:val="2"/>
      <w:sz w:val="24"/>
      <w:szCs w:val="24"/>
      <w:lang w:eastAsia="zh-CN"/>
    </w:rPr>
  </w:style>
  <w:style w:type="character" w:customStyle="1" w:styleId="42">
    <w:name w:val="标题 7 Char"/>
    <w:basedOn w:val="22"/>
    <w:link w:val="8"/>
    <w:qFormat/>
    <w:uiPriority w:val="0"/>
    <w:rPr>
      <w:b/>
      <w:kern w:val="2"/>
      <w:sz w:val="24"/>
      <w:szCs w:val="24"/>
      <w:lang w:eastAsia="zh-CN"/>
    </w:rPr>
  </w:style>
  <w:style w:type="character" w:customStyle="1" w:styleId="43">
    <w:name w:val="标题 8 Char"/>
    <w:basedOn w:val="22"/>
    <w:link w:val="9"/>
    <w:qFormat/>
    <w:uiPriority w:val="0"/>
    <w:rPr>
      <w:rFonts w:ascii="DejaVu Sans" w:hAnsi="DejaVu Sans" w:eastAsia="方正黑体_GBK"/>
      <w:kern w:val="2"/>
      <w:sz w:val="24"/>
      <w:szCs w:val="24"/>
      <w:lang w:eastAsia="zh-CN"/>
    </w:rPr>
  </w:style>
  <w:style w:type="character" w:customStyle="1" w:styleId="44">
    <w:name w:val="标题 9 Char"/>
    <w:basedOn w:val="22"/>
    <w:link w:val="10"/>
    <w:qFormat/>
    <w:uiPriority w:val="0"/>
    <w:rPr>
      <w:rFonts w:ascii="DejaVu Sans" w:hAnsi="DejaVu Sans" w:eastAsia="方正黑体_GBK"/>
      <w:kern w:val="2"/>
      <w:sz w:val="21"/>
      <w:szCs w:val="24"/>
      <w:lang w:eastAsia="zh-CN"/>
    </w:rPr>
  </w:style>
  <w:style w:type="character" w:customStyle="1" w:styleId="45">
    <w:name w:val="font31"/>
    <w:basedOn w:val="22"/>
    <w:qFormat/>
    <w:uiPriority w:val="0"/>
    <w:rPr>
      <w:rFonts w:hint="eastAsia" w:ascii="宋体" w:hAnsi="宋体" w:eastAsia="宋体" w:cs="宋体"/>
      <w:color w:val="000000"/>
      <w:sz w:val="18"/>
      <w:szCs w:val="18"/>
      <w:u w:val="none"/>
    </w:rPr>
  </w:style>
  <w:style w:type="character" w:customStyle="1" w:styleId="46">
    <w:name w:val="font41"/>
    <w:basedOn w:val="22"/>
    <w:qFormat/>
    <w:uiPriority w:val="0"/>
    <w:rPr>
      <w:rFonts w:hint="eastAsia" w:ascii="宋体" w:hAnsi="宋体" w:eastAsia="宋体" w:cs="宋体"/>
      <w:color w:val="000000"/>
      <w:sz w:val="18"/>
      <w:szCs w:val="18"/>
      <w:u w:val="none"/>
    </w:rPr>
  </w:style>
  <w:style w:type="character" w:customStyle="1" w:styleId="47">
    <w:name w:val="font11"/>
    <w:basedOn w:val="22"/>
    <w:qFormat/>
    <w:uiPriority w:val="0"/>
    <w:rPr>
      <w:rFonts w:hint="eastAsia" w:ascii="宋体" w:hAnsi="宋体" w:eastAsia="宋体" w:cs="宋体"/>
      <w:color w:val="33CCCC"/>
      <w:sz w:val="18"/>
      <w:szCs w:val="18"/>
      <w:u w:val="none"/>
    </w:rPr>
  </w:style>
  <w:style w:type="character" w:customStyle="1" w:styleId="48">
    <w:name w:val="font01"/>
    <w:basedOn w:val="22"/>
    <w:qFormat/>
    <w:uiPriority w:val="0"/>
    <w:rPr>
      <w:rFonts w:hint="eastAsia" w:ascii="宋体" w:hAnsi="宋体" w:eastAsia="宋体" w:cs="宋体"/>
      <w:color w:val="000000"/>
      <w:sz w:val="16"/>
      <w:szCs w:val="16"/>
      <w:u w:val="none"/>
    </w:rPr>
  </w:style>
  <w:style w:type="character" w:customStyle="1" w:styleId="49">
    <w:name w:val="font101"/>
    <w:basedOn w:val="22"/>
    <w:qFormat/>
    <w:uiPriority w:val="0"/>
    <w:rPr>
      <w:rFonts w:hint="eastAsia" w:ascii="宋体" w:hAnsi="宋体" w:eastAsia="宋体" w:cs="宋体"/>
      <w:color w:val="000000"/>
      <w:sz w:val="20"/>
      <w:szCs w:val="20"/>
      <w:u w:val="none"/>
    </w:rPr>
  </w:style>
  <w:style w:type="character" w:customStyle="1" w:styleId="50">
    <w:name w:val="font61"/>
    <w:basedOn w:val="22"/>
    <w:qFormat/>
    <w:uiPriority w:val="0"/>
    <w:rPr>
      <w:rFonts w:ascii="Calibri" w:hAnsi="Calibri" w:cs="Calibri"/>
      <w:color w:val="000000"/>
      <w:sz w:val="20"/>
      <w:szCs w:val="20"/>
      <w:u w:val="none"/>
    </w:rPr>
  </w:style>
  <w:style w:type="character" w:customStyle="1" w:styleId="51">
    <w:name w:val="font111"/>
    <w:basedOn w:val="22"/>
    <w:qFormat/>
    <w:uiPriority w:val="0"/>
    <w:rPr>
      <w:rFonts w:hint="eastAsia" w:ascii="宋体" w:hAnsi="宋体" w:eastAsia="宋体" w:cs="宋体"/>
      <w:color w:val="000000"/>
      <w:sz w:val="20"/>
      <w:szCs w:val="20"/>
      <w:u w:val="none"/>
    </w:rPr>
  </w:style>
  <w:style w:type="character" w:customStyle="1" w:styleId="52">
    <w:name w:val="font21"/>
    <w:basedOn w:val="22"/>
    <w:qFormat/>
    <w:uiPriority w:val="0"/>
    <w:rPr>
      <w:rFonts w:ascii="方正书宋_GBK" w:hAnsi="方正书宋_GBK" w:eastAsia="方正书宋_GBK" w:cs="方正书宋_GBK"/>
      <w:color w:val="000000"/>
      <w:sz w:val="20"/>
      <w:szCs w:val="20"/>
      <w:u w:val="none"/>
    </w:rPr>
  </w:style>
  <w:style w:type="character" w:customStyle="1" w:styleId="53">
    <w:name w:val="正文文本缩进 Char"/>
    <w:basedOn w:val="22"/>
    <w:link w:val="13"/>
    <w:semiHidden/>
    <w:qFormat/>
    <w:uiPriority w:val="99"/>
    <w:rPr>
      <w:rFonts w:ascii="微软雅黑" w:hAnsi="微软雅黑" w:eastAsia="微软雅黑" w:cs="微软雅黑"/>
      <w:lang w:val="zh-CN" w:eastAsia="zh-CN" w:bidi="zh-CN"/>
    </w:rPr>
  </w:style>
  <w:style w:type="character" w:customStyle="1" w:styleId="54">
    <w:name w:val="正文首行缩进 2 Char"/>
    <w:basedOn w:val="53"/>
    <w:link w:val="19"/>
    <w:semiHidden/>
    <w:qFormat/>
    <w:uiPriority w:val="99"/>
  </w:style>
  <w:style w:type="character" w:customStyle="1" w:styleId="55">
    <w:name w:val="批注文字 Char"/>
    <w:basedOn w:val="22"/>
    <w:link w:val="11"/>
    <w:qFormat/>
    <w:uiPriority w:val="0"/>
    <w:rPr>
      <w:kern w:val="2"/>
      <w:sz w:val="21"/>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139"/>
    <customShpInfo spid="_x0000_s2138"/>
    <customShpInfo spid="_x0000_s2137"/>
    <customShpInfo spid="_x0000_s2127"/>
    <customShpInfo spid="_x0000_s2130"/>
    <customShpInfo spid="_x0000_s2129"/>
    <customShpInfo spid="_x0000_s2128"/>
    <customShpInfo spid="_x0000_s2104"/>
    <customShpInfo spid="_x0000_s2103"/>
    <customShpInfo spid="_x0000_s2108"/>
    <customShpInfo spid="_x0000_s2107"/>
    <customShpInfo spid="_x0000_s2106"/>
    <customShpInfo spid="_x0000_s2105"/>
    <customShpInfo spid="_x0000_s2162"/>
    <customShpInfo spid="_x0000_s2080"/>
    <customShpInfo spid="_x0000_s2079"/>
    <customShpInfo spid="_x0000_s2078"/>
    <customShpInfo spid="_x0000_s2077"/>
    <customShpInfo spid="_x0000_s2075"/>
    <customShpInfo spid="_x0000_s2074"/>
    <customShpInfo spid="_x0000_s2073"/>
    <customShpInfo spid="_x0000_s2072"/>
    <customShpInfo spid="_x0000_s2071"/>
    <customShpInfo spid="_x0000_s2065"/>
    <customShpInfo spid="_x0000_s2070"/>
    <customShpInfo spid="_x0000_s2069"/>
    <customShpInfo spid="_x0000_s2068"/>
    <customShpInfo spid="_x0000_s2067"/>
    <customShpInfo spid="_x0000_s2066"/>
    <customShpInfo spid="_x0000_s2064"/>
    <customShpInfo spid="_x0000_s2063"/>
    <customShpInfo spid="_x0000_s2062"/>
    <customShpInfo spid="_x0000_s2061"/>
    <customShpInfo spid="_x0000_s2055"/>
    <customShpInfo spid="_x0000_s2060"/>
    <customShpInfo spid="_x0000_s2059"/>
    <customShpInfo spid="_x0000_s2058"/>
    <customShpInfo spid="_x0000_s2057"/>
    <customShpInfo spid="_x0000_s2056"/>
    <customShpInfo spid="_x0000_s2049"/>
    <customShpInfo spid="_x0000_s2050"/>
    <customShpInfo spid="_x0000_s2054"/>
    <customShpInfo spid="_x0000_s2053"/>
    <customShpInfo spid="_x0000_s2052"/>
    <customShpInfo spid="_x0000_s2051"/>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062BB2-50C4-4CDA-ABA5-B909522819C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113</Pages>
  <Words>16835</Words>
  <Characters>95966</Characters>
  <Lines>799</Lines>
  <Paragraphs>225</Paragraphs>
  <TotalTime>24</TotalTime>
  <ScaleCrop>false</ScaleCrop>
  <LinksUpToDate>false</LinksUpToDate>
  <CharactersWithSpaces>112576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2020-12-01T11:27:00Z</dcterms:created>
  <dc:creator>微软用户</dc:creator>
  <cp:lastModifiedBy>谱诚咨询</cp:lastModifiedBy>
  <cp:lastPrinted>2020-11-26T01:10:00Z</cp:lastPrinted>
  <dcterms:modified xsi:type="dcterms:W3CDTF">2020-12-03T09:13:56Z</dcterms:modified>
  <dc:title>附件二：</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2019-11-20T00:00:00Z</vt:filetime>
  </property>
  <property fmtid="{D5CDD505-2E9C-101B-9397-08002B2CF9AE}" pid="3" name="Creator">
    <vt:lpwstr>WPS 文字</vt:lpwstr>
  </property>
  <property fmtid="{D5CDD505-2E9C-101B-9397-08002B2CF9AE}" pid="4" name="LastSaved">
    <vt:filetime>2020-11-25T00:00:00Z</vt:filetime>
  </property>
  <property fmtid="{D5CDD505-2E9C-101B-9397-08002B2CF9AE}" pid="5" name="KSOProductBuildVer">
    <vt:lpwstr>2052-11.1.0.10132</vt:lpwstr>
  </property>
</Properties>
</file>