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spacing w:line="360" w:lineRule="auto"/>
        <w:jc w:val="center"/>
        <w:rPr>
          <w:rFonts w:ascii="宋体"/>
          <w:b/>
          <w:color w:val="auto"/>
          <w:sz w:val="72"/>
          <w:szCs w:val="72"/>
        </w:rPr>
      </w:pPr>
      <w:bookmarkStart w:id="0" w:name="_Toc12355"/>
    </w:p>
    <w:bookmarkEnd w:id="0"/>
    <w:p>
      <w:pPr>
        <w:pStyle w:val="385"/>
        <w:spacing w:line="360" w:lineRule="auto"/>
        <w:jc w:val="center"/>
        <w:rPr>
          <w:rFonts w:ascii="宋体"/>
          <w:b/>
          <w:color w:val="auto"/>
          <w:sz w:val="52"/>
          <w:szCs w:val="52"/>
        </w:rPr>
      </w:pPr>
      <w:r>
        <w:rPr>
          <w:rFonts w:hint="eastAsia" w:ascii="宋体" w:hAnsi="宋体"/>
          <w:b/>
          <w:color w:val="auto"/>
          <w:sz w:val="52"/>
          <w:szCs w:val="52"/>
          <w:lang w:eastAsia="zh-CN"/>
        </w:rPr>
        <w:t>哈密市智慧政务（“互联网+”及信息技术综合应用工程）</w:t>
      </w:r>
      <w:r>
        <w:rPr>
          <w:rFonts w:hint="eastAsia" w:ascii="宋体" w:hAnsi="宋体"/>
          <w:b/>
          <w:color w:val="auto"/>
          <w:sz w:val="52"/>
          <w:szCs w:val="52"/>
          <w:lang w:val="en-US" w:eastAsia="zh-CN"/>
        </w:rPr>
        <w:t>一期电子政务外网机房扩容</w:t>
      </w:r>
      <w:r>
        <w:rPr>
          <w:rFonts w:hint="eastAsia" w:ascii="宋体" w:hAnsi="宋体"/>
          <w:b/>
          <w:color w:val="auto"/>
          <w:sz w:val="52"/>
          <w:szCs w:val="52"/>
        </w:rPr>
        <w:t>采购项目</w:t>
      </w:r>
    </w:p>
    <w:p>
      <w:pPr>
        <w:pStyle w:val="385"/>
        <w:spacing w:line="360" w:lineRule="auto"/>
        <w:ind w:firstLine="1566" w:firstLineChars="300"/>
        <w:rPr>
          <w:rFonts w:ascii="宋体"/>
          <w:b/>
          <w:color w:val="auto"/>
          <w:sz w:val="52"/>
          <w:szCs w:val="52"/>
        </w:rPr>
      </w:pPr>
    </w:p>
    <w:p>
      <w:pPr>
        <w:pStyle w:val="385"/>
        <w:spacing w:line="360" w:lineRule="auto"/>
        <w:jc w:val="center"/>
        <w:rPr>
          <w:rFonts w:ascii="宋体"/>
          <w:b/>
          <w:color w:val="auto"/>
          <w:sz w:val="52"/>
          <w:szCs w:val="52"/>
        </w:rPr>
      </w:pPr>
      <w:bookmarkStart w:id="1" w:name="_Toc12779"/>
      <w:r>
        <w:rPr>
          <w:rFonts w:hint="eastAsia" w:ascii="宋体" w:hAnsi="宋体"/>
          <w:b/>
          <w:color w:val="auto"/>
          <w:sz w:val="52"/>
          <w:szCs w:val="52"/>
        </w:rPr>
        <w:t>公开招标文件</w:t>
      </w:r>
      <w:bookmarkEnd w:id="1"/>
    </w:p>
    <w:p>
      <w:pPr>
        <w:pStyle w:val="385"/>
        <w:spacing w:line="360" w:lineRule="auto"/>
        <w:rPr>
          <w:rFonts w:ascii="宋体"/>
          <w:b/>
          <w:color w:val="auto"/>
          <w:sz w:val="32"/>
          <w:szCs w:val="32"/>
        </w:rPr>
      </w:pPr>
    </w:p>
    <w:p>
      <w:pPr>
        <w:pStyle w:val="385"/>
        <w:spacing w:line="800" w:lineRule="exact"/>
        <w:ind w:firstLine="630" w:firstLineChars="196"/>
        <w:jc w:val="both"/>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项目名称：</w:t>
      </w:r>
      <w:r>
        <w:rPr>
          <w:rFonts w:ascii="宋体"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 w:val="32"/>
          <w:szCs w:val="32"/>
          <w:highlight w:val="none"/>
          <w:lang w:eastAsia="zh-CN"/>
          <w14:textFill>
            <w14:solidFill>
              <w14:schemeClr w14:val="tx1"/>
            </w14:solidFill>
          </w14:textFill>
        </w:rPr>
        <w:t>哈密</w:t>
      </w:r>
      <w:r>
        <w:rPr>
          <w:rFonts w:hint="eastAsia" w:ascii="宋体" w:hAnsi="宋体"/>
          <w:b/>
          <w:color w:val="000000" w:themeColor="text1"/>
          <w:sz w:val="32"/>
          <w:szCs w:val="32"/>
          <w:highlight w:val="none"/>
          <w:lang w:val="en-US" w:eastAsia="zh-CN"/>
          <w14:textFill>
            <w14:solidFill>
              <w14:schemeClr w14:val="tx1"/>
            </w14:solidFill>
          </w14:textFill>
        </w:rPr>
        <w:t>市</w:t>
      </w:r>
      <w:r>
        <w:rPr>
          <w:rFonts w:hint="eastAsia" w:ascii="宋体" w:hAnsi="宋体"/>
          <w:b/>
          <w:color w:val="000000" w:themeColor="text1"/>
          <w:sz w:val="32"/>
          <w:szCs w:val="32"/>
          <w:highlight w:val="none"/>
          <w:lang w:eastAsia="zh-CN"/>
          <w14:textFill>
            <w14:solidFill>
              <w14:schemeClr w14:val="tx1"/>
            </w14:solidFill>
          </w14:textFill>
        </w:rPr>
        <w:t>智慧政务</w:t>
      </w:r>
      <w:r>
        <w:rPr>
          <w:rFonts w:hint="eastAsia" w:ascii="宋体" w:hAnsi="宋体"/>
          <w:b/>
          <w:color w:val="000000" w:themeColor="text1"/>
          <w:sz w:val="32"/>
          <w:szCs w:val="32"/>
          <w:highlight w:val="none"/>
          <w14:textFill>
            <w14:solidFill>
              <w14:schemeClr w14:val="tx1"/>
            </w14:solidFill>
          </w14:textFill>
        </w:rPr>
        <w:t>（</w:t>
      </w:r>
      <w:r>
        <w:rPr>
          <w:rFonts w:hint="eastAsia" w:ascii="宋体" w:hAnsi="宋体"/>
          <w:b/>
          <w:color w:val="000000" w:themeColor="text1"/>
          <w:sz w:val="32"/>
          <w:szCs w:val="32"/>
          <w:highlight w:val="none"/>
          <w:lang w:eastAsia="zh-CN"/>
          <w14:textFill>
            <w14:solidFill>
              <w14:schemeClr w14:val="tx1"/>
            </w14:solidFill>
          </w14:textFill>
        </w:rPr>
        <w:t>“互联网+”</w:t>
      </w:r>
      <w:r>
        <w:rPr>
          <w:rFonts w:hint="eastAsia" w:ascii="宋体" w:hAnsi="宋体"/>
          <w:b/>
          <w:color w:val="000000" w:themeColor="text1"/>
          <w:sz w:val="32"/>
          <w:szCs w:val="32"/>
          <w:highlight w:val="none"/>
          <w:lang w:val="en-US" w:eastAsia="zh-CN"/>
          <w14:textFill>
            <w14:solidFill>
              <w14:schemeClr w14:val="tx1"/>
            </w14:solidFill>
          </w14:textFill>
        </w:rPr>
        <w:t>及</w:t>
      </w:r>
      <w:r>
        <w:rPr>
          <w:rFonts w:hint="eastAsia" w:ascii="宋体" w:hAnsi="宋体"/>
          <w:b/>
          <w:color w:val="000000" w:themeColor="text1"/>
          <w:sz w:val="32"/>
          <w:szCs w:val="32"/>
          <w:highlight w:val="none"/>
          <w14:textFill>
            <w14:solidFill>
              <w14:schemeClr w14:val="tx1"/>
            </w14:solidFill>
          </w14:textFill>
        </w:rPr>
        <w:t>信息技术综合应用工程）</w:t>
      </w:r>
      <w:r>
        <w:rPr>
          <w:rFonts w:hint="eastAsia" w:ascii="宋体" w:hAnsi="宋体"/>
          <w:b/>
          <w:color w:val="000000" w:themeColor="text1"/>
          <w:sz w:val="32"/>
          <w:szCs w:val="32"/>
          <w:highlight w:val="none"/>
          <w:lang w:val="en-US" w:eastAsia="zh-CN"/>
          <w14:textFill>
            <w14:solidFill>
              <w14:schemeClr w14:val="tx1"/>
            </w14:solidFill>
          </w14:textFill>
        </w:rPr>
        <w:t>一期电子政务外网机房扩容</w:t>
      </w:r>
      <w:r>
        <w:rPr>
          <w:rFonts w:hint="eastAsia" w:ascii="宋体" w:hAnsi="宋体"/>
          <w:b/>
          <w:color w:val="000000" w:themeColor="text1"/>
          <w:sz w:val="32"/>
          <w:szCs w:val="32"/>
          <w:highlight w:val="none"/>
          <w14:textFill>
            <w14:solidFill>
              <w14:schemeClr w14:val="tx1"/>
            </w14:solidFill>
          </w14:textFill>
        </w:rPr>
        <w:t>采购项目</w:t>
      </w:r>
    </w:p>
    <w:p>
      <w:pPr>
        <w:pStyle w:val="385"/>
        <w:spacing w:line="800" w:lineRule="exact"/>
        <w:ind w:firstLine="630" w:firstLineChars="196"/>
        <w:rPr>
          <w:rFonts w:hint="eastAsia" w:ascii="宋体" w:hAnsi="宋体"/>
          <w:b/>
          <w:color w:val="000000" w:themeColor="text1"/>
          <w:sz w:val="32"/>
          <w:szCs w:val="32"/>
          <w:highlight w:val="none"/>
          <w:lang w:val="en-US"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文件编号：</w:t>
      </w:r>
      <w:r>
        <w:rPr>
          <w:rFonts w:hint="eastAsia" w:ascii="宋体" w:hAnsi="宋体"/>
          <w:b/>
          <w:color w:val="000000" w:themeColor="text1"/>
          <w:sz w:val="32"/>
          <w:szCs w:val="32"/>
          <w:highlight w:val="none"/>
          <w:lang w:val="en-US" w:eastAsia="zh-CN"/>
          <w14:textFill>
            <w14:solidFill>
              <w14:schemeClr w14:val="tx1"/>
            </w14:solidFill>
          </w14:textFill>
        </w:rPr>
        <w:t>XHYJ-HMCG-2020-006</w:t>
      </w:r>
    </w:p>
    <w:p>
      <w:pPr>
        <w:pStyle w:val="385"/>
        <w:spacing w:line="800" w:lineRule="exact"/>
        <w:ind w:firstLine="630" w:firstLineChars="196"/>
        <w:rPr>
          <w:rFonts w:ascii="宋体" w:cs="仿宋_GB2312"/>
          <w:b/>
          <w:color w:val="000000" w:themeColor="text1"/>
          <w:sz w:val="32"/>
          <w:szCs w:val="32"/>
          <w:highlight w:val="none"/>
          <w:lang w:val="zh-CN"/>
          <w14:textFill>
            <w14:solidFill>
              <w14:schemeClr w14:val="tx1"/>
            </w14:solidFill>
          </w14:textFill>
        </w:rPr>
      </w:pPr>
      <w:r>
        <w:rPr>
          <w:rFonts w:hint="eastAsia" w:ascii="宋体" w:hAnsi="宋体"/>
          <w:b/>
          <w:color w:val="000000" w:themeColor="text1"/>
          <w:sz w:val="32"/>
          <w:szCs w:val="32"/>
          <w:highlight w:val="none"/>
          <w:lang w:eastAsia="zh-CN"/>
          <w14:textFill>
            <w14:solidFill>
              <w14:schemeClr w14:val="tx1"/>
            </w14:solidFill>
          </w14:textFill>
        </w:rPr>
        <w:t>采购</w:t>
      </w:r>
      <w:r>
        <w:rPr>
          <w:rFonts w:hint="eastAsia" w:ascii="宋体" w:hAnsi="宋体"/>
          <w:b/>
          <w:color w:val="000000" w:themeColor="text1"/>
          <w:sz w:val="32"/>
          <w:szCs w:val="32"/>
          <w:highlight w:val="none"/>
          <w14:textFill>
            <w14:solidFill>
              <w14:schemeClr w14:val="tx1"/>
            </w14:solidFill>
          </w14:textFill>
        </w:rPr>
        <w:t>单位：中共哈密市委员会网络安全和信息化委员会办公室</w:t>
      </w:r>
    </w:p>
    <w:p>
      <w:pPr>
        <w:pStyle w:val="385"/>
        <w:spacing w:line="800" w:lineRule="exact"/>
        <w:ind w:firstLine="630" w:firstLineChars="196"/>
        <w:rPr>
          <w:rFonts w:hint="default" w:ascii="宋体" w:hAnsi="宋体" w:eastAsia="宋体"/>
          <w:b/>
          <w:color w:val="000000" w:themeColor="text1"/>
          <w:sz w:val="32"/>
          <w:szCs w:val="32"/>
          <w:highlight w:val="none"/>
          <w:lang w:val="en-US"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招标代理机构：</w:t>
      </w:r>
      <w:r>
        <w:rPr>
          <w:rFonts w:hint="eastAsia" w:ascii="宋体" w:hAnsi="宋体"/>
          <w:b/>
          <w:color w:val="000000" w:themeColor="text1"/>
          <w:sz w:val="32"/>
          <w:szCs w:val="32"/>
          <w:highlight w:val="none"/>
          <w:lang w:val="en-US" w:eastAsia="zh-CN"/>
          <w14:textFill>
            <w14:solidFill>
              <w14:schemeClr w14:val="tx1"/>
            </w14:solidFill>
          </w14:textFill>
        </w:rPr>
        <w:t>新疆新华远景工程造价咨询有限公司</w:t>
      </w:r>
    </w:p>
    <w:p>
      <w:pPr>
        <w:pStyle w:val="385"/>
        <w:spacing w:line="800" w:lineRule="exact"/>
        <w:ind w:firstLine="630" w:firstLineChars="196"/>
        <w:rPr>
          <w:rFonts w:hint="default" w:ascii="宋体" w:eastAsia="宋体" w:cs="仿宋_GB2312"/>
          <w:b/>
          <w:color w:val="000000" w:themeColor="text1"/>
          <w:sz w:val="32"/>
          <w:szCs w:val="32"/>
          <w:highlight w:val="none"/>
          <w:lang w:val="en-US"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项目联系人：</w:t>
      </w:r>
      <w:r>
        <w:rPr>
          <w:rFonts w:hint="eastAsia" w:ascii="宋体" w:hAnsi="宋体"/>
          <w:b/>
          <w:color w:val="000000" w:themeColor="text1"/>
          <w:sz w:val="32"/>
          <w:szCs w:val="32"/>
          <w:highlight w:val="none"/>
          <w:lang w:val="en-US" w:eastAsia="zh-CN"/>
          <w14:textFill>
            <w14:solidFill>
              <w14:schemeClr w14:val="tx1"/>
            </w14:solidFill>
          </w14:textFill>
        </w:rPr>
        <w:t>姚秀骞</w:t>
      </w:r>
      <w:r>
        <w:rPr>
          <w:rFonts w:ascii="宋体"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；联系电话：</w:t>
      </w:r>
      <w:r>
        <w:rPr>
          <w:rFonts w:hint="eastAsia" w:ascii="宋体" w:hAnsi="宋体"/>
          <w:b/>
          <w:color w:val="000000" w:themeColor="text1"/>
          <w:sz w:val="32"/>
          <w:szCs w:val="32"/>
          <w:highlight w:val="none"/>
          <w:lang w:val="en-US" w:eastAsia="zh-CN"/>
          <w14:textFill>
            <w14:solidFill>
              <w14:schemeClr w14:val="tx1"/>
            </w14:solidFill>
          </w14:textFill>
        </w:rPr>
        <w:t>18799113254</w:t>
      </w:r>
    </w:p>
    <w:p>
      <w:pPr>
        <w:pStyle w:val="385"/>
        <w:spacing w:line="360" w:lineRule="auto"/>
        <w:rPr>
          <w:rFonts w:ascii="宋体"/>
          <w:color w:val="000000" w:themeColor="text1"/>
          <w:sz w:val="28"/>
          <w:szCs w:val="28"/>
          <w:highlight w:val="none"/>
          <w14:textFill>
            <w14:solidFill>
              <w14:schemeClr w14:val="tx1"/>
            </w14:solidFill>
          </w14:textFill>
        </w:rPr>
      </w:pPr>
    </w:p>
    <w:p>
      <w:pPr>
        <w:pStyle w:val="385"/>
        <w:spacing w:line="360" w:lineRule="auto"/>
        <w:rPr>
          <w:rFonts w:ascii="宋体"/>
          <w:color w:val="000000" w:themeColor="text1"/>
          <w:sz w:val="28"/>
          <w:szCs w:val="28"/>
          <w:highlight w:val="none"/>
          <w14:textFill>
            <w14:solidFill>
              <w14:schemeClr w14:val="tx1"/>
            </w14:solidFill>
          </w14:textFill>
        </w:rPr>
      </w:pPr>
    </w:p>
    <w:p>
      <w:pPr>
        <w:pStyle w:val="385"/>
        <w:spacing w:line="360" w:lineRule="auto"/>
        <w:rPr>
          <w:rFonts w:ascii="宋体"/>
          <w:color w:val="auto"/>
          <w:sz w:val="28"/>
          <w:szCs w:val="28"/>
        </w:rPr>
      </w:pPr>
    </w:p>
    <w:p>
      <w:pPr>
        <w:pStyle w:val="385"/>
        <w:spacing w:line="360" w:lineRule="auto"/>
        <w:jc w:val="center"/>
        <w:rPr>
          <w:rFonts w:ascii="宋体" w:cs="仿宋_GB2312"/>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567" w:left="1134" w:header="851" w:footer="992" w:gutter="170"/>
          <w:pgNumType w:fmt="chineseCounting" w:start="1"/>
          <w:cols w:space="720" w:num="1"/>
          <w:titlePg/>
          <w:docGrid w:linePitch="312" w:charSpace="0"/>
        </w:sectPr>
      </w:pPr>
      <w:bookmarkStart w:id="2" w:name="_Toc29048"/>
      <w:r>
        <w:rPr>
          <w:rFonts w:hint="eastAsia" w:ascii="宋体" w:hAnsi="宋体" w:cs="仿宋_GB2312"/>
          <w:b/>
          <w:color w:val="auto"/>
          <w:sz w:val="32"/>
          <w:szCs w:val="32"/>
          <w:lang w:val="zh-CN"/>
        </w:rPr>
        <w:t>二</w:t>
      </w:r>
      <w:r>
        <w:rPr>
          <w:rFonts w:hint="eastAsia" w:ascii="宋体" w:hAnsi="宋体" w:cs="仿宋_GB2312"/>
          <w:b/>
          <w:color w:val="auto"/>
          <w:sz w:val="32"/>
          <w:szCs w:val="32"/>
          <w:lang w:val="en-US" w:eastAsia="zh-CN"/>
        </w:rPr>
        <w:t>零二零年九</w:t>
      </w:r>
      <w:r>
        <w:rPr>
          <w:rFonts w:hint="eastAsia" w:ascii="宋体" w:hAnsi="宋体" w:cs="仿宋_GB2312"/>
          <w:b/>
          <w:color w:val="auto"/>
          <w:sz w:val="32"/>
          <w:szCs w:val="32"/>
          <w:lang w:val="zh-CN"/>
        </w:rPr>
        <w:t>月四日</w:t>
      </w:r>
      <w:bookmarkEnd w:id="2"/>
    </w:p>
    <w:p>
      <w:pPr>
        <w:jc w:val="center"/>
        <w:rPr>
          <w:rFonts w:ascii="宋体"/>
          <w:b/>
          <w:bCs/>
          <w:sz w:val="44"/>
          <w:szCs w:val="40"/>
        </w:rPr>
      </w:pPr>
      <w:r>
        <w:rPr>
          <w:rFonts w:hint="eastAsia" w:ascii="宋体" w:hAnsi="宋体"/>
          <w:b/>
          <w:bCs/>
          <w:sz w:val="44"/>
          <w:szCs w:val="40"/>
        </w:rPr>
        <w:t>目</w:t>
      </w:r>
      <w:r>
        <w:rPr>
          <w:rFonts w:hint="eastAsia" w:ascii="宋体" w:hAnsi="宋体"/>
          <w:b/>
          <w:bCs/>
          <w:sz w:val="44"/>
          <w:szCs w:val="40"/>
          <w:lang w:val="en-US" w:eastAsia="zh-CN"/>
        </w:rPr>
        <w:t xml:space="preserve">  </w:t>
      </w:r>
      <w:r>
        <w:rPr>
          <w:rFonts w:hint="eastAsia" w:ascii="宋体" w:hAnsi="宋体"/>
          <w:b/>
          <w:bCs/>
          <w:sz w:val="44"/>
          <w:szCs w:val="40"/>
        </w:rPr>
        <w:t>录</w:t>
      </w:r>
    </w:p>
    <w:p>
      <w:pPr>
        <w:pStyle w:val="50"/>
        <w:tabs>
          <w:tab w:val="right" w:leader="dot" w:pos="8844"/>
          <w:tab w:val="clear" w:pos="9344"/>
        </w:tabs>
      </w:pPr>
      <w:r>
        <w:rPr>
          <w:sz w:val="18"/>
          <w:szCs w:val="18"/>
        </w:rPr>
        <w:fldChar w:fldCharType="begin"/>
      </w:r>
      <w:r>
        <w:rPr>
          <w:sz w:val="18"/>
          <w:szCs w:val="18"/>
        </w:rPr>
        <w:instrText xml:space="preserve"> TOC \o "1-3" \h \z \u </w:instrText>
      </w:r>
      <w:r>
        <w:rPr>
          <w:sz w:val="18"/>
          <w:szCs w:val="18"/>
        </w:rPr>
        <w:fldChar w:fldCharType="separate"/>
      </w:r>
      <w:r>
        <w:rPr>
          <w:szCs w:val="18"/>
        </w:rPr>
        <w:fldChar w:fldCharType="begin"/>
      </w:r>
      <w:r>
        <w:rPr>
          <w:szCs w:val="18"/>
        </w:rPr>
        <w:instrText xml:space="preserve"> HYPERLINK \l _Toc6802 </w:instrText>
      </w:r>
      <w:r>
        <w:rPr>
          <w:szCs w:val="18"/>
        </w:rPr>
        <w:fldChar w:fldCharType="separate"/>
      </w:r>
      <w:r>
        <w:rPr>
          <w:rFonts w:hint="eastAsia"/>
          <w:szCs w:val="36"/>
        </w:rPr>
        <w:t>第一部分</w:t>
      </w:r>
      <w:r>
        <w:rPr>
          <w:szCs w:val="36"/>
        </w:rPr>
        <w:t xml:space="preserve"> </w:t>
      </w:r>
      <w:r>
        <w:rPr>
          <w:rFonts w:hint="eastAsia"/>
          <w:szCs w:val="36"/>
        </w:rPr>
        <w:t>投标须知</w:t>
      </w:r>
      <w:r>
        <w:tab/>
      </w:r>
      <w:r>
        <w:fldChar w:fldCharType="begin"/>
      </w:r>
      <w:r>
        <w:instrText xml:space="preserve"> PAGEREF _Toc6802 \h </w:instrText>
      </w:r>
      <w:r>
        <w:fldChar w:fldCharType="separate"/>
      </w:r>
      <w:r>
        <w:t>4</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_Toc18066 </w:instrText>
      </w:r>
      <w:r>
        <w:rPr>
          <w:szCs w:val="18"/>
        </w:rPr>
        <w:fldChar w:fldCharType="separate"/>
      </w:r>
      <w:r>
        <w:rPr>
          <w:rFonts w:hint="eastAsia" w:ascii="宋体" w:hAnsi="宋体" w:eastAsia="宋体"/>
        </w:rPr>
        <w:t>第二部分</w:t>
      </w:r>
      <w:r>
        <w:rPr>
          <w:rFonts w:ascii="宋体" w:hAnsi="宋体" w:eastAsia="宋体"/>
        </w:rPr>
        <w:t xml:space="preserve"> </w:t>
      </w:r>
      <w:r>
        <w:rPr>
          <w:rFonts w:hint="eastAsia" w:ascii="宋体" w:hAnsi="宋体" w:eastAsia="宋体"/>
        </w:rPr>
        <w:t>招标说明</w:t>
      </w:r>
      <w:r>
        <w:tab/>
      </w:r>
      <w:r>
        <w:fldChar w:fldCharType="begin"/>
      </w:r>
      <w:r>
        <w:instrText xml:space="preserve"> PAGEREF _Toc18066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_Toc259 </w:instrText>
      </w:r>
      <w:r>
        <w:rPr>
          <w:szCs w:val="18"/>
        </w:rPr>
        <w:fldChar w:fldCharType="separate"/>
      </w:r>
      <w:r>
        <w:rPr>
          <w:rFonts w:hint="default" w:ascii="宋体"/>
        </w:rPr>
        <w:t xml:space="preserve">1． </w:t>
      </w:r>
      <w:r>
        <w:rPr>
          <w:rFonts w:hint="eastAsia" w:ascii="宋体" w:hAnsi="宋体"/>
        </w:rPr>
        <w:t>适用范围</w:t>
      </w:r>
      <w:r>
        <w:tab/>
      </w:r>
      <w:r>
        <w:fldChar w:fldCharType="begin"/>
      </w:r>
      <w:r>
        <w:instrText xml:space="preserve"> PAGEREF _Toc259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_Toc24141 </w:instrText>
      </w:r>
      <w:r>
        <w:rPr>
          <w:szCs w:val="18"/>
        </w:rPr>
        <w:fldChar w:fldCharType="separate"/>
      </w:r>
      <w:r>
        <w:rPr>
          <w:rFonts w:hint="default" w:ascii="宋体"/>
        </w:rPr>
        <w:t xml:space="preserve">2． </w:t>
      </w:r>
      <w:r>
        <w:rPr>
          <w:rFonts w:hint="eastAsia" w:ascii="宋体" w:hAnsi="宋体"/>
        </w:rPr>
        <w:t>投标资格</w:t>
      </w:r>
      <w:r>
        <w:tab/>
      </w:r>
      <w:r>
        <w:fldChar w:fldCharType="begin"/>
      </w:r>
      <w:r>
        <w:instrText xml:space="preserve"> PAGEREF _Toc24141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_Toc2252 </w:instrText>
      </w:r>
      <w:r>
        <w:rPr>
          <w:szCs w:val="18"/>
        </w:rPr>
        <w:fldChar w:fldCharType="separate"/>
      </w:r>
      <w:r>
        <w:rPr>
          <w:rFonts w:hint="default" w:ascii="宋体"/>
        </w:rPr>
        <w:t xml:space="preserve">3． </w:t>
      </w:r>
      <w:r>
        <w:rPr>
          <w:rFonts w:hint="eastAsia" w:ascii="宋体" w:hAnsi="宋体"/>
        </w:rPr>
        <w:t>定义</w:t>
      </w:r>
      <w:r>
        <w:tab/>
      </w:r>
      <w:r>
        <w:fldChar w:fldCharType="begin"/>
      </w:r>
      <w:r>
        <w:instrText xml:space="preserve"> PAGEREF _Toc2252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_Toc18861 </w:instrText>
      </w:r>
      <w:r>
        <w:rPr>
          <w:szCs w:val="18"/>
        </w:rPr>
        <w:fldChar w:fldCharType="separate"/>
      </w:r>
      <w:r>
        <w:rPr>
          <w:rFonts w:hint="default" w:ascii="宋体"/>
        </w:rPr>
        <w:t xml:space="preserve">4． </w:t>
      </w:r>
      <w:r>
        <w:rPr>
          <w:rFonts w:hint="eastAsia" w:ascii="宋体" w:hAnsi="宋体"/>
          <w:szCs w:val="22"/>
        </w:rPr>
        <w:t>投标</w:t>
      </w:r>
      <w:r>
        <w:rPr>
          <w:rFonts w:hint="eastAsia" w:ascii="宋体" w:hAnsi="宋体" w:cs="宋体"/>
        </w:rPr>
        <w:t>费用</w:t>
      </w:r>
      <w:r>
        <w:tab/>
      </w:r>
      <w:r>
        <w:fldChar w:fldCharType="begin"/>
      </w:r>
      <w:r>
        <w:instrText xml:space="preserve"> PAGEREF _Toc18861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_Toc28575 </w:instrText>
      </w:r>
      <w:r>
        <w:rPr>
          <w:szCs w:val="18"/>
        </w:rPr>
        <w:fldChar w:fldCharType="separate"/>
      </w:r>
      <w:r>
        <w:rPr>
          <w:rFonts w:hint="default" w:ascii="宋体"/>
        </w:rPr>
        <w:t xml:space="preserve">5． </w:t>
      </w:r>
      <w:r>
        <w:rPr>
          <w:rFonts w:hint="eastAsia" w:ascii="宋体" w:hAnsi="宋体"/>
        </w:rPr>
        <w:t>招标文件的构成</w:t>
      </w:r>
      <w:r>
        <w:tab/>
      </w:r>
      <w:r>
        <w:fldChar w:fldCharType="begin"/>
      </w:r>
      <w:r>
        <w:instrText xml:space="preserve"> PAGEREF _Toc28575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_Toc1789 </w:instrText>
      </w:r>
      <w:r>
        <w:rPr>
          <w:szCs w:val="18"/>
        </w:rPr>
        <w:fldChar w:fldCharType="separate"/>
      </w:r>
      <w:r>
        <w:rPr>
          <w:rFonts w:hint="default" w:ascii="宋体"/>
        </w:rPr>
        <w:t xml:space="preserve">6． </w:t>
      </w:r>
      <w:r>
        <w:rPr>
          <w:rFonts w:hint="eastAsia" w:ascii="宋体" w:hAnsi="宋体"/>
        </w:rPr>
        <w:t>招标文件的澄清</w:t>
      </w:r>
      <w:r>
        <w:tab/>
      </w:r>
      <w:r>
        <w:fldChar w:fldCharType="begin"/>
      </w:r>
      <w:r>
        <w:instrText xml:space="preserve"> PAGEREF _Toc1789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_Toc7285 </w:instrText>
      </w:r>
      <w:r>
        <w:rPr>
          <w:szCs w:val="18"/>
        </w:rPr>
        <w:fldChar w:fldCharType="separate"/>
      </w:r>
      <w:r>
        <w:rPr>
          <w:rFonts w:hint="default" w:ascii="宋体"/>
        </w:rPr>
        <w:t xml:space="preserve">7． </w:t>
      </w:r>
      <w:r>
        <w:rPr>
          <w:rFonts w:hint="eastAsia" w:ascii="宋体" w:hAnsi="宋体"/>
        </w:rPr>
        <w:t>招标文件的修改或补充</w:t>
      </w:r>
      <w:r>
        <w:tab/>
      </w:r>
      <w:r>
        <w:fldChar w:fldCharType="begin"/>
      </w:r>
      <w:r>
        <w:instrText xml:space="preserve"> PAGEREF _Toc7285 \h </w:instrText>
      </w:r>
      <w:r>
        <w:fldChar w:fldCharType="separate"/>
      </w:r>
      <w:r>
        <w:t>5</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_Toc9154 </w:instrText>
      </w:r>
      <w:r>
        <w:rPr>
          <w:szCs w:val="18"/>
        </w:rPr>
        <w:fldChar w:fldCharType="separate"/>
      </w:r>
      <w:r>
        <w:rPr>
          <w:rFonts w:hint="default" w:ascii="宋体"/>
        </w:rPr>
        <w:t xml:space="preserve">8． </w:t>
      </w:r>
      <w:r>
        <w:rPr>
          <w:rFonts w:hint="eastAsia" w:ascii="宋体" w:hAnsi="宋体"/>
          <w:szCs w:val="22"/>
        </w:rPr>
        <w:t>廉洁自律</w:t>
      </w:r>
      <w:r>
        <w:rPr>
          <w:rFonts w:hint="eastAsia" w:ascii="宋体" w:hAnsi="宋体"/>
        </w:rPr>
        <w:t>承诺要求</w:t>
      </w:r>
      <w:r>
        <w:tab/>
      </w:r>
      <w:r>
        <w:fldChar w:fldCharType="begin"/>
      </w:r>
      <w:r>
        <w:instrText xml:space="preserve"> PAGEREF _Toc9154 \h </w:instrText>
      </w:r>
      <w:r>
        <w:fldChar w:fldCharType="separate"/>
      </w:r>
      <w:r>
        <w:t>6</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_Toc26477 </w:instrText>
      </w:r>
      <w:r>
        <w:rPr>
          <w:szCs w:val="18"/>
        </w:rPr>
        <w:fldChar w:fldCharType="separate"/>
      </w:r>
      <w:r>
        <w:rPr>
          <w:rFonts w:hint="eastAsia" w:ascii="宋体" w:hAnsi="宋体" w:eastAsia="宋体"/>
        </w:rPr>
        <w:t>第三部分</w:t>
      </w:r>
      <w:r>
        <w:rPr>
          <w:rFonts w:ascii="宋体" w:hAnsi="宋体" w:eastAsia="宋体"/>
        </w:rPr>
        <w:t xml:space="preserve"> </w:t>
      </w:r>
      <w:r>
        <w:rPr>
          <w:rFonts w:hint="eastAsia" w:ascii="宋体" w:hAnsi="宋体" w:eastAsia="宋体"/>
        </w:rPr>
        <w:t>投标说明</w:t>
      </w:r>
      <w:r>
        <w:tab/>
      </w:r>
      <w:r>
        <w:fldChar w:fldCharType="begin"/>
      </w:r>
      <w:r>
        <w:instrText xml:space="preserve"> PAGEREF _Toc26477 \h </w:instrText>
      </w:r>
      <w:r>
        <w:fldChar w:fldCharType="separate"/>
      </w:r>
      <w:r>
        <w:t>7</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_Toc15781 </w:instrText>
      </w:r>
      <w:r>
        <w:rPr>
          <w:szCs w:val="18"/>
        </w:rPr>
        <w:fldChar w:fldCharType="separate"/>
      </w:r>
      <w:r>
        <w:rPr>
          <w:rFonts w:hint="eastAsia" w:ascii="宋体" w:hAnsi="宋体" w:eastAsia="宋体"/>
        </w:rPr>
        <w:t>第一章</w:t>
      </w:r>
      <w:r>
        <w:rPr>
          <w:rFonts w:hint="eastAsia" w:ascii="宋体" w:hAnsi="宋体" w:eastAsia="宋体"/>
          <w:lang w:val="en-US" w:eastAsia="zh-CN"/>
        </w:rPr>
        <w:t xml:space="preserve"> </w:t>
      </w:r>
      <w:r>
        <w:rPr>
          <w:rFonts w:hint="eastAsia" w:ascii="宋体" w:hAnsi="宋体" w:eastAsia="宋体"/>
        </w:rPr>
        <w:t>对投标方的资质要求</w:t>
      </w:r>
      <w:r>
        <w:tab/>
      </w:r>
      <w:r>
        <w:fldChar w:fldCharType="begin"/>
      </w:r>
      <w:r>
        <w:instrText xml:space="preserve"> PAGEREF _Toc15781 \h </w:instrText>
      </w:r>
      <w:r>
        <w:fldChar w:fldCharType="separate"/>
      </w:r>
      <w:r>
        <w:t>7</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_Toc3461 </w:instrText>
      </w:r>
      <w:r>
        <w:rPr>
          <w:szCs w:val="18"/>
        </w:rPr>
        <w:fldChar w:fldCharType="separate"/>
      </w:r>
      <w:r>
        <w:rPr>
          <w:rFonts w:hint="eastAsia" w:ascii="宋体" w:hAnsi="宋体" w:eastAsia="宋体"/>
        </w:rPr>
        <w:t>第二章</w:t>
      </w:r>
      <w:r>
        <w:rPr>
          <w:rFonts w:hint="eastAsia" w:ascii="宋体" w:hAnsi="宋体" w:eastAsia="宋体"/>
          <w:lang w:val="en-US" w:eastAsia="zh-CN"/>
        </w:rPr>
        <w:t xml:space="preserve"> </w:t>
      </w:r>
      <w:r>
        <w:rPr>
          <w:rFonts w:hint="eastAsia" w:ascii="宋体" w:hAnsi="宋体" w:eastAsia="宋体"/>
        </w:rPr>
        <w:t>投标文件的编写</w:t>
      </w:r>
      <w:r>
        <w:tab/>
      </w:r>
      <w:r>
        <w:fldChar w:fldCharType="begin"/>
      </w:r>
      <w:r>
        <w:instrText xml:space="preserve"> PAGEREF _Toc3461 \h </w:instrText>
      </w:r>
      <w:r>
        <w:fldChar w:fldCharType="separate"/>
      </w:r>
      <w:r>
        <w:t>7</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_Toc17341 </w:instrText>
      </w:r>
      <w:r>
        <w:rPr>
          <w:szCs w:val="18"/>
        </w:rPr>
        <w:fldChar w:fldCharType="separate"/>
      </w:r>
      <w:r>
        <w:rPr>
          <w:rFonts w:hint="eastAsia" w:ascii="宋体" w:hAnsi="宋体" w:eastAsia="宋体"/>
        </w:rPr>
        <w:t>第三章</w:t>
      </w:r>
      <w:r>
        <w:rPr>
          <w:rFonts w:hint="eastAsia" w:ascii="宋体" w:hAnsi="宋体" w:eastAsia="宋体"/>
          <w:lang w:val="en-US" w:eastAsia="zh-CN"/>
        </w:rPr>
        <w:t xml:space="preserve"> </w:t>
      </w:r>
      <w:r>
        <w:rPr>
          <w:rFonts w:hint="eastAsia" w:ascii="宋体" w:hAnsi="宋体" w:eastAsia="宋体"/>
        </w:rPr>
        <w:t>投标文件的递交</w:t>
      </w:r>
      <w:r>
        <w:tab/>
      </w:r>
      <w:r>
        <w:fldChar w:fldCharType="begin"/>
      </w:r>
      <w:r>
        <w:instrText xml:space="preserve"> PAGEREF _Toc17341 \h </w:instrText>
      </w:r>
      <w:r>
        <w:fldChar w:fldCharType="separate"/>
      </w:r>
      <w:r>
        <w:t>9</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_Toc5953 </w:instrText>
      </w:r>
      <w:r>
        <w:rPr>
          <w:szCs w:val="18"/>
        </w:rPr>
        <w:fldChar w:fldCharType="separate"/>
      </w:r>
      <w:r>
        <w:rPr>
          <w:rFonts w:hint="eastAsia" w:ascii="宋体" w:hAnsi="宋体" w:eastAsia="宋体"/>
        </w:rPr>
        <w:t>第四章</w:t>
      </w:r>
      <w:r>
        <w:rPr>
          <w:rFonts w:hint="eastAsia" w:ascii="宋体" w:hAnsi="宋体" w:eastAsia="宋体"/>
          <w:lang w:val="en-US" w:eastAsia="zh-CN"/>
        </w:rPr>
        <w:t xml:space="preserve"> </w:t>
      </w:r>
      <w:r>
        <w:rPr>
          <w:rFonts w:hint="eastAsia" w:ascii="宋体" w:hAnsi="宋体" w:eastAsia="宋体"/>
        </w:rPr>
        <w:t>评标委员会</w:t>
      </w:r>
      <w:r>
        <w:tab/>
      </w:r>
      <w:r>
        <w:fldChar w:fldCharType="begin"/>
      </w:r>
      <w:r>
        <w:instrText xml:space="preserve"> PAGEREF _Toc5953 \h </w:instrText>
      </w:r>
      <w:r>
        <w:fldChar w:fldCharType="separate"/>
      </w:r>
      <w:r>
        <w:t>10</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_Toc17179 </w:instrText>
      </w:r>
      <w:r>
        <w:rPr>
          <w:szCs w:val="18"/>
        </w:rPr>
        <w:fldChar w:fldCharType="separate"/>
      </w:r>
      <w:r>
        <w:rPr>
          <w:rFonts w:hint="eastAsia" w:ascii="宋体" w:hAnsi="宋体" w:eastAsia="宋体"/>
        </w:rPr>
        <w:t>第五章</w:t>
      </w:r>
      <w:r>
        <w:rPr>
          <w:rFonts w:hint="eastAsia" w:ascii="宋体" w:hAnsi="宋体" w:eastAsia="宋体"/>
          <w:lang w:val="en-US" w:eastAsia="zh-CN"/>
        </w:rPr>
        <w:t xml:space="preserve"> </w:t>
      </w:r>
      <w:r>
        <w:rPr>
          <w:rFonts w:hint="eastAsia" w:ascii="宋体" w:hAnsi="宋体" w:eastAsia="宋体"/>
        </w:rPr>
        <w:t>开</w:t>
      </w:r>
      <w:r>
        <w:rPr>
          <w:rFonts w:hint="eastAsia" w:ascii="宋体" w:hAnsi="宋体" w:eastAsia="宋体"/>
          <w:lang w:val="en-US" w:eastAsia="zh-CN"/>
        </w:rPr>
        <w:t xml:space="preserve"> </w:t>
      </w:r>
      <w:r>
        <w:rPr>
          <w:rFonts w:hint="eastAsia" w:ascii="宋体" w:hAnsi="宋体" w:eastAsia="宋体"/>
        </w:rPr>
        <w:t>标</w:t>
      </w:r>
      <w:r>
        <w:tab/>
      </w:r>
      <w:r>
        <w:fldChar w:fldCharType="begin"/>
      </w:r>
      <w:r>
        <w:instrText xml:space="preserve"> PAGEREF _Toc17179 \h </w:instrText>
      </w:r>
      <w:r>
        <w:fldChar w:fldCharType="separate"/>
      </w:r>
      <w:r>
        <w:t>11</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_Toc29063 </w:instrText>
      </w:r>
      <w:r>
        <w:rPr>
          <w:szCs w:val="18"/>
        </w:rPr>
        <w:fldChar w:fldCharType="separate"/>
      </w:r>
      <w:r>
        <w:rPr>
          <w:rFonts w:hint="eastAsia" w:ascii="宋体" w:hAnsi="宋体" w:eastAsia="宋体"/>
        </w:rPr>
        <w:t>第六章</w:t>
      </w:r>
      <w:r>
        <w:rPr>
          <w:rFonts w:hint="eastAsia" w:ascii="宋体" w:hAnsi="宋体" w:eastAsia="宋体"/>
          <w:lang w:val="en-US" w:eastAsia="zh-CN"/>
        </w:rPr>
        <w:t xml:space="preserve"> </w:t>
      </w:r>
      <w:r>
        <w:rPr>
          <w:rFonts w:hint="eastAsia" w:ascii="宋体" w:hAnsi="宋体" w:eastAsia="宋体"/>
        </w:rPr>
        <w:t>评</w:t>
      </w:r>
      <w:r>
        <w:rPr>
          <w:rFonts w:hint="eastAsia" w:ascii="宋体" w:hAnsi="宋体" w:eastAsia="宋体"/>
          <w:lang w:val="en-US" w:eastAsia="zh-CN"/>
        </w:rPr>
        <w:t xml:space="preserve"> </w:t>
      </w:r>
      <w:r>
        <w:rPr>
          <w:rFonts w:hint="eastAsia" w:ascii="宋体" w:hAnsi="宋体" w:eastAsia="宋体"/>
        </w:rPr>
        <w:t>标</w:t>
      </w:r>
      <w:r>
        <w:tab/>
      </w:r>
      <w:r>
        <w:fldChar w:fldCharType="begin"/>
      </w:r>
      <w:r>
        <w:instrText xml:space="preserve"> PAGEREF _Toc29063 \h </w:instrText>
      </w:r>
      <w:r>
        <w:fldChar w:fldCharType="separate"/>
      </w:r>
      <w:r>
        <w:t>11</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_Toc8393 </w:instrText>
      </w:r>
      <w:r>
        <w:rPr>
          <w:szCs w:val="18"/>
        </w:rPr>
        <w:fldChar w:fldCharType="separate"/>
      </w:r>
      <w:r>
        <w:rPr>
          <w:rFonts w:hint="eastAsia" w:ascii="宋体" w:hAnsi="宋体" w:eastAsia="宋体"/>
        </w:rPr>
        <w:t>第七章</w:t>
      </w:r>
      <w:r>
        <w:rPr>
          <w:rFonts w:hint="eastAsia" w:ascii="宋体" w:hAnsi="宋体" w:eastAsia="宋体"/>
          <w:lang w:val="en-US" w:eastAsia="zh-CN"/>
        </w:rPr>
        <w:t xml:space="preserve"> </w:t>
      </w:r>
      <w:r>
        <w:rPr>
          <w:rFonts w:hint="eastAsia" w:ascii="宋体" w:hAnsi="宋体" w:eastAsia="宋体"/>
        </w:rPr>
        <w:t>定</w:t>
      </w:r>
      <w:r>
        <w:rPr>
          <w:rFonts w:hint="eastAsia" w:ascii="宋体" w:hAnsi="宋体" w:eastAsia="宋体"/>
          <w:lang w:val="en-US" w:eastAsia="zh-CN"/>
        </w:rPr>
        <w:t xml:space="preserve"> </w:t>
      </w:r>
      <w:r>
        <w:rPr>
          <w:rFonts w:hint="eastAsia" w:ascii="宋体" w:hAnsi="宋体" w:eastAsia="宋体"/>
        </w:rPr>
        <w:t>标</w:t>
      </w:r>
      <w:r>
        <w:tab/>
      </w:r>
      <w:r>
        <w:fldChar w:fldCharType="begin"/>
      </w:r>
      <w:r>
        <w:instrText xml:space="preserve"> PAGEREF _Toc8393 \h </w:instrText>
      </w:r>
      <w:r>
        <w:fldChar w:fldCharType="separate"/>
      </w:r>
      <w:r>
        <w:t>16</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_Toc12837 </w:instrText>
      </w:r>
      <w:r>
        <w:rPr>
          <w:szCs w:val="18"/>
        </w:rPr>
        <w:fldChar w:fldCharType="separate"/>
      </w:r>
      <w:r>
        <w:rPr>
          <w:rFonts w:hint="eastAsia" w:ascii="宋体" w:hAnsi="宋体" w:eastAsia="宋体"/>
        </w:rPr>
        <w:t>第八章</w:t>
      </w:r>
      <w:r>
        <w:rPr>
          <w:rFonts w:hint="eastAsia" w:ascii="宋体" w:hAnsi="宋体" w:eastAsia="宋体"/>
          <w:lang w:val="en-US" w:eastAsia="zh-CN"/>
        </w:rPr>
        <w:t xml:space="preserve"> </w:t>
      </w:r>
      <w:r>
        <w:rPr>
          <w:rFonts w:hint="eastAsia" w:ascii="宋体" w:hAnsi="宋体" w:eastAsia="宋体"/>
        </w:rPr>
        <w:t>授予合同</w:t>
      </w:r>
      <w:r>
        <w:tab/>
      </w:r>
      <w:r>
        <w:fldChar w:fldCharType="begin"/>
      </w:r>
      <w:r>
        <w:instrText xml:space="preserve"> PAGEREF _Toc12837 \h </w:instrText>
      </w:r>
      <w:r>
        <w:fldChar w:fldCharType="separate"/>
      </w:r>
      <w:r>
        <w:t>17</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_Toc29844 </w:instrText>
      </w:r>
      <w:r>
        <w:rPr>
          <w:szCs w:val="18"/>
        </w:rPr>
        <w:fldChar w:fldCharType="separate"/>
      </w:r>
      <w:r>
        <w:rPr>
          <w:rFonts w:hint="eastAsia" w:ascii="宋体" w:hAnsi="宋体" w:eastAsia="宋体"/>
        </w:rPr>
        <w:t>第四部分</w:t>
      </w:r>
      <w:r>
        <w:rPr>
          <w:rFonts w:ascii="宋体" w:hAnsi="宋体" w:eastAsia="宋体"/>
        </w:rPr>
        <w:t xml:space="preserve"> </w:t>
      </w:r>
      <w:r>
        <w:rPr>
          <w:rFonts w:hint="eastAsia" w:ascii="宋体" w:hAnsi="宋体" w:eastAsia="宋体"/>
        </w:rPr>
        <w:t>货物需求一览表及技术规格</w:t>
      </w:r>
      <w:r>
        <w:tab/>
      </w:r>
      <w:r>
        <w:fldChar w:fldCharType="begin"/>
      </w:r>
      <w:r>
        <w:instrText xml:space="preserve"> PAGEREF _Toc29844 \h </w:instrText>
      </w:r>
      <w:r>
        <w:fldChar w:fldCharType="separate"/>
      </w:r>
      <w:r>
        <w:t>18</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_Toc3567 </w:instrText>
      </w:r>
      <w:r>
        <w:rPr>
          <w:szCs w:val="18"/>
        </w:rPr>
        <w:fldChar w:fldCharType="separate"/>
      </w:r>
      <w:r>
        <w:rPr>
          <w:rFonts w:hint="eastAsia" w:ascii="宋体" w:hAnsi="宋体" w:eastAsia="宋体"/>
        </w:rPr>
        <w:t>一</w:t>
      </w:r>
      <w:r>
        <w:rPr>
          <w:rFonts w:hint="eastAsia" w:ascii="宋体" w:hAnsi="宋体" w:eastAsia="宋体"/>
          <w:lang w:val="en-US" w:eastAsia="zh-CN"/>
        </w:rPr>
        <w:t>.</w:t>
      </w:r>
      <w:r>
        <w:rPr>
          <w:rFonts w:hint="eastAsia"/>
          <w:lang w:eastAsia="zh-CN"/>
        </w:rPr>
        <w:t>哈密市智慧政务（“互联网+”及信息技术综合应用工程）一期</w:t>
      </w:r>
      <w:r>
        <w:rPr>
          <w:rFonts w:hint="eastAsia" w:ascii="宋体" w:hAnsi="宋体" w:eastAsia="宋体"/>
          <w:lang w:val="en-US" w:eastAsia="zh-CN"/>
        </w:rPr>
        <w:t>电子政务外网机房扩容</w:t>
      </w:r>
      <w:r>
        <w:rPr>
          <w:rFonts w:hint="eastAsia" w:ascii="宋体" w:hAnsi="宋体" w:eastAsia="宋体"/>
        </w:rPr>
        <w:t>采购项目</w:t>
      </w:r>
      <w:r>
        <w:rPr>
          <w:rFonts w:hint="eastAsia" w:ascii="宋体" w:hAnsi="宋体" w:eastAsia="宋体"/>
          <w:lang w:val="en-US" w:eastAsia="zh-CN"/>
        </w:rPr>
        <w:t>总集成、服务器、网络设备及云平台</w:t>
      </w:r>
      <w:r>
        <w:tab/>
      </w:r>
      <w:r>
        <w:fldChar w:fldCharType="begin"/>
      </w:r>
      <w:r>
        <w:instrText xml:space="preserve"> PAGEREF _Toc3567 \h </w:instrText>
      </w:r>
      <w:r>
        <w:fldChar w:fldCharType="separate"/>
      </w:r>
      <w:r>
        <w:t>18</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_Toc4955 </w:instrText>
      </w:r>
      <w:r>
        <w:rPr>
          <w:szCs w:val="18"/>
        </w:rPr>
        <w:fldChar w:fldCharType="separate"/>
      </w:r>
      <w:r>
        <w:rPr>
          <w:rFonts w:hint="eastAsia" w:ascii="宋体" w:hAnsi="宋体" w:cs="Times New Roman"/>
          <w:szCs w:val="21"/>
        </w:rPr>
        <w:t>1.1. 采购清单</w:t>
      </w:r>
      <w:r>
        <w:tab/>
      </w:r>
      <w:r>
        <w:fldChar w:fldCharType="begin"/>
      </w:r>
      <w:r>
        <w:instrText xml:space="preserve"> PAGEREF _Toc4955 \h </w:instrText>
      </w:r>
      <w:r>
        <w:fldChar w:fldCharType="separate"/>
      </w:r>
      <w:r>
        <w:t>18</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_Toc29773 </w:instrText>
      </w:r>
      <w:r>
        <w:rPr>
          <w:szCs w:val="18"/>
        </w:rPr>
        <w:fldChar w:fldCharType="separate"/>
      </w:r>
      <w:r>
        <w:rPr>
          <w:rFonts w:hint="eastAsia" w:ascii="宋体" w:hAnsi="宋体" w:cs="Times New Roman"/>
          <w:szCs w:val="21"/>
          <w:lang w:val="en-US" w:eastAsia="zh-CN"/>
        </w:rPr>
        <w:t xml:space="preserve">1.2. </w:t>
      </w:r>
      <w:r>
        <w:rPr>
          <w:rFonts w:hint="eastAsia" w:ascii="宋体" w:hAnsi="宋体"/>
          <w:szCs w:val="21"/>
        </w:rPr>
        <w:t>技术要求</w:t>
      </w:r>
      <w:r>
        <w:tab/>
      </w:r>
      <w:r>
        <w:fldChar w:fldCharType="begin"/>
      </w:r>
      <w:r>
        <w:instrText xml:space="preserve"> PAGEREF _Toc29773 \h </w:instrText>
      </w:r>
      <w:r>
        <w:fldChar w:fldCharType="separate"/>
      </w:r>
      <w:r>
        <w:t>18</w:t>
      </w:r>
      <w:r>
        <w:fldChar w:fldCharType="end"/>
      </w:r>
      <w:r>
        <w:rPr>
          <w:szCs w:val="18"/>
        </w:rPr>
        <w:fldChar w:fldCharType="end"/>
      </w:r>
    </w:p>
    <w:p>
      <w:pPr>
        <w:pStyle w:val="37"/>
        <w:tabs>
          <w:tab w:val="right" w:leader="dot" w:pos="8844"/>
          <w:tab w:val="clear" w:pos="9360"/>
        </w:tabs>
      </w:pPr>
      <w:r>
        <w:rPr>
          <w:szCs w:val="18"/>
        </w:rPr>
        <w:fldChar w:fldCharType="begin"/>
      </w:r>
      <w:r>
        <w:rPr>
          <w:szCs w:val="18"/>
        </w:rPr>
        <w:instrText xml:space="preserve"> HYPERLINK \l _Toc3268 </w:instrText>
      </w:r>
      <w:r>
        <w:rPr>
          <w:szCs w:val="18"/>
        </w:rPr>
        <w:fldChar w:fldCharType="separate"/>
      </w:r>
      <w:r>
        <w:rPr>
          <w:rFonts w:ascii="宋体" w:cs="Times New Roman"/>
          <w:szCs w:val="21"/>
        </w:rPr>
        <w:t xml:space="preserve">1.2.1. </w:t>
      </w:r>
      <w:r>
        <w:rPr>
          <w:rFonts w:hint="eastAsia"/>
          <w:szCs w:val="21"/>
          <w:lang w:val="zh-CN"/>
        </w:rPr>
        <w:t>哈密市智慧政务（“互联网+”及信息技术综合应用工程）</w:t>
      </w:r>
      <w:r>
        <w:rPr>
          <w:rFonts w:hint="eastAsia" w:ascii="宋体" w:hAnsi="宋体"/>
          <w:szCs w:val="21"/>
          <w:lang w:val="en-US" w:eastAsia="zh-CN"/>
        </w:rPr>
        <w:t>一期电子政务外网机房扩容</w:t>
      </w:r>
      <w:r>
        <w:rPr>
          <w:rFonts w:hint="eastAsia" w:ascii="宋体" w:hAnsi="宋体"/>
          <w:szCs w:val="21"/>
          <w:lang w:val="zh-CN"/>
        </w:rPr>
        <w:t>云</w:t>
      </w:r>
      <w:r>
        <w:rPr>
          <w:rFonts w:hint="eastAsia" w:ascii="宋体" w:hAnsi="宋体"/>
          <w:szCs w:val="21"/>
        </w:rPr>
        <w:t>平台技术要求</w:t>
      </w:r>
      <w:r>
        <w:tab/>
      </w:r>
      <w:r>
        <w:fldChar w:fldCharType="begin"/>
      </w:r>
      <w:r>
        <w:instrText xml:space="preserve"> PAGEREF _Toc3268 \h </w:instrText>
      </w:r>
      <w:r>
        <w:fldChar w:fldCharType="separate"/>
      </w:r>
      <w:r>
        <w:t>18</w:t>
      </w:r>
      <w:r>
        <w:fldChar w:fldCharType="end"/>
      </w:r>
      <w:r>
        <w:rPr>
          <w:szCs w:val="18"/>
        </w:rPr>
        <w:fldChar w:fldCharType="end"/>
      </w:r>
    </w:p>
    <w:p>
      <w:pPr>
        <w:pStyle w:val="37"/>
        <w:tabs>
          <w:tab w:val="right" w:leader="dot" w:pos="8844"/>
          <w:tab w:val="clear" w:pos="9360"/>
        </w:tabs>
      </w:pPr>
      <w:r>
        <w:rPr>
          <w:szCs w:val="18"/>
        </w:rPr>
        <w:fldChar w:fldCharType="begin"/>
      </w:r>
      <w:r>
        <w:rPr>
          <w:szCs w:val="18"/>
        </w:rPr>
        <w:instrText xml:space="preserve"> HYPERLINK \l _Toc9390 </w:instrText>
      </w:r>
      <w:r>
        <w:rPr>
          <w:szCs w:val="18"/>
        </w:rPr>
        <w:fldChar w:fldCharType="separate"/>
      </w:r>
      <w:r>
        <w:rPr>
          <w:rFonts w:ascii="宋体" w:cs="Times New Roman"/>
          <w:szCs w:val="24"/>
          <w:lang w:val="zh-CN"/>
        </w:rPr>
        <w:t xml:space="preserve">1.2.2. </w:t>
      </w:r>
      <w:r>
        <w:rPr>
          <w:rFonts w:hint="eastAsia"/>
          <w:szCs w:val="21"/>
          <w:lang w:val="zh-CN"/>
        </w:rPr>
        <w:t>哈密市智慧政务（“互联网+”及信息技术综合应用工程）一期</w:t>
      </w:r>
      <w:r>
        <w:rPr>
          <w:rFonts w:hint="eastAsia" w:ascii="宋体" w:hAnsi="宋体"/>
          <w:szCs w:val="21"/>
          <w:lang w:val="en-US" w:eastAsia="zh-CN"/>
        </w:rPr>
        <w:t>电子政务外网</w:t>
      </w:r>
      <w:r>
        <w:rPr>
          <w:rFonts w:hint="eastAsia"/>
          <w:szCs w:val="21"/>
          <w:lang w:val="en-US" w:eastAsia="zh-CN"/>
        </w:rPr>
        <w:t>机房</w:t>
      </w:r>
      <w:r>
        <w:rPr>
          <w:rFonts w:hint="eastAsia" w:ascii="宋体" w:hAnsi="宋体"/>
          <w:szCs w:val="21"/>
          <w:lang w:val="en-US" w:eastAsia="zh-CN"/>
        </w:rPr>
        <w:t>扩容</w:t>
      </w:r>
      <w:r>
        <w:rPr>
          <w:rFonts w:hint="eastAsia" w:ascii="宋体" w:hAnsi="宋体"/>
          <w:szCs w:val="21"/>
        </w:rPr>
        <w:t>硬件设备参数要求</w:t>
      </w:r>
      <w:r>
        <w:tab/>
      </w:r>
      <w:r>
        <w:fldChar w:fldCharType="begin"/>
      </w:r>
      <w:r>
        <w:instrText xml:space="preserve"> PAGEREF _Toc9390 \h </w:instrText>
      </w:r>
      <w:r>
        <w:fldChar w:fldCharType="separate"/>
      </w:r>
      <w:r>
        <w:t>22</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_Toc16243 </w:instrText>
      </w:r>
      <w:r>
        <w:rPr>
          <w:szCs w:val="18"/>
        </w:rPr>
        <w:fldChar w:fldCharType="separate"/>
      </w:r>
      <w:r>
        <w:rPr>
          <w:rFonts w:hint="default" w:cs="Times New Roman" w:asciiTheme="majorEastAsia" w:hAnsiTheme="majorEastAsia" w:eastAsiaTheme="majorEastAsia"/>
          <w:lang w:val="en-US" w:eastAsia="zh-CN"/>
        </w:rPr>
        <w:t xml:space="preserve">1.2.2.6. </w:t>
      </w:r>
      <w:r>
        <w:rPr>
          <w:rFonts w:hint="eastAsia" w:asciiTheme="majorEastAsia" w:hAnsiTheme="majorEastAsia" w:eastAsiaTheme="majorEastAsia" w:cstheme="majorEastAsia"/>
          <w:lang w:val="en-US" w:eastAsia="zh-CN"/>
        </w:rPr>
        <w:t>安全等级保护要求</w:t>
      </w:r>
      <w:r>
        <w:tab/>
      </w:r>
      <w:r>
        <w:fldChar w:fldCharType="begin"/>
      </w:r>
      <w:r>
        <w:instrText xml:space="preserve"> PAGEREF _Toc16243 \h </w:instrText>
      </w:r>
      <w:r>
        <w:fldChar w:fldCharType="separate"/>
      </w:r>
      <w:r>
        <w:t>26</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_Toc29769 </w:instrText>
      </w:r>
      <w:r>
        <w:rPr>
          <w:szCs w:val="18"/>
        </w:rPr>
        <w:fldChar w:fldCharType="separate"/>
      </w:r>
      <w:r>
        <w:rPr>
          <w:rFonts w:hint="eastAsia"/>
        </w:rPr>
        <w:t>第五部分 商务部分</w:t>
      </w:r>
      <w:r>
        <w:tab/>
      </w:r>
      <w:r>
        <w:fldChar w:fldCharType="begin"/>
      </w:r>
      <w:r>
        <w:instrText xml:space="preserve"> PAGEREF _Toc29769 \h </w:instrText>
      </w:r>
      <w:r>
        <w:fldChar w:fldCharType="separate"/>
      </w:r>
      <w:r>
        <w:t>26</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_Toc70 </w:instrText>
      </w:r>
      <w:r>
        <w:rPr>
          <w:szCs w:val="18"/>
        </w:rPr>
        <w:fldChar w:fldCharType="separate"/>
      </w:r>
      <w:r>
        <w:rPr>
          <w:rFonts w:hint="eastAsia" w:ascii="宋体" w:hAnsi="宋体" w:cs="宋体"/>
          <w:szCs w:val="24"/>
        </w:rPr>
        <w:t>第一章</w:t>
      </w:r>
      <w:r>
        <w:rPr>
          <w:rFonts w:hint="eastAsia" w:ascii="宋体" w:hAnsi="宋体" w:cs="宋体"/>
          <w:szCs w:val="24"/>
          <w:lang w:val="en-US" w:eastAsia="zh-CN"/>
        </w:rPr>
        <w:t xml:space="preserve"> </w:t>
      </w:r>
      <w:r>
        <w:rPr>
          <w:rFonts w:hint="eastAsia" w:ascii="宋体" w:hAnsi="宋体" w:cs="宋体"/>
          <w:szCs w:val="24"/>
        </w:rPr>
        <w:t>合同一般条款</w:t>
      </w:r>
      <w:r>
        <w:tab/>
      </w:r>
      <w:r>
        <w:fldChar w:fldCharType="begin"/>
      </w:r>
      <w:r>
        <w:instrText xml:space="preserve"> PAGEREF _Toc70 \h </w:instrText>
      </w:r>
      <w:r>
        <w:fldChar w:fldCharType="separate"/>
      </w:r>
      <w:r>
        <w:t>26</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_Toc28420 </w:instrText>
      </w:r>
      <w:r>
        <w:rPr>
          <w:szCs w:val="18"/>
        </w:rPr>
        <w:fldChar w:fldCharType="separate"/>
      </w:r>
      <w:r>
        <w:rPr>
          <w:rFonts w:hint="eastAsia" w:ascii="宋体" w:hAnsi="宋体" w:cs="宋体"/>
          <w:szCs w:val="24"/>
        </w:rPr>
        <w:t>第二章</w:t>
      </w:r>
      <w:r>
        <w:rPr>
          <w:rFonts w:hint="eastAsia" w:ascii="宋体" w:hAnsi="宋体" w:cs="宋体"/>
          <w:szCs w:val="24"/>
          <w:lang w:val="en-US" w:eastAsia="zh-CN"/>
        </w:rPr>
        <w:t xml:space="preserve"> </w:t>
      </w:r>
      <w:r>
        <w:rPr>
          <w:rFonts w:hint="eastAsia" w:ascii="宋体" w:hAnsi="宋体" w:cs="宋体"/>
          <w:szCs w:val="24"/>
        </w:rPr>
        <w:t>合同特殊条款</w:t>
      </w:r>
      <w:r>
        <w:tab/>
      </w:r>
      <w:r>
        <w:fldChar w:fldCharType="begin"/>
      </w:r>
      <w:r>
        <w:instrText xml:space="preserve"> PAGEREF _Toc28420 \h </w:instrText>
      </w:r>
      <w:r>
        <w:fldChar w:fldCharType="separate"/>
      </w:r>
      <w:r>
        <w:t>30</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_Toc29727 </w:instrText>
      </w:r>
      <w:r>
        <w:rPr>
          <w:szCs w:val="18"/>
        </w:rPr>
        <w:fldChar w:fldCharType="separate"/>
      </w:r>
      <w:r>
        <w:rPr>
          <w:rFonts w:hint="eastAsia" w:ascii="宋体" w:hAnsi="宋体" w:cs="宋体"/>
          <w:szCs w:val="24"/>
        </w:rPr>
        <w:t>第三章</w:t>
      </w:r>
      <w:r>
        <w:rPr>
          <w:rFonts w:hint="eastAsia" w:ascii="宋体" w:hAnsi="宋体" w:cs="宋体"/>
          <w:szCs w:val="24"/>
          <w:lang w:val="en-US" w:eastAsia="zh-CN"/>
        </w:rPr>
        <w:t xml:space="preserve"> </w:t>
      </w:r>
      <w:r>
        <w:rPr>
          <w:rFonts w:hint="eastAsia" w:ascii="宋体" w:hAnsi="宋体" w:cs="宋体"/>
          <w:szCs w:val="24"/>
        </w:rPr>
        <w:t>付款币种及方式</w:t>
      </w:r>
      <w:r>
        <w:tab/>
      </w:r>
      <w:r>
        <w:fldChar w:fldCharType="begin"/>
      </w:r>
      <w:r>
        <w:instrText xml:space="preserve"> PAGEREF _Toc29727 \h </w:instrText>
      </w:r>
      <w:r>
        <w:fldChar w:fldCharType="separate"/>
      </w:r>
      <w:r>
        <w:t>31</w:t>
      </w:r>
      <w:r>
        <w:fldChar w:fldCharType="end"/>
      </w:r>
      <w:r>
        <w:rPr>
          <w:szCs w:val="18"/>
        </w:rPr>
        <w:fldChar w:fldCharType="end"/>
      </w:r>
    </w:p>
    <w:p>
      <w:pPr>
        <w:pStyle w:val="59"/>
        <w:tabs>
          <w:tab w:val="right" w:leader="dot" w:pos="8844"/>
          <w:tab w:val="clear" w:pos="9360"/>
        </w:tabs>
      </w:pPr>
      <w:r>
        <w:rPr>
          <w:szCs w:val="18"/>
        </w:rPr>
        <w:fldChar w:fldCharType="begin"/>
      </w:r>
      <w:r>
        <w:rPr>
          <w:szCs w:val="18"/>
        </w:rPr>
        <w:instrText xml:space="preserve"> HYPERLINK \l _Toc5246 </w:instrText>
      </w:r>
      <w:r>
        <w:rPr>
          <w:szCs w:val="18"/>
        </w:rPr>
        <w:fldChar w:fldCharType="separate"/>
      </w:r>
      <w:r>
        <w:rPr>
          <w:rFonts w:hint="eastAsia" w:ascii="宋体" w:hAnsi="宋体" w:cs="宋体"/>
          <w:szCs w:val="24"/>
        </w:rPr>
        <w:t>第四章</w:t>
      </w:r>
      <w:r>
        <w:rPr>
          <w:rFonts w:hint="eastAsia" w:ascii="宋体" w:hAnsi="宋体" w:cs="宋体"/>
          <w:szCs w:val="24"/>
          <w:lang w:val="en-US" w:eastAsia="zh-CN"/>
        </w:rPr>
        <w:t xml:space="preserve"> </w:t>
      </w:r>
      <w:r>
        <w:rPr>
          <w:rFonts w:hint="eastAsia" w:ascii="宋体" w:hAnsi="宋体" w:cs="宋体"/>
          <w:szCs w:val="24"/>
        </w:rPr>
        <w:t>售后服务承诺</w:t>
      </w:r>
      <w:r>
        <w:tab/>
      </w:r>
      <w:r>
        <w:fldChar w:fldCharType="begin"/>
      </w:r>
      <w:r>
        <w:instrText xml:space="preserve"> PAGEREF _Toc5246 \h </w:instrText>
      </w:r>
      <w:r>
        <w:fldChar w:fldCharType="separate"/>
      </w:r>
      <w:r>
        <w:t>31</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_Toc31037 </w:instrText>
      </w:r>
      <w:r>
        <w:rPr>
          <w:szCs w:val="18"/>
        </w:rPr>
        <w:fldChar w:fldCharType="separate"/>
      </w:r>
      <w:r>
        <w:rPr>
          <w:rFonts w:hint="eastAsia"/>
        </w:rPr>
        <w:t>第六部分   附</w:t>
      </w:r>
      <w:r>
        <w:rPr>
          <w:rFonts w:hint="eastAsia"/>
          <w:lang w:val="en-US" w:eastAsia="zh-CN"/>
        </w:rPr>
        <w:t xml:space="preserve">  </w:t>
      </w:r>
      <w:r>
        <w:rPr>
          <w:rFonts w:hint="eastAsia"/>
        </w:rPr>
        <w:t>件</w:t>
      </w:r>
      <w:r>
        <w:tab/>
      </w:r>
      <w:r>
        <w:fldChar w:fldCharType="begin"/>
      </w:r>
      <w:r>
        <w:instrText xml:space="preserve"> PAGEREF _Toc31037 \h </w:instrText>
      </w:r>
      <w:r>
        <w:fldChar w:fldCharType="separate"/>
      </w:r>
      <w:r>
        <w:t>32</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_Toc14997 </w:instrText>
      </w:r>
      <w:r>
        <w:rPr>
          <w:szCs w:val="18"/>
        </w:rPr>
        <w:fldChar w:fldCharType="separate"/>
      </w:r>
      <w:r>
        <w:rPr>
          <w:rFonts w:hint="eastAsia" w:ascii="宋体" w:hAnsi="宋体" w:cs="宋体"/>
        </w:rPr>
        <w:t>一、投标书编制顺序</w:t>
      </w:r>
      <w:r>
        <w:tab/>
      </w:r>
      <w:r>
        <w:fldChar w:fldCharType="begin"/>
      </w:r>
      <w:r>
        <w:instrText xml:space="preserve"> PAGEREF _Toc14997 \h </w:instrText>
      </w:r>
      <w:r>
        <w:fldChar w:fldCharType="separate"/>
      </w:r>
      <w:r>
        <w:t>32</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_Toc9280 </w:instrText>
      </w:r>
      <w:r>
        <w:rPr>
          <w:szCs w:val="18"/>
        </w:rPr>
        <w:fldChar w:fldCharType="separate"/>
      </w:r>
      <w:r>
        <w:rPr>
          <w:rFonts w:hint="eastAsia" w:ascii="宋体" w:hAnsi="宋体" w:cs="宋体"/>
        </w:rPr>
        <w:t>二、其它有关附件格式范本</w:t>
      </w:r>
      <w:r>
        <w:tab/>
      </w:r>
      <w:r>
        <w:fldChar w:fldCharType="begin"/>
      </w:r>
      <w:r>
        <w:instrText xml:space="preserve"> PAGEREF _Toc9280 \h </w:instrText>
      </w:r>
      <w:r>
        <w:fldChar w:fldCharType="separate"/>
      </w:r>
      <w:r>
        <w:t>32</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_Toc10455 </w:instrText>
      </w:r>
      <w:r>
        <w:rPr>
          <w:szCs w:val="18"/>
        </w:rPr>
        <w:fldChar w:fldCharType="separate"/>
      </w:r>
      <w:r>
        <w:rPr>
          <w:rFonts w:hint="eastAsia" w:ascii="宋体" w:hAnsi="宋体" w:cs="宋体"/>
        </w:rPr>
        <w:t>（一）投 标 函</w:t>
      </w:r>
      <w:r>
        <w:tab/>
      </w:r>
      <w:r>
        <w:fldChar w:fldCharType="begin"/>
      </w:r>
      <w:r>
        <w:instrText xml:space="preserve"> PAGEREF _Toc10455 \h </w:instrText>
      </w:r>
      <w:r>
        <w:fldChar w:fldCharType="separate"/>
      </w:r>
      <w:r>
        <w:t>32</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_Toc13884 </w:instrText>
      </w:r>
      <w:r>
        <w:rPr>
          <w:szCs w:val="18"/>
        </w:rPr>
        <w:fldChar w:fldCharType="separate"/>
      </w:r>
      <w:r>
        <w:rPr>
          <w:rFonts w:hint="eastAsia" w:ascii="宋体" w:hAnsi="宋体" w:cs="宋体"/>
        </w:rPr>
        <w:t>（二）法人代表授权书格式</w:t>
      </w:r>
      <w:r>
        <w:tab/>
      </w:r>
      <w:r>
        <w:fldChar w:fldCharType="begin"/>
      </w:r>
      <w:r>
        <w:instrText xml:space="preserve"> PAGEREF _Toc13884 \h </w:instrText>
      </w:r>
      <w:r>
        <w:fldChar w:fldCharType="separate"/>
      </w:r>
      <w:r>
        <w:t>33</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_Toc23744 </w:instrText>
      </w:r>
      <w:r>
        <w:rPr>
          <w:szCs w:val="18"/>
        </w:rPr>
        <w:fldChar w:fldCharType="separate"/>
      </w:r>
      <w:r>
        <w:rPr>
          <w:rFonts w:hint="eastAsia" w:ascii="宋体" w:hAnsi="宋体" w:cs="宋体"/>
        </w:rPr>
        <w:t>（三）开标一览表</w:t>
      </w:r>
      <w:r>
        <w:tab/>
      </w:r>
      <w:r>
        <w:fldChar w:fldCharType="begin"/>
      </w:r>
      <w:r>
        <w:instrText xml:space="preserve"> PAGEREF _Toc23744 \h </w:instrText>
      </w:r>
      <w:r>
        <w:fldChar w:fldCharType="separate"/>
      </w:r>
      <w:r>
        <w:t>33</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_Toc23696 </w:instrText>
      </w:r>
      <w:r>
        <w:rPr>
          <w:szCs w:val="18"/>
        </w:rPr>
        <w:fldChar w:fldCharType="separate"/>
      </w:r>
      <w:r>
        <w:rPr>
          <w:rFonts w:hint="eastAsia" w:ascii="宋体" w:hAnsi="宋体" w:cs="宋体"/>
        </w:rPr>
        <w:t>（四）投标方资质证明文件</w:t>
      </w:r>
      <w:r>
        <w:tab/>
      </w:r>
      <w:r>
        <w:fldChar w:fldCharType="begin"/>
      </w:r>
      <w:r>
        <w:instrText xml:space="preserve"> PAGEREF _Toc23696 \h </w:instrText>
      </w:r>
      <w:r>
        <w:fldChar w:fldCharType="separate"/>
      </w:r>
      <w:r>
        <w:t>34</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_Toc9400 </w:instrText>
      </w:r>
      <w:r>
        <w:rPr>
          <w:szCs w:val="18"/>
        </w:rPr>
        <w:fldChar w:fldCharType="separate"/>
      </w:r>
      <w:r>
        <w:rPr>
          <w:rFonts w:hint="eastAsia" w:ascii="宋体" w:hAnsi="宋体" w:cs="宋体"/>
        </w:rPr>
        <w:t>（五）设备分项报价表</w:t>
      </w:r>
      <w:r>
        <w:tab/>
      </w:r>
      <w:r>
        <w:fldChar w:fldCharType="begin"/>
      </w:r>
      <w:r>
        <w:instrText xml:space="preserve"> PAGEREF _Toc9400 \h </w:instrText>
      </w:r>
      <w:r>
        <w:fldChar w:fldCharType="separate"/>
      </w:r>
      <w:r>
        <w:t>34</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_Toc20579 </w:instrText>
      </w:r>
      <w:r>
        <w:rPr>
          <w:szCs w:val="18"/>
        </w:rPr>
        <w:fldChar w:fldCharType="separate"/>
      </w:r>
      <w:r>
        <w:rPr>
          <w:rFonts w:hint="eastAsia" w:ascii="仿宋_GB2312" w:hAnsi="Arial" w:eastAsia="仿宋_GB2312"/>
        </w:rPr>
        <w:t>（六）设备分项报价表</w:t>
      </w:r>
      <w:r>
        <w:tab/>
      </w:r>
      <w:r>
        <w:fldChar w:fldCharType="begin"/>
      </w:r>
      <w:r>
        <w:instrText xml:space="preserve"> PAGEREF _Toc20579 \h </w:instrText>
      </w:r>
      <w:r>
        <w:fldChar w:fldCharType="separate"/>
      </w:r>
      <w:r>
        <w:t>34</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_Toc28716 </w:instrText>
      </w:r>
      <w:r>
        <w:rPr>
          <w:szCs w:val="18"/>
        </w:rPr>
        <w:fldChar w:fldCharType="separate"/>
      </w:r>
      <w:r>
        <w:rPr>
          <w:rFonts w:hint="eastAsia" w:ascii="仿宋_GB2312" w:hAnsi="Arial" w:eastAsia="仿宋_GB2312"/>
        </w:rPr>
        <w:t>（七）有关投标产品的检测报告</w:t>
      </w:r>
      <w:r>
        <w:tab/>
      </w:r>
      <w:r>
        <w:fldChar w:fldCharType="begin"/>
      </w:r>
      <w:r>
        <w:instrText xml:space="preserve"> PAGEREF _Toc28716 \h </w:instrText>
      </w:r>
      <w:r>
        <w:fldChar w:fldCharType="separate"/>
      </w:r>
      <w:r>
        <w:t>35</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_Toc23268 </w:instrText>
      </w:r>
      <w:r>
        <w:rPr>
          <w:szCs w:val="18"/>
        </w:rPr>
        <w:fldChar w:fldCharType="separate"/>
      </w:r>
      <w:r>
        <w:rPr>
          <w:rFonts w:hint="eastAsia" w:ascii="仿宋_GB2312" w:hAnsi="Arial" w:eastAsia="仿宋_GB2312"/>
          <w:szCs w:val="28"/>
        </w:rPr>
        <w:t>（八）设备简要说明一览表</w:t>
      </w:r>
      <w:r>
        <w:tab/>
      </w:r>
      <w:r>
        <w:fldChar w:fldCharType="begin"/>
      </w:r>
      <w:r>
        <w:instrText xml:space="preserve"> PAGEREF _Toc23268 \h </w:instrText>
      </w:r>
      <w:r>
        <w:fldChar w:fldCharType="separate"/>
      </w:r>
      <w:r>
        <w:t>35</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_Toc25908 </w:instrText>
      </w:r>
      <w:r>
        <w:rPr>
          <w:szCs w:val="18"/>
        </w:rPr>
        <w:fldChar w:fldCharType="separate"/>
      </w:r>
      <w:r>
        <w:rPr>
          <w:rFonts w:hint="eastAsia" w:ascii="仿宋_GB2312" w:hAnsi="Arial" w:eastAsia="仿宋_GB2312"/>
        </w:rPr>
        <w:t>（十）售后服务承诺详述、维修、培训等计划详述</w:t>
      </w:r>
      <w:r>
        <w:tab/>
      </w:r>
      <w:r>
        <w:fldChar w:fldCharType="begin"/>
      </w:r>
      <w:r>
        <w:instrText xml:space="preserve"> PAGEREF _Toc25908 \h </w:instrText>
      </w:r>
      <w:r>
        <w:fldChar w:fldCharType="separate"/>
      </w:r>
      <w:r>
        <w:t>35</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_Toc11467 </w:instrText>
      </w:r>
      <w:r>
        <w:rPr>
          <w:szCs w:val="18"/>
        </w:rPr>
        <w:fldChar w:fldCharType="separate"/>
      </w:r>
      <w:r>
        <w:rPr>
          <w:rFonts w:hint="eastAsia" w:ascii="仿宋_GB2312" w:hAnsi="Arial" w:eastAsia="仿宋_GB2312"/>
        </w:rPr>
        <w:t>（十一）备品、备件清单</w:t>
      </w:r>
      <w:r>
        <w:tab/>
      </w:r>
      <w:r>
        <w:fldChar w:fldCharType="begin"/>
      </w:r>
      <w:r>
        <w:instrText xml:space="preserve"> PAGEREF _Toc11467 \h </w:instrText>
      </w:r>
      <w:r>
        <w:fldChar w:fldCharType="separate"/>
      </w:r>
      <w:r>
        <w:t>35</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_Toc4259 </w:instrText>
      </w:r>
      <w:r>
        <w:rPr>
          <w:szCs w:val="18"/>
        </w:rPr>
        <w:fldChar w:fldCharType="separate"/>
      </w:r>
      <w:r>
        <w:rPr>
          <w:rFonts w:hint="eastAsia" w:ascii="仿宋_GB2312" w:hAnsi="Arial" w:eastAsia="仿宋_GB2312"/>
        </w:rPr>
        <w:t>（十二）技术参数、功能偏离表</w:t>
      </w:r>
      <w:r>
        <w:tab/>
      </w:r>
      <w:r>
        <w:fldChar w:fldCharType="begin"/>
      </w:r>
      <w:r>
        <w:instrText xml:space="preserve"> PAGEREF _Toc4259 \h </w:instrText>
      </w:r>
      <w:r>
        <w:fldChar w:fldCharType="separate"/>
      </w:r>
      <w:r>
        <w:t>35</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_Toc10927 </w:instrText>
      </w:r>
      <w:r>
        <w:rPr>
          <w:szCs w:val="18"/>
        </w:rPr>
        <w:fldChar w:fldCharType="separate"/>
      </w:r>
      <w:r>
        <w:rPr>
          <w:rFonts w:hint="eastAsia" w:ascii="仿宋_GB2312" w:hAnsi="Arial" w:eastAsia="仿宋_GB2312"/>
          <w:szCs w:val="28"/>
        </w:rPr>
        <w:t>（十三）商务条款偏离表</w:t>
      </w:r>
      <w:r>
        <w:tab/>
      </w:r>
      <w:r>
        <w:fldChar w:fldCharType="begin"/>
      </w:r>
      <w:r>
        <w:instrText xml:space="preserve"> PAGEREF _Toc10927 \h </w:instrText>
      </w:r>
      <w:r>
        <w:fldChar w:fldCharType="separate"/>
      </w:r>
      <w:r>
        <w:t>36</w:t>
      </w:r>
      <w:r>
        <w:fldChar w:fldCharType="end"/>
      </w:r>
      <w:r>
        <w:rPr>
          <w:szCs w:val="18"/>
        </w:rPr>
        <w:fldChar w:fldCharType="end"/>
      </w:r>
    </w:p>
    <w:p>
      <w:pPr>
        <w:pStyle w:val="50"/>
        <w:tabs>
          <w:tab w:val="right" w:leader="dot" w:pos="8844"/>
          <w:tab w:val="clear" w:pos="9344"/>
        </w:tabs>
      </w:pPr>
      <w:r>
        <w:rPr>
          <w:szCs w:val="18"/>
        </w:rPr>
        <w:fldChar w:fldCharType="begin"/>
      </w:r>
      <w:r>
        <w:rPr>
          <w:szCs w:val="18"/>
        </w:rPr>
        <w:instrText xml:space="preserve"> HYPERLINK \l _Toc27519 </w:instrText>
      </w:r>
      <w:r>
        <w:rPr>
          <w:szCs w:val="18"/>
        </w:rPr>
        <w:fldChar w:fldCharType="separate"/>
      </w:r>
      <w:r>
        <w:rPr>
          <w:rFonts w:hint="eastAsia" w:ascii="仿宋_GB2312" w:hAnsi="Arial" w:eastAsia="仿宋_GB2312"/>
          <w:szCs w:val="28"/>
        </w:rPr>
        <w:t>（十四）投标单位（供应商）反商业贿赂承诺书 </w:t>
      </w:r>
      <w:r>
        <w:tab/>
      </w:r>
      <w:r>
        <w:fldChar w:fldCharType="begin"/>
      </w:r>
      <w:r>
        <w:instrText xml:space="preserve"> PAGEREF _Toc27519 \h </w:instrText>
      </w:r>
      <w:r>
        <w:fldChar w:fldCharType="separate"/>
      </w:r>
      <w:r>
        <w:t>37</w:t>
      </w:r>
      <w:r>
        <w:fldChar w:fldCharType="end"/>
      </w:r>
      <w:r>
        <w:rPr>
          <w:szCs w:val="18"/>
        </w:rPr>
        <w:fldChar w:fldCharType="end"/>
      </w:r>
    </w:p>
    <w:p>
      <w:pPr>
        <w:rPr>
          <w:rFonts w:ascii="宋体"/>
        </w:rPr>
      </w:pPr>
      <w:r>
        <w:rPr>
          <w:szCs w:val="18"/>
        </w:rPr>
        <w:fldChar w:fldCharType="end"/>
      </w:r>
    </w:p>
    <w:p>
      <w:pPr>
        <w:rPr>
          <w:rFonts w:ascii="宋体"/>
        </w:rPr>
      </w:pPr>
    </w:p>
    <w:p>
      <w:pPr>
        <w:pStyle w:val="545"/>
        <w:ind w:left="0" w:firstLine="0" w:firstLineChars="0"/>
        <w:rPr>
          <w:rFonts w:ascii="宋体" w:hAnsi="宋体" w:eastAsia="宋体"/>
          <w:sz w:val="36"/>
          <w:szCs w:val="36"/>
        </w:rPr>
      </w:pPr>
      <w:bookmarkStart w:id="3" w:name="_Toc6802"/>
      <w:r>
        <w:rPr>
          <w:rFonts w:hint="eastAsia"/>
          <w:sz w:val="36"/>
          <w:szCs w:val="36"/>
        </w:rPr>
        <w:t>第一部分</w:t>
      </w:r>
      <w:r>
        <w:rPr>
          <w:sz w:val="36"/>
          <w:szCs w:val="36"/>
        </w:rPr>
        <w:t xml:space="preserve"> </w:t>
      </w:r>
      <w:r>
        <w:rPr>
          <w:rFonts w:hint="eastAsia"/>
          <w:sz w:val="36"/>
          <w:szCs w:val="36"/>
        </w:rPr>
        <w:t>投标须知</w:t>
      </w:r>
      <w:bookmarkEnd w:id="3"/>
    </w:p>
    <w:p>
      <w:pPr>
        <w:pStyle w:val="385"/>
        <w:numPr>
          <w:ilvl w:val="0"/>
          <w:numId w:val="15"/>
        </w:numPr>
        <w:spacing w:line="500" w:lineRule="exact"/>
        <w:ind w:left="840" w:leftChars="0" w:hanging="420" w:firstLineChars="0"/>
        <w:jc w:val="both"/>
        <w:rPr>
          <w:rFonts w:hint="eastAsia" w:ascii="宋体" w:hAnsi="宋体" w:cs="宋体"/>
          <w:color w:val="auto"/>
          <w:kern w:val="0"/>
          <w:sz w:val="24"/>
          <w:szCs w:val="24"/>
          <w:lang w:val="en-US" w:eastAsia="zh-CN"/>
        </w:rPr>
      </w:pPr>
      <w:r>
        <w:rPr>
          <w:rFonts w:hint="eastAsia" w:ascii="宋体" w:hAnsi="宋体" w:cs="宋体"/>
          <w:color w:val="auto"/>
        </w:rPr>
        <w:t>项目名称：哈密</w:t>
      </w:r>
      <w:r>
        <w:rPr>
          <w:rFonts w:hint="eastAsia" w:ascii="宋体" w:hAnsi="宋体" w:cs="宋体"/>
          <w:color w:val="auto"/>
          <w:lang w:val="en-US" w:eastAsia="zh-CN"/>
        </w:rPr>
        <w:t>市</w:t>
      </w:r>
      <w:r>
        <w:rPr>
          <w:rFonts w:hint="eastAsia" w:ascii="宋体" w:hAnsi="宋体" w:cs="宋体"/>
          <w:color w:val="auto"/>
        </w:rPr>
        <w:t>智慧政务（</w:t>
      </w:r>
      <w:r>
        <w:rPr>
          <w:rFonts w:hint="eastAsia" w:ascii="宋体" w:hAnsi="宋体" w:cs="宋体"/>
          <w:color w:val="auto"/>
          <w:lang w:eastAsia="zh-CN"/>
        </w:rPr>
        <w:t>“互联网+”</w:t>
      </w:r>
      <w:r>
        <w:rPr>
          <w:rFonts w:hint="eastAsia" w:ascii="宋体" w:hAnsi="宋体" w:cs="宋体"/>
          <w:color w:val="auto"/>
          <w:lang w:val="en-US" w:eastAsia="zh-CN"/>
        </w:rPr>
        <w:t>及</w:t>
      </w:r>
      <w:r>
        <w:rPr>
          <w:rFonts w:hint="eastAsia" w:ascii="宋体" w:hAnsi="宋体" w:cs="宋体"/>
          <w:color w:val="auto"/>
        </w:rPr>
        <w:t>信息技术综合应用工程）</w:t>
      </w:r>
      <w:r>
        <w:rPr>
          <w:rFonts w:hint="eastAsia" w:ascii="宋体" w:hAnsi="宋体" w:cs="宋体"/>
          <w:color w:val="auto"/>
          <w:lang w:val="en-US" w:eastAsia="zh-CN"/>
        </w:rPr>
        <w:t>一期电子政务外网机房扩容</w:t>
      </w:r>
      <w:r>
        <w:rPr>
          <w:rFonts w:hint="eastAsia" w:ascii="宋体" w:hAnsi="宋体" w:cs="宋体"/>
          <w:color w:val="auto"/>
        </w:rPr>
        <w:t>采购项目</w:t>
      </w:r>
    </w:p>
    <w:p>
      <w:pPr>
        <w:pStyle w:val="385"/>
        <w:numPr>
          <w:ilvl w:val="0"/>
          <w:numId w:val="15"/>
        </w:numPr>
        <w:spacing w:line="500" w:lineRule="exact"/>
        <w:ind w:left="840" w:leftChars="0" w:hanging="420" w:firstLineChars="0"/>
        <w:jc w:val="both"/>
        <w:rPr>
          <w:rFonts w:hint="eastAsia" w:ascii="宋体" w:hAnsi="宋体" w:cs="宋体"/>
          <w:color w:val="auto"/>
          <w:sz w:val="24"/>
          <w:szCs w:val="24"/>
          <w:lang w:val="en-US" w:eastAsia="zh-CN"/>
        </w:rPr>
      </w:pPr>
      <w:r>
        <w:rPr>
          <w:rFonts w:hint="eastAsia" w:ascii="宋体" w:hAnsi="宋体" w:cs="宋体"/>
          <w:color w:val="auto"/>
          <w:kern w:val="0"/>
          <w:sz w:val="24"/>
          <w:szCs w:val="24"/>
        </w:rPr>
        <w:t>招标文件编号：</w:t>
      </w:r>
      <w:r>
        <w:rPr>
          <w:rFonts w:hint="eastAsia" w:ascii="宋体" w:hAnsi="宋体" w:cs="宋体"/>
          <w:color w:val="auto"/>
          <w:kern w:val="0"/>
          <w:sz w:val="24"/>
          <w:szCs w:val="24"/>
          <w:highlight w:val="none"/>
          <w:lang w:val="en-US" w:eastAsia="zh-CN"/>
        </w:rPr>
        <w:t>XHYJ-HMCG-2020-006</w:t>
      </w:r>
    </w:p>
    <w:p>
      <w:pPr>
        <w:pStyle w:val="385"/>
        <w:numPr>
          <w:ilvl w:val="0"/>
          <w:numId w:val="15"/>
        </w:numPr>
        <w:spacing w:line="500" w:lineRule="exact"/>
        <w:ind w:left="840" w:leftChars="0" w:hanging="420" w:firstLineChars="0"/>
        <w:jc w:val="both"/>
        <w:rPr>
          <w:rFonts w:hint="eastAsia" w:ascii="宋体" w:hAnsi="宋体" w:cs="宋体"/>
          <w:color w:val="auto"/>
          <w:sz w:val="24"/>
          <w:szCs w:val="24"/>
          <w:lang w:val="en-US" w:eastAsia="zh-CN"/>
        </w:rPr>
      </w:pPr>
      <w:r>
        <w:rPr>
          <w:rFonts w:hint="eastAsia" w:ascii="宋体" w:hAnsi="宋体" w:cs="宋体"/>
          <w:color w:val="auto"/>
          <w:sz w:val="24"/>
          <w:szCs w:val="24"/>
        </w:rPr>
        <w:t>招标代理机构：</w:t>
      </w:r>
      <w:r>
        <w:rPr>
          <w:rFonts w:hint="eastAsia" w:ascii="宋体" w:hAnsi="宋体" w:cs="宋体"/>
          <w:color w:val="auto"/>
          <w:sz w:val="24"/>
          <w:szCs w:val="24"/>
          <w:lang w:val="en-US" w:eastAsia="zh-CN"/>
        </w:rPr>
        <w:t>新疆新华远景工程造价咨询有限公司</w:t>
      </w:r>
    </w:p>
    <w:p>
      <w:pPr>
        <w:spacing w:line="600" w:lineRule="exact"/>
        <w:ind w:firstLine="720" w:firstLineChars="300"/>
        <w:rPr>
          <w:rFonts w:hint="eastAsia" w:ascii="仿宋" w:hAnsi="仿宋" w:eastAsia="仿宋" w:cs="宋体"/>
          <w:color w:val="auto"/>
          <w:sz w:val="27"/>
          <w:szCs w:val="27"/>
        </w:rPr>
      </w:pPr>
      <w:r>
        <w:rPr>
          <w:rFonts w:hint="eastAsia" w:ascii="宋体" w:hAnsi="宋体" w:cs="宋体"/>
          <w:color w:val="auto"/>
          <w:sz w:val="24"/>
          <w:szCs w:val="24"/>
        </w:rPr>
        <w:t>单位地址：</w:t>
      </w:r>
      <w:r>
        <w:rPr>
          <w:rFonts w:hint="eastAsia" w:ascii="宋体" w:hAnsi="宋体" w:eastAsia="宋体" w:cs="宋体"/>
          <w:color w:val="auto"/>
          <w:kern w:val="0"/>
          <w:sz w:val="24"/>
          <w:szCs w:val="24"/>
          <w:lang w:val="en-US" w:eastAsia="zh-CN" w:bidi="ar-SA"/>
        </w:rPr>
        <w:t>哈密市伊州区建设东路20号院</w:t>
      </w:r>
    </w:p>
    <w:p>
      <w:pPr>
        <w:pStyle w:val="385"/>
        <w:numPr>
          <w:ilvl w:val="0"/>
          <w:numId w:val="15"/>
        </w:numPr>
        <w:spacing w:line="500" w:lineRule="exact"/>
        <w:ind w:left="840" w:leftChars="0" w:hanging="420" w:firstLineChars="0"/>
        <w:jc w:val="both"/>
        <w:rPr>
          <w:rFonts w:ascii="宋体" w:cs="宋体"/>
          <w:color w:val="auto"/>
          <w:sz w:val="24"/>
          <w:szCs w:val="24"/>
        </w:rPr>
      </w:pPr>
      <w:r>
        <w:rPr>
          <w:rFonts w:hint="eastAsia" w:ascii="宋体" w:hAnsi="宋体" w:cs="宋体"/>
          <w:color w:val="auto"/>
          <w:sz w:val="24"/>
          <w:szCs w:val="24"/>
        </w:rPr>
        <w:t>邮编：</w:t>
      </w:r>
      <w:r>
        <w:rPr>
          <w:rFonts w:ascii="宋体" w:hAnsi="宋体" w:cs="宋体"/>
          <w:color w:val="auto"/>
          <w:sz w:val="24"/>
          <w:szCs w:val="24"/>
        </w:rPr>
        <w:t>839000</w:t>
      </w:r>
    </w:p>
    <w:p>
      <w:pPr>
        <w:pStyle w:val="385"/>
        <w:numPr>
          <w:ilvl w:val="0"/>
          <w:numId w:val="15"/>
        </w:numPr>
        <w:spacing w:line="500" w:lineRule="exact"/>
        <w:ind w:left="840" w:leftChars="0" w:hanging="420" w:firstLineChars="0"/>
        <w:jc w:val="both"/>
        <w:rPr>
          <w:rFonts w:hint="eastAsia" w:ascii="宋体" w:hAnsi="宋体" w:cs="宋体"/>
          <w:color w:val="auto"/>
          <w:sz w:val="24"/>
          <w:szCs w:val="24"/>
        </w:rPr>
      </w:pPr>
      <w:r>
        <w:rPr>
          <w:rFonts w:hint="eastAsia" w:ascii="宋体" w:hAnsi="宋体" w:cs="宋体"/>
          <w:color w:val="auto"/>
          <w:sz w:val="24"/>
          <w:szCs w:val="24"/>
          <w:lang w:val="en-US" w:eastAsia="zh-CN"/>
        </w:rPr>
        <w:t>项目预算</w:t>
      </w:r>
      <w:r>
        <w:rPr>
          <w:rFonts w:hint="eastAsia" w:ascii="宋体" w:hAnsi="宋体" w:cs="宋体"/>
          <w:color w:val="auto"/>
          <w:sz w:val="24"/>
          <w:szCs w:val="24"/>
        </w:rPr>
        <w:t>：</w:t>
      </w:r>
      <w:r>
        <w:rPr>
          <w:rFonts w:hint="eastAsia" w:ascii="宋体" w:hAnsi="宋体" w:cs="宋体"/>
          <w:color w:val="auto"/>
          <w:sz w:val="24"/>
          <w:szCs w:val="24"/>
          <w:lang w:val="en-US" w:eastAsia="zh-CN"/>
        </w:rPr>
        <w:t>500</w:t>
      </w:r>
      <w:r>
        <w:rPr>
          <w:rFonts w:hint="eastAsia" w:ascii="宋体" w:hAnsi="宋体" w:cs="宋体"/>
          <w:color w:val="auto"/>
          <w:sz w:val="24"/>
          <w:szCs w:val="24"/>
        </w:rPr>
        <w:t>万元</w:t>
      </w:r>
    </w:p>
    <w:p>
      <w:pPr>
        <w:adjustRightInd w:val="0"/>
        <w:snapToGrid w:val="0"/>
        <w:spacing w:line="360" w:lineRule="exact"/>
        <w:ind w:firstLine="720" w:firstLineChars="300"/>
        <w:rPr>
          <w:rFonts w:hint="eastAsia" w:ascii="宋体" w:hAnsi="宋体" w:cs="宋体"/>
          <w:color w:val="auto"/>
          <w:sz w:val="24"/>
          <w:szCs w:val="24"/>
          <w:lang w:eastAsia="zh-CN"/>
        </w:rPr>
      </w:pPr>
      <w:r>
        <w:rPr>
          <w:rFonts w:hint="eastAsia" w:ascii="宋体" w:hAnsi="宋体" w:cs="宋体"/>
          <w:color w:val="auto"/>
          <w:sz w:val="24"/>
          <w:szCs w:val="24"/>
        </w:rPr>
        <w:t>投标保证金</w:t>
      </w:r>
      <w:r>
        <w:rPr>
          <w:rFonts w:hint="eastAsia" w:ascii="宋体" w:hAnsi="宋体" w:cs="宋体"/>
          <w:color w:val="auto"/>
          <w:sz w:val="24"/>
          <w:szCs w:val="24"/>
          <w:lang w:eastAsia="zh-CN"/>
        </w:rPr>
        <w:t>：</w:t>
      </w:r>
    </w:p>
    <w:p>
      <w:pPr>
        <w:numPr>
          <w:ilvl w:val="0"/>
          <w:numId w:val="16"/>
        </w:numPr>
        <w:adjustRightInd w:val="0"/>
        <w:snapToGrid w:val="0"/>
        <w:spacing w:line="360" w:lineRule="exact"/>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eastAsia="zh-CN"/>
        </w:rPr>
        <w:t>金额：</w:t>
      </w:r>
      <w:r>
        <w:rPr>
          <w:rFonts w:hint="eastAsia" w:ascii="宋体" w:hAnsi="宋体" w:cs="宋体"/>
          <w:color w:val="auto"/>
          <w:sz w:val="24"/>
          <w:szCs w:val="24"/>
          <w:lang w:val="en-US" w:eastAsia="zh-CN"/>
        </w:rPr>
        <w:t>5万元.</w:t>
      </w:r>
    </w:p>
    <w:p>
      <w:pPr>
        <w:numPr>
          <w:ilvl w:val="0"/>
          <w:numId w:val="16"/>
        </w:num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保</w:t>
      </w:r>
      <w:r>
        <w:rPr>
          <w:rFonts w:hint="eastAsia" w:ascii="宋体" w:hAnsi="宋体" w:cs="宋体"/>
          <w:color w:val="auto"/>
          <w:sz w:val="24"/>
          <w:szCs w:val="24"/>
        </w:rPr>
        <w:t>证金的形式：基本账户转出</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cs="宋体"/>
          <w:color w:val="auto"/>
          <w:sz w:val="24"/>
          <w:szCs w:val="24"/>
        </w:rPr>
        <w:t>递交时间：在投标截止时间前递交（以到账时间为准）；</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w:t>
      </w:r>
      <w:r>
        <w:rPr>
          <w:rFonts w:hint="eastAsia" w:ascii="宋体" w:hAnsi="宋体" w:cs="宋体"/>
          <w:color w:val="auto"/>
          <w:sz w:val="24"/>
          <w:szCs w:val="24"/>
        </w:rPr>
        <w:t>从投标人基本账户以支票或银行电汇或网银形式汇至指定账户，投标人递交投标保证金应充分考虑资金在途时间；注：投标保证金只针对公对公汇款，个人名义汇款无效。</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投标保证金的形式：银行电汇或网银 </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汇款后请把汇款凭证携带至开标现场以备查验，其复印件放在投标文件中，无需到公司换取收据。</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退还投标保证金时，请携带法人授权委托书及委托人的身份证复印件（加盖公章及法人章）、汇款凭证复印件、开户许可证复印</w:t>
      </w:r>
      <w:r>
        <w:rPr>
          <w:rFonts w:hint="eastAsia" w:ascii="宋体" w:hAnsi="宋体" w:cs="宋体"/>
          <w:color w:val="auto"/>
          <w:kern w:val="0"/>
          <w:sz w:val="24"/>
          <w:szCs w:val="24"/>
          <w:highlight w:val="none"/>
          <w:lang w:val="en-US" w:eastAsia="zh-CN"/>
        </w:rPr>
        <w:t>XHYJ-HMCG-2020-006</w:t>
      </w:r>
      <w:r>
        <w:rPr>
          <w:rFonts w:hint="eastAsia" w:ascii="宋体" w:hAnsi="宋体" w:cs="宋体"/>
          <w:color w:val="auto"/>
          <w:sz w:val="24"/>
          <w:szCs w:val="24"/>
        </w:rPr>
        <w:t>件，找招标文件中的项目负责人签字办理。（请投标人开标当天准备好退投标保证金资料）</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hint="eastAsia" w:ascii="宋体" w:hAnsi="宋体" w:cs="宋体"/>
          <w:color w:val="auto"/>
          <w:sz w:val="24"/>
          <w:szCs w:val="24"/>
        </w:rPr>
        <w:t>账户信息：</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银行户名：</w:t>
      </w:r>
      <w:r>
        <w:rPr>
          <w:rFonts w:hint="eastAsia" w:ascii="宋体" w:hAnsi="宋体" w:cs="宋体"/>
          <w:color w:val="auto"/>
          <w:sz w:val="24"/>
          <w:szCs w:val="24"/>
          <w:lang w:eastAsia="zh-CN"/>
        </w:rPr>
        <w:t>新疆新华远景工程造价咨询有限公司</w:t>
      </w:r>
      <w:r>
        <w:rPr>
          <w:rFonts w:hint="eastAsia" w:ascii="宋体" w:hAnsi="宋体" w:cs="宋体"/>
          <w:color w:val="auto"/>
          <w:sz w:val="24"/>
          <w:szCs w:val="24"/>
        </w:rPr>
        <w:t>哈密分公司</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开 户 行：交通银行哈密分行营业部</w:t>
      </w:r>
    </w:p>
    <w:p>
      <w:pPr>
        <w:adjustRightInd w:val="0"/>
        <w:snapToGrid w:val="0"/>
        <w:spacing w:line="3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账    号：</w:t>
      </w:r>
      <w:r>
        <w:rPr>
          <w:rFonts w:hint="eastAsia" w:ascii="宋体" w:hAnsi="宋体" w:cs="宋体"/>
          <w:color w:val="auto"/>
          <w:sz w:val="24"/>
          <w:szCs w:val="24"/>
          <w:lang w:eastAsia="zh-CN"/>
        </w:rPr>
        <w:t>653100501018010015655</w:t>
      </w:r>
    </w:p>
    <w:p>
      <w:pPr>
        <w:pStyle w:val="385"/>
        <w:numPr>
          <w:ilvl w:val="0"/>
          <w:numId w:val="15"/>
        </w:numPr>
        <w:spacing w:line="500" w:lineRule="exact"/>
        <w:ind w:left="840" w:leftChars="0" w:hanging="420" w:firstLineChars="0"/>
        <w:jc w:val="both"/>
        <w:rPr>
          <w:rFonts w:hint="eastAsia" w:ascii="宋体" w:hAnsi="宋体" w:cs="宋体"/>
          <w:sz w:val="24"/>
          <w:szCs w:val="24"/>
        </w:rPr>
      </w:pPr>
      <w:r>
        <w:rPr>
          <w:rFonts w:hint="eastAsia" w:ascii="宋体" w:hAnsi="宋体" w:cs="宋体"/>
          <w:sz w:val="24"/>
          <w:szCs w:val="24"/>
        </w:rPr>
        <w:t>投标文件份数：</w:t>
      </w:r>
      <w:r>
        <w:rPr>
          <w:rFonts w:hint="eastAsia" w:ascii="宋体" w:hAnsi="宋体"/>
          <w:color w:val="auto"/>
          <w:sz w:val="24"/>
        </w:rPr>
        <w:t>全部投标文件应一式</w:t>
      </w:r>
      <w:r>
        <w:rPr>
          <w:rFonts w:hint="eastAsia" w:ascii="宋体" w:hAnsi="宋体"/>
          <w:color w:val="auto"/>
          <w:sz w:val="24"/>
          <w:lang w:eastAsia="zh-CN"/>
        </w:rPr>
        <w:t>伍</w:t>
      </w:r>
      <w:r>
        <w:rPr>
          <w:rFonts w:hint="eastAsia" w:ascii="宋体" w:hAnsi="宋体"/>
          <w:color w:val="auto"/>
          <w:sz w:val="24"/>
        </w:rPr>
        <w:t>份，正本1份（内装投标文件正本1份，投标文件电子版1份，不留密码，无病毒，内容应与投标人打印产生的纸质投标文件内容一致，如有不同，以纸质投标文件为准。），副本</w:t>
      </w:r>
      <w:r>
        <w:rPr>
          <w:rFonts w:hint="eastAsia" w:ascii="宋体" w:hAnsi="宋体"/>
          <w:color w:val="auto"/>
          <w:sz w:val="24"/>
          <w:lang w:val="en-US" w:eastAsia="zh-CN"/>
        </w:rPr>
        <w:t>4</w:t>
      </w:r>
      <w:r>
        <w:rPr>
          <w:rFonts w:hint="eastAsia" w:ascii="宋体" w:hAnsi="宋体"/>
          <w:color w:val="auto"/>
          <w:sz w:val="24"/>
        </w:rPr>
        <w:t>份，并注明“正本”和“副本”。如果正本与副本不符，应以正本为准。投标文件应由投标人的合法授权代表正式签署，任何更改（如有）应由原签署人签字</w:t>
      </w:r>
      <w:r>
        <w:rPr>
          <w:rFonts w:hint="eastAsia" w:ascii="宋体" w:hAnsi="宋体"/>
          <w:color w:val="auto"/>
          <w:sz w:val="24"/>
          <w:lang w:eastAsia="zh-CN"/>
        </w:rPr>
        <w:t>。</w:t>
      </w:r>
    </w:p>
    <w:p>
      <w:pPr>
        <w:pStyle w:val="385"/>
        <w:numPr>
          <w:ilvl w:val="0"/>
          <w:numId w:val="15"/>
        </w:numPr>
        <w:spacing w:line="500" w:lineRule="exact"/>
        <w:ind w:left="840" w:leftChars="0" w:hanging="420" w:firstLineChars="0"/>
        <w:jc w:val="both"/>
        <w:rPr>
          <w:rFonts w:ascii="宋体" w:cs="宋体"/>
          <w:sz w:val="24"/>
          <w:szCs w:val="24"/>
        </w:rPr>
      </w:pPr>
      <w:r>
        <w:rPr>
          <w:rFonts w:hint="eastAsia" w:ascii="宋体" w:hAnsi="宋体" w:cs="宋体"/>
          <w:sz w:val="24"/>
          <w:szCs w:val="24"/>
        </w:rPr>
        <w:t>投标文件递交至：开标现场</w:t>
      </w:r>
    </w:p>
    <w:p>
      <w:pPr>
        <w:pStyle w:val="385"/>
        <w:numPr>
          <w:ilvl w:val="0"/>
          <w:numId w:val="15"/>
        </w:numPr>
        <w:spacing w:line="500" w:lineRule="exact"/>
        <w:ind w:left="840" w:leftChars="0" w:hanging="420" w:firstLineChars="0"/>
        <w:jc w:val="both"/>
        <w:rPr>
          <w:rFonts w:hint="eastAsia" w:ascii="宋体" w:hAnsi="宋体" w:cs="宋体"/>
          <w:color w:val="FF0000"/>
          <w:sz w:val="24"/>
          <w:szCs w:val="24"/>
        </w:rPr>
      </w:pPr>
      <w:r>
        <w:rPr>
          <w:rFonts w:hint="eastAsia" w:ascii="宋体" w:hAnsi="宋体" w:cs="宋体"/>
          <w:sz w:val="24"/>
          <w:szCs w:val="24"/>
        </w:rPr>
        <w:t>投标文件有效期：</w:t>
      </w:r>
      <w:r>
        <w:rPr>
          <w:rFonts w:ascii="宋体" w:hAnsi="宋体" w:cs="宋体"/>
          <w:sz w:val="24"/>
          <w:szCs w:val="24"/>
        </w:rPr>
        <w:t>90</w:t>
      </w:r>
      <w:r>
        <w:rPr>
          <w:rFonts w:hint="eastAsia" w:ascii="宋体" w:hAnsi="宋体" w:cs="宋体"/>
          <w:sz w:val="24"/>
          <w:szCs w:val="24"/>
        </w:rPr>
        <w:t>天</w:t>
      </w:r>
    </w:p>
    <w:p>
      <w:pPr>
        <w:pStyle w:val="385"/>
        <w:numPr>
          <w:ilvl w:val="0"/>
          <w:numId w:val="15"/>
        </w:numPr>
        <w:spacing w:line="500" w:lineRule="exact"/>
        <w:ind w:left="840" w:leftChars="0" w:hanging="420" w:firstLineChars="0"/>
        <w:jc w:val="both"/>
        <w:rPr>
          <w:rFonts w:hint="default" w:ascii="宋体" w:hAnsi="宋体" w:eastAsia="宋体" w:cs="宋体"/>
          <w:color w:val="auto"/>
          <w:sz w:val="24"/>
          <w:szCs w:val="24"/>
          <w:lang w:val="en-US" w:eastAsia="zh-CN"/>
        </w:rPr>
      </w:pPr>
      <w:r>
        <w:rPr>
          <w:rFonts w:hint="eastAsia" w:ascii="宋体" w:hAnsi="宋体" w:cs="宋体"/>
          <w:color w:val="auto"/>
          <w:sz w:val="24"/>
          <w:szCs w:val="24"/>
        </w:rPr>
        <w:t>工程进度要求：</w:t>
      </w:r>
      <w:r>
        <w:rPr>
          <w:rFonts w:ascii="宋体" w:hAnsi="宋体" w:cs="宋体"/>
          <w:color w:val="auto"/>
          <w:sz w:val="24"/>
          <w:szCs w:val="24"/>
        </w:rPr>
        <w:t>20</w:t>
      </w:r>
      <w:r>
        <w:rPr>
          <w:rFonts w:hint="eastAsia" w:ascii="宋体" w:hAnsi="宋体" w:cs="宋体"/>
          <w:color w:val="auto"/>
          <w:sz w:val="24"/>
          <w:szCs w:val="24"/>
          <w:lang w:val="en-US" w:eastAsia="zh-CN"/>
        </w:rPr>
        <w:t>20</w:t>
      </w:r>
      <w:r>
        <w:rPr>
          <w:rFonts w:hint="eastAsia" w:ascii="宋体" w:hAnsi="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cs="宋体"/>
          <w:color w:val="auto"/>
          <w:sz w:val="24"/>
          <w:szCs w:val="24"/>
        </w:rPr>
        <w:t>月</w:t>
      </w:r>
      <w:r>
        <w:rPr>
          <w:rFonts w:hint="eastAsia" w:ascii="宋体" w:hAnsi="宋体" w:cs="宋体"/>
          <w:color w:val="auto"/>
          <w:sz w:val="24"/>
          <w:szCs w:val="24"/>
          <w:lang w:val="en-US" w:eastAsia="zh-CN"/>
        </w:rPr>
        <w:t>5</w:t>
      </w:r>
      <w:r>
        <w:rPr>
          <w:rFonts w:hint="eastAsia" w:ascii="宋体" w:hAnsi="宋体" w:cs="宋体"/>
          <w:color w:val="auto"/>
          <w:sz w:val="24"/>
          <w:szCs w:val="24"/>
        </w:rPr>
        <w:t>日前完成本招标范围内工程</w:t>
      </w:r>
    </w:p>
    <w:p>
      <w:pPr>
        <w:pStyle w:val="385"/>
        <w:numPr>
          <w:ilvl w:val="0"/>
          <w:numId w:val="15"/>
        </w:numPr>
        <w:spacing w:line="500" w:lineRule="exact"/>
        <w:ind w:left="840" w:leftChars="0" w:hanging="420" w:firstLineChars="0"/>
        <w:jc w:val="both"/>
        <w:rPr>
          <w:rFonts w:ascii="宋体" w:cs="宋体"/>
          <w:color w:val="auto"/>
          <w:sz w:val="24"/>
          <w:szCs w:val="24"/>
          <w:u w:val="single"/>
        </w:rPr>
      </w:pPr>
      <w:r>
        <w:rPr>
          <w:rFonts w:hint="eastAsia" w:ascii="宋体" w:hAnsi="宋体" w:cs="宋体"/>
          <w:color w:val="auto"/>
          <w:sz w:val="24"/>
          <w:szCs w:val="24"/>
          <w:lang w:val="en-US" w:eastAsia="zh-CN"/>
        </w:rPr>
        <w:t>交货地点：哈密市智慧城市大数据中心</w:t>
      </w:r>
    </w:p>
    <w:p>
      <w:pPr>
        <w:pStyle w:val="385"/>
        <w:numPr>
          <w:ilvl w:val="0"/>
          <w:numId w:val="15"/>
        </w:numPr>
        <w:spacing w:line="500" w:lineRule="exact"/>
        <w:ind w:left="840" w:leftChars="0" w:hanging="420" w:firstLineChars="0"/>
        <w:jc w:val="both"/>
        <w:rPr>
          <w:rFonts w:ascii="宋体" w:cs="宋体"/>
          <w:color w:val="auto"/>
          <w:sz w:val="24"/>
          <w:szCs w:val="24"/>
        </w:rPr>
      </w:pPr>
      <w:r>
        <w:rPr>
          <w:rFonts w:hint="eastAsia" w:ascii="宋体" w:hAnsi="宋体" w:cs="宋体"/>
          <w:color w:val="auto"/>
          <w:sz w:val="24"/>
          <w:szCs w:val="24"/>
        </w:rPr>
        <w:t>评标办法：</w:t>
      </w:r>
      <w:r>
        <w:rPr>
          <w:rFonts w:hint="eastAsia" w:ascii="宋体" w:hAnsi="宋体" w:cs="宋体"/>
          <w:color w:val="auto"/>
          <w:sz w:val="24"/>
          <w:szCs w:val="24"/>
          <w:u w:val="single"/>
        </w:rPr>
        <w:t>综合评分法</w:t>
      </w:r>
    </w:p>
    <w:p>
      <w:pPr>
        <w:pStyle w:val="385"/>
        <w:numPr>
          <w:ilvl w:val="0"/>
          <w:numId w:val="15"/>
        </w:numPr>
        <w:spacing w:line="500" w:lineRule="exact"/>
        <w:ind w:left="840" w:leftChars="0" w:hanging="420" w:firstLineChars="0"/>
        <w:jc w:val="both"/>
        <w:rPr>
          <w:rFonts w:ascii="宋体" w:cs="宋体"/>
          <w:color w:val="auto"/>
          <w:sz w:val="24"/>
          <w:szCs w:val="24"/>
        </w:rPr>
      </w:pPr>
      <w:r>
        <w:rPr>
          <w:rFonts w:hint="eastAsia" w:ascii="宋体" w:hAnsi="宋体" w:cs="宋体"/>
          <w:color w:val="auto"/>
          <w:sz w:val="24"/>
          <w:szCs w:val="24"/>
        </w:rPr>
        <w:t>投标报价本位币：人民币</w:t>
      </w:r>
    </w:p>
    <w:p>
      <w:pPr>
        <w:pStyle w:val="385"/>
        <w:numPr>
          <w:ilvl w:val="0"/>
          <w:numId w:val="15"/>
        </w:numPr>
        <w:spacing w:line="500" w:lineRule="exact"/>
        <w:ind w:left="840" w:leftChars="0" w:hanging="420" w:firstLineChars="0"/>
        <w:jc w:val="both"/>
        <w:rPr>
          <w:rFonts w:ascii="宋体" w:cs="宋体"/>
          <w:color w:val="auto"/>
          <w:sz w:val="24"/>
          <w:szCs w:val="24"/>
        </w:rPr>
      </w:pPr>
      <w:r>
        <w:rPr>
          <w:rFonts w:hint="eastAsia" w:ascii="宋体" w:hAnsi="宋体" w:cs="宋体"/>
          <w:color w:val="auto"/>
          <w:sz w:val="24"/>
          <w:szCs w:val="24"/>
        </w:rPr>
        <w:t>标书发放日期：</w:t>
      </w:r>
      <w:r>
        <w:rPr>
          <w:rFonts w:ascii="宋体" w:hAnsi="宋体" w:cs="宋体"/>
          <w:color w:val="auto"/>
          <w:sz w:val="24"/>
          <w:szCs w:val="24"/>
        </w:rPr>
        <w:t>20</w:t>
      </w:r>
      <w:r>
        <w:rPr>
          <w:rFonts w:hint="eastAsia" w:ascii="宋体" w:hAnsi="宋体" w:cs="宋体"/>
          <w:color w:val="auto"/>
          <w:sz w:val="24"/>
          <w:szCs w:val="24"/>
          <w:lang w:val="en-US" w:eastAsia="zh-CN"/>
        </w:rPr>
        <w:t>20</w:t>
      </w:r>
      <w:r>
        <w:rPr>
          <w:rFonts w:ascii="宋体" w:hAnsi="宋体" w:cs="宋体"/>
          <w:color w:val="auto"/>
          <w:sz w:val="24"/>
          <w:szCs w:val="24"/>
        </w:rPr>
        <w:t xml:space="preserve"> </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9</w:t>
      </w:r>
      <w:bookmarkStart w:id="62" w:name="_GoBack"/>
      <w:bookmarkEnd w:id="62"/>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7</w:t>
      </w:r>
      <w:r>
        <w:rPr>
          <w:rFonts w:hint="eastAsia" w:ascii="宋体" w:hAnsi="宋体" w:cs="宋体"/>
          <w:color w:val="auto"/>
          <w:sz w:val="24"/>
          <w:szCs w:val="24"/>
          <w:u w:val="single"/>
        </w:rPr>
        <w:t>日</w:t>
      </w:r>
      <w:r>
        <w:rPr>
          <w:rFonts w:hint="eastAsia" w:ascii="宋体" w:hAnsi="宋体" w:cs="宋体"/>
          <w:color w:val="auto"/>
          <w:sz w:val="24"/>
          <w:szCs w:val="24"/>
        </w:rPr>
        <w:t>起至</w:t>
      </w:r>
      <w:r>
        <w:rPr>
          <w:rFonts w:ascii="宋体" w:hAnsi="宋体" w:cs="宋体"/>
          <w:color w:val="auto"/>
          <w:sz w:val="24"/>
          <w:szCs w:val="24"/>
        </w:rPr>
        <w:t>20</w:t>
      </w:r>
      <w:r>
        <w:rPr>
          <w:rFonts w:hint="eastAsia" w:ascii="宋体" w:hAnsi="宋体" w:cs="宋体"/>
          <w:color w:val="auto"/>
          <w:sz w:val="24"/>
          <w:szCs w:val="24"/>
          <w:lang w:val="en-US" w:eastAsia="zh-CN"/>
        </w:rPr>
        <w:t>20</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rPr>
        <w:t>日</w:t>
      </w:r>
      <w:r>
        <w:rPr>
          <w:rFonts w:hint="eastAsia" w:ascii="宋体" w:hAnsi="宋体" w:cs="宋体"/>
          <w:color w:val="auto"/>
          <w:sz w:val="24"/>
          <w:szCs w:val="24"/>
        </w:rPr>
        <w:t>止</w:t>
      </w:r>
    </w:p>
    <w:p>
      <w:pPr>
        <w:pStyle w:val="385"/>
        <w:numPr>
          <w:ilvl w:val="0"/>
          <w:numId w:val="15"/>
        </w:numPr>
        <w:spacing w:line="500" w:lineRule="exact"/>
        <w:ind w:left="840" w:leftChars="0" w:hanging="420" w:firstLineChars="0"/>
        <w:jc w:val="both"/>
        <w:rPr>
          <w:rFonts w:hint="eastAsia" w:ascii="宋体" w:hAnsi="宋体" w:cs="宋体"/>
          <w:color w:val="auto"/>
          <w:sz w:val="24"/>
          <w:szCs w:val="24"/>
        </w:rPr>
      </w:pPr>
      <w:r>
        <w:rPr>
          <w:rFonts w:hint="eastAsia" w:ascii="宋体" w:hAnsi="宋体" w:cs="宋体"/>
          <w:color w:val="auto"/>
          <w:sz w:val="24"/>
          <w:szCs w:val="24"/>
        </w:rPr>
        <w:t>开标日期</w:t>
      </w:r>
      <w:r>
        <w:rPr>
          <w:rFonts w:ascii="宋体" w:hAnsi="宋体" w:cs="宋体"/>
          <w:color w:val="auto"/>
          <w:sz w:val="24"/>
          <w:szCs w:val="24"/>
        </w:rPr>
        <w:t>:20</w:t>
      </w:r>
      <w:r>
        <w:rPr>
          <w:rFonts w:hint="eastAsia" w:ascii="宋体" w:hAnsi="宋体" w:cs="宋体"/>
          <w:color w:val="auto"/>
          <w:sz w:val="24"/>
          <w:szCs w:val="24"/>
          <w:lang w:val="en-US" w:eastAsia="zh-CN"/>
        </w:rPr>
        <w:t>20</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28</w:t>
      </w:r>
      <w:r>
        <w:rPr>
          <w:rFonts w:hint="eastAsia" w:ascii="宋体" w:hAnsi="宋体" w:cs="宋体"/>
          <w:color w:val="auto"/>
          <w:sz w:val="24"/>
          <w:szCs w:val="24"/>
          <w:u w:val="single"/>
        </w:rPr>
        <w:t>日上午</w:t>
      </w:r>
      <w:r>
        <w:rPr>
          <w:rFonts w:hint="eastAsia" w:ascii="宋体" w:hAnsi="宋体" w:cs="宋体"/>
          <w:color w:val="auto"/>
          <w:sz w:val="24"/>
          <w:szCs w:val="24"/>
          <w:u w:val="single"/>
          <w:lang w:val="en-US" w:eastAsia="zh-CN"/>
        </w:rPr>
        <w:t>10</w:t>
      </w:r>
      <w:r>
        <w:rPr>
          <w:rFonts w:hint="eastAsia" w:ascii="宋体" w:hAnsi="宋体" w:cs="宋体"/>
          <w:color w:val="auto"/>
          <w:sz w:val="24"/>
          <w:szCs w:val="24"/>
          <w:u w:val="single"/>
        </w:rPr>
        <w:t>：</w:t>
      </w:r>
      <w:r>
        <w:rPr>
          <w:rFonts w:hint="eastAsia" w:ascii="宋体" w:hAnsi="宋体" w:cs="宋体"/>
          <w:color w:val="auto"/>
          <w:sz w:val="24"/>
          <w:szCs w:val="24"/>
          <w:u w:val="single"/>
          <w:lang w:val="en-US" w:eastAsia="zh-CN"/>
        </w:rPr>
        <w:t>00</w:t>
      </w:r>
      <w:r>
        <w:rPr>
          <w:rFonts w:ascii="宋体" w:hAnsi="宋体" w:cs="宋体"/>
          <w:color w:val="auto"/>
          <w:sz w:val="24"/>
          <w:szCs w:val="24"/>
        </w:rPr>
        <w:t>(</w:t>
      </w:r>
      <w:r>
        <w:rPr>
          <w:rFonts w:hint="eastAsia" w:ascii="宋体" w:hAnsi="宋体" w:cs="宋体"/>
          <w:color w:val="auto"/>
          <w:sz w:val="24"/>
          <w:szCs w:val="24"/>
        </w:rPr>
        <w:t>北京时间</w:t>
      </w:r>
      <w:r>
        <w:rPr>
          <w:rFonts w:ascii="宋体" w:hAnsi="宋体" w:cs="宋体"/>
          <w:color w:val="auto"/>
          <w:sz w:val="24"/>
          <w:szCs w:val="24"/>
        </w:rPr>
        <w:t>)</w:t>
      </w:r>
    </w:p>
    <w:p>
      <w:pPr>
        <w:pStyle w:val="385"/>
        <w:numPr>
          <w:ilvl w:val="0"/>
          <w:numId w:val="15"/>
        </w:numPr>
        <w:spacing w:line="500" w:lineRule="exact"/>
        <w:ind w:left="840" w:leftChars="0" w:hanging="420" w:firstLineChars="0"/>
        <w:jc w:val="both"/>
        <w:rPr>
          <w:rFonts w:ascii="宋体" w:hAnsi="宋体" w:cs="宋体"/>
          <w:color w:val="auto"/>
          <w:sz w:val="24"/>
          <w:szCs w:val="24"/>
        </w:rPr>
      </w:pPr>
      <w:r>
        <w:rPr>
          <w:rFonts w:hint="eastAsia" w:ascii="宋体" w:hAnsi="宋体" w:cs="宋体"/>
          <w:color w:val="auto"/>
          <w:sz w:val="24"/>
          <w:szCs w:val="24"/>
        </w:rPr>
        <w:t>开标地点：</w:t>
      </w:r>
      <w:r>
        <w:rPr>
          <w:rFonts w:hint="eastAsia" w:ascii="宋体" w:hAnsi="宋体" w:cs="宋体"/>
          <w:color w:val="auto"/>
          <w:sz w:val="24"/>
          <w:szCs w:val="24"/>
          <w:lang w:eastAsia="zh-CN"/>
        </w:rPr>
        <w:t>哈密市伊州区建设东路</w:t>
      </w:r>
      <w:r>
        <w:rPr>
          <w:rFonts w:hint="eastAsia" w:ascii="宋体" w:hAnsi="宋体" w:cs="宋体"/>
          <w:color w:val="auto"/>
          <w:sz w:val="24"/>
          <w:szCs w:val="24"/>
          <w:lang w:val="en-US" w:eastAsia="zh-CN"/>
        </w:rPr>
        <w:t>20号</w:t>
      </w:r>
    </w:p>
    <w:p>
      <w:pPr>
        <w:pStyle w:val="385"/>
        <w:numPr>
          <w:ilvl w:val="0"/>
          <w:numId w:val="15"/>
        </w:numPr>
        <w:spacing w:line="500" w:lineRule="exact"/>
        <w:ind w:left="840" w:leftChars="0" w:hanging="420" w:firstLineChars="0"/>
        <w:jc w:val="both"/>
        <w:rPr>
          <w:rFonts w:ascii="宋体" w:hAns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szCs w:val="24"/>
          <w:lang w:val="en-US" w:eastAsia="zh-CN"/>
        </w:rPr>
        <w:t>姚秀骞</w:t>
      </w:r>
      <w:r>
        <w:rPr>
          <w:rFonts w:ascii="宋体" w:hAnsi="宋体" w:cs="宋体"/>
          <w:color w:val="auto"/>
          <w:sz w:val="24"/>
          <w:szCs w:val="24"/>
        </w:rPr>
        <w:t xml:space="preserve">   </w:t>
      </w:r>
      <w:r>
        <w:rPr>
          <w:rFonts w:hint="eastAsia" w:ascii="宋体" w:hAnsi="宋体" w:cs="宋体"/>
          <w:color w:val="auto"/>
          <w:sz w:val="24"/>
          <w:szCs w:val="24"/>
        </w:rPr>
        <w:t>联系电话：</w:t>
      </w:r>
      <w:r>
        <w:rPr>
          <w:rFonts w:hint="eastAsia" w:ascii="宋体" w:hAnsi="宋体" w:cs="宋体"/>
          <w:color w:val="auto"/>
          <w:sz w:val="24"/>
          <w:szCs w:val="24"/>
          <w:lang w:val="en-US" w:eastAsia="zh-CN"/>
        </w:rPr>
        <w:t>18799113254</w:t>
      </w:r>
    </w:p>
    <w:p>
      <w:pPr>
        <w:pStyle w:val="545"/>
        <w:ind w:left="0" w:firstLine="0" w:firstLineChars="0"/>
        <w:rPr>
          <w:rFonts w:ascii="宋体" w:hAnsi="宋体" w:eastAsia="宋体"/>
        </w:rPr>
      </w:pPr>
      <w:bookmarkStart w:id="4" w:name="_Toc18066"/>
      <w:r>
        <w:rPr>
          <w:rFonts w:hint="eastAsia" w:ascii="宋体" w:hAnsi="宋体" w:eastAsia="宋体"/>
        </w:rPr>
        <w:t>第二部分</w:t>
      </w:r>
      <w:r>
        <w:rPr>
          <w:rFonts w:ascii="宋体" w:hAnsi="宋体" w:eastAsia="宋体"/>
        </w:rPr>
        <w:t xml:space="preserve"> </w:t>
      </w:r>
      <w:r>
        <w:rPr>
          <w:rFonts w:hint="eastAsia" w:ascii="宋体" w:hAnsi="宋体" w:eastAsia="宋体"/>
        </w:rPr>
        <w:t>招标说明</w:t>
      </w:r>
      <w:bookmarkEnd w:id="4"/>
    </w:p>
    <w:p>
      <w:pPr>
        <w:numPr>
          <w:ilvl w:val="0"/>
          <w:numId w:val="17"/>
        </w:numPr>
        <w:ind w:left="0" w:leftChars="0" w:firstLine="0" w:firstLineChars="0"/>
        <w:outlineLvl w:val="1"/>
        <w:rPr>
          <w:rFonts w:ascii="宋体"/>
          <w:b/>
        </w:rPr>
      </w:pPr>
      <w:bookmarkStart w:id="5" w:name="_Toc7859312"/>
      <w:bookmarkStart w:id="6" w:name="_Toc259"/>
      <w:r>
        <w:rPr>
          <w:rFonts w:hint="eastAsia" w:ascii="宋体" w:hAnsi="宋体"/>
          <w:b/>
        </w:rPr>
        <w:t>适用范围</w:t>
      </w:r>
      <w:bookmarkEnd w:id="5"/>
      <w:bookmarkEnd w:id="6"/>
    </w:p>
    <w:p>
      <w:pPr>
        <w:pStyle w:val="385"/>
        <w:numPr>
          <w:ilvl w:val="1"/>
          <w:numId w:val="18"/>
        </w:numPr>
        <w:spacing w:line="360" w:lineRule="auto"/>
        <w:ind w:firstLine="400" w:firstLineChars="200"/>
        <w:rPr>
          <w:rFonts w:hint="eastAsia" w:ascii="宋体" w:hAnsi="宋体" w:cs="宋体"/>
          <w:color w:val="auto"/>
          <w:sz w:val="20"/>
          <w:szCs w:val="20"/>
        </w:rPr>
      </w:pPr>
      <w:r>
        <w:rPr>
          <w:rFonts w:hint="eastAsia" w:ascii="宋体" w:hAnsi="宋体" w:cs="宋体"/>
          <w:bCs/>
          <w:color w:val="auto"/>
          <w:kern w:val="2"/>
          <w:sz w:val="20"/>
          <w:szCs w:val="20"/>
        </w:rPr>
        <w:t>本招标文件仅适用于在招标文件中所叙述的</w:t>
      </w:r>
      <w:r>
        <w:rPr>
          <w:rFonts w:hint="eastAsia" w:ascii="宋体" w:hAnsi="宋体" w:cs="宋体"/>
          <w:color w:val="auto"/>
          <w:sz w:val="20"/>
          <w:szCs w:val="20"/>
          <w:lang w:eastAsia="zh-CN"/>
        </w:rPr>
        <w:t>哈密</w:t>
      </w:r>
      <w:r>
        <w:rPr>
          <w:rFonts w:hint="eastAsia" w:ascii="宋体" w:hAnsi="宋体" w:cs="宋体"/>
          <w:color w:val="auto"/>
          <w:sz w:val="20"/>
          <w:szCs w:val="20"/>
          <w:lang w:val="en-US" w:eastAsia="zh-CN"/>
        </w:rPr>
        <w:t>市</w:t>
      </w:r>
      <w:r>
        <w:rPr>
          <w:rFonts w:hint="eastAsia" w:ascii="宋体" w:hAnsi="宋体" w:cs="宋体"/>
          <w:color w:val="auto"/>
          <w:sz w:val="20"/>
          <w:szCs w:val="20"/>
          <w:lang w:eastAsia="zh-CN"/>
        </w:rPr>
        <w:t>智慧政务</w:t>
      </w:r>
      <w:r>
        <w:rPr>
          <w:rFonts w:hint="eastAsia" w:ascii="宋体" w:hAnsi="宋体" w:cs="宋体"/>
          <w:color w:val="auto"/>
          <w:sz w:val="20"/>
          <w:szCs w:val="20"/>
        </w:rPr>
        <w:t>（“</w:t>
      </w:r>
      <w:r>
        <w:rPr>
          <w:rFonts w:hint="eastAsia" w:ascii="宋体" w:hAnsi="宋体" w:cs="宋体"/>
          <w:color w:val="auto"/>
          <w:sz w:val="20"/>
          <w:szCs w:val="20"/>
          <w:lang w:eastAsia="zh-CN"/>
        </w:rPr>
        <w:t>“互联网+”</w:t>
      </w:r>
      <w:r>
        <w:rPr>
          <w:rFonts w:hint="eastAsia" w:ascii="宋体" w:hAnsi="宋体" w:cs="宋体"/>
          <w:color w:val="auto"/>
          <w:sz w:val="20"/>
          <w:szCs w:val="20"/>
        </w:rPr>
        <w:t>”及信息技术综合应用工程）</w:t>
      </w:r>
      <w:r>
        <w:rPr>
          <w:rFonts w:hint="eastAsia" w:ascii="宋体" w:hAnsi="宋体" w:cs="宋体"/>
          <w:color w:val="auto"/>
          <w:sz w:val="20"/>
          <w:szCs w:val="20"/>
          <w:lang w:val="en-US" w:eastAsia="zh-CN"/>
        </w:rPr>
        <w:t>一期电子政务外网机房扩容</w:t>
      </w:r>
      <w:r>
        <w:rPr>
          <w:rFonts w:hint="eastAsia" w:ascii="宋体" w:hAnsi="宋体" w:cs="宋体"/>
          <w:color w:val="auto"/>
          <w:sz w:val="20"/>
          <w:szCs w:val="20"/>
        </w:rPr>
        <w:t>采购项目。</w:t>
      </w:r>
    </w:p>
    <w:p>
      <w:pPr>
        <w:numPr>
          <w:ilvl w:val="0"/>
          <w:numId w:val="17"/>
        </w:numPr>
        <w:ind w:left="0" w:leftChars="0" w:firstLine="0" w:firstLineChars="0"/>
        <w:outlineLvl w:val="1"/>
        <w:rPr>
          <w:rFonts w:ascii="宋体"/>
          <w:b/>
        </w:rPr>
      </w:pPr>
      <w:bookmarkStart w:id="7" w:name="_Toc24141"/>
      <w:r>
        <w:rPr>
          <w:rFonts w:hint="eastAsia" w:ascii="宋体" w:hAnsi="宋体"/>
          <w:b/>
        </w:rPr>
        <w:t>投标资格</w:t>
      </w:r>
      <w:bookmarkEnd w:id="7"/>
    </w:p>
    <w:p>
      <w:pPr>
        <w:ind w:firstLine="400" w:firstLineChars="200"/>
        <w:rPr>
          <w:rFonts w:ascii="宋体" w:cs="宋体"/>
          <w:bCs/>
          <w:sz w:val="20"/>
          <w:szCs w:val="22"/>
        </w:rPr>
      </w:pPr>
      <w:r>
        <w:rPr>
          <w:rFonts w:ascii="宋体" w:hAnsi="宋体" w:cs="宋体"/>
          <w:bCs/>
          <w:sz w:val="20"/>
          <w:szCs w:val="22"/>
        </w:rPr>
        <w:t>2.1</w:t>
      </w:r>
      <w:r>
        <w:rPr>
          <w:rFonts w:hint="eastAsia" w:ascii="宋体" w:hAnsi="宋体" w:cs="宋体"/>
          <w:bCs/>
          <w:sz w:val="20"/>
          <w:szCs w:val="22"/>
        </w:rPr>
        <w:t>经投标预审通过的投标人具备投标资格。</w:t>
      </w:r>
    </w:p>
    <w:p>
      <w:pPr>
        <w:ind w:firstLine="400" w:firstLineChars="200"/>
        <w:rPr>
          <w:rFonts w:ascii="宋体" w:cs="宋体"/>
          <w:bCs/>
          <w:sz w:val="20"/>
        </w:rPr>
      </w:pPr>
      <w:r>
        <w:rPr>
          <w:rFonts w:ascii="宋体" w:hAnsi="宋体" w:cs="宋体"/>
          <w:bCs/>
          <w:sz w:val="20"/>
        </w:rPr>
        <w:t>2.2</w:t>
      </w:r>
      <w:r>
        <w:rPr>
          <w:rFonts w:hint="eastAsia" w:ascii="宋体" w:hAnsi="宋体" w:cs="宋体"/>
          <w:bCs/>
          <w:sz w:val="20"/>
        </w:rPr>
        <w:t>投标人应遵守中华人民共和国法律法规和行政规章。</w:t>
      </w:r>
    </w:p>
    <w:p>
      <w:pPr>
        <w:numPr>
          <w:ilvl w:val="0"/>
          <w:numId w:val="17"/>
        </w:numPr>
        <w:ind w:left="0" w:leftChars="0" w:firstLine="0" w:firstLineChars="0"/>
        <w:outlineLvl w:val="1"/>
        <w:rPr>
          <w:rFonts w:ascii="宋体"/>
          <w:b/>
        </w:rPr>
      </w:pPr>
      <w:bookmarkStart w:id="8" w:name="_Toc2252"/>
      <w:bookmarkStart w:id="9" w:name="_Toc7859313"/>
      <w:r>
        <w:rPr>
          <w:rFonts w:hint="eastAsia" w:ascii="宋体" w:hAnsi="宋体"/>
          <w:b/>
        </w:rPr>
        <w:t>定义</w:t>
      </w:r>
      <w:bookmarkEnd w:id="8"/>
      <w:bookmarkEnd w:id="9"/>
    </w:p>
    <w:p>
      <w:pPr>
        <w:ind w:firstLine="400" w:firstLineChars="200"/>
        <w:rPr>
          <w:rFonts w:ascii="宋体" w:cs="宋体"/>
          <w:bCs/>
          <w:sz w:val="20"/>
        </w:rPr>
      </w:pPr>
      <w:r>
        <w:rPr>
          <w:rFonts w:hint="eastAsia" w:ascii="宋体" w:hAnsi="宋体" w:cs="宋体"/>
          <w:bCs/>
          <w:sz w:val="20"/>
        </w:rPr>
        <w:t>下列术语和缩写的定义为：</w:t>
      </w:r>
    </w:p>
    <w:p>
      <w:pPr>
        <w:ind w:firstLine="400" w:firstLineChars="200"/>
        <w:rPr>
          <w:rFonts w:ascii="宋体" w:cs="宋体"/>
          <w:bCs/>
          <w:sz w:val="20"/>
        </w:rPr>
      </w:pPr>
      <w:r>
        <w:rPr>
          <w:rFonts w:ascii="宋体" w:hAnsi="宋体" w:cs="宋体"/>
          <w:bCs/>
          <w:sz w:val="20"/>
        </w:rPr>
        <w:t xml:space="preserve">3.1 </w:t>
      </w:r>
      <w:r>
        <w:rPr>
          <w:rFonts w:hint="eastAsia" w:ascii="宋体" w:hAnsi="宋体" w:cs="宋体"/>
          <w:bCs/>
          <w:sz w:val="20"/>
        </w:rPr>
        <w:t>“招标方”系指</w:t>
      </w:r>
      <w:r>
        <w:rPr>
          <w:rFonts w:hint="eastAsia" w:ascii="宋体" w:hAnsi="宋体" w:cs="宋体"/>
          <w:bCs/>
          <w:sz w:val="20"/>
          <w:szCs w:val="22"/>
        </w:rPr>
        <w:t>中共哈密市委员会网络安全和信息化委员会办公室。</w:t>
      </w:r>
    </w:p>
    <w:p>
      <w:pPr>
        <w:ind w:firstLine="400" w:firstLineChars="200"/>
        <w:rPr>
          <w:rFonts w:ascii="宋体" w:cs="宋体"/>
          <w:bCs/>
          <w:sz w:val="20"/>
        </w:rPr>
      </w:pPr>
      <w:r>
        <w:rPr>
          <w:rFonts w:ascii="宋体" w:hAnsi="宋体" w:cs="宋体"/>
          <w:bCs/>
          <w:sz w:val="20"/>
        </w:rPr>
        <w:t xml:space="preserve">3.2 </w:t>
      </w:r>
      <w:r>
        <w:rPr>
          <w:rFonts w:hint="eastAsia" w:ascii="宋体" w:hAnsi="宋体" w:cs="宋体"/>
          <w:bCs/>
          <w:sz w:val="20"/>
        </w:rPr>
        <w:t>“投标方”“投标人”系指有资格的投标表现人。</w:t>
      </w:r>
    </w:p>
    <w:p>
      <w:pPr>
        <w:ind w:firstLine="400" w:firstLineChars="200"/>
        <w:rPr>
          <w:rFonts w:ascii="宋体" w:cs="宋体"/>
          <w:bCs/>
          <w:sz w:val="20"/>
        </w:rPr>
      </w:pPr>
      <w:r>
        <w:rPr>
          <w:rFonts w:ascii="宋体" w:hAnsi="宋体" w:cs="宋体"/>
          <w:bCs/>
          <w:sz w:val="20"/>
        </w:rPr>
        <w:t xml:space="preserve">3.3 </w:t>
      </w:r>
      <w:r>
        <w:rPr>
          <w:rFonts w:hint="eastAsia" w:ascii="宋体" w:hAnsi="宋体" w:cs="宋体"/>
          <w:bCs/>
          <w:sz w:val="20"/>
        </w:rPr>
        <w:t>“货物”系指招标文件规定的，投标方须向招标方提供的一切设备、附件、备品备件、工具、手册及</w:t>
      </w:r>
      <w:r>
        <w:rPr>
          <w:rFonts w:hint="eastAsia" w:ascii="宋体" w:hAnsi="宋体" w:cs="宋体"/>
          <w:bCs/>
          <w:sz w:val="20"/>
          <w:lang w:val="en-US" w:eastAsia="zh-CN"/>
        </w:rPr>
        <w:t>其他</w:t>
      </w:r>
      <w:r>
        <w:rPr>
          <w:rFonts w:hint="eastAsia" w:ascii="宋体" w:hAnsi="宋体" w:cs="宋体"/>
          <w:bCs/>
          <w:sz w:val="20"/>
        </w:rPr>
        <w:t>有关资料和材料。</w:t>
      </w:r>
    </w:p>
    <w:p>
      <w:pPr>
        <w:ind w:firstLine="400" w:firstLineChars="200"/>
        <w:rPr>
          <w:rFonts w:ascii="宋体" w:cs="宋体"/>
          <w:bCs/>
          <w:sz w:val="20"/>
        </w:rPr>
      </w:pPr>
      <w:r>
        <w:rPr>
          <w:rFonts w:ascii="宋体" w:hAnsi="宋体" w:cs="宋体"/>
          <w:bCs/>
          <w:sz w:val="20"/>
        </w:rPr>
        <w:t xml:space="preserve">3.4 </w:t>
      </w:r>
      <w:r>
        <w:rPr>
          <w:rFonts w:hint="eastAsia" w:ascii="宋体" w:hAnsi="宋体" w:cs="宋体"/>
          <w:bCs/>
          <w:sz w:val="20"/>
        </w:rPr>
        <w:t>“服务”系指招标文件规定投标方须承担的保修、技术协助、培训及其他类似的责任。</w:t>
      </w:r>
    </w:p>
    <w:p>
      <w:pPr>
        <w:numPr>
          <w:ilvl w:val="0"/>
          <w:numId w:val="17"/>
        </w:numPr>
        <w:ind w:left="0" w:leftChars="0" w:firstLine="0" w:firstLineChars="0"/>
        <w:outlineLvl w:val="1"/>
        <w:rPr>
          <w:rFonts w:ascii="宋体"/>
          <w:b/>
        </w:rPr>
      </w:pPr>
      <w:bookmarkStart w:id="10" w:name="_Toc7859314"/>
      <w:bookmarkStart w:id="11" w:name="_Toc18861"/>
      <w:r>
        <w:rPr>
          <w:rFonts w:hint="eastAsia" w:ascii="宋体" w:hAnsi="宋体"/>
          <w:b/>
          <w:szCs w:val="22"/>
        </w:rPr>
        <w:t>投标</w:t>
      </w:r>
      <w:r>
        <w:rPr>
          <w:rFonts w:hint="eastAsia" w:ascii="宋体" w:hAnsi="宋体" w:cs="宋体"/>
          <w:b/>
          <w:sz w:val="20"/>
        </w:rPr>
        <w:t>费用</w:t>
      </w:r>
      <w:bookmarkEnd w:id="10"/>
      <w:bookmarkEnd w:id="11"/>
    </w:p>
    <w:p>
      <w:pPr>
        <w:ind w:firstLine="400" w:firstLineChars="200"/>
        <w:rPr>
          <w:rFonts w:ascii="宋体" w:cs="宋体"/>
          <w:bCs/>
          <w:sz w:val="20"/>
        </w:rPr>
      </w:pPr>
      <w:r>
        <w:rPr>
          <w:rFonts w:ascii="宋体" w:hAnsi="宋体" w:cs="宋体"/>
          <w:bCs/>
          <w:sz w:val="20"/>
        </w:rPr>
        <w:t>4.1</w:t>
      </w:r>
      <w:r>
        <w:rPr>
          <w:rFonts w:hint="eastAsia" w:ascii="宋体" w:hAnsi="宋体" w:cs="宋体"/>
          <w:bCs/>
          <w:sz w:val="20"/>
          <w:lang w:val="en-US" w:eastAsia="zh-CN"/>
        </w:rPr>
        <w:t xml:space="preserve"> </w:t>
      </w:r>
      <w:r>
        <w:rPr>
          <w:rFonts w:hint="eastAsia" w:ascii="宋体" w:hAnsi="宋体" w:cs="宋体"/>
          <w:bCs/>
          <w:sz w:val="20"/>
        </w:rPr>
        <w:t>无论投标结果如何，与参与招标、投标活动有关的所有费用将由投标方自行承担。</w:t>
      </w:r>
    </w:p>
    <w:p>
      <w:pPr>
        <w:ind w:firstLine="400" w:firstLineChars="200"/>
        <w:rPr>
          <w:rFonts w:ascii="宋体" w:cs="宋体"/>
          <w:bCs/>
          <w:sz w:val="20"/>
        </w:rPr>
      </w:pPr>
      <w:r>
        <w:rPr>
          <w:rFonts w:ascii="宋体" w:hAnsi="宋体" w:cs="宋体"/>
          <w:bCs/>
          <w:sz w:val="20"/>
        </w:rPr>
        <w:t>4.2</w:t>
      </w:r>
      <w:r>
        <w:rPr>
          <w:rFonts w:hint="eastAsia" w:ascii="宋体" w:hAnsi="宋体" w:cs="宋体"/>
          <w:bCs/>
          <w:sz w:val="20"/>
          <w:lang w:val="en-US" w:eastAsia="zh-CN"/>
        </w:rPr>
        <w:t xml:space="preserve"> </w:t>
      </w:r>
      <w:r>
        <w:rPr>
          <w:rFonts w:hint="eastAsia" w:ascii="宋体" w:hAnsi="宋体" w:cs="宋体"/>
          <w:bCs/>
          <w:sz w:val="20"/>
        </w:rPr>
        <w:t>投标人被视为熟悉本招标项目的各种情况以及与履行合同有关的一切情况。</w:t>
      </w:r>
    </w:p>
    <w:p>
      <w:pPr>
        <w:numPr>
          <w:ilvl w:val="0"/>
          <w:numId w:val="17"/>
        </w:numPr>
        <w:ind w:left="0" w:leftChars="0" w:firstLine="0" w:firstLineChars="0"/>
        <w:outlineLvl w:val="1"/>
        <w:rPr>
          <w:rFonts w:ascii="宋体"/>
          <w:b/>
        </w:rPr>
      </w:pPr>
      <w:bookmarkStart w:id="12" w:name="_Toc28575"/>
      <w:bookmarkStart w:id="13" w:name="_Toc7859315"/>
      <w:r>
        <w:rPr>
          <w:rFonts w:hint="eastAsia" w:ascii="宋体" w:hAnsi="宋体"/>
          <w:b/>
        </w:rPr>
        <w:t>招标文件的构成</w:t>
      </w:r>
      <w:bookmarkEnd w:id="12"/>
      <w:bookmarkEnd w:id="13"/>
    </w:p>
    <w:p>
      <w:pPr>
        <w:ind w:firstLine="400" w:firstLineChars="200"/>
        <w:rPr>
          <w:rFonts w:ascii="宋体" w:cs="宋体"/>
          <w:bCs/>
          <w:sz w:val="20"/>
          <w:szCs w:val="22"/>
        </w:rPr>
      </w:pPr>
      <w:r>
        <w:rPr>
          <w:rFonts w:ascii="宋体" w:hAnsi="宋体" w:cs="宋体"/>
          <w:bCs/>
          <w:sz w:val="20"/>
          <w:szCs w:val="22"/>
        </w:rPr>
        <w:t>5.1</w:t>
      </w:r>
      <w:r>
        <w:rPr>
          <w:rFonts w:hint="eastAsia" w:ascii="宋体" w:hAnsi="宋体" w:cs="宋体"/>
          <w:bCs/>
          <w:sz w:val="20"/>
          <w:szCs w:val="22"/>
          <w:lang w:val="en-US" w:eastAsia="zh-CN"/>
        </w:rPr>
        <w:t xml:space="preserve"> </w:t>
      </w:r>
      <w:r>
        <w:rPr>
          <w:rFonts w:hint="eastAsia" w:ascii="宋体" w:hAnsi="宋体" w:cs="宋体"/>
          <w:bCs/>
          <w:sz w:val="20"/>
          <w:szCs w:val="22"/>
        </w:rPr>
        <w:t>招标文件由下述部分组成：</w:t>
      </w:r>
    </w:p>
    <w:p>
      <w:pPr>
        <w:ind w:firstLine="400" w:firstLineChars="200"/>
        <w:rPr>
          <w:rFonts w:ascii="宋体" w:cs="宋体"/>
          <w:bCs/>
          <w:sz w:val="20"/>
          <w:szCs w:val="22"/>
        </w:rPr>
      </w:pPr>
      <w:r>
        <w:rPr>
          <w:rFonts w:hint="eastAsia" w:ascii="宋体" w:hAnsi="宋体" w:cs="宋体"/>
          <w:bCs/>
          <w:sz w:val="20"/>
          <w:szCs w:val="22"/>
        </w:rPr>
        <w:t>第一部分</w:t>
      </w:r>
      <w:r>
        <w:rPr>
          <w:rFonts w:ascii="宋体" w:hAnsi="宋体" w:cs="宋体"/>
          <w:bCs/>
          <w:sz w:val="20"/>
          <w:szCs w:val="22"/>
        </w:rPr>
        <w:t xml:space="preserve"> </w:t>
      </w:r>
      <w:r>
        <w:rPr>
          <w:rFonts w:hint="eastAsia" w:ascii="宋体" w:hAnsi="宋体" w:cs="宋体"/>
          <w:bCs/>
          <w:sz w:val="20"/>
          <w:szCs w:val="22"/>
        </w:rPr>
        <w:t>投标须知</w:t>
      </w:r>
    </w:p>
    <w:p>
      <w:pPr>
        <w:ind w:firstLine="400" w:firstLineChars="200"/>
        <w:rPr>
          <w:rFonts w:ascii="宋体" w:cs="宋体"/>
          <w:bCs/>
          <w:sz w:val="20"/>
          <w:szCs w:val="22"/>
        </w:rPr>
      </w:pPr>
      <w:r>
        <w:rPr>
          <w:rFonts w:hint="eastAsia" w:ascii="宋体" w:hAnsi="宋体" w:cs="宋体"/>
          <w:bCs/>
          <w:sz w:val="20"/>
          <w:szCs w:val="22"/>
        </w:rPr>
        <w:t>第二部分</w:t>
      </w:r>
      <w:r>
        <w:rPr>
          <w:rFonts w:ascii="宋体" w:hAnsi="宋体" w:cs="宋体"/>
          <w:bCs/>
          <w:sz w:val="20"/>
          <w:szCs w:val="22"/>
        </w:rPr>
        <w:t xml:space="preserve"> </w:t>
      </w:r>
      <w:r>
        <w:rPr>
          <w:rFonts w:hint="eastAsia" w:ascii="宋体" w:hAnsi="宋体" w:cs="宋体"/>
          <w:bCs/>
          <w:sz w:val="20"/>
          <w:szCs w:val="22"/>
        </w:rPr>
        <w:t>招标说明</w:t>
      </w:r>
    </w:p>
    <w:p>
      <w:pPr>
        <w:ind w:firstLine="400" w:firstLineChars="200"/>
        <w:rPr>
          <w:rFonts w:ascii="宋体" w:cs="宋体"/>
          <w:bCs/>
          <w:sz w:val="20"/>
          <w:szCs w:val="22"/>
        </w:rPr>
      </w:pPr>
      <w:r>
        <w:rPr>
          <w:rFonts w:hint="eastAsia" w:ascii="宋体" w:hAnsi="宋体" w:cs="宋体"/>
          <w:bCs/>
          <w:sz w:val="20"/>
          <w:szCs w:val="22"/>
        </w:rPr>
        <w:t>第三部分</w:t>
      </w:r>
      <w:r>
        <w:rPr>
          <w:rFonts w:ascii="宋体" w:hAnsi="宋体" w:cs="宋体"/>
          <w:bCs/>
          <w:sz w:val="20"/>
          <w:szCs w:val="22"/>
        </w:rPr>
        <w:t xml:space="preserve"> </w:t>
      </w:r>
      <w:r>
        <w:rPr>
          <w:rFonts w:hint="eastAsia" w:ascii="宋体" w:hAnsi="宋体" w:cs="宋体"/>
          <w:bCs/>
          <w:sz w:val="20"/>
          <w:szCs w:val="22"/>
        </w:rPr>
        <w:t>投标说明</w:t>
      </w:r>
    </w:p>
    <w:p>
      <w:pPr>
        <w:ind w:firstLine="400" w:firstLineChars="200"/>
        <w:rPr>
          <w:rFonts w:ascii="宋体" w:cs="宋体"/>
          <w:bCs/>
          <w:sz w:val="20"/>
          <w:szCs w:val="22"/>
        </w:rPr>
      </w:pPr>
      <w:r>
        <w:rPr>
          <w:rFonts w:hint="eastAsia" w:ascii="宋体" w:hAnsi="宋体" w:cs="宋体"/>
          <w:bCs/>
          <w:sz w:val="20"/>
          <w:szCs w:val="22"/>
        </w:rPr>
        <w:t>第四部分</w:t>
      </w:r>
      <w:r>
        <w:rPr>
          <w:rFonts w:ascii="宋体" w:hAnsi="宋体" w:cs="宋体"/>
          <w:bCs/>
          <w:sz w:val="20"/>
          <w:szCs w:val="22"/>
        </w:rPr>
        <w:t xml:space="preserve"> </w:t>
      </w:r>
      <w:r>
        <w:rPr>
          <w:rFonts w:hint="eastAsia" w:ascii="宋体" w:hAnsi="宋体" w:cs="宋体"/>
          <w:bCs/>
          <w:sz w:val="20"/>
          <w:szCs w:val="22"/>
        </w:rPr>
        <w:t>开标、评标及定标说明</w:t>
      </w:r>
    </w:p>
    <w:p>
      <w:pPr>
        <w:ind w:firstLine="400" w:firstLineChars="200"/>
        <w:rPr>
          <w:rFonts w:ascii="宋体" w:cs="宋体"/>
          <w:bCs/>
          <w:sz w:val="20"/>
          <w:szCs w:val="22"/>
        </w:rPr>
      </w:pPr>
      <w:r>
        <w:rPr>
          <w:rFonts w:hint="eastAsia" w:ascii="宋体" w:hAnsi="宋体" w:cs="宋体"/>
          <w:bCs/>
          <w:sz w:val="20"/>
          <w:szCs w:val="22"/>
        </w:rPr>
        <w:t>第五部分</w:t>
      </w:r>
      <w:r>
        <w:rPr>
          <w:rFonts w:ascii="宋体" w:hAnsi="宋体" w:cs="宋体"/>
          <w:bCs/>
          <w:sz w:val="20"/>
          <w:szCs w:val="22"/>
        </w:rPr>
        <w:t xml:space="preserve"> </w:t>
      </w:r>
      <w:r>
        <w:rPr>
          <w:rFonts w:hint="eastAsia" w:ascii="宋体" w:hAnsi="宋体" w:cs="宋体"/>
          <w:bCs/>
          <w:sz w:val="20"/>
          <w:szCs w:val="22"/>
        </w:rPr>
        <w:t>货物需求及技术规格说明</w:t>
      </w:r>
    </w:p>
    <w:p>
      <w:pPr>
        <w:ind w:firstLine="400" w:firstLineChars="200"/>
        <w:rPr>
          <w:rFonts w:ascii="宋体" w:cs="宋体"/>
          <w:bCs/>
          <w:sz w:val="20"/>
          <w:szCs w:val="22"/>
        </w:rPr>
      </w:pPr>
      <w:r>
        <w:rPr>
          <w:rFonts w:hint="eastAsia" w:ascii="宋体" w:hAnsi="宋体" w:cs="宋体"/>
          <w:bCs/>
          <w:sz w:val="20"/>
          <w:szCs w:val="22"/>
        </w:rPr>
        <w:t>第六部分</w:t>
      </w:r>
      <w:r>
        <w:rPr>
          <w:rFonts w:ascii="宋体" w:hAnsi="宋体" w:cs="宋体"/>
          <w:bCs/>
          <w:sz w:val="20"/>
          <w:szCs w:val="22"/>
        </w:rPr>
        <w:t xml:space="preserve"> </w:t>
      </w:r>
      <w:r>
        <w:rPr>
          <w:rFonts w:hint="eastAsia" w:ascii="宋体" w:hAnsi="宋体" w:cs="宋体"/>
          <w:bCs/>
          <w:sz w:val="20"/>
          <w:szCs w:val="22"/>
        </w:rPr>
        <w:t>商务部分</w:t>
      </w:r>
    </w:p>
    <w:p>
      <w:pPr>
        <w:ind w:firstLine="400" w:firstLineChars="200"/>
        <w:rPr>
          <w:rFonts w:ascii="宋体" w:cs="宋体"/>
          <w:bCs/>
          <w:sz w:val="20"/>
          <w:szCs w:val="22"/>
        </w:rPr>
      </w:pPr>
      <w:r>
        <w:rPr>
          <w:rFonts w:hint="eastAsia" w:ascii="宋体" w:hAnsi="宋体" w:cs="宋体"/>
          <w:bCs/>
          <w:sz w:val="20"/>
          <w:szCs w:val="22"/>
        </w:rPr>
        <w:t>第七部分</w:t>
      </w:r>
      <w:r>
        <w:rPr>
          <w:rFonts w:ascii="宋体" w:hAnsi="宋体" w:cs="宋体"/>
          <w:bCs/>
          <w:sz w:val="20"/>
          <w:szCs w:val="22"/>
        </w:rPr>
        <w:t xml:space="preserve"> </w:t>
      </w:r>
      <w:r>
        <w:rPr>
          <w:rFonts w:hint="eastAsia" w:ascii="宋体" w:hAnsi="宋体" w:cs="宋体"/>
          <w:bCs/>
          <w:sz w:val="20"/>
          <w:szCs w:val="22"/>
        </w:rPr>
        <w:t>附件（投标文件编制顺序及范本格式）</w:t>
      </w:r>
    </w:p>
    <w:p>
      <w:pPr>
        <w:numPr>
          <w:ilvl w:val="0"/>
          <w:numId w:val="17"/>
        </w:numPr>
        <w:ind w:left="0" w:leftChars="0" w:firstLine="0" w:firstLineChars="0"/>
        <w:outlineLvl w:val="1"/>
        <w:rPr>
          <w:rFonts w:ascii="宋体"/>
          <w:b/>
        </w:rPr>
      </w:pPr>
      <w:bookmarkStart w:id="14" w:name="_Toc7859316"/>
      <w:bookmarkStart w:id="15" w:name="_Toc1789"/>
      <w:r>
        <w:rPr>
          <w:rFonts w:hint="eastAsia" w:ascii="宋体" w:hAnsi="宋体"/>
          <w:b/>
        </w:rPr>
        <w:t>招标文件的澄清</w:t>
      </w:r>
      <w:bookmarkEnd w:id="14"/>
      <w:bookmarkEnd w:id="15"/>
    </w:p>
    <w:p>
      <w:pPr>
        <w:ind w:firstLine="400" w:firstLineChars="200"/>
        <w:rPr>
          <w:rFonts w:ascii="宋体" w:cs="宋体"/>
          <w:bCs/>
          <w:sz w:val="20"/>
        </w:rPr>
      </w:pPr>
      <w:r>
        <w:rPr>
          <w:rFonts w:ascii="宋体" w:hAnsi="宋体" w:cs="宋体"/>
          <w:bCs/>
          <w:sz w:val="20"/>
        </w:rPr>
        <w:t>6.1</w:t>
      </w:r>
      <w:r>
        <w:rPr>
          <w:rFonts w:hint="eastAsia" w:ascii="宋体" w:hAnsi="宋体" w:cs="宋体"/>
          <w:bCs/>
          <w:sz w:val="20"/>
          <w:lang w:val="en-US" w:eastAsia="zh-CN"/>
        </w:rPr>
        <w:t xml:space="preserve"> </w:t>
      </w:r>
      <w:r>
        <w:rPr>
          <w:rFonts w:hint="eastAsia" w:ascii="宋体" w:hAnsi="宋体" w:cs="宋体"/>
          <w:bCs/>
          <w:sz w:val="20"/>
        </w:rPr>
        <w:t>投标人对招标文件如有疑点，可在投标截止日前的</w:t>
      </w:r>
      <w:r>
        <w:rPr>
          <w:rFonts w:ascii="宋体" w:hAnsi="宋体" w:cs="宋体"/>
          <w:bCs/>
          <w:sz w:val="20"/>
        </w:rPr>
        <w:t>7</w:t>
      </w:r>
      <w:r>
        <w:rPr>
          <w:rFonts w:hint="eastAsia" w:ascii="宋体" w:hAnsi="宋体" w:cs="宋体"/>
          <w:bCs/>
          <w:sz w:val="20"/>
        </w:rPr>
        <w:t>日内按招标书中载明的地址以书面形式（包括信函、电报或传真，不包括电子邮件，下同）通知招标方要求澄清。招标方将视情况确定采用适当方式予以澄清或以书面形式予以答复。招标方认为有必要时，可将答复内容（包括原提出问题，但不包括问题的来源）分发给所有拟投标人。</w:t>
      </w:r>
    </w:p>
    <w:p>
      <w:pPr>
        <w:numPr>
          <w:ilvl w:val="0"/>
          <w:numId w:val="17"/>
        </w:numPr>
        <w:ind w:left="0" w:leftChars="0" w:firstLine="0" w:firstLineChars="0"/>
        <w:outlineLvl w:val="1"/>
        <w:rPr>
          <w:rFonts w:ascii="宋体"/>
          <w:b/>
        </w:rPr>
      </w:pPr>
      <w:bookmarkStart w:id="16" w:name="_Toc7859317"/>
      <w:bookmarkStart w:id="17" w:name="_Toc7285"/>
      <w:r>
        <w:rPr>
          <w:rFonts w:hint="eastAsia" w:ascii="宋体" w:hAnsi="宋体"/>
          <w:b/>
        </w:rPr>
        <w:t>招标文件的修改或补充</w:t>
      </w:r>
      <w:bookmarkEnd w:id="16"/>
      <w:bookmarkEnd w:id="17"/>
    </w:p>
    <w:p>
      <w:pPr>
        <w:ind w:firstLine="400" w:firstLineChars="200"/>
        <w:rPr>
          <w:rFonts w:ascii="宋体" w:cs="宋体"/>
          <w:bCs/>
          <w:sz w:val="20"/>
        </w:rPr>
      </w:pPr>
      <w:r>
        <w:rPr>
          <w:rFonts w:ascii="宋体" w:hAnsi="宋体" w:cs="宋体"/>
          <w:bCs/>
          <w:sz w:val="20"/>
        </w:rPr>
        <w:t>7.1</w:t>
      </w:r>
      <w:r>
        <w:rPr>
          <w:rFonts w:hint="eastAsia" w:ascii="宋体" w:hAnsi="宋体" w:cs="宋体"/>
          <w:bCs/>
          <w:sz w:val="20"/>
          <w:lang w:val="en-US" w:eastAsia="zh-CN"/>
        </w:rPr>
        <w:t xml:space="preserve"> </w:t>
      </w:r>
      <w:r>
        <w:rPr>
          <w:rFonts w:hint="eastAsia" w:ascii="宋体" w:hAnsi="宋体" w:cs="宋体"/>
          <w:bCs/>
          <w:sz w:val="20"/>
        </w:rPr>
        <w:t>在投标截止期的</w:t>
      </w:r>
      <w:r>
        <w:rPr>
          <w:rFonts w:ascii="宋体" w:hAnsi="宋体" w:cs="宋体"/>
          <w:bCs/>
          <w:sz w:val="20"/>
        </w:rPr>
        <w:t>7</w:t>
      </w:r>
      <w:r>
        <w:rPr>
          <w:rFonts w:hint="eastAsia" w:ascii="宋体" w:hAnsi="宋体" w:cs="宋体"/>
          <w:bCs/>
          <w:sz w:val="20"/>
        </w:rPr>
        <w:t>日内的任何时间，招标方可主动或依据投标人要求澄清的问题而修改或补充招标书，并以书面形式通知所有投标人，投标人在收到该通知后应立即以电报或传真的形式予以确认。</w:t>
      </w:r>
    </w:p>
    <w:p>
      <w:pPr>
        <w:ind w:firstLine="400" w:firstLineChars="200"/>
        <w:rPr>
          <w:rFonts w:ascii="宋体" w:cs="宋体"/>
          <w:bCs/>
          <w:sz w:val="20"/>
        </w:rPr>
      </w:pPr>
      <w:r>
        <w:rPr>
          <w:rFonts w:ascii="宋体" w:hAnsi="宋体" w:cs="宋体"/>
          <w:bCs/>
          <w:sz w:val="20"/>
        </w:rPr>
        <w:t>7.2</w:t>
      </w:r>
      <w:r>
        <w:rPr>
          <w:rFonts w:hint="eastAsia" w:ascii="宋体" w:hAnsi="宋体" w:cs="宋体"/>
          <w:bCs/>
          <w:sz w:val="20"/>
          <w:lang w:val="en-US" w:eastAsia="zh-CN"/>
        </w:rPr>
        <w:t xml:space="preserve"> </w:t>
      </w:r>
      <w:r>
        <w:rPr>
          <w:rFonts w:hint="eastAsia" w:ascii="宋体" w:hAnsi="宋体" w:cs="宋体"/>
          <w:bCs/>
          <w:sz w:val="20"/>
        </w:rPr>
        <w:t>为使投标人在准备投标时有适当的时间考虑投标文件的修改，招标方有权决定推迟投标截止日期和开标日期，并将此变更通知所有的投标人。</w:t>
      </w:r>
    </w:p>
    <w:p>
      <w:pPr>
        <w:ind w:firstLine="400" w:firstLineChars="200"/>
        <w:rPr>
          <w:rFonts w:ascii="宋体" w:cs="宋体"/>
          <w:bCs/>
          <w:sz w:val="20"/>
        </w:rPr>
      </w:pPr>
      <w:r>
        <w:rPr>
          <w:rFonts w:ascii="宋体" w:hAnsi="宋体" w:cs="宋体"/>
          <w:bCs/>
          <w:sz w:val="20"/>
        </w:rPr>
        <w:t>7.3</w:t>
      </w:r>
      <w:r>
        <w:rPr>
          <w:rFonts w:hint="eastAsia" w:ascii="宋体" w:hAnsi="宋体" w:cs="宋体"/>
          <w:bCs/>
          <w:sz w:val="20"/>
          <w:lang w:val="en-US" w:eastAsia="zh-CN"/>
        </w:rPr>
        <w:t xml:space="preserve"> </w:t>
      </w:r>
      <w:r>
        <w:rPr>
          <w:rFonts w:hint="eastAsia" w:ascii="宋体" w:hAnsi="宋体" w:cs="宋体"/>
          <w:bCs/>
          <w:sz w:val="20"/>
        </w:rPr>
        <w:t>招标文件的修改和补充文件将构成招标文件的一部分，并且对投标人具有优先约束力。</w:t>
      </w:r>
    </w:p>
    <w:p>
      <w:pPr>
        <w:numPr>
          <w:ilvl w:val="0"/>
          <w:numId w:val="17"/>
        </w:numPr>
        <w:ind w:left="0" w:leftChars="0" w:firstLine="0" w:firstLineChars="0"/>
        <w:outlineLvl w:val="1"/>
        <w:rPr>
          <w:rFonts w:ascii="宋体"/>
          <w:b/>
        </w:rPr>
      </w:pPr>
      <w:bookmarkStart w:id="18" w:name="_Toc7859318"/>
      <w:bookmarkStart w:id="19" w:name="_Toc9154"/>
      <w:r>
        <w:rPr>
          <w:rFonts w:hint="eastAsia" w:ascii="宋体" w:hAnsi="宋体"/>
          <w:b/>
          <w:szCs w:val="22"/>
        </w:rPr>
        <w:t>廉洁自律</w:t>
      </w:r>
      <w:r>
        <w:rPr>
          <w:rFonts w:hint="eastAsia" w:ascii="宋体" w:hAnsi="宋体"/>
          <w:b/>
        </w:rPr>
        <w:t>承诺要求</w:t>
      </w:r>
      <w:bookmarkEnd w:id="18"/>
      <w:bookmarkEnd w:id="19"/>
    </w:p>
    <w:p>
      <w:pPr>
        <w:ind w:firstLine="400" w:firstLineChars="200"/>
        <w:rPr>
          <w:rFonts w:ascii="宋体" w:cs="宋体"/>
          <w:bCs/>
          <w:sz w:val="20"/>
        </w:rPr>
      </w:pPr>
      <w:r>
        <w:rPr>
          <w:rFonts w:hint="eastAsia" w:ascii="宋体" w:hAnsi="宋体" w:cs="宋体"/>
          <w:bCs/>
          <w:sz w:val="20"/>
        </w:rPr>
        <w:t>按照财政厅颁发《政府采购预防职务违法违纪工作规程》的要求，在本次招标活动中，政府采购中心保证不接受任何投标单位送的礼金礼品、有价证券、购物券、回扣、佣金；不与投标单位及其工作人员私下接触、参与宴请和娱乐活动；不向投标单位及其工作人员索要好处费、赞助费和宣传费；不在投标单位支付旅游费用、报销各种消费凭证；同时要求参加本次项目的采购单位、评标专家要填写《廉洁自律承诺书》，所有投标单位（供应商）必须要填写反商业贿赂承诺书（不填视为无效投标处理），并在评标结束后，将签订的《廉洁自律承诺书》和《反商业贿赂承诺书》报哈密市财政局政府采购管理办公室备案。</w:t>
      </w:r>
    </w:p>
    <w:p>
      <w:pPr>
        <w:ind w:firstLine="400" w:firstLineChars="200"/>
        <w:rPr>
          <w:rFonts w:ascii="宋体" w:cs="宋体"/>
          <w:bCs/>
          <w:sz w:val="20"/>
        </w:rPr>
      </w:pPr>
    </w:p>
    <w:p>
      <w:pPr>
        <w:pStyle w:val="545"/>
        <w:ind w:left="0" w:firstLine="0" w:firstLineChars="0"/>
        <w:rPr>
          <w:rFonts w:ascii="宋体" w:hAnsi="宋体" w:eastAsia="宋体"/>
          <w:sz w:val="20"/>
        </w:rPr>
      </w:pPr>
      <w:bookmarkStart w:id="20" w:name="_Toc26477"/>
      <w:r>
        <w:rPr>
          <w:rFonts w:hint="eastAsia" w:ascii="宋体" w:hAnsi="宋体" w:eastAsia="宋体"/>
        </w:rPr>
        <w:t>第三部分</w:t>
      </w:r>
      <w:r>
        <w:rPr>
          <w:rFonts w:ascii="宋体" w:hAnsi="宋体" w:eastAsia="宋体"/>
        </w:rPr>
        <w:t xml:space="preserve"> </w:t>
      </w:r>
      <w:r>
        <w:rPr>
          <w:rFonts w:hint="eastAsia" w:ascii="宋体" w:hAnsi="宋体" w:eastAsia="宋体"/>
        </w:rPr>
        <w:t>投标说明</w:t>
      </w:r>
      <w:bookmarkEnd w:id="20"/>
    </w:p>
    <w:p>
      <w:pPr>
        <w:pStyle w:val="421"/>
        <w:jc w:val="center"/>
        <w:rPr>
          <w:rFonts w:ascii="宋体" w:hAnsi="宋体" w:eastAsia="宋体"/>
          <w:sz w:val="20"/>
        </w:rPr>
      </w:pPr>
      <w:bookmarkStart w:id="21" w:name="_Toc15781"/>
      <w:r>
        <w:rPr>
          <w:rFonts w:hint="eastAsia" w:ascii="宋体" w:hAnsi="宋体" w:eastAsia="宋体"/>
        </w:rPr>
        <w:t>第一章</w:t>
      </w:r>
      <w:r>
        <w:rPr>
          <w:rFonts w:hint="eastAsia" w:ascii="宋体" w:hAnsi="宋体" w:eastAsia="宋体"/>
          <w:lang w:val="en-US" w:eastAsia="zh-CN"/>
        </w:rPr>
        <w:t xml:space="preserve"> </w:t>
      </w:r>
      <w:r>
        <w:rPr>
          <w:rFonts w:hint="eastAsia" w:ascii="宋体" w:hAnsi="宋体" w:eastAsia="宋体"/>
        </w:rPr>
        <w:t>对投标方的资质要求</w:t>
      </w:r>
      <w:bookmarkEnd w:id="21"/>
    </w:p>
    <w:p>
      <w:pPr>
        <w:numPr>
          <w:ilvl w:val="0"/>
          <w:numId w:val="19"/>
        </w:numPr>
        <w:ind w:left="425" w:leftChars="0" w:hanging="425" w:firstLineChars="0"/>
        <w:rPr>
          <w:rFonts w:ascii="宋体" w:hAnsi="宋体" w:cs="宋体"/>
          <w:b/>
          <w:sz w:val="20"/>
        </w:rPr>
      </w:pPr>
      <w:r>
        <w:rPr>
          <w:rFonts w:hint="eastAsia" w:ascii="宋体" w:hAnsi="宋体" w:cs="宋体"/>
          <w:b/>
          <w:sz w:val="20"/>
        </w:rPr>
        <w:t>投标人资质</w:t>
      </w:r>
    </w:p>
    <w:p>
      <w:pPr>
        <w:ind w:firstLine="400" w:firstLineChars="200"/>
        <w:rPr>
          <w:rFonts w:ascii="宋体" w:hAnsi="宋体" w:cs="宋体"/>
          <w:bCs/>
          <w:sz w:val="20"/>
        </w:rPr>
      </w:pPr>
      <w:r>
        <w:rPr>
          <w:rFonts w:hint="eastAsia" w:ascii="宋体" w:hAnsi="宋体" w:cs="宋体"/>
          <w:bCs/>
          <w:sz w:val="20"/>
        </w:rPr>
        <w:t>1.1</w:t>
      </w:r>
      <w:r>
        <w:rPr>
          <w:rFonts w:hint="eastAsia" w:ascii="宋体" w:hAnsi="宋体" w:cs="宋体"/>
          <w:bCs/>
          <w:sz w:val="20"/>
          <w:lang w:val="en-US" w:eastAsia="zh-CN"/>
        </w:rPr>
        <w:t xml:space="preserve"> </w:t>
      </w:r>
      <w:r>
        <w:rPr>
          <w:rFonts w:hint="eastAsia" w:ascii="宋体" w:hAnsi="宋体" w:cs="宋体"/>
          <w:bCs/>
          <w:sz w:val="20"/>
        </w:rPr>
        <w:t>投标人必须提交能够证明其具有履行本招标项目合同能力的资质证明文件，作为投标文件的一部分。</w:t>
      </w:r>
    </w:p>
    <w:p>
      <w:pPr>
        <w:ind w:firstLine="402" w:firstLineChars="200"/>
        <w:rPr>
          <w:rFonts w:ascii="宋体" w:hAnsi="宋体" w:cs="宋体"/>
          <w:b/>
          <w:sz w:val="20"/>
        </w:rPr>
      </w:pPr>
      <w:r>
        <w:rPr>
          <w:rFonts w:hint="eastAsia" w:ascii="宋体" w:hAnsi="宋体" w:cs="宋体"/>
          <w:b/>
          <w:sz w:val="20"/>
        </w:rPr>
        <w:t>（1）投标人营业执照副本原件或具有同等法律效力的证明文件原件；</w:t>
      </w:r>
    </w:p>
    <w:p>
      <w:pPr>
        <w:ind w:firstLine="402" w:firstLineChars="200"/>
        <w:rPr>
          <w:rFonts w:ascii="宋体" w:hAnsi="宋体" w:cs="宋体"/>
          <w:b/>
          <w:sz w:val="20"/>
        </w:rPr>
      </w:pPr>
      <w:r>
        <w:rPr>
          <w:rFonts w:hint="eastAsia" w:ascii="宋体" w:hAnsi="宋体" w:cs="宋体"/>
          <w:b/>
          <w:sz w:val="20"/>
        </w:rPr>
        <w:t>（2）法人代表授权委托书原件及被授权人《居民身份证》原件；</w:t>
      </w:r>
    </w:p>
    <w:p>
      <w:pPr>
        <w:ind w:firstLine="402" w:firstLineChars="200"/>
        <w:rPr>
          <w:rFonts w:ascii="宋体" w:hAnsi="宋体" w:cs="宋体"/>
          <w:b/>
          <w:sz w:val="20"/>
        </w:rPr>
      </w:pPr>
      <w:r>
        <w:rPr>
          <w:rFonts w:hint="eastAsia" w:ascii="宋体" w:hAnsi="宋体" w:cs="宋体"/>
          <w:b/>
          <w:sz w:val="20"/>
        </w:rPr>
        <w:t>（3）开标一览表及投标保证金；</w:t>
      </w:r>
    </w:p>
    <w:p>
      <w:pPr>
        <w:ind w:firstLine="402" w:firstLineChars="200"/>
        <w:rPr>
          <w:rFonts w:ascii="宋体" w:hAnsi="宋体" w:cs="宋体"/>
          <w:b/>
          <w:sz w:val="20"/>
        </w:rPr>
      </w:pPr>
      <w:r>
        <w:rPr>
          <w:rFonts w:hint="eastAsia" w:ascii="宋体" w:hAnsi="宋体" w:cs="宋体"/>
          <w:b/>
          <w:sz w:val="20"/>
        </w:rPr>
        <w:t>（4）根据财政部财库〔2016〕125号《财政部要求加强政采信用记录查询及使用》文件相关规定，投标人不得为“信用中国”网站（www.creditchina.gov.cn）中列入失信被执行人和重大税收违法案件当事人名单的供应商；</w:t>
      </w:r>
    </w:p>
    <w:p>
      <w:pPr>
        <w:ind w:firstLine="402" w:firstLineChars="200"/>
        <w:rPr>
          <w:rFonts w:ascii="宋体" w:hAnsi="宋体" w:cs="宋体"/>
          <w:b/>
          <w:bCs/>
          <w:sz w:val="20"/>
        </w:rPr>
      </w:pPr>
      <w:r>
        <w:rPr>
          <w:rFonts w:hint="eastAsia" w:ascii="宋体" w:hAnsi="宋体" w:cs="宋体"/>
          <w:b/>
          <w:sz w:val="20"/>
          <w:szCs w:val="22"/>
        </w:rPr>
        <w:t>（5）</w:t>
      </w:r>
      <w:r>
        <w:rPr>
          <w:rFonts w:hint="eastAsia" w:ascii="宋体" w:hAnsi="宋体" w:cs="宋体"/>
          <w:b/>
          <w:bCs/>
          <w:sz w:val="20"/>
        </w:rPr>
        <w:t>本项目不接受联合体投标。</w:t>
      </w:r>
    </w:p>
    <w:p>
      <w:pPr>
        <w:ind w:firstLine="402" w:firstLineChars="200"/>
        <w:rPr>
          <w:rFonts w:ascii="宋体" w:hAnsi="宋体" w:cs="宋体"/>
          <w:b/>
          <w:bCs/>
          <w:color w:val="auto"/>
          <w:sz w:val="20"/>
        </w:rPr>
      </w:pPr>
      <w:r>
        <w:rPr>
          <w:rFonts w:hint="eastAsia" w:ascii="宋体" w:hAnsi="宋体" w:cs="宋体"/>
          <w:b/>
          <w:bCs/>
          <w:color w:val="auto"/>
          <w:sz w:val="20"/>
        </w:rPr>
        <w:t>（6）投标方提供售后服务保证及服务承诺。投标方应有能力履行招标文件中规定的</w:t>
      </w:r>
      <w:r>
        <w:rPr>
          <w:rFonts w:hint="eastAsia" w:ascii="宋体" w:hAnsi="宋体" w:cs="宋体"/>
          <w:b/>
          <w:bCs/>
          <w:color w:val="auto"/>
          <w:sz w:val="20"/>
          <w:lang w:eastAsia="zh-CN"/>
        </w:rPr>
        <w:t>，</w:t>
      </w:r>
      <w:r>
        <w:rPr>
          <w:rFonts w:hint="eastAsia" w:ascii="宋体" w:hAnsi="宋体" w:cs="宋体"/>
          <w:b/>
          <w:bCs/>
          <w:color w:val="auto"/>
          <w:sz w:val="20"/>
        </w:rPr>
        <w:t>合同条款和技术要求方面的</w:t>
      </w:r>
      <w:r>
        <w:rPr>
          <w:rFonts w:hint="eastAsia" w:ascii="宋体" w:hAnsi="宋体" w:cs="宋体"/>
          <w:b/>
          <w:bCs/>
          <w:color w:val="auto"/>
          <w:sz w:val="20"/>
          <w:lang w:eastAsia="zh-CN"/>
        </w:rPr>
        <w:t>，</w:t>
      </w:r>
      <w:r>
        <w:rPr>
          <w:rFonts w:hint="eastAsia" w:ascii="宋体" w:hAnsi="宋体" w:cs="宋体"/>
          <w:b/>
          <w:bCs/>
          <w:color w:val="auto"/>
          <w:sz w:val="20"/>
        </w:rPr>
        <w:t>由卖方履行的保养、维护、供应备件和其他技术服务的义务；</w:t>
      </w:r>
    </w:p>
    <w:p>
      <w:pPr>
        <w:ind w:firstLine="402" w:firstLineChars="200"/>
        <w:rPr>
          <w:rFonts w:hint="eastAsia" w:ascii="宋体" w:hAnsi="宋体" w:cs="宋体"/>
          <w:b/>
          <w:bCs/>
          <w:color w:val="auto"/>
          <w:sz w:val="20"/>
          <w:szCs w:val="22"/>
          <w:lang w:eastAsia="zh-CN"/>
        </w:rPr>
      </w:pPr>
      <w:r>
        <w:rPr>
          <w:rFonts w:hint="eastAsia" w:ascii="宋体" w:hAnsi="宋体" w:cs="宋体"/>
          <w:b/>
          <w:bCs/>
          <w:color w:val="auto"/>
          <w:sz w:val="20"/>
          <w:szCs w:val="22"/>
          <w:lang w:eastAsia="zh-CN"/>
        </w:rPr>
        <w:t>（7）经审计的上年度会计报表原件；</w:t>
      </w:r>
    </w:p>
    <w:p>
      <w:pPr>
        <w:ind w:firstLine="400" w:firstLineChars="200"/>
        <w:rPr>
          <w:rFonts w:ascii="宋体" w:hAnsi="宋体" w:cs="宋体"/>
          <w:bCs/>
          <w:sz w:val="20"/>
        </w:rPr>
      </w:pPr>
      <w:r>
        <w:rPr>
          <w:rFonts w:hint="eastAsia" w:ascii="宋体" w:hAnsi="宋体" w:cs="宋体"/>
          <w:bCs/>
          <w:sz w:val="20"/>
        </w:rPr>
        <w:t>说明：其中（1）-（6）为投标时资格审查的必备条件，未提供则视为对招标文件资格审查内容的不响应，投标将被拒绝，（不接受二次报价）。</w:t>
      </w:r>
    </w:p>
    <w:p>
      <w:pPr>
        <w:ind w:firstLine="400" w:firstLineChars="200"/>
        <w:rPr>
          <w:rFonts w:ascii="宋体" w:hAnsi="宋体" w:cs="宋体"/>
          <w:bCs/>
          <w:sz w:val="20"/>
        </w:rPr>
      </w:pPr>
      <w:r>
        <w:rPr>
          <w:rFonts w:hint="eastAsia" w:ascii="宋体" w:hAnsi="宋体" w:cs="宋体"/>
          <w:bCs/>
          <w:sz w:val="20"/>
        </w:rPr>
        <w:t>1.2 招标结束后，投标方提供的资质证明文件的原件可根据投标方的需要退回（针对本次招标项目的特定授权原件不予退还）。</w:t>
      </w:r>
    </w:p>
    <w:p>
      <w:pPr>
        <w:pStyle w:val="421"/>
        <w:ind w:left="0" w:leftChars="0" w:firstLine="0" w:firstLineChars="0"/>
        <w:jc w:val="center"/>
        <w:rPr>
          <w:rFonts w:ascii="宋体" w:hAnsi="宋体" w:eastAsia="宋体"/>
        </w:rPr>
      </w:pPr>
      <w:bookmarkStart w:id="22" w:name="_Toc3461"/>
      <w:r>
        <w:rPr>
          <w:rFonts w:hint="eastAsia" w:ascii="宋体" w:hAnsi="宋体" w:eastAsia="宋体"/>
        </w:rPr>
        <w:t>第二章</w:t>
      </w:r>
      <w:r>
        <w:rPr>
          <w:rFonts w:hint="eastAsia" w:ascii="宋体" w:hAnsi="宋体" w:eastAsia="宋体"/>
          <w:lang w:val="en-US" w:eastAsia="zh-CN"/>
        </w:rPr>
        <w:t xml:space="preserve"> </w:t>
      </w:r>
      <w:r>
        <w:rPr>
          <w:rFonts w:hint="eastAsia" w:ascii="宋体" w:hAnsi="宋体" w:eastAsia="宋体"/>
        </w:rPr>
        <w:t>投标文件的编写</w:t>
      </w:r>
      <w:bookmarkEnd w:id="22"/>
    </w:p>
    <w:p>
      <w:pPr>
        <w:numPr>
          <w:ilvl w:val="0"/>
          <w:numId w:val="19"/>
        </w:numPr>
        <w:ind w:left="425" w:leftChars="0" w:hanging="425" w:firstLineChars="0"/>
        <w:rPr>
          <w:rFonts w:ascii="宋体" w:cs="宋体"/>
          <w:b/>
          <w:sz w:val="20"/>
        </w:rPr>
      </w:pPr>
      <w:r>
        <w:rPr>
          <w:rFonts w:hint="eastAsia" w:ascii="宋体" w:hAnsi="宋体" w:cs="宋体"/>
          <w:b/>
          <w:sz w:val="20"/>
          <w:szCs w:val="22"/>
        </w:rPr>
        <w:t>要求</w:t>
      </w:r>
    </w:p>
    <w:p>
      <w:pPr>
        <w:ind w:firstLine="400" w:firstLineChars="200"/>
        <w:rPr>
          <w:rFonts w:ascii="宋体" w:cs="宋体"/>
          <w:bCs/>
          <w:sz w:val="20"/>
        </w:rPr>
      </w:pPr>
      <w:r>
        <w:rPr>
          <w:rFonts w:ascii="宋体" w:hAnsi="宋体" w:cs="宋体"/>
          <w:bCs/>
          <w:sz w:val="20"/>
        </w:rPr>
        <w:t xml:space="preserve">2.1 </w:t>
      </w:r>
      <w:r>
        <w:rPr>
          <w:rFonts w:hint="eastAsia" w:ascii="宋体" w:hAnsi="宋体" w:cs="宋体"/>
          <w:bCs/>
          <w:sz w:val="20"/>
        </w:rPr>
        <w:t>投标人应详细阅读招标文件中的条款、规范、表示、条件和格式等所有内容，按招标书的要求份数提供投标书，并保证所提供全部材料的真实性，以使其投标对招标书</w:t>
      </w:r>
      <w:r>
        <w:rPr>
          <w:rFonts w:hint="eastAsia" w:ascii="宋体" w:hAnsi="宋体" w:cs="宋体"/>
          <w:bCs/>
          <w:sz w:val="20"/>
          <w:lang w:val="en-US" w:eastAsia="zh-CN"/>
        </w:rPr>
        <w:t>作</w:t>
      </w:r>
      <w:r>
        <w:rPr>
          <w:rFonts w:hint="eastAsia" w:ascii="宋体" w:hAnsi="宋体" w:cs="宋体"/>
          <w:bCs/>
          <w:sz w:val="20"/>
        </w:rPr>
        <w:t>出实质性响应。否则，其投标可能被拒绝。</w:t>
      </w:r>
    </w:p>
    <w:p>
      <w:pPr>
        <w:ind w:firstLine="400" w:firstLineChars="200"/>
        <w:rPr>
          <w:rFonts w:ascii="宋体" w:cs="宋体"/>
          <w:bCs/>
          <w:sz w:val="20"/>
        </w:rPr>
      </w:pPr>
      <w:r>
        <w:rPr>
          <w:rFonts w:ascii="宋体" w:hAnsi="宋体" w:cs="宋体"/>
          <w:bCs/>
          <w:sz w:val="20"/>
        </w:rPr>
        <w:t xml:space="preserve">2.2 </w:t>
      </w:r>
      <w:r>
        <w:rPr>
          <w:rFonts w:hint="eastAsia" w:ascii="宋体" w:hAnsi="宋体" w:cs="宋体"/>
          <w:bCs/>
          <w:sz w:val="20"/>
        </w:rPr>
        <w:t>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numPr>
          <w:ilvl w:val="0"/>
          <w:numId w:val="19"/>
        </w:numPr>
        <w:ind w:left="425" w:leftChars="0" w:hanging="425" w:firstLineChars="0"/>
        <w:rPr>
          <w:rFonts w:ascii="宋体" w:cs="宋体"/>
          <w:b/>
          <w:sz w:val="20"/>
        </w:rPr>
      </w:pPr>
      <w:r>
        <w:rPr>
          <w:rFonts w:hint="eastAsia" w:ascii="宋体" w:hAnsi="宋体" w:cs="宋体"/>
          <w:b/>
          <w:sz w:val="20"/>
        </w:rPr>
        <w:t>投标文件语言和度量单位</w:t>
      </w:r>
    </w:p>
    <w:p>
      <w:pPr>
        <w:ind w:firstLine="400" w:firstLineChars="200"/>
        <w:rPr>
          <w:rFonts w:ascii="宋体" w:cs="宋体"/>
          <w:bCs/>
          <w:sz w:val="20"/>
        </w:rPr>
      </w:pPr>
      <w:r>
        <w:rPr>
          <w:rFonts w:ascii="宋体" w:hAnsi="宋体" w:cs="宋体"/>
          <w:bCs/>
          <w:sz w:val="20"/>
        </w:rPr>
        <w:t xml:space="preserve">3.1 </w:t>
      </w:r>
      <w:r>
        <w:rPr>
          <w:rFonts w:hint="eastAsia" w:ascii="宋体" w:hAnsi="宋体" w:cs="宋体"/>
          <w:bCs/>
          <w:sz w:val="20"/>
        </w:rPr>
        <w:t>投标文件及投标人和招标方就招标、投标交换的文件和往来信件，须以中文书写。</w:t>
      </w:r>
    </w:p>
    <w:p>
      <w:pPr>
        <w:ind w:firstLine="400" w:firstLineChars="200"/>
        <w:rPr>
          <w:rFonts w:ascii="宋体" w:cs="宋体"/>
          <w:bCs/>
          <w:sz w:val="20"/>
        </w:rPr>
      </w:pPr>
      <w:r>
        <w:rPr>
          <w:rFonts w:ascii="宋体" w:hAnsi="宋体" w:cs="宋体"/>
          <w:bCs/>
          <w:sz w:val="20"/>
        </w:rPr>
        <w:t xml:space="preserve">3.2 </w:t>
      </w:r>
      <w:r>
        <w:rPr>
          <w:rFonts w:hint="eastAsia" w:ascii="宋体" w:hAnsi="宋体" w:cs="宋体"/>
          <w:bCs/>
          <w:sz w:val="20"/>
        </w:rPr>
        <w:t>除在招标书的技术规格中另有规定外，计量单位应使用中华人民共和国法定计量单位。</w:t>
      </w:r>
    </w:p>
    <w:p>
      <w:pPr>
        <w:numPr>
          <w:ilvl w:val="0"/>
          <w:numId w:val="19"/>
        </w:numPr>
        <w:ind w:left="425" w:leftChars="0" w:hanging="425" w:firstLineChars="0"/>
        <w:rPr>
          <w:rFonts w:ascii="宋体" w:cs="宋体"/>
          <w:b/>
          <w:sz w:val="20"/>
        </w:rPr>
      </w:pPr>
      <w:r>
        <w:rPr>
          <w:rFonts w:hint="eastAsia" w:ascii="宋体" w:hAnsi="宋体" w:cs="宋体"/>
          <w:b/>
          <w:sz w:val="20"/>
          <w:szCs w:val="22"/>
        </w:rPr>
        <w:t>投标</w:t>
      </w:r>
      <w:r>
        <w:rPr>
          <w:rFonts w:hint="eastAsia" w:ascii="宋体" w:hAnsi="宋体" w:cs="宋体"/>
          <w:b/>
          <w:sz w:val="20"/>
        </w:rPr>
        <w:t>文件的组成</w:t>
      </w:r>
    </w:p>
    <w:p>
      <w:pPr>
        <w:ind w:firstLine="400" w:firstLineChars="200"/>
        <w:rPr>
          <w:rFonts w:ascii="宋体" w:cs="宋体"/>
          <w:bCs/>
          <w:sz w:val="20"/>
        </w:rPr>
      </w:pPr>
      <w:r>
        <w:rPr>
          <w:rFonts w:ascii="宋体" w:hAnsi="宋体" w:cs="宋体"/>
          <w:bCs/>
          <w:sz w:val="20"/>
        </w:rPr>
        <w:t>4.1</w:t>
      </w:r>
      <w:r>
        <w:rPr>
          <w:rFonts w:hint="eastAsia" w:ascii="宋体" w:hAnsi="宋体" w:cs="宋体"/>
          <w:bCs/>
          <w:sz w:val="20"/>
          <w:lang w:val="en-US" w:eastAsia="zh-CN"/>
        </w:rPr>
        <w:t xml:space="preserve"> </w:t>
      </w:r>
      <w:r>
        <w:rPr>
          <w:rFonts w:hint="eastAsia" w:ascii="宋体" w:hAnsi="宋体" w:cs="宋体"/>
          <w:bCs/>
          <w:sz w:val="20"/>
        </w:rPr>
        <w:t>投标人编写的投标文件应包括下列内容：</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1</w:t>
      </w:r>
      <w:r>
        <w:rPr>
          <w:rFonts w:hint="eastAsia" w:ascii="宋体" w:hAnsi="宋体" w:cs="宋体"/>
          <w:bCs/>
          <w:sz w:val="20"/>
        </w:rPr>
        <w:t>）投标书、开标一览表、投标报价表；</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2</w:t>
      </w:r>
      <w:r>
        <w:rPr>
          <w:rFonts w:hint="eastAsia" w:ascii="宋体" w:hAnsi="宋体" w:cs="宋体"/>
          <w:bCs/>
          <w:sz w:val="20"/>
        </w:rPr>
        <w:t>）投标资格证明文件；</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3</w:t>
      </w:r>
      <w:r>
        <w:rPr>
          <w:rFonts w:hint="eastAsia" w:ascii="宋体" w:hAnsi="宋体" w:cs="宋体"/>
          <w:bCs/>
          <w:sz w:val="20"/>
        </w:rPr>
        <w:t>）投标保证金；</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4</w:t>
      </w:r>
      <w:r>
        <w:rPr>
          <w:rFonts w:hint="eastAsia" w:ascii="宋体" w:hAnsi="宋体" w:cs="宋体"/>
          <w:bCs/>
          <w:sz w:val="20"/>
        </w:rPr>
        <w:t>）招标文件技术规格、项目实施方案等资料；</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5</w:t>
      </w:r>
      <w:r>
        <w:rPr>
          <w:rFonts w:hint="eastAsia" w:ascii="宋体" w:hAnsi="宋体" w:cs="宋体"/>
          <w:bCs/>
          <w:sz w:val="20"/>
        </w:rPr>
        <w:t>）评分材料。</w:t>
      </w:r>
    </w:p>
    <w:p>
      <w:pPr>
        <w:numPr>
          <w:ilvl w:val="0"/>
          <w:numId w:val="19"/>
        </w:numPr>
        <w:ind w:left="425" w:leftChars="0" w:hanging="425" w:firstLineChars="0"/>
        <w:rPr>
          <w:rFonts w:ascii="宋体" w:cs="宋体"/>
          <w:b/>
          <w:sz w:val="20"/>
        </w:rPr>
      </w:pPr>
      <w:r>
        <w:rPr>
          <w:rFonts w:hint="eastAsia" w:ascii="宋体" w:hAnsi="宋体" w:cs="宋体"/>
          <w:b/>
          <w:sz w:val="20"/>
          <w:szCs w:val="22"/>
        </w:rPr>
        <w:t>投标</w:t>
      </w:r>
      <w:r>
        <w:rPr>
          <w:rFonts w:hint="eastAsia" w:ascii="宋体" w:hAnsi="宋体" w:cs="宋体"/>
          <w:b/>
          <w:sz w:val="20"/>
        </w:rPr>
        <w:t>文件格式</w:t>
      </w:r>
    </w:p>
    <w:p>
      <w:pPr>
        <w:ind w:firstLine="400" w:firstLineChars="200"/>
        <w:rPr>
          <w:rFonts w:ascii="宋体" w:cs="宋体"/>
          <w:bCs/>
          <w:sz w:val="20"/>
        </w:rPr>
      </w:pPr>
      <w:r>
        <w:rPr>
          <w:rFonts w:ascii="宋体" w:hAnsi="宋体" w:cs="宋体"/>
          <w:bCs/>
          <w:sz w:val="20"/>
        </w:rPr>
        <w:t>5.1</w:t>
      </w:r>
      <w:r>
        <w:rPr>
          <w:rFonts w:hint="eastAsia" w:ascii="宋体" w:hAnsi="宋体" w:cs="宋体"/>
          <w:bCs/>
          <w:sz w:val="20"/>
          <w:lang w:val="en-US" w:eastAsia="zh-CN"/>
        </w:rPr>
        <w:t xml:space="preserve"> </w:t>
      </w:r>
      <w:r>
        <w:rPr>
          <w:rFonts w:hint="eastAsia" w:ascii="宋体" w:hAnsi="宋体" w:cs="宋体"/>
          <w:bCs/>
          <w:sz w:val="20"/>
        </w:rPr>
        <w:t>投标方应按招标文件的范本格式中提供的投标文件格式认真填写投标书、开标一览表、投标报价表等，并注明投标货物的名称、数量和价格等。</w:t>
      </w:r>
    </w:p>
    <w:p>
      <w:pPr>
        <w:numPr>
          <w:ilvl w:val="0"/>
          <w:numId w:val="19"/>
        </w:numPr>
        <w:ind w:left="425" w:leftChars="0" w:hanging="425" w:firstLineChars="0"/>
        <w:rPr>
          <w:rFonts w:ascii="宋体" w:cs="宋体"/>
          <w:b/>
          <w:sz w:val="20"/>
        </w:rPr>
      </w:pPr>
      <w:r>
        <w:rPr>
          <w:rFonts w:hint="eastAsia" w:ascii="宋体" w:hAnsi="宋体" w:cs="宋体"/>
          <w:b/>
          <w:sz w:val="20"/>
        </w:rPr>
        <w:t>投标报价</w:t>
      </w:r>
    </w:p>
    <w:p>
      <w:pPr>
        <w:ind w:firstLine="400" w:firstLineChars="200"/>
        <w:rPr>
          <w:rFonts w:ascii="宋体" w:cs="宋体"/>
          <w:bCs/>
          <w:sz w:val="20"/>
        </w:rPr>
      </w:pPr>
      <w:r>
        <w:rPr>
          <w:rFonts w:ascii="宋体" w:hAnsi="宋体" w:cs="宋体"/>
          <w:bCs/>
          <w:sz w:val="20"/>
        </w:rPr>
        <w:t>6.1</w:t>
      </w:r>
      <w:r>
        <w:rPr>
          <w:rFonts w:hint="eastAsia" w:ascii="宋体" w:hAnsi="宋体" w:cs="宋体"/>
          <w:bCs/>
          <w:sz w:val="20"/>
          <w:lang w:val="en-US" w:eastAsia="zh-CN"/>
        </w:rPr>
        <w:t xml:space="preserve"> </w:t>
      </w:r>
      <w:r>
        <w:rPr>
          <w:rFonts w:hint="eastAsia" w:ascii="宋体" w:hAnsi="宋体" w:cs="宋体"/>
          <w:bCs/>
          <w:sz w:val="20"/>
        </w:rPr>
        <w:t>投标方应在投标报价表上标明单价和总价。如单价和总价不符，以单价累计为准。小写和大写不符，以大写为准。投标方如果不同意上述修改原则，其投标将被拒绝。投标方应在投标报价表中标明其提供的所有货物及其相关工作范围内所有费用的总价，招标方不接受有任何选择性的报价。</w:t>
      </w:r>
    </w:p>
    <w:p>
      <w:pPr>
        <w:ind w:firstLine="400" w:firstLineChars="200"/>
        <w:rPr>
          <w:rFonts w:ascii="宋体" w:cs="宋体"/>
          <w:bCs/>
          <w:sz w:val="20"/>
        </w:rPr>
      </w:pPr>
      <w:r>
        <w:rPr>
          <w:rFonts w:ascii="宋体" w:hAnsi="宋体" w:cs="宋体"/>
          <w:bCs/>
          <w:sz w:val="20"/>
        </w:rPr>
        <w:t xml:space="preserve">6.2 </w:t>
      </w:r>
      <w:r>
        <w:rPr>
          <w:rFonts w:hint="eastAsia" w:ascii="宋体" w:hAnsi="宋体" w:cs="宋体"/>
          <w:bCs/>
          <w:sz w:val="20"/>
        </w:rPr>
        <w:t>投标报价时应注意下列几点：</w:t>
      </w:r>
    </w:p>
    <w:p>
      <w:pPr>
        <w:numPr>
          <w:ilvl w:val="0"/>
          <w:numId w:val="20"/>
        </w:numPr>
        <w:ind w:left="0" w:leftChars="0" w:firstLine="420" w:firstLineChars="0"/>
        <w:rPr>
          <w:rFonts w:ascii="宋体" w:cs="宋体"/>
          <w:bCs/>
          <w:sz w:val="20"/>
        </w:rPr>
      </w:pPr>
      <w:r>
        <w:rPr>
          <w:rFonts w:hint="eastAsia" w:ascii="宋体" w:hAnsi="宋体" w:cs="宋体"/>
          <w:bCs/>
          <w:sz w:val="20"/>
        </w:rPr>
        <w:t>招标文件中特别要求的备品备件、易损件和专用工具的费用；</w:t>
      </w:r>
    </w:p>
    <w:p>
      <w:pPr>
        <w:numPr>
          <w:ilvl w:val="0"/>
          <w:numId w:val="20"/>
        </w:numPr>
        <w:ind w:left="0" w:leftChars="0" w:firstLine="420" w:firstLineChars="0"/>
        <w:rPr>
          <w:rFonts w:ascii="宋体" w:cs="宋体"/>
          <w:bCs/>
          <w:sz w:val="20"/>
        </w:rPr>
      </w:pPr>
      <w:r>
        <w:rPr>
          <w:rFonts w:hint="eastAsia" w:ascii="宋体" w:hAnsi="宋体" w:cs="宋体"/>
          <w:bCs/>
          <w:sz w:val="20"/>
          <w:szCs w:val="22"/>
        </w:rPr>
        <w:t>招标</w:t>
      </w:r>
      <w:r>
        <w:rPr>
          <w:rFonts w:hint="eastAsia" w:ascii="宋体" w:hAnsi="宋体" w:cs="宋体"/>
          <w:bCs/>
          <w:sz w:val="20"/>
        </w:rPr>
        <w:t>文件中特别要求的安装、调试、培训、运输、保险及其</w:t>
      </w:r>
      <w:r>
        <w:rPr>
          <w:rFonts w:hint="eastAsia" w:ascii="宋体" w:hAnsi="宋体" w:cs="宋体"/>
          <w:bCs/>
          <w:sz w:val="20"/>
          <w:lang w:val="en-US" w:eastAsia="zh-CN"/>
        </w:rPr>
        <w:t>他</w:t>
      </w:r>
      <w:r>
        <w:rPr>
          <w:rFonts w:hint="eastAsia" w:ascii="宋体" w:hAnsi="宋体" w:cs="宋体"/>
          <w:bCs/>
          <w:sz w:val="20"/>
        </w:rPr>
        <w:t>附带服务的全部费用；</w:t>
      </w:r>
    </w:p>
    <w:p>
      <w:pPr>
        <w:numPr>
          <w:ilvl w:val="0"/>
          <w:numId w:val="20"/>
        </w:numPr>
        <w:ind w:left="0" w:leftChars="0" w:firstLine="420" w:firstLineChars="0"/>
        <w:rPr>
          <w:rFonts w:ascii="宋体" w:cs="宋体"/>
          <w:bCs/>
          <w:sz w:val="20"/>
        </w:rPr>
      </w:pPr>
      <w:r>
        <w:rPr>
          <w:rFonts w:hint="eastAsia" w:ascii="宋体" w:hAnsi="宋体" w:cs="宋体"/>
          <w:bCs/>
          <w:sz w:val="20"/>
          <w:szCs w:val="22"/>
        </w:rPr>
        <w:t>投标</w:t>
      </w:r>
      <w:r>
        <w:rPr>
          <w:rFonts w:hint="eastAsia" w:ascii="宋体" w:hAnsi="宋体" w:cs="宋体"/>
          <w:bCs/>
          <w:sz w:val="20"/>
        </w:rPr>
        <w:t>人提供的在中华人民共和国制造的货物，或已在中华人民共和国境内的、国外生产的、已经进口货物，其货物的投标价即交货价中，包括制造、组装该货物所使用的零部件及原材料已付的全部关税、销售税和其他税。</w:t>
      </w:r>
    </w:p>
    <w:p>
      <w:pPr>
        <w:numPr>
          <w:ilvl w:val="0"/>
          <w:numId w:val="19"/>
        </w:numPr>
        <w:ind w:left="425" w:leftChars="0" w:hanging="425" w:firstLineChars="0"/>
        <w:rPr>
          <w:rFonts w:ascii="宋体" w:cs="宋体"/>
          <w:b/>
          <w:sz w:val="20"/>
        </w:rPr>
      </w:pPr>
      <w:r>
        <w:rPr>
          <w:rFonts w:hint="eastAsia" w:ascii="宋体" w:hAnsi="宋体" w:cs="宋体"/>
          <w:b/>
          <w:sz w:val="20"/>
          <w:szCs w:val="22"/>
        </w:rPr>
        <w:t>投标</w:t>
      </w:r>
      <w:r>
        <w:rPr>
          <w:rFonts w:hint="eastAsia" w:ascii="宋体" w:hAnsi="宋体" w:cs="宋体"/>
          <w:b/>
          <w:sz w:val="20"/>
        </w:rPr>
        <w:t>报价的货币单位</w:t>
      </w:r>
    </w:p>
    <w:p>
      <w:pPr>
        <w:ind w:firstLine="400" w:firstLineChars="200"/>
        <w:rPr>
          <w:rFonts w:ascii="宋体" w:cs="宋体"/>
          <w:bCs/>
          <w:sz w:val="20"/>
        </w:rPr>
      </w:pPr>
      <w:r>
        <w:rPr>
          <w:rFonts w:ascii="宋体" w:hAnsi="宋体" w:cs="宋体"/>
          <w:bCs/>
          <w:sz w:val="20"/>
        </w:rPr>
        <w:t>7.1</w:t>
      </w:r>
      <w:r>
        <w:rPr>
          <w:rFonts w:hint="eastAsia" w:ascii="宋体" w:hAnsi="宋体" w:cs="宋体"/>
          <w:bCs/>
          <w:sz w:val="20"/>
          <w:lang w:val="en-US" w:eastAsia="zh-CN"/>
        </w:rPr>
        <w:t xml:space="preserve"> </w:t>
      </w:r>
      <w:r>
        <w:rPr>
          <w:rFonts w:hint="eastAsia" w:ascii="宋体" w:hAnsi="宋体" w:cs="宋体"/>
          <w:bCs/>
          <w:sz w:val="20"/>
        </w:rPr>
        <w:t>投标报价单位为人民币。对进口设备的报价也应以人民币进行报价，允许投标人填列按开标当天的人民币汇率折算的外币报价。</w:t>
      </w:r>
    </w:p>
    <w:p>
      <w:pPr>
        <w:numPr>
          <w:ilvl w:val="0"/>
          <w:numId w:val="19"/>
        </w:numPr>
        <w:ind w:left="425" w:leftChars="0" w:hanging="425" w:firstLineChars="0"/>
        <w:rPr>
          <w:rFonts w:ascii="宋体" w:cs="宋体"/>
          <w:b/>
          <w:sz w:val="20"/>
        </w:rPr>
      </w:pPr>
      <w:r>
        <w:rPr>
          <w:rFonts w:hint="eastAsia" w:ascii="宋体" w:hAnsi="宋体" w:cs="宋体"/>
          <w:b/>
          <w:sz w:val="20"/>
        </w:rPr>
        <w:t>投标</w:t>
      </w:r>
      <w:r>
        <w:rPr>
          <w:rFonts w:hint="eastAsia" w:ascii="宋体" w:hAnsi="宋体" w:cs="宋体"/>
          <w:b/>
          <w:sz w:val="20"/>
          <w:szCs w:val="22"/>
        </w:rPr>
        <w:t>文件</w:t>
      </w:r>
      <w:r>
        <w:rPr>
          <w:rFonts w:hint="eastAsia" w:ascii="宋体" w:hAnsi="宋体" w:cs="宋体"/>
          <w:b/>
          <w:sz w:val="20"/>
        </w:rPr>
        <w:t>规定的技术响应文件</w:t>
      </w:r>
    </w:p>
    <w:p>
      <w:pPr>
        <w:ind w:firstLine="400" w:firstLineChars="200"/>
        <w:rPr>
          <w:rFonts w:ascii="宋体" w:cs="宋体"/>
          <w:bCs/>
          <w:sz w:val="20"/>
        </w:rPr>
      </w:pPr>
      <w:r>
        <w:rPr>
          <w:rFonts w:ascii="宋体" w:hAnsi="宋体" w:cs="宋体"/>
          <w:bCs/>
          <w:sz w:val="20"/>
        </w:rPr>
        <w:t>8.1</w:t>
      </w:r>
      <w:r>
        <w:rPr>
          <w:rFonts w:hint="eastAsia" w:ascii="宋体" w:hAnsi="宋体" w:cs="宋体"/>
          <w:bCs/>
          <w:sz w:val="20"/>
          <w:lang w:val="en-US" w:eastAsia="zh-CN"/>
        </w:rPr>
        <w:t xml:space="preserve"> </w:t>
      </w:r>
      <w:r>
        <w:rPr>
          <w:rFonts w:hint="eastAsia" w:ascii="宋体" w:hAnsi="宋体" w:cs="宋体"/>
          <w:bCs/>
          <w:spacing w:val="-6"/>
          <w:sz w:val="20"/>
        </w:rPr>
        <w:t>投标方须提交证明拟供货物和服务符合招标文件规定的技术响应文件，作为投标文件的一部分。</w:t>
      </w:r>
    </w:p>
    <w:p>
      <w:pPr>
        <w:ind w:firstLine="400" w:firstLineChars="200"/>
        <w:rPr>
          <w:rFonts w:ascii="宋体" w:cs="宋体"/>
          <w:bCs/>
          <w:sz w:val="20"/>
        </w:rPr>
      </w:pPr>
      <w:r>
        <w:rPr>
          <w:rFonts w:ascii="宋体" w:hAnsi="宋体" w:cs="宋体"/>
          <w:bCs/>
          <w:sz w:val="20"/>
        </w:rPr>
        <w:t xml:space="preserve">8.2 </w:t>
      </w:r>
      <w:r>
        <w:rPr>
          <w:rFonts w:hint="eastAsia" w:ascii="宋体" w:hAnsi="宋体" w:cs="宋体"/>
          <w:bCs/>
          <w:sz w:val="20"/>
        </w:rPr>
        <w:t>上述文件可以是文字资料、图纸和数据，并提供：</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1</w:t>
      </w:r>
      <w:r>
        <w:rPr>
          <w:rFonts w:hint="eastAsia" w:ascii="宋体" w:hAnsi="宋体" w:cs="宋体"/>
          <w:bCs/>
          <w:sz w:val="20"/>
        </w:rPr>
        <w:t>）货物主要技术及性能特点的详细描述；</w:t>
      </w:r>
    </w:p>
    <w:p>
      <w:pPr>
        <w:ind w:firstLine="400" w:firstLineChars="200"/>
        <w:rPr>
          <w:rFonts w:ascii="宋体" w:cs="宋体"/>
          <w:bCs/>
          <w:sz w:val="20"/>
        </w:rPr>
      </w:pPr>
      <w:r>
        <w:rPr>
          <w:rFonts w:hint="eastAsia" w:ascii="宋体" w:hAnsi="宋体" w:cs="宋体"/>
          <w:bCs/>
          <w:sz w:val="20"/>
        </w:rPr>
        <w:t>（</w:t>
      </w:r>
      <w:r>
        <w:rPr>
          <w:rFonts w:ascii="宋体" w:hAnsi="宋体" w:cs="宋体"/>
          <w:bCs/>
          <w:sz w:val="20"/>
        </w:rPr>
        <w:t>2</w:t>
      </w:r>
      <w:r>
        <w:rPr>
          <w:rFonts w:hint="eastAsia" w:ascii="宋体" w:hAnsi="宋体" w:cs="宋体"/>
          <w:bCs/>
          <w:sz w:val="20"/>
        </w:rPr>
        <w:t>）技术参数偏离表（见附件）</w:t>
      </w:r>
    </w:p>
    <w:p>
      <w:pPr>
        <w:numPr>
          <w:ilvl w:val="0"/>
          <w:numId w:val="19"/>
        </w:numPr>
        <w:ind w:left="425" w:leftChars="0" w:hanging="425" w:firstLineChars="0"/>
        <w:rPr>
          <w:rFonts w:ascii="宋体" w:cs="宋体"/>
          <w:b/>
          <w:sz w:val="20"/>
        </w:rPr>
      </w:pPr>
      <w:r>
        <w:rPr>
          <w:rFonts w:hint="eastAsia" w:ascii="宋体" w:hAnsi="宋体" w:cs="宋体"/>
          <w:b/>
          <w:sz w:val="20"/>
          <w:szCs w:val="22"/>
        </w:rPr>
        <w:t>投标</w:t>
      </w:r>
      <w:r>
        <w:rPr>
          <w:rFonts w:hint="eastAsia" w:ascii="宋体" w:hAnsi="宋体" w:cs="宋体"/>
          <w:b/>
          <w:sz w:val="20"/>
        </w:rPr>
        <w:t>有效期</w:t>
      </w:r>
    </w:p>
    <w:p>
      <w:pPr>
        <w:ind w:firstLine="400" w:firstLineChars="200"/>
        <w:rPr>
          <w:rFonts w:ascii="宋体" w:cs="宋体"/>
          <w:bCs/>
          <w:sz w:val="20"/>
        </w:rPr>
      </w:pPr>
      <w:r>
        <w:rPr>
          <w:rFonts w:ascii="宋体" w:hAnsi="宋体" w:cs="宋体"/>
          <w:bCs/>
          <w:sz w:val="20"/>
        </w:rPr>
        <w:t>9.1</w:t>
      </w:r>
      <w:r>
        <w:rPr>
          <w:rFonts w:hint="eastAsia" w:ascii="宋体" w:hAnsi="宋体" w:cs="宋体"/>
          <w:bCs/>
          <w:sz w:val="20"/>
          <w:lang w:val="en-US" w:eastAsia="zh-CN"/>
        </w:rPr>
        <w:t xml:space="preserve"> </w:t>
      </w:r>
      <w:r>
        <w:rPr>
          <w:rFonts w:hint="eastAsia" w:ascii="宋体" w:hAnsi="宋体" w:cs="宋体"/>
          <w:bCs/>
          <w:sz w:val="20"/>
        </w:rPr>
        <w:t>投标文件从开标之日起，投标有效期为</w:t>
      </w:r>
      <w:r>
        <w:rPr>
          <w:rFonts w:ascii="宋体" w:hAnsi="宋体" w:cs="宋体"/>
          <w:bCs/>
          <w:sz w:val="20"/>
        </w:rPr>
        <w:t>90</w:t>
      </w:r>
      <w:r>
        <w:rPr>
          <w:rFonts w:hint="eastAsia" w:ascii="宋体" w:hAnsi="宋体" w:cs="宋体"/>
          <w:bCs/>
          <w:sz w:val="20"/>
        </w:rPr>
        <w:t>天（如不满足将导致废标）。</w:t>
      </w:r>
    </w:p>
    <w:p>
      <w:pPr>
        <w:ind w:firstLine="400" w:firstLineChars="200"/>
        <w:rPr>
          <w:rFonts w:ascii="宋体" w:cs="宋体"/>
          <w:bCs/>
          <w:sz w:val="20"/>
        </w:rPr>
      </w:pPr>
      <w:r>
        <w:rPr>
          <w:rFonts w:ascii="宋体" w:hAnsi="宋体" w:cs="宋体"/>
          <w:bCs/>
          <w:sz w:val="20"/>
        </w:rPr>
        <w:t>9.2</w:t>
      </w:r>
      <w:r>
        <w:rPr>
          <w:rFonts w:hint="eastAsia" w:ascii="宋体" w:hAnsi="宋体" w:cs="宋体"/>
          <w:bCs/>
          <w:sz w:val="20"/>
          <w:lang w:val="en-US" w:eastAsia="zh-CN"/>
        </w:rPr>
        <w:t xml:space="preserve"> </w:t>
      </w:r>
      <w:r>
        <w:rPr>
          <w:rFonts w:hint="eastAsia" w:ascii="宋体" w:hAnsi="宋体" w:cs="宋体"/>
          <w:bCs/>
          <w:sz w:val="20"/>
        </w:rPr>
        <w:t>在特殊情况下，招标方可与投标人协商延长投标文件的有效期。</w:t>
      </w:r>
    </w:p>
    <w:p>
      <w:pPr>
        <w:numPr>
          <w:ilvl w:val="0"/>
          <w:numId w:val="19"/>
        </w:numPr>
        <w:ind w:left="425" w:leftChars="0" w:hanging="425" w:firstLineChars="0"/>
        <w:rPr>
          <w:rFonts w:ascii="宋体" w:cs="宋体"/>
          <w:b/>
          <w:sz w:val="20"/>
        </w:rPr>
      </w:pPr>
      <w:r>
        <w:rPr>
          <w:rFonts w:hint="eastAsia" w:ascii="宋体" w:hAnsi="宋体" w:cs="宋体"/>
          <w:b/>
          <w:sz w:val="20"/>
        </w:rPr>
        <w:t>投标</w:t>
      </w:r>
      <w:r>
        <w:rPr>
          <w:rFonts w:hint="eastAsia" w:ascii="宋体" w:hAnsi="宋体" w:cs="宋体"/>
          <w:b/>
          <w:sz w:val="20"/>
          <w:szCs w:val="22"/>
        </w:rPr>
        <w:t>文件</w:t>
      </w:r>
      <w:r>
        <w:rPr>
          <w:rFonts w:hint="eastAsia" w:ascii="宋体" w:hAnsi="宋体" w:cs="宋体"/>
          <w:b/>
          <w:sz w:val="20"/>
        </w:rPr>
        <w:t>的签署规定</w:t>
      </w:r>
    </w:p>
    <w:p>
      <w:pPr>
        <w:ind w:firstLine="400" w:firstLineChars="200"/>
        <w:rPr>
          <w:rFonts w:ascii="宋体" w:cs="宋体"/>
          <w:bCs/>
          <w:sz w:val="20"/>
        </w:rPr>
      </w:pPr>
      <w:r>
        <w:rPr>
          <w:rFonts w:ascii="宋体" w:hAnsi="宋体" w:cs="宋体"/>
          <w:bCs/>
          <w:sz w:val="20"/>
        </w:rPr>
        <w:t xml:space="preserve">10.1 </w:t>
      </w:r>
      <w:r>
        <w:rPr>
          <w:rFonts w:hint="eastAsia" w:ascii="宋体" w:hAnsi="宋体" w:cs="宋体"/>
          <w:bCs/>
          <w:sz w:val="20"/>
        </w:rPr>
        <w:t>投标文件的页面必须用印刷体打印。</w:t>
      </w:r>
    </w:p>
    <w:p>
      <w:pPr>
        <w:ind w:firstLine="400" w:firstLineChars="200"/>
        <w:rPr>
          <w:rFonts w:ascii="宋体" w:cs="宋体"/>
          <w:bCs/>
          <w:sz w:val="20"/>
        </w:rPr>
      </w:pPr>
      <w:r>
        <w:rPr>
          <w:rFonts w:ascii="宋体" w:hAnsi="宋体" w:cs="宋体"/>
          <w:bCs/>
          <w:sz w:val="20"/>
        </w:rPr>
        <w:t xml:space="preserve">10.2 </w:t>
      </w:r>
      <w:r>
        <w:rPr>
          <w:rFonts w:hint="eastAsia" w:ascii="宋体" w:hAnsi="宋体" w:cs="宋体"/>
          <w:bCs/>
          <w:sz w:val="20"/>
        </w:rPr>
        <w:t>投标文件应清楚工整，一般不准修改。个别非实质性修改之处应由投标方的被授权人或法人代表签章。</w:t>
      </w:r>
    </w:p>
    <w:p>
      <w:pPr>
        <w:ind w:firstLine="400" w:firstLineChars="200"/>
        <w:rPr>
          <w:rFonts w:ascii="宋体" w:cs="宋体"/>
          <w:bCs/>
          <w:sz w:val="20"/>
        </w:rPr>
      </w:pPr>
      <w:r>
        <w:rPr>
          <w:rFonts w:ascii="宋体" w:hAnsi="宋体" w:cs="宋体"/>
          <w:bCs/>
          <w:sz w:val="20"/>
        </w:rPr>
        <w:t>10.3</w:t>
      </w:r>
      <w:r>
        <w:rPr>
          <w:rFonts w:hint="eastAsia" w:ascii="宋体" w:hAnsi="宋体" w:cs="宋体"/>
          <w:bCs/>
          <w:sz w:val="20"/>
          <w:lang w:val="en-US" w:eastAsia="zh-CN"/>
        </w:rPr>
        <w:t xml:space="preserve"> </w:t>
      </w:r>
      <w:r>
        <w:rPr>
          <w:rFonts w:hint="eastAsia" w:ascii="宋体" w:hAnsi="宋体" w:cs="宋体"/>
          <w:bCs/>
          <w:sz w:val="20"/>
        </w:rPr>
        <w:t>投标文件应由法人代表或法人授权代表在规定签章处逐一签署并加盖单位公章。所有投标人签字、法人代表签字、法人代表授权人签字和其</w:t>
      </w:r>
      <w:r>
        <w:rPr>
          <w:rFonts w:hint="eastAsia" w:ascii="宋体" w:hAnsi="宋体" w:cs="宋体"/>
          <w:bCs/>
          <w:sz w:val="20"/>
          <w:lang w:val="en-US" w:eastAsia="zh-CN"/>
        </w:rPr>
        <w:t>他</w:t>
      </w:r>
      <w:r>
        <w:rPr>
          <w:rFonts w:hint="eastAsia" w:ascii="宋体" w:hAnsi="宋体" w:cs="宋体"/>
          <w:bCs/>
          <w:sz w:val="20"/>
        </w:rPr>
        <w:t>签字处必须加盖具有法律效力的投标方的公章后，投标文件方为有效。</w:t>
      </w:r>
    </w:p>
    <w:p>
      <w:pPr>
        <w:ind w:firstLine="400" w:firstLineChars="200"/>
        <w:rPr>
          <w:rFonts w:ascii="宋体" w:cs="宋体"/>
          <w:bCs/>
          <w:sz w:val="20"/>
        </w:rPr>
      </w:pPr>
      <w:r>
        <w:rPr>
          <w:rFonts w:ascii="宋体" w:hAnsi="宋体" w:cs="宋体"/>
          <w:bCs/>
          <w:sz w:val="20"/>
        </w:rPr>
        <w:t>10.4</w:t>
      </w:r>
      <w:r>
        <w:rPr>
          <w:rFonts w:hint="eastAsia" w:ascii="宋体" w:hAnsi="宋体" w:cs="宋体"/>
          <w:bCs/>
          <w:sz w:val="20"/>
          <w:lang w:val="en-US" w:eastAsia="zh-CN"/>
        </w:rPr>
        <w:t xml:space="preserve"> </w:t>
      </w:r>
      <w:r>
        <w:rPr>
          <w:rFonts w:hint="eastAsia" w:ascii="宋体" w:hAnsi="宋体" w:cs="宋体"/>
          <w:bCs/>
          <w:sz w:val="20"/>
        </w:rPr>
        <w:t>所有投标文件必须提交正本一套和副本四套，并在封面上标记“正本”和“副本”字样。</w:t>
      </w:r>
    </w:p>
    <w:p>
      <w:pPr>
        <w:ind w:firstLine="400" w:firstLineChars="200"/>
        <w:rPr>
          <w:rFonts w:ascii="宋体" w:cs="宋体"/>
          <w:bCs/>
          <w:sz w:val="20"/>
        </w:rPr>
      </w:pPr>
      <w:r>
        <w:rPr>
          <w:rFonts w:ascii="宋体" w:hAnsi="宋体" w:cs="宋体"/>
          <w:bCs/>
          <w:sz w:val="20"/>
        </w:rPr>
        <w:t xml:space="preserve">10.5 </w:t>
      </w:r>
      <w:r>
        <w:rPr>
          <w:rFonts w:hint="eastAsia" w:ascii="宋体" w:hAnsi="宋体" w:cs="宋体"/>
          <w:bCs/>
          <w:sz w:val="20"/>
        </w:rPr>
        <w:t>投标文件的正本与副本应当完全一致。当正本和副本之间出现差异时，以正本为准。</w:t>
      </w:r>
    </w:p>
    <w:p>
      <w:pPr>
        <w:ind w:firstLine="400" w:firstLineChars="200"/>
        <w:rPr>
          <w:rFonts w:ascii="宋体" w:cs="宋体"/>
          <w:bCs/>
          <w:sz w:val="20"/>
        </w:rPr>
      </w:pPr>
      <w:r>
        <w:rPr>
          <w:rFonts w:ascii="宋体" w:hAnsi="宋体" w:cs="宋体"/>
          <w:bCs/>
          <w:sz w:val="20"/>
        </w:rPr>
        <w:t xml:space="preserve">10.6 </w:t>
      </w:r>
      <w:r>
        <w:rPr>
          <w:rFonts w:hint="eastAsia" w:ascii="宋体" w:hAnsi="宋体" w:cs="宋体"/>
          <w:bCs/>
          <w:sz w:val="20"/>
        </w:rPr>
        <w:t>电报、电话、传真、电子邮件等形式的投标概不接受。</w:t>
      </w:r>
    </w:p>
    <w:p>
      <w:pPr>
        <w:numPr>
          <w:ilvl w:val="0"/>
          <w:numId w:val="19"/>
        </w:numPr>
        <w:ind w:left="425" w:leftChars="0" w:hanging="425" w:firstLineChars="0"/>
        <w:rPr>
          <w:rFonts w:ascii="宋体" w:cs="宋体"/>
          <w:b/>
          <w:sz w:val="20"/>
        </w:rPr>
      </w:pPr>
      <w:r>
        <w:rPr>
          <w:rFonts w:hint="eastAsia" w:ascii="宋体" w:hAnsi="宋体" w:cs="宋体"/>
          <w:b/>
          <w:sz w:val="20"/>
        </w:rPr>
        <w:t>投标</w:t>
      </w:r>
      <w:r>
        <w:rPr>
          <w:rFonts w:hint="eastAsia" w:ascii="宋体" w:hAnsi="宋体" w:cs="宋体"/>
          <w:b/>
          <w:sz w:val="20"/>
          <w:szCs w:val="22"/>
        </w:rPr>
        <w:t>保证金</w:t>
      </w:r>
    </w:p>
    <w:p>
      <w:pPr>
        <w:ind w:firstLine="400" w:firstLineChars="200"/>
        <w:rPr>
          <w:rFonts w:ascii="宋体" w:hAnsi="宋体" w:cs="宋体"/>
          <w:bCs/>
          <w:color w:val="auto"/>
          <w:sz w:val="20"/>
        </w:rPr>
      </w:pPr>
      <w:r>
        <w:rPr>
          <w:rFonts w:hint="eastAsia" w:ascii="宋体" w:hAnsi="宋体" w:cs="宋体"/>
          <w:bCs/>
          <w:sz w:val="20"/>
        </w:rPr>
        <w:t xml:space="preserve">11.1 </w:t>
      </w:r>
      <w:r>
        <w:rPr>
          <w:rFonts w:hint="eastAsia" w:ascii="宋体" w:hAnsi="宋体" w:cs="宋体"/>
          <w:bCs/>
          <w:spacing w:val="-6"/>
          <w:sz w:val="20"/>
        </w:rPr>
        <w:t>投标人应按照</w:t>
      </w:r>
      <w:r>
        <w:rPr>
          <w:rFonts w:hint="eastAsia" w:ascii="宋体" w:hAnsi="宋体" w:cs="宋体"/>
          <w:bCs/>
          <w:color w:val="auto"/>
          <w:spacing w:val="-6"/>
          <w:sz w:val="20"/>
          <w:lang w:eastAsia="zh-CN"/>
        </w:rPr>
        <w:t>招标文件</w:t>
      </w:r>
      <w:r>
        <w:rPr>
          <w:rFonts w:hint="eastAsia" w:ascii="宋体" w:hAnsi="宋体" w:cs="宋体"/>
          <w:bCs/>
          <w:color w:val="auto"/>
          <w:spacing w:val="-6"/>
          <w:sz w:val="20"/>
        </w:rPr>
        <w:t>规定金额提交投标保证金，并于投标截止时间前</w:t>
      </w:r>
      <w:r>
        <w:rPr>
          <w:rFonts w:hint="eastAsia" w:ascii="宋体" w:hAnsi="宋体" w:cs="宋体"/>
          <w:bCs/>
          <w:color w:val="auto"/>
          <w:spacing w:val="-6"/>
          <w:sz w:val="20"/>
          <w:lang w:eastAsia="zh-CN"/>
        </w:rPr>
        <w:t>提交投标保证金</w:t>
      </w:r>
      <w:r>
        <w:rPr>
          <w:rFonts w:hint="eastAsia" w:ascii="宋体" w:hAnsi="宋体" w:cs="宋体"/>
          <w:bCs/>
          <w:color w:val="auto"/>
          <w:spacing w:val="-6"/>
          <w:sz w:val="20"/>
        </w:rPr>
        <w:t>。</w:t>
      </w:r>
    </w:p>
    <w:p>
      <w:pPr>
        <w:ind w:firstLine="400" w:firstLineChars="200"/>
        <w:rPr>
          <w:rFonts w:ascii="宋体" w:hAnsi="宋体" w:cs="宋体"/>
          <w:bCs/>
          <w:sz w:val="20"/>
        </w:rPr>
      </w:pPr>
      <w:r>
        <w:rPr>
          <w:rFonts w:hint="eastAsia" w:ascii="宋体" w:hAnsi="宋体" w:cs="宋体"/>
          <w:bCs/>
          <w:sz w:val="20"/>
        </w:rPr>
        <w:t>11.2 投标保证金可采取电汇、本地转帐支票和现金等形式交纳，其有效期应不低于投标有效期。</w:t>
      </w:r>
    </w:p>
    <w:p>
      <w:pPr>
        <w:ind w:firstLine="400" w:firstLineChars="200"/>
        <w:rPr>
          <w:rFonts w:ascii="宋体" w:hAnsi="宋体" w:cs="宋体"/>
          <w:bCs/>
          <w:sz w:val="20"/>
        </w:rPr>
      </w:pPr>
      <w:r>
        <w:rPr>
          <w:rFonts w:hint="eastAsia" w:ascii="宋体" w:hAnsi="宋体" w:cs="宋体"/>
          <w:bCs/>
          <w:sz w:val="20"/>
        </w:rPr>
        <w:t>11.3</w:t>
      </w:r>
      <w:r>
        <w:rPr>
          <w:rFonts w:hint="eastAsia" w:ascii="宋体" w:hAnsi="宋体" w:cs="宋体"/>
          <w:bCs/>
          <w:sz w:val="20"/>
          <w:lang w:val="en-US" w:eastAsia="zh-CN"/>
        </w:rPr>
        <w:t xml:space="preserve"> </w:t>
      </w:r>
      <w:r>
        <w:rPr>
          <w:rFonts w:hint="eastAsia" w:ascii="宋体" w:hAnsi="宋体" w:cs="宋体"/>
          <w:bCs/>
          <w:sz w:val="20"/>
        </w:rPr>
        <w:t>未中标的投标人的投标保证金，将在中标通知书发出后5个工作日内无息退还。</w:t>
      </w:r>
    </w:p>
    <w:p>
      <w:pPr>
        <w:ind w:firstLine="400" w:firstLineChars="200"/>
        <w:rPr>
          <w:rFonts w:ascii="宋体" w:hAnsi="宋体" w:cs="宋体"/>
          <w:bCs/>
          <w:sz w:val="20"/>
        </w:rPr>
      </w:pPr>
      <w:r>
        <w:rPr>
          <w:rFonts w:hint="eastAsia" w:ascii="宋体" w:hAnsi="宋体" w:cs="宋体"/>
          <w:bCs/>
          <w:sz w:val="20"/>
        </w:rPr>
        <w:t>11.4 未按规定提交投标保证金的投标，将被视为投标无效。</w:t>
      </w:r>
    </w:p>
    <w:p>
      <w:pPr>
        <w:ind w:firstLine="400" w:firstLineChars="200"/>
        <w:rPr>
          <w:rFonts w:ascii="宋体" w:hAnsi="宋体" w:cs="宋体"/>
          <w:bCs/>
          <w:sz w:val="20"/>
        </w:rPr>
      </w:pPr>
      <w:r>
        <w:rPr>
          <w:rFonts w:hint="eastAsia" w:ascii="宋体" w:hAnsi="宋体" w:cs="宋体"/>
          <w:bCs/>
          <w:sz w:val="20"/>
        </w:rPr>
        <w:t>11.5 下列任何情况发生时，投标保证金将被没收：</w:t>
      </w:r>
    </w:p>
    <w:p>
      <w:pPr>
        <w:ind w:firstLine="400" w:firstLineChars="200"/>
        <w:rPr>
          <w:rFonts w:ascii="宋体" w:hAnsi="宋体" w:cs="宋体"/>
          <w:bCs/>
          <w:sz w:val="20"/>
        </w:rPr>
      </w:pPr>
      <w:r>
        <w:rPr>
          <w:rFonts w:hint="eastAsia" w:ascii="宋体" w:hAnsi="宋体" w:cs="宋体"/>
          <w:bCs/>
          <w:sz w:val="20"/>
          <w:lang w:eastAsia="zh-CN"/>
        </w:rPr>
        <w:t>（</w:t>
      </w:r>
      <w:r>
        <w:rPr>
          <w:rFonts w:hint="eastAsia" w:ascii="宋体" w:hAnsi="宋体" w:cs="宋体"/>
          <w:bCs/>
          <w:sz w:val="20"/>
          <w:lang w:val="en-US" w:eastAsia="zh-CN"/>
        </w:rPr>
        <w:t>1</w:t>
      </w:r>
      <w:r>
        <w:rPr>
          <w:rFonts w:hint="eastAsia" w:ascii="宋体" w:hAnsi="宋体" w:cs="宋体"/>
          <w:bCs/>
          <w:sz w:val="20"/>
          <w:lang w:eastAsia="zh-CN"/>
        </w:rPr>
        <w:t>）</w:t>
      </w:r>
      <w:r>
        <w:rPr>
          <w:rFonts w:hint="eastAsia" w:ascii="宋体" w:hAnsi="宋体" w:cs="宋体"/>
          <w:bCs/>
          <w:sz w:val="20"/>
        </w:rPr>
        <w:t xml:space="preserve">投标人在招标文件规定的投标有效期内撤回其投标的； </w:t>
      </w:r>
    </w:p>
    <w:p>
      <w:pPr>
        <w:ind w:firstLine="400" w:firstLineChars="200"/>
        <w:rPr>
          <w:rFonts w:ascii="宋体" w:hAnsi="宋体" w:cs="宋体"/>
          <w:bCs/>
          <w:sz w:val="20"/>
        </w:rPr>
      </w:pPr>
      <w:r>
        <w:rPr>
          <w:rFonts w:hint="eastAsia" w:ascii="宋体" w:hAnsi="宋体" w:cs="宋体"/>
          <w:bCs/>
          <w:sz w:val="20"/>
          <w:lang w:eastAsia="zh-CN"/>
        </w:rPr>
        <w:t>（</w:t>
      </w:r>
      <w:r>
        <w:rPr>
          <w:rFonts w:hint="eastAsia" w:ascii="宋体" w:hAnsi="宋体" w:cs="宋体"/>
          <w:bCs/>
          <w:sz w:val="20"/>
          <w:lang w:val="en-US" w:eastAsia="zh-CN"/>
        </w:rPr>
        <w:t>2</w:t>
      </w:r>
      <w:r>
        <w:rPr>
          <w:rFonts w:hint="eastAsia" w:ascii="宋体" w:hAnsi="宋体" w:cs="宋体"/>
          <w:bCs/>
          <w:sz w:val="20"/>
          <w:lang w:eastAsia="zh-CN"/>
        </w:rPr>
        <w:t>）</w:t>
      </w:r>
      <w:r>
        <w:rPr>
          <w:rFonts w:hint="eastAsia" w:ascii="宋体" w:hAnsi="宋体" w:cs="宋体"/>
          <w:bCs/>
          <w:sz w:val="20"/>
        </w:rPr>
        <w:t>中标方在规定期限内未能按规定与招标方签订合同的。</w:t>
      </w:r>
    </w:p>
    <w:p>
      <w:pPr>
        <w:pStyle w:val="421"/>
        <w:ind w:left="181" w:hanging="181"/>
        <w:jc w:val="center"/>
        <w:rPr>
          <w:rFonts w:ascii="宋体" w:hAnsi="宋体" w:eastAsia="宋体"/>
        </w:rPr>
      </w:pPr>
      <w:bookmarkStart w:id="23" w:name="_Toc17341"/>
      <w:r>
        <w:rPr>
          <w:rFonts w:hint="eastAsia" w:ascii="宋体" w:hAnsi="宋体" w:eastAsia="宋体"/>
        </w:rPr>
        <w:t>第三章</w:t>
      </w:r>
      <w:r>
        <w:rPr>
          <w:rFonts w:hint="eastAsia" w:ascii="宋体" w:hAnsi="宋体" w:eastAsia="宋体"/>
          <w:lang w:val="en-US" w:eastAsia="zh-CN"/>
        </w:rPr>
        <w:t xml:space="preserve"> </w:t>
      </w:r>
      <w:r>
        <w:rPr>
          <w:rFonts w:hint="eastAsia" w:ascii="宋体" w:hAnsi="宋体" w:eastAsia="宋体"/>
        </w:rPr>
        <w:t>投标文件的递交</w:t>
      </w:r>
      <w:bookmarkEnd w:id="23"/>
    </w:p>
    <w:p>
      <w:pPr>
        <w:numPr>
          <w:ilvl w:val="0"/>
          <w:numId w:val="19"/>
        </w:numPr>
        <w:ind w:left="425" w:leftChars="0" w:hanging="425" w:firstLineChars="0"/>
        <w:rPr>
          <w:rFonts w:ascii="宋体" w:cs="宋体"/>
          <w:b/>
          <w:sz w:val="20"/>
        </w:rPr>
      </w:pPr>
      <w:r>
        <w:rPr>
          <w:rFonts w:hint="eastAsia" w:ascii="宋体" w:hAnsi="宋体" w:cs="宋体"/>
          <w:b/>
          <w:sz w:val="20"/>
        </w:rPr>
        <w:t>投标文件的密封与标记</w:t>
      </w:r>
    </w:p>
    <w:p>
      <w:pPr>
        <w:ind w:firstLine="400" w:firstLineChars="200"/>
        <w:rPr>
          <w:rFonts w:ascii="宋体" w:cs="宋体"/>
          <w:bCs/>
          <w:sz w:val="20"/>
        </w:rPr>
      </w:pPr>
      <w:r>
        <w:rPr>
          <w:rFonts w:ascii="宋体" w:hAnsi="宋体" w:cs="宋体"/>
          <w:bCs/>
          <w:sz w:val="20"/>
        </w:rPr>
        <w:t xml:space="preserve">12.1 </w:t>
      </w:r>
      <w:r>
        <w:rPr>
          <w:rFonts w:hint="eastAsia" w:ascii="宋体" w:hAnsi="宋体" w:cs="宋体"/>
          <w:bCs/>
          <w:sz w:val="20"/>
        </w:rPr>
        <w:t>投标人应将投标文件的正本和副本分别密封，在每个密封件的封面上标明招标编号、投标人名称、法定代表人、单位公章、“正本”或“副本”字样、投标人的名称、地址、联系电话。</w:t>
      </w:r>
    </w:p>
    <w:p>
      <w:pPr>
        <w:ind w:firstLine="400" w:firstLineChars="200"/>
        <w:rPr>
          <w:rFonts w:ascii="宋体" w:cs="宋体"/>
          <w:bCs/>
          <w:sz w:val="20"/>
        </w:rPr>
      </w:pPr>
      <w:r>
        <w:rPr>
          <w:rFonts w:ascii="宋体" w:hAnsi="宋体" w:cs="宋体"/>
          <w:bCs/>
          <w:sz w:val="20"/>
        </w:rPr>
        <w:t xml:space="preserve">12.2 </w:t>
      </w:r>
      <w:r>
        <w:rPr>
          <w:rFonts w:hint="eastAsia" w:ascii="宋体" w:hAnsi="宋体" w:cs="宋体"/>
          <w:bCs/>
          <w:sz w:val="20"/>
        </w:rPr>
        <w:t>投标文件袋上应写明：</w:t>
      </w:r>
    </w:p>
    <w:p>
      <w:pPr>
        <w:ind w:firstLine="400" w:firstLineChars="200"/>
        <w:rPr>
          <w:rFonts w:ascii="宋体" w:cs="宋体"/>
          <w:bCs/>
          <w:sz w:val="20"/>
        </w:rPr>
      </w:pPr>
      <w:r>
        <w:rPr>
          <w:rFonts w:hint="eastAsia" w:ascii="宋体" w:hAnsi="宋体" w:cs="宋体"/>
          <w:bCs/>
          <w:sz w:val="20"/>
        </w:rPr>
        <w:t>招标单位：中共哈密市委员会网络安全和信息化委员会办公室</w:t>
      </w:r>
    </w:p>
    <w:p>
      <w:pPr>
        <w:pStyle w:val="385"/>
        <w:spacing w:line="360" w:lineRule="auto"/>
        <w:ind w:firstLine="400" w:firstLineChars="200"/>
        <w:jc w:val="both"/>
        <w:rPr>
          <w:rFonts w:ascii="宋体" w:cs="宋体"/>
          <w:bCs/>
          <w:color w:val="auto"/>
          <w:sz w:val="20"/>
        </w:rPr>
      </w:pPr>
      <w:r>
        <w:rPr>
          <w:rFonts w:hint="eastAsia" w:ascii="宋体" w:hAnsi="宋体" w:cs="宋体"/>
          <w:bCs/>
          <w:color w:val="auto"/>
          <w:sz w:val="20"/>
        </w:rPr>
        <w:t>项目名称：</w:t>
      </w:r>
      <w:r>
        <w:rPr>
          <w:rFonts w:hint="eastAsia" w:ascii="宋体" w:hAnsi="宋体" w:cs="宋体"/>
          <w:bCs/>
          <w:color w:val="auto"/>
          <w:sz w:val="20"/>
          <w:lang w:eastAsia="zh-CN"/>
        </w:rPr>
        <w:t>哈密市智慧政务（“互联网+”及信息技术综合应用工程）</w:t>
      </w:r>
      <w:r>
        <w:rPr>
          <w:rFonts w:hint="eastAsia" w:ascii="宋体" w:hAnsi="宋体" w:cs="宋体"/>
          <w:bCs/>
          <w:color w:val="auto"/>
          <w:sz w:val="20"/>
          <w:lang w:val="en-US" w:eastAsia="zh-CN"/>
        </w:rPr>
        <w:t>一期电子政务外网机房扩容</w:t>
      </w:r>
      <w:r>
        <w:rPr>
          <w:rFonts w:hint="eastAsia" w:ascii="宋体" w:hAnsi="宋体" w:cs="宋体"/>
          <w:bCs/>
          <w:color w:val="auto"/>
          <w:sz w:val="20"/>
        </w:rPr>
        <w:t>采购项目</w:t>
      </w:r>
    </w:p>
    <w:p>
      <w:pPr>
        <w:ind w:firstLine="400" w:firstLineChars="200"/>
        <w:rPr>
          <w:rFonts w:hint="eastAsia" w:ascii="宋体" w:hAnsi="宋体" w:cs="宋体"/>
          <w:bCs/>
          <w:color w:val="auto"/>
          <w:kern w:val="0"/>
          <w:sz w:val="20"/>
          <w:szCs w:val="24"/>
          <w:lang w:val="en-US" w:eastAsia="zh-CN"/>
        </w:rPr>
      </w:pPr>
      <w:r>
        <w:rPr>
          <w:rFonts w:hint="eastAsia" w:ascii="宋体" w:hAnsi="宋体" w:cs="宋体"/>
          <w:bCs/>
          <w:color w:val="auto"/>
          <w:sz w:val="20"/>
        </w:rPr>
        <w:t>项目编号：</w:t>
      </w:r>
      <w:r>
        <w:rPr>
          <w:rFonts w:hint="eastAsia" w:ascii="宋体" w:hAnsi="宋体" w:cs="宋体"/>
          <w:bCs/>
          <w:color w:val="auto"/>
          <w:kern w:val="0"/>
          <w:sz w:val="20"/>
          <w:szCs w:val="24"/>
          <w:lang w:val="en-US" w:eastAsia="zh-CN"/>
        </w:rPr>
        <w:t>xxxxxx</w:t>
      </w:r>
    </w:p>
    <w:p>
      <w:pPr>
        <w:ind w:firstLine="400" w:firstLineChars="200"/>
        <w:rPr>
          <w:rFonts w:ascii="宋体" w:hAnsi="宋体" w:cs="宋体"/>
          <w:bCs/>
          <w:color w:val="auto"/>
          <w:sz w:val="20"/>
        </w:rPr>
      </w:pPr>
      <w:r>
        <w:rPr>
          <w:rFonts w:hint="eastAsia" w:ascii="宋体" w:hAnsi="宋体" w:cs="宋体"/>
          <w:bCs/>
          <w:color w:val="auto"/>
          <w:sz w:val="20"/>
        </w:rPr>
        <w:t>投标单位名称：</w:t>
      </w:r>
      <w:r>
        <w:rPr>
          <w:rFonts w:hint="eastAsia" w:ascii="宋体" w:hAnsi="宋体" w:cs="宋体"/>
          <w:bCs/>
          <w:color w:val="auto"/>
          <w:sz w:val="20"/>
          <w:lang w:val="en-US" w:eastAsia="zh-CN"/>
        </w:rPr>
        <w:t>XXXXXXXXXXXX</w:t>
      </w:r>
      <w:r>
        <w:rPr>
          <w:rFonts w:ascii="宋体" w:hAnsi="宋体" w:cs="宋体"/>
          <w:bCs/>
          <w:color w:val="auto"/>
          <w:sz w:val="20"/>
        </w:rPr>
        <w:t xml:space="preserve">      </w:t>
      </w:r>
      <w:r>
        <w:rPr>
          <w:rFonts w:hint="eastAsia" w:ascii="宋体" w:hAnsi="宋体" w:cs="宋体"/>
          <w:bCs/>
          <w:color w:val="auto"/>
          <w:sz w:val="20"/>
        </w:rPr>
        <w:t>　　　</w:t>
      </w:r>
      <w:r>
        <w:rPr>
          <w:rFonts w:ascii="宋体" w:hAnsi="宋体" w:cs="宋体"/>
          <w:bCs/>
          <w:color w:val="auto"/>
          <w:sz w:val="20"/>
        </w:rPr>
        <w:t xml:space="preserve">     </w:t>
      </w:r>
    </w:p>
    <w:p>
      <w:pPr>
        <w:ind w:firstLine="400" w:firstLineChars="200"/>
        <w:rPr>
          <w:rFonts w:ascii="宋体" w:cs="宋体"/>
          <w:bCs/>
          <w:color w:val="auto"/>
          <w:sz w:val="20"/>
        </w:rPr>
      </w:pPr>
      <w:r>
        <w:rPr>
          <w:rFonts w:hint="eastAsia" w:ascii="宋体" w:hAnsi="宋体" w:cs="宋体"/>
          <w:bCs/>
          <w:color w:val="auto"/>
          <w:sz w:val="20"/>
        </w:rPr>
        <w:t>注明“开标时才能启封”字样等</w:t>
      </w:r>
    </w:p>
    <w:p>
      <w:pPr>
        <w:ind w:firstLine="400" w:firstLineChars="200"/>
        <w:rPr>
          <w:rFonts w:hint="eastAsia" w:ascii="宋体" w:eastAsia="宋体" w:cs="宋体"/>
          <w:bCs/>
          <w:sz w:val="20"/>
          <w:lang w:eastAsia="zh-CN"/>
        </w:rPr>
      </w:pPr>
      <w:r>
        <w:rPr>
          <w:rFonts w:ascii="宋体" w:hAnsi="宋体" w:cs="宋体"/>
          <w:bCs/>
          <w:sz w:val="20"/>
        </w:rPr>
        <w:t>12.3</w:t>
      </w:r>
      <w:r>
        <w:rPr>
          <w:rFonts w:hint="eastAsia" w:ascii="宋体" w:hAnsi="宋体" w:cs="宋体"/>
          <w:bCs/>
          <w:sz w:val="20"/>
          <w:lang w:val="en-US" w:eastAsia="zh-CN"/>
        </w:rPr>
        <w:t xml:space="preserve"> </w:t>
      </w:r>
      <w:r>
        <w:rPr>
          <w:rFonts w:hint="eastAsia" w:ascii="宋体" w:hAnsi="宋体" w:cs="宋体"/>
          <w:bCs/>
          <w:sz w:val="20"/>
        </w:rPr>
        <w:t>为方便招标时的开标和唱标，投标方须将用于开标目的的投标文件正本、副本的投标书单独密封、并在信封上标明（正本、副本）</w:t>
      </w:r>
      <w:r>
        <w:rPr>
          <w:rFonts w:hint="eastAsia" w:ascii="宋体" w:hAnsi="宋体" w:cs="宋体"/>
          <w:bCs/>
          <w:sz w:val="20"/>
          <w:lang w:val="en-US" w:eastAsia="zh-CN"/>
        </w:rPr>
        <w:t>字样</w:t>
      </w:r>
      <w:r>
        <w:rPr>
          <w:rFonts w:hint="eastAsia" w:ascii="宋体" w:hAnsi="宋体" w:cs="宋体"/>
          <w:bCs/>
          <w:sz w:val="20"/>
          <w:lang w:eastAsia="zh-CN"/>
        </w:rPr>
        <w:t>，</w:t>
      </w:r>
      <w:r>
        <w:rPr>
          <w:rFonts w:hint="eastAsia" w:ascii="宋体" w:hAnsi="宋体" w:cs="宋体"/>
          <w:bCs/>
          <w:sz w:val="20"/>
        </w:rPr>
        <w:t>开标一览表、投标函单独密封</w:t>
      </w:r>
      <w:r>
        <w:rPr>
          <w:rFonts w:hint="eastAsia" w:ascii="宋体" w:hAnsi="宋体" w:cs="宋体"/>
          <w:bCs/>
          <w:sz w:val="20"/>
          <w:lang w:eastAsia="zh-CN"/>
        </w:rPr>
        <w:t>，</w:t>
      </w:r>
      <w:r>
        <w:rPr>
          <w:rFonts w:hint="eastAsia" w:ascii="宋体" w:hAnsi="宋体" w:cs="宋体"/>
          <w:bCs/>
          <w:sz w:val="20"/>
        </w:rPr>
        <w:t>并在信封上标明“开标一览表”字样</w:t>
      </w:r>
      <w:r>
        <w:rPr>
          <w:rFonts w:hint="eastAsia" w:ascii="宋体" w:hAnsi="宋体" w:cs="宋体"/>
          <w:bCs/>
          <w:sz w:val="20"/>
          <w:lang w:eastAsia="zh-CN"/>
        </w:rPr>
        <w:t>。</w:t>
      </w:r>
    </w:p>
    <w:p>
      <w:pPr>
        <w:ind w:firstLine="400" w:firstLineChars="200"/>
        <w:rPr>
          <w:rFonts w:ascii="宋体" w:cs="宋体"/>
          <w:bCs/>
          <w:sz w:val="20"/>
        </w:rPr>
      </w:pPr>
      <w:r>
        <w:rPr>
          <w:rFonts w:ascii="宋体" w:hAnsi="宋体" w:cs="宋体"/>
          <w:bCs/>
          <w:sz w:val="20"/>
        </w:rPr>
        <w:t>12.</w:t>
      </w:r>
      <w:r>
        <w:rPr>
          <w:rFonts w:hint="eastAsia" w:ascii="宋体" w:hAnsi="宋体" w:cs="宋体"/>
          <w:bCs/>
          <w:sz w:val="20"/>
          <w:lang w:val="en-US" w:eastAsia="zh-CN"/>
        </w:rPr>
        <w:t>4</w:t>
      </w:r>
      <w:r>
        <w:rPr>
          <w:rFonts w:ascii="宋体" w:hAnsi="宋体" w:cs="宋体"/>
          <w:bCs/>
          <w:sz w:val="20"/>
        </w:rPr>
        <w:t xml:space="preserve"> </w:t>
      </w:r>
      <w:r>
        <w:rPr>
          <w:rFonts w:hint="eastAsia" w:ascii="宋体" w:hAnsi="宋体" w:cs="宋体"/>
          <w:bCs/>
          <w:sz w:val="20"/>
        </w:rPr>
        <w:t>任何不完整或不满足招标书要求的投标书将被拒绝。</w:t>
      </w:r>
    </w:p>
    <w:p>
      <w:pPr>
        <w:ind w:firstLine="400" w:firstLineChars="200"/>
        <w:rPr>
          <w:rFonts w:ascii="宋体" w:cs="宋体"/>
          <w:bCs/>
          <w:sz w:val="20"/>
        </w:rPr>
      </w:pPr>
      <w:r>
        <w:rPr>
          <w:rFonts w:ascii="宋体" w:hAnsi="宋体" w:cs="宋体"/>
          <w:bCs/>
          <w:sz w:val="20"/>
        </w:rPr>
        <w:t>12.</w:t>
      </w:r>
      <w:r>
        <w:rPr>
          <w:rFonts w:hint="eastAsia" w:ascii="宋体" w:hAnsi="宋体" w:cs="宋体"/>
          <w:bCs/>
          <w:sz w:val="20"/>
          <w:lang w:val="en-US" w:eastAsia="zh-CN"/>
        </w:rPr>
        <w:t xml:space="preserve">5 </w:t>
      </w:r>
      <w:r>
        <w:rPr>
          <w:rFonts w:hint="eastAsia" w:ascii="宋体" w:hAnsi="宋体" w:cs="宋体"/>
          <w:bCs/>
          <w:sz w:val="20"/>
        </w:rPr>
        <w:t>由于不可抗拒原因或无法控制的事件而导致的丢失或损坏投标包装体内的投标书时，招标方将不负责任。</w:t>
      </w:r>
    </w:p>
    <w:p>
      <w:pPr>
        <w:numPr>
          <w:ilvl w:val="0"/>
          <w:numId w:val="19"/>
        </w:numPr>
        <w:ind w:left="425" w:leftChars="0" w:hanging="425" w:firstLineChars="0"/>
        <w:rPr>
          <w:rFonts w:ascii="宋体" w:cs="宋体"/>
          <w:b/>
          <w:sz w:val="20"/>
        </w:rPr>
      </w:pPr>
      <w:r>
        <w:rPr>
          <w:rFonts w:hint="eastAsia" w:ascii="宋体" w:hAnsi="宋体" w:cs="宋体"/>
          <w:b/>
          <w:sz w:val="20"/>
        </w:rPr>
        <w:t>投标截止时间</w:t>
      </w:r>
    </w:p>
    <w:p>
      <w:pPr>
        <w:ind w:firstLine="400" w:firstLineChars="200"/>
        <w:rPr>
          <w:rFonts w:ascii="宋体" w:cs="宋体"/>
          <w:bCs/>
          <w:color w:val="auto"/>
          <w:sz w:val="20"/>
        </w:rPr>
      </w:pPr>
      <w:r>
        <w:rPr>
          <w:rFonts w:hint="eastAsia" w:ascii="宋体" w:hAnsi="宋体" w:cs="宋体"/>
          <w:bCs/>
          <w:sz w:val="20"/>
          <w:lang w:val="en-US" w:eastAsia="zh-CN"/>
        </w:rPr>
        <w:t>13.1</w:t>
      </w:r>
      <w:r>
        <w:rPr>
          <w:rFonts w:hint="eastAsia" w:ascii="宋体" w:hAnsi="宋体" w:cs="宋体"/>
          <w:bCs/>
          <w:sz w:val="20"/>
        </w:rPr>
        <w:t>投标文件</w:t>
      </w:r>
      <w:r>
        <w:rPr>
          <w:rFonts w:hint="eastAsia" w:ascii="宋体" w:hAnsi="宋体" w:cs="宋体"/>
          <w:bCs/>
          <w:sz w:val="20"/>
          <w:szCs w:val="22"/>
        </w:rPr>
        <w:t>的递交不得迟于</w:t>
      </w:r>
      <w:r>
        <w:rPr>
          <w:rFonts w:ascii="宋体" w:hAnsi="宋体" w:cs="宋体"/>
          <w:bCs/>
          <w:color w:val="auto"/>
          <w:sz w:val="20"/>
          <w:szCs w:val="22"/>
        </w:rPr>
        <w:t>20</w:t>
      </w:r>
      <w:r>
        <w:rPr>
          <w:rFonts w:hint="eastAsia" w:ascii="宋体" w:hAnsi="宋体" w:cs="宋体"/>
          <w:bCs/>
          <w:color w:val="auto"/>
          <w:sz w:val="20"/>
          <w:szCs w:val="22"/>
          <w:lang w:val="en-US" w:eastAsia="zh-CN"/>
        </w:rPr>
        <w:t>20</w:t>
      </w:r>
      <w:r>
        <w:rPr>
          <w:rFonts w:hint="eastAsia" w:ascii="宋体" w:hAnsi="宋体" w:cs="宋体"/>
          <w:bCs/>
          <w:color w:val="auto"/>
          <w:sz w:val="20"/>
          <w:szCs w:val="22"/>
        </w:rPr>
        <w:t>年</w:t>
      </w:r>
      <w:r>
        <w:rPr>
          <w:rFonts w:hint="eastAsia" w:ascii="宋体" w:hAnsi="宋体" w:cs="宋体"/>
          <w:bCs/>
          <w:color w:val="auto"/>
          <w:sz w:val="20"/>
          <w:lang w:val="en-US" w:eastAsia="zh-CN"/>
        </w:rPr>
        <w:t>9</w:t>
      </w:r>
      <w:r>
        <w:rPr>
          <w:rFonts w:hint="eastAsia" w:ascii="宋体" w:hAnsi="宋体" w:cs="宋体"/>
          <w:bCs/>
          <w:color w:val="auto"/>
          <w:sz w:val="20"/>
        </w:rPr>
        <w:t>月</w:t>
      </w:r>
      <w:r>
        <w:rPr>
          <w:rFonts w:hint="eastAsia" w:ascii="宋体" w:hAnsi="宋体" w:cs="宋体"/>
          <w:bCs/>
          <w:color w:val="auto"/>
          <w:sz w:val="20"/>
          <w:lang w:val="en-US" w:eastAsia="zh-CN"/>
        </w:rPr>
        <w:t>28</w:t>
      </w:r>
      <w:r>
        <w:rPr>
          <w:rFonts w:hint="eastAsia" w:ascii="宋体" w:hAnsi="宋体" w:cs="宋体"/>
          <w:bCs/>
          <w:color w:val="auto"/>
          <w:sz w:val="20"/>
        </w:rPr>
        <w:t>日上午</w:t>
      </w:r>
      <w:r>
        <w:rPr>
          <w:rFonts w:hint="eastAsia" w:ascii="宋体" w:hAnsi="宋体" w:cs="宋体"/>
          <w:bCs/>
          <w:color w:val="auto"/>
          <w:sz w:val="20"/>
          <w:lang w:val="en-US" w:eastAsia="zh-CN"/>
        </w:rPr>
        <w:t>10</w:t>
      </w:r>
      <w:r>
        <w:rPr>
          <w:rFonts w:hint="eastAsia" w:ascii="宋体" w:hAnsi="宋体" w:cs="宋体"/>
          <w:bCs/>
          <w:color w:val="auto"/>
          <w:sz w:val="20"/>
        </w:rPr>
        <w:t>：</w:t>
      </w:r>
      <w:r>
        <w:rPr>
          <w:rFonts w:hint="eastAsia" w:ascii="宋体" w:hAnsi="宋体" w:cs="宋体"/>
          <w:bCs/>
          <w:color w:val="auto"/>
          <w:sz w:val="20"/>
          <w:lang w:val="en-US" w:eastAsia="zh-CN"/>
        </w:rPr>
        <w:t>00</w:t>
      </w:r>
      <w:r>
        <w:rPr>
          <w:rFonts w:hint="eastAsia" w:ascii="宋体" w:hAnsi="宋体" w:cs="宋体"/>
          <w:bCs/>
          <w:color w:val="auto"/>
          <w:sz w:val="20"/>
          <w:szCs w:val="22"/>
        </w:rPr>
        <w:t>（北京时间）。</w:t>
      </w:r>
      <w:r>
        <w:rPr>
          <w:rFonts w:hint="eastAsia" w:ascii="宋体" w:hAnsi="宋体" w:cs="宋体"/>
          <w:bCs/>
          <w:color w:val="auto"/>
          <w:sz w:val="20"/>
        </w:rPr>
        <w:t>投标文件以密封形式递交至指定开标地点。</w:t>
      </w:r>
    </w:p>
    <w:p>
      <w:pPr>
        <w:ind w:firstLine="400" w:firstLineChars="200"/>
        <w:rPr>
          <w:rFonts w:ascii="宋体" w:cs="宋体"/>
          <w:bCs/>
          <w:sz w:val="20"/>
        </w:rPr>
      </w:pPr>
      <w:r>
        <w:rPr>
          <w:rFonts w:ascii="宋体" w:hAnsi="宋体" w:cs="宋体"/>
          <w:bCs/>
          <w:sz w:val="20"/>
        </w:rPr>
        <w:t xml:space="preserve">13.2 </w:t>
      </w:r>
      <w:r>
        <w:rPr>
          <w:rFonts w:hint="eastAsia" w:ascii="宋体" w:hAnsi="宋体" w:cs="宋体"/>
          <w:bCs/>
          <w:sz w:val="20"/>
        </w:rPr>
        <w:t>　所有投标文件都必须在招标方规定的投标截止时间之前送达招标文件指定的地点，在此之后送达的投标文件，为无效投标，投标文件将一律被拒绝。</w:t>
      </w:r>
    </w:p>
    <w:p>
      <w:pPr>
        <w:ind w:firstLine="400" w:firstLineChars="200"/>
        <w:rPr>
          <w:rFonts w:ascii="宋体" w:cs="宋体"/>
          <w:bCs/>
          <w:sz w:val="20"/>
        </w:rPr>
      </w:pPr>
      <w:r>
        <w:rPr>
          <w:rFonts w:ascii="宋体" w:hAnsi="宋体" w:cs="宋体"/>
          <w:bCs/>
          <w:sz w:val="20"/>
        </w:rPr>
        <w:t xml:space="preserve">13.3 </w:t>
      </w:r>
      <w:r>
        <w:rPr>
          <w:rFonts w:hint="eastAsia" w:ascii="宋体" w:hAnsi="宋体" w:cs="宋体"/>
          <w:bCs/>
          <w:sz w:val="20"/>
        </w:rPr>
        <w:t>　出现因招标文件的修改而推迟投标截止时间的情况时，投标方则须按招标方的书面修改通知重新规定的投标时间递交。</w:t>
      </w:r>
    </w:p>
    <w:p>
      <w:pPr>
        <w:numPr>
          <w:ilvl w:val="0"/>
          <w:numId w:val="19"/>
        </w:numPr>
        <w:ind w:left="425" w:leftChars="0" w:hanging="425" w:firstLineChars="0"/>
        <w:rPr>
          <w:rFonts w:ascii="宋体" w:cs="宋体"/>
          <w:b/>
          <w:sz w:val="20"/>
        </w:rPr>
      </w:pPr>
      <w:r>
        <w:rPr>
          <w:rFonts w:hint="eastAsia" w:ascii="宋体" w:hAnsi="宋体" w:cs="宋体"/>
          <w:b/>
          <w:sz w:val="20"/>
          <w:szCs w:val="22"/>
        </w:rPr>
        <w:t>投标</w:t>
      </w:r>
      <w:r>
        <w:rPr>
          <w:rFonts w:hint="eastAsia" w:ascii="宋体" w:hAnsi="宋体" w:cs="宋体"/>
          <w:b/>
          <w:sz w:val="20"/>
        </w:rPr>
        <w:t>文件的修改和撤销</w:t>
      </w:r>
    </w:p>
    <w:p>
      <w:pPr>
        <w:ind w:firstLine="400" w:firstLineChars="200"/>
        <w:rPr>
          <w:rFonts w:ascii="宋体" w:cs="宋体"/>
          <w:bCs/>
          <w:sz w:val="20"/>
        </w:rPr>
      </w:pPr>
      <w:r>
        <w:rPr>
          <w:rFonts w:ascii="宋体" w:hAnsi="宋体" w:cs="宋体"/>
          <w:bCs/>
          <w:sz w:val="20"/>
        </w:rPr>
        <w:t>14.1</w:t>
      </w:r>
      <w:r>
        <w:rPr>
          <w:rFonts w:hint="eastAsia" w:ascii="宋体" w:hAnsi="宋体" w:cs="宋体"/>
          <w:bCs/>
          <w:sz w:val="20"/>
        </w:rPr>
        <w:t>　</w:t>
      </w:r>
      <w:r>
        <w:rPr>
          <w:rFonts w:ascii="宋体" w:hAnsi="宋体" w:cs="宋体"/>
          <w:bCs/>
          <w:sz w:val="20"/>
        </w:rPr>
        <w:t xml:space="preserve"> </w:t>
      </w:r>
      <w:r>
        <w:rPr>
          <w:rFonts w:hint="eastAsia" w:ascii="宋体" w:hAnsi="宋体" w:cs="宋体"/>
          <w:bCs/>
          <w:sz w:val="20"/>
        </w:rPr>
        <w:t>投标人在递交投标文件后，可在规定的投标截止时间之前，对其投标文件以书面通知的形式进行修改或撤消。该通知须有投标代理人的签字，并得到招标方的确认。</w:t>
      </w:r>
    </w:p>
    <w:p>
      <w:pPr>
        <w:ind w:firstLine="400" w:firstLineChars="200"/>
        <w:rPr>
          <w:rFonts w:ascii="宋体" w:cs="宋体"/>
          <w:bCs/>
          <w:sz w:val="20"/>
        </w:rPr>
      </w:pPr>
      <w:r>
        <w:rPr>
          <w:rFonts w:ascii="宋体" w:hAnsi="宋体" w:cs="宋体"/>
          <w:bCs/>
          <w:sz w:val="20"/>
        </w:rPr>
        <w:t>14.2</w:t>
      </w:r>
      <w:r>
        <w:rPr>
          <w:rFonts w:hint="eastAsia" w:ascii="宋体" w:hAnsi="宋体" w:cs="宋体"/>
          <w:bCs/>
          <w:sz w:val="20"/>
        </w:rPr>
        <w:t>　投标人对投标文件修改的书面材料或</w:t>
      </w:r>
      <w:r>
        <w:rPr>
          <w:rFonts w:hint="eastAsia" w:ascii="宋体" w:hAnsi="宋体" w:cs="宋体"/>
          <w:bCs/>
          <w:sz w:val="20"/>
          <w:lang w:val="en-US" w:eastAsia="zh-CN"/>
        </w:rPr>
        <w:t>撤销</w:t>
      </w:r>
      <w:r>
        <w:rPr>
          <w:rFonts w:hint="eastAsia" w:ascii="宋体" w:hAnsi="宋体" w:cs="宋体"/>
          <w:bCs/>
          <w:sz w:val="20"/>
        </w:rPr>
        <w:t>通知应按招标文件要求进行密封、标注和递交，并注明“修改投标文件”或“</w:t>
      </w:r>
      <w:r>
        <w:rPr>
          <w:rFonts w:hint="eastAsia" w:ascii="宋体" w:hAnsi="宋体" w:cs="宋体"/>
          <w:bCs/>
          <w:sz w:val="20"/>
          <w:lang w:val="en-US" w:eastAsia="zh-CN"/>
        </w:rPr>
        <w:t>撤销</w:t>
      </w:r>
      <w:r>
        <w:rPr>
          <w:rFonts w:hint="eastAsia" w:ascii="宋体" w:hAnsi="宋体" w:cs="宋体"/>
          <w:bCs/>
          <w:sz w:val="20"/>
        </w:rPr>
        <w:t>投标”字样，修改或撤销的内容须按招标文件的要求签署、盖章，并作为投标文件的组成部分。</w:t>
      </w:r>
    </w:p>
    <w:p>
      <w:pPr>
        <w:ind w:firstLine="400" w:firstLineChars="200"/>
        <w:rPr>
          <w:rFonts w:ascii="宋体" w:cs="宋体"/>
          <w:bCs/>
          <w:spacing w:val="-6"/>
          <w:sz w:val="20"/>
        </w:rPr>
      </w:pPr>
      <w:r>
        <w:rPr>
          <w:rFonts w:ascii="宋体" w:hAnsi="宋体" w:cs="宋体"/>
          <w:bCs/>
          <w:sz w:val="20"/>
        </w:rPr>
        <w:t>14.3</w:t>
      </w:r>
      <w:r>
        <w:rPr>
          <w:rFonts w:hint="eastAsia" w:ascii="宋体" w:hAnsi="宋体" w:cs="宋体"/>
          <w:bCs/>
          <w:sz w:val="20"/>
        </w:rPr>
        <w:t>　</w:t>
      </w:r>
      <w:r>
        <w:rPr>
          <w:rFonts w:hint="eastAsia" w:ascii="宋体" w:hAnsi="宋体" w:cs="宋体"/>
          <w:bCs/>
          <w:spacing w:val="-6"/>
          <w:sz w:val="20"/>
        </w:rPr>
        <w:t>对投标文件修改的书面材料应于投标截止日前送达招标方，投标截止时间以后不得修改投标文件。</w:t>
      </w:r>
    </w:p>
    <w:p>
      <w:pPr>
        <w:ind w:firstLine="400" w:firstLineChars="200"/>
        <w:rPr>
          <w:rFonts w:ascii="宋体" w:cs="宋体"/>
          <w:bCs/>
          <w:sz w:val="20"/>
        </w:rPr>
      </w:pPr>
      <w:r>
        <w:rPr>
          <w:rFonts w:ascii="宋体" w:hAnsi="宋体" w:cs="宋体"/>
          <w:bCs/>
          <w:sz w:val="20"/>
        </w:rPr>
        <w:t xml:space="preserve">14.4 </w:t>
      </w:r>
      <w:r>
        <w:rPr>
          <w:rFonts w:hint="eastAsia" w:ascii="宋体" w:hAnsi="宋体" w:cs="宋体"/>
          <w:bCs/>
          <w:sz w:val="20"/>
        </w:rPr>
        <w:t>投标方不得在开标后至投标有效期期满前撤销投标文件。否则招标方将没收其投标保证金。</w:t>
      </w:r>
    </w:p>
    <w:p>
      <w:pPr>
        <w:pStyle w:val="421"/>
        <w:ind w:left="181" w:hanging="181"/>
        <w:jc w:val="center"/>
        <w:rPr>
          <w:rFonts w:ascii="宋体" w:hAnsi="宋体" w:eastAsia="宋体"/>
        </w:rPr>
      </w:pPr>
      <w:bookmarkStart w:id="24" w:name="_Toc5953"/>
      <w:r>
        <w:rPr>
          <w:rFonts w:hint="eastAsia" w:ascii="宋体" w:hAnsi="宋体" w:eastAsia="宋体"/>
        </w:rPr>
        <w:t>第四章</w:t>
      </w:r>
      <w:r>
        <w:rPr>
          <w:rFonts w:hint="eastAsia" w:ascii="宋体" w:hAnsi="宋体" w:eastAsia="宋体"/>
          <w:lang w:val="en-US" w:eastAsia="zh-CN"/>
        </w:rPr>
        <w:t xml:space="preserve"> </w:t>
      </w:r>
      <w:r>
        <w:rPr>
          <w:rFonts w:hint="eastAsia" w:ascii="宋体" w:hAnsi="宋体" w:eastAsia="宋体"/>
        </w:rPr>
        <w:t>评标委员会</w:t>
      </w:r>
      <w:bookmarkEnd w:id="24"/>
    </w:p>
    <w:p>
      <w:pPr>
        <w:numPr>
          <w:ilvl w:val="0"/>
          <w:numId w:val="19"/>
        </w:numPr>
        <w:ind w:left="425" w:leftChars="0" w:hanging="425" w:firstLineChars="0"/>
        <w:rPr>
          <w:rFonts w:ascii="宋体" w:cs="宋体"/>
          <w:b/>
          <w:sz w:val="20"/>
        </w:rPr>
      </w:pPr>
      <w:r>
        <w:rPr>
          <w:rFonts w:hint="eastAsia" w:ascii="宋体" w:hAnsi="宋体" w:cs="宋体"/>
          <w:b/>
          <w:sz w:val="20"/>
        </w:rPr>
        <w:t>评标委员会</w:t>
      </w:r>
    </w:p>
    <w:p>
      <w:pPr>
        <w:ind w:firstLine="400" w:firstLineChars="200"/>
        <w:rPr>
          <w:rFonts w:ascii="宋体" w:cs="宋体"/>
          <w:bCs/>
          <w:spacing w:val="-6"/>
          <w:sz w:val="20"/>
        </w:rPr>
      </w:pPr>
      <w:r>
        <w:rPr>
          <w:rFonts w:ascii="宋体" w:hAnsi="宋体" w:cs="宋体"/>
          <w:bCs/>
          <w:sz w:val="20"/>
        </w:rPr>
        <w:t xml:space="preserve">15.1 </w:t>
      </w:r>
      <w:r>
        <w:rPr>
          <w:rFonts w:hint="eastAsia" w:ascii="宋体" w:hAnsi="宋体" w:cs="宋体"/>
          <w:bCs/>
          <w:sz w:val="20"/>
        </w:rPr>
        <w:t>招标方将根据《中华人民共和国政府采购法》的规定，依法组建本次招标的评标委员会，负责本次招标的评</w:t>
      </w:r>
      <w:r>
        <w:rPr>
          <w:rFonts w:hint="eastAsia" w:ascii="宋体" w:hAnsi="宋体" w:cs="宋体"/>
          <w:bCs/>
          <w:spacing w:val="-6"/>
          <w:sz w:val="20"/>
        </w:rPr>
        <w:t>标活动。评标委员会负责向招标方推荐中标候选人或者根据招标方的授权直接确定中标人。</w:t>
      </w:r>
    </w:p>
    <w:p>
      <w:pPr>
        <w:ind w:firstLine="400" w:firstLineChars="200"/>
        <w:rPr>
          <w:rFonts w:ascii="宋体" w:cs="宋体"/>
          <w:bCs/>
          <w:sz w:val="20"/>
        </w:rPr>
      </w:pPr>
      <w:r>
        <w:rPr>
          <w:rFonts w:hint="eastAsia" w:ascii="宋体" w:hAnsi="宋体" w:cs="宋体"/>
          <w:bCs/>
          <w:sz w:val="20"/>
        </w:rPr>
        <w:t>本招标文件中所指的评标委员会及其成员，适用于采取公开招标和邀请招标的采购方式。本招标文件中对评标委员会及其成员的要求，适用于采取竞争性谈判采购方式时依法组成的谈判小组及其成员。</w:t>
      </w:r>
    </w:p>
    <w:p>
      <w:pPr>
        <w:ind w:firstLine="400" w:firstLineChars="200"/>
        <w:rPr>
          <w:rFonts w:ascii="宋体" w:cs="宋体"/>
          <w:bCs/>
          <w:sz w:val="20"/>
        </w:rPr>
      </w:pPr>
      <w:r>
        <w:rPr>
          <w:rFonts w:ascii="宋体" w:hAnsi="宋体" w:cs="宋体"/>
          <w:bCs/>
          <w:sz w:val="20"/>
        </w:rPr>
        <w:t xml:space="preserve">15.2 </w:t>
      </w:r>
      <w:r>
        <w:rPr>
          <w:rFonts w:hint="eastAsia" w:ascii="宋体" w:hAnsi="宋体" w:cs="宋体"/>
          <w:bCs/>
          <w:sz w:val="20"/>
        </w:rPr>
        <w:t>评标委员会人选于开标前确定。评标委员会成员名单在中标结果确定前保密。</w:t>
      </w:r>
    </w:p>
    <w:p>
      <w:pPr>
        <w:ind w:firstLine="400" w:firstLineChars="200"/>
        <w:rPr>
          <w:rFonts w:ascii="宋体" w:cs="宋体"/>
          <w:bCs/>
          <w:sz w:val="20"/>
        </w:rPr>
      </w:pPr>
      <w:r>
        <w:rPr>
          <w:rFonts w:ascii="宋体" w:hAnsi="宋体" w:cs="宋体"/>
          <w:bCs/>
          <w:sz w:val="20"/>
        </w:rPr>
        <w:t xml:space="preserve">15.3 </w:t>
      </w:r>
      <w:r>
        <w:rPr>
          <w:rFonts w:hint="eastAsia" w:ascii="宋体" w:hAnsi="宋体" w:cs="宋体"/>
          <w:bCs/>
          <w:sz w:val="20"/>
        </w:rPr>
        <w:t>评标委员会有关技术、经济等方面的专家和采购人熟悉相关业务的代表人员组成，成员为三人以上的单数，其中技术、经济等方面的成员人数不少于成员总数的三分之二。本项目评标委员会由</w:t>
      </w:r>
      <w:r>
        <w:rPr>
          <w:rFonts w:hint="eastAsia" w:ascii="宋体" w:hAnsi="宋体" w:cs="宋体"/>
          <w:bCs/>
          <w:color w:val="FF0000"/>
          <w:sz w:val="20"/>
          <w:u w:val="single"/>
          <w:lang w:val="en-US" w:eastAsia="zh-CN"/>
        </w:rPr>
        <w:t>5</w:t>
      </w:r>
      <w:r>
        <w:rPr>
          <w:rFonts w:hint="eastAsia" w:ascii="宋体" w:hAnsi="宋体" w:cs="宋体"/>
          <w:bCs/>
          <w:sz w:val="20"/>
          <w:u w:val="single"/>
        </w:rPr>
        <w:t>人</w:t>
      </w:r>
      <w:r>
        <w:rPr>
          <w:rFonts w:hint="eastAsia" w:ascii="宋体" w:hAnsi="宋体" w:cs="宋体"/>
          <w:bCs/>
          <w:sz w:val="20"/>
        </w:rPr>
        <w:t>组成。</w:t>
      </w:r>
    </w:p>
    <w:p>
      <w:pPr>
        <w:ind w:firstLine="400" w:firstLineChars="200"/>
        <w:rPr>
          <w:rFonts w:ascii="宋体" w:cs="宋体"/>
          <w:bCs/>
          <w:sz w:val="20"/>
        </w:rPr>
      </w:pPr>
      <w:r>
        <w:rPr>
          <w:rFonts w:ascii="宋体" w:hAnsi="宋体" w:cs="宋体"/>
          <w:bCs/>
          <w:sz w:val="20"/>
        </w:rPr>
        <w:t xml:space="preserve">15.4 </w:t>
      </w:r>
      <w:r>
        <w:rPr>
          <w:rFonts w:hint="eastAsia" w:ascii="宋体" w:hAnsi="宋体" w:cs="宋体"/>
          <w:bCs/>
          <w:sz w:val="20"/>
        </w:rPr>
        <w:t>按前款规定，评标委员会的成员，由招标方从哈密市政府采购专家库中采取随机抽取的方式确定。对于技术复杂、专业性要求较高或者国家有特殊要求的招标项目，采取随机抽取的方式抽取的专家不能满足评标工作需要时，将采取直接确定的方式选定评标委员会的人选。</w:t>
      </w:r>
    </w:p>
    <w:p>
      <w:pPr>
        <w:ind w:firstLine="400" w:firstLineChars="200"/>
        <w:rPr>
          <w:rFonts w:ascii="宋体" w:cs="宋体"/>
          <w:bCs/>
          <w:sz w:val="20"/>
        </w:rPr>
      </w:pPr>
      <w:r>
        <w:rPr>
          <w:rFonts w:ascii="宋体" w:hAnsi="宋体" w:cs="宋体"/>
          <w:bCs/>
          <w:sz w:val="20"/>
        </w:rPr>
        <w:t>15.5</w:t>
      </w:r>
      <w:r>
        <w:rPr>
          <w:rFonts w:hint="eastAsia" w:ascii="宋体" w:hAnsi="宋体" w:cs="宋体"/>
          <w:bCs/>
          <w:sz w:val="20"/>
          <w:lang w:val="en-US" w:eastAsia="zh-CN"/>
        </w:rPr>
        <w:t xml:space="preserve"> </w:t>
      </w:r>
      <w:r>
        <w:rPr>
          <w:rFonts w:hint="eastAsia" w:ascii="宋体" w:hAnsi="宋体" w:cs="宋体"/>
          <w:bCs/>
          <w:sz w:val="20"/>
        </w:rPr>
        <w:t>评标专家的条件和回避规定</w:t>
      </w:r>
    </w:p>
    <w:p>
      <w:pPr>
        <w:numPr>
          <w:ilvl w:val="0"/>
          <w:numId w:val="21"/>
        </w:numPr>
        <w:ind w:left="845" w:leftChars="0" w:hanging="425" w:firstLineChars="0"/>
        <w:rPr>
          <w:rFonts w:ascii="宋体" w:cs="宋体"/>
          <w:bCs/>
          <w:sz w:val="20"/>
        </w:rPr>
      </w:pPr>
      <w:r>
        <w:rPr>
          <w:rFonts w:hint="eastAsia" w:ascii="宋体" w:hAnsi="宋体" w:cs="宋体"/>
          <w:bCs/>
          <w:sz w:val="20"/>
        </w:rPr>
        <w:t>评标专家应符合下列条件：</w:t>
      </w:r>
    </w:p>
    <w:p>
      <w:pPr>
        <w:numPr>
          <w:ilvl w:val="0"/>
          <w:numId w:val="22"/>
        </w:numPr>
        <w:ind w:left="400" w:leftChars="0" w:firstLine="420" w:firstLineChars="0"/>
        <w:rPr>
          <w:rFonts w:ascii="宋体" w:cs="宋体"/>
          <w:bCs/>
          <w:sz w:val="20"/>
        </w:rPr>
      </w:pPr>
      <w:r>
        <w:rPr>
          <w:rFonts w:hint="eastAsia" w:ascii="宋体" w:hAnsi="宋体" w:cs="宋体"/>
          <w:bCs/>
          <w:sz w:val="20"/>
        </w:rPr>
        <w:t>熟悉有关政府采购和招标投标的法律法规；</w:t>
      </w:r>
    </w:p>
    <w:p>
      <w:pPr>
        <w:numPr>
          <w:ilvl w:val="0"/>
          <w:numId w:val="22"/>
        </w:numPr>
        <w:ind w:left="400" w:leftChars="0" w:firstLine="420" w:firstLineChars="0"/>
        <w:rPr>
          <w:rFonts w:ascii="宋体" w:cs="宋体"/>
          <w:bCs/>
          <w:sz w:val="20"/>
        </w:rPr>
      </w:pPr>
      <w:r>
        <w:rPr>
          <w:rFonts w:hint="eastAsia" w:ascii="宋体" w:hAnsi="宋体" w:cs="宋体"/>
          <w:bCs/>
          <w:sz w:val="20"/>
        </w:rPr>
        <w:t>在相关专业领域工作满五年并具有中、高级职称或者同等专业水平；</w:t>
      </w:r>
    </w:p>
    <w:p>
      <w:pPr>
        <w:numPr>
          <w:ilvl w:val="0"/>
          <w:numId w:val="22"/>
        </w:numPr>
        <w:ind w:left="400" w:leftChars="0" w:firstLine="420" w:firstLineChars="0"/>
        <w:rPr>
          <w:rFonts w:ascii="宋体" w:cs="宋体"/>
          <w:bCs/>
          <w:sz w:val="20"/>
        </w:rPr>
      </w:pPr>
      <w:r>
        <w:rPr>
          <w:rFonts w:hint="eastAsia" w:ascii="宋体" w:hAnsi="宋体" w:cs="宋体"/>
          <w:bCs/>
          <w:sz w:val="20"/>
        </w:rPr>
        <w:t>熟悉有关招标投标的法律法规，并具有与招标项目相关的实践经验；</w:t>
      </w:r>
    </w:p>
    <w:p>
      <w:pPr>
        <w:numPr>
          <w:ilvl w:val="0"/>
          <w:numId w:val="22"/>
        </w:numPr>
        <w:ind w:left="400" w:leftChars="0" w:firstLine="420" w:firstLineChars="0"/>
        <w:rPr>
          <w:rFonts w:ascii="宋体" w:cs="宋体"/>
          <w:bCs/>
          <w:sz w:val="20"/>
        </w:rPr>
      </w:pPr>
      <w:r>
        <w:rPr>
          <w:rFonts w:hint="eastAsia" w:ascii="宋体" w:hAnsi="宋体" w:cs="宋体"/>
          <w:bCs/>
          <w:sz w:val="20"/>
        </w:rPr>
        <w:t>能够认真、公正、诚实、廉洁的履行职责。</w:t>
      </w:r>
    </w:p>
    <w:p>
      <w:pPr>
        <w:numPr>
          <w:ilvl w:val="0"/>
          <w:numId w:val="21"/>
        </w:numPr>
        <w:ind w:left="845" w:leftChars="0" w:hanging="425" w:firstLineChars="0"/>
        <w:rPr>
          <w:rFonts w:ascii="宋体" w:cs="宋体"/>
          <w:bCs/>
          <w:sz w:val="20"/>
        </w:rPr>
      </w:pPr>
      <w:r>
        <w:rPr>
          <w:rFonts w:hint="eastAsia" w:ascii="宋体" w:hAnsi="宋体" w:cs="宋体"/>
          <w:bCs/>
          <w:sz w:val="20"/>
        </w:rPr>
        <w:t>有下列情形之一的，不得担任评标委员会成员：</w:t>
      </w:r>
    </w:p>
    <w:p>
      <w:pPr>
        <w:numPr>
          <w:ilvl w:val="0"/>
          <w:numId w:val="22"/>
        </w:numPr>
        <w:ind w:left="400" w:leftChars="0" w:firstLine="420" w:firstLineChars="0"/>
        <w:rPr>
          <w:rFonts w:hint="eastAsia" w:ascii="宋体" w:eastAsia="宋体" w:cs="宋体"/>
          <w:bCs/>
          <w:sz w:val="20"/>
          <w:lang w:val="en-US" w:eastAsia="zh-CN"/>
        </w:rPr>
      </w:pPr>
      <w:r>
        <w:rPr>
          <w:rFonts w:hint="eastAsia" w:ascii="宋体" w:hAnsi="宋体" w:cs="宋体"/>
          <w:bCs/>
          <w:sz w:val="20"/>
        </w:rPr>
        <w:t>与投标方或者投标方主要负责人有近亲关系的</w:t>
      </w:r>
      <w:r>
        <w:rPr>
          <w:rFonts w:hint="eastAsia" w:ascii="宋体" w:hAnsi="宋体" w:cs="宋体"/>
          <w:bCs/>
          <w:sz w:val="20"/>
          <w:lang w:eastAsia="zh-CN"/>
        </w:rPr>
        <w:t>。</w:t>
      </w:r>
    </w:p>
    <w:p>
      <w:pPr>
        <w:numPr>
          <w:ilvl w:val="0"/>
          <w:numId w:val="22"/>
        </w:numPr>
        <w:ind w:left="400" w:leftChars="0" w:firstLine="420" w:firstLineChars="0"/>
        <w:rPr>
          <w:rFonts w:hint="eastAsia" w:ascii="宋体" w:eastAsia="宋体" w:cs="宋体"/>
          <w:bCs/>
          <w:sz w:val="20"/>
          <w:lang w:eastAsia="zh-CN"/>
        </w:rPr>
      </w:pPr>
      <w:r>
        <w:rPr>
          <w:rFonts w:hint="eastAsia" w:ascii="宋体" w:hAnsi="宋体" w:cs="宋体"/>
          <w:bCs/>
          <w:sz w:val="20"/>
        </w:rPr>
        <w:t>与项目主管部门或者行政监督部门的人员有近亲关系的</w:t>
      </w:r>
      <w:r>
        <w:rPr>
          <w:rFonts w:hint="eastAsia" w:ascii="宋体" w:hAnsi="宋体" w:cs="宋体"/>
          <w:bCs/>
          <w:sz w:val="20"/>
          <w:lang w:eastAsia="zh-CN"/>
        </w:rPr>
        <w:t>。</w:t>
      </w:r>
    </w:p>
    <w:p>
      <w:pPr>
        <w:numPr>
          <w:ilvl w:val="0"/>
          <w:numId w:val="22"/>
        </w:numPr>
        <w:ind w:left="400" w:leftChars="0" w:firstLine="420" w:firstLineChars="0"/>
        <w:rPr>
          <w:rFonts w:hint="eastAsia" w:ascii="宋体" w:eastAsia="宋体" w:cs="宋体"/>
          <w:bCs/>
          <w:sz w:val="20"/>
          <w:lang w:eastAsia="zh-CN"/>
        </w:rPr>
      </w:pPr>
      <w:r>
        <w:rPr>
          <w:rFonts w:hint="eastAsia" w:ascii="宋体" w:hAnsi="宋体" w:cs="宋体"/>
          <w:bCs/>
          <w:sz w:val="20"/>
        </w:rPr>
        <w:t>与投标人有经济利益关系，可能影响对投标公正评审的</w:t>
      </w:r>
      <w:r>
        <w:rPr>
          <w:rFonts w:hint="eastAsia" w:ascii="宋体" w:hAnsi="宋体" w:cs="宋体"/>
          <w:bCs/>
          <w:sz w:val="20"/>
          <w:lang w:eastAsia="zh-CN"/>
        </w:rPr>
        <w:t>。</w:t>
      </w:r>
    </w:p>
    <w:p>
      <w:pPr>
        <w:numPr>
          <w:ilvl w:val="0"/>
          <w:numId w:val="22"/>
        </w:numPr>
        <w:ind w:left="400" w:leftChars="0" w:firstLine="420" w:firstLineChars="0"/>
        <w:rPr>
          <w:rFonts w:ascii="宋体" w:cs="宋体"/>
          <w:bCs/>
          <w:color w:val="FF0000"/>
          <w:sz w:val="20"/>
        </w:rPr>
      </w:pPr>
      <w:r>
        <w:rPr>
          <w:rFonts w:hint="eastAsia" w:ascii="宋体" w:hAnsi="宋体" w:cs="宋体"/>
          <w:bCs/>
          <w:sz w:val="20"/>
        </w:rPr>
        <w:t>曾因在招标、评标以及其他与招标投标有关活动中从事违法行为而受过行政处罚或刑事处罚的。</w:t>
      </w:r>
      <w:r>
        <w:rPr>
          <w:rFonts w:hint="eastAsia" w:ascii="宋体" w:hAnsi="宋体" w:cs="宋体"/>
          <w:bCs/>
          <w:sz w:val="20"/>
          <w:lang w:val="en-US" w:eastAsia="zh-CN"/>
        </w:rPr>
        <w:t xml:space="preserve"> </w:t>
      </w:r>
    </w:p>
    <w:p>
      <w:pPr>
        <w:numPr>
          <w:ilvl w:val="0"/>
          <w:numId w:val="22"/>
        </w:numPr>
        <w:ind w:left="400" w:leftChars="0" w:firstLine="420" w:firstLineChars="0"/>
        <w:rPr>
          <w:rFonts w:ascii="宋体" w:cs="宋体"/>
          <w:bCs/>
          <w:color w:val="auto"/>
          <w:sz w:val="20"/>
        </w:rPr>
      </w:pPr>
      <w:r>
        <w:rPr>
          <w:rFonts w:hint="eastAsia" w:ascii="宋体" w:hAnsi="宋体" w:cs="宋体"/>
          <w:bCs/>
          <w:color w:val="auto"/>
          <w:sz w:val="20"/>
          <w:lang w:val="en-US" w:eastAsia="zh-CN"/>
        </w:rPr>
        <w:t>评</w:t>
      </w:r>
      <w:r>
        <w:rPr>
          <w:rFonts w:hint="eastAsia" w:ascii="宋体" w:hAnsi="宋体" w:cs="宋体"/>
          <w:bCs/>
          <w:color w:val="auto"/>
          <w:sz w:val="20"/>
        </w:rPr>
        <w:t>标委员会成员有前款规定情形之一的，应当主动提出回避。</w:t>
      </w:r>
    </w:p>
    <w:p>
      <w:pPr>
        <w:ind w:firstLine="400" w:firstLineChars="200"/>
        <w:rPr>
          <w:rFonts w:ascii="宋体" w:cs="宋体"/>
          <w:bCs/>
          <w:sz w:val="20"/>
        </w:rPr>
      </w:pPr>
      <w:r>
        <w:rPr>
          <w:rFonts w:ascii="宋体" w:hAnsi="宋体" w:cs="宋体"/>
          <w:bCs/>
          <w:sz w:val="20"/>
        </w:rPr>
        <w:t xml:space="preserve">15.6 </w:t>
      </w:r>
      <w:r>
        <w:rPr>
          <w:rFonts w:hint="eastAsia" w:ascii="宋体" w:hAnsi="宋体" w:cs="宋体"/>
          <w:bCs/>
          <w:sz w:val="20"/>
        </w:rPr>
        <w:t>评标委员会成员应当熟悉并认真研究招标文件，至少应了解和熟悉以下内容：</w:t>
      </w:r>
    </w:p>
    <w:p>
      <w:pPr>
        <w:numPr>
          <w:ilvl w:val="0"/>
          <w:numId w:val="23"/>
        </w:numPr>
        <w:ind w:left="845" w:leftChars="0" w:hanging="425" w:firstLineChars="0"/>
        <w:rPr>
          <w:rFonts w:ascii="宋体" w:cs="宋体"/>
          <w:bCs/>
          <w:sz w:val="20"/>
        </w:rPr>
      </w:pPr>
      <w:r>
        <w:rPr>
          <w:rFonts w:hint="eastAsia" w:ascii="宋体" w:hAnsi="宋体" w:cs="宋体"/>
          <w:bCs/>
          <w:sz w:val="20"/>
        </w:rPr>
        <w:t>招标目的。</w:t>
      </w:r>
    </w:p>
    <w:p>
      <w:pPr>
        <w:numPr>
          <w:ilvl w:val="0"/>
          <w:numId w:val="23"/>
        </w:numPr>
        <w:ind w:left="845" w:leftChars="0" w:hanging="425" w:firstLineChars="0"/>
        <w:rPr>
          <w:rFonts w:ascii="宋体" w:cs="宋体"/>
          <w:bCs/>
          <w:sz w:val="20"/>
        </w:rPr>
      </w:pPr>
      <w:r>
        <w:rPr>
          <w:rFonts w:hint="eastAsia" w:ascii="宋体" w:hAnsi="宋体" w:cs="宋体"/>
          <w:bCs/>
          <w:sz w:val="20"/>
        </w:rPr>
        <w:t>招标项目的范围、性质。</w:t>
      </w:r>
    </w:p>
    <w:p>
      <w:pPr>
        <w:numPr>
          <w:ilvl w:val="0"/>
          <w:numId w:val="23"/>
        </w:numPr>
        <w:ind w:left="845" w:leftChars="0" w:hanging="425" w:firstLineChars="0"/>
        <w:rPr>
          <w:rFonts w:ascii="宋体" w:cs="宋体"/>
          <w:bCs/>
          <w:sz w:val="20"/>
        </w:rPr>
      </w:pPr>
      <w:r>
        <w:rPr>
          <w:rFonts w:hint="eastAsia" w:ascii="宋体" w:hAnsi="宋体" w:cs="宋体"/>
          <w:bCs/>
          <w:sz w:val="20"/>
        </w:rPr>
        <w:t>招标文件中规定的主要技术要求、标准和商务条款。</w:t>
      </w:r>
    </w:p>
    <w:p>
      <w:pPr>
        <w:numPr>
          <w:ilvl w:val="0"/>
          <w:numId w:val="23"/>
        </w:numPr>
        <w:ind w:left="845" w:leftChars="0" w:hanging="425" w:firstLineChars="0"/>
        <w:rPr>
          <w:rFonts w:ascii="宋体" w:cs="宋体"/>
          <w:bCs/>
          <w:sz w:val="20"/>
        </w:rPr>
      </w:pPr>
      <w:r>
        <w:rPr>
          <w:rFonts w:hint="eastAsia" w:ascii="宋体" w:hAnsi="宋体" w:cs="宋体"/>
          <w:bCs/>
          <w:sz w:val="20"/>
        </w:rPr>
        <w:t>招标文件规定的评标标准、评标方法和在评标过程中应考虑的相关因素。</w:t>
      </w:r>
    </w:p>
    <w:p>
      <w:pPr>
        <w:ind w:firstLine="400" w:firstLineChars="200"/>
        <w:rPr>
          <w:rFonts w:ascii="宋体" w:cs="宋体"/>
          <w:bCs/>
          <w:sz w:val="20"/>
        </w:rPr>
      </w:pPr>
      <w:r>
        <w:rPr>
          <w:rFonts w:ascii="宋体" w:hAnsi="宋体" w:cs="宋体"/>
          <w:bCs/>
          <w:sz w:val="20"/>
        </w:rPr>
        <w:t xml:space="preserve">15.7 </w:t>
      </w:r>
      <w:r>
        <w:rPr>
          <w:rFonts w:hint="eastAsia" w:ascii="宋体" w:hAnsi="宋体" w:cs="宋体"/>
          <w:bCs/>
          <w:sz w:val="20"/>
        </w:rPr>
        <w:t>招标人应当向评标委员会提供评标所需的重要信息和数据。</w:t>
      </w:r>
    </w:p>
    <w:p>
      <w:pPr>
        <w:ind w:firstLine="400" w:firstLineChars="200"/>
        <w:rPr>
          <w:rFonts w:ascii="宋体" w:cs="宋体"/>
          <w:bCs/>
          <w:sz w:val="20"/>
        </w:rPr>
      </w:pPr>
      <w:r>
        <w:rPr>
          <w:rFonts w:ascii="宋体" w:hAnsi="宋体" w:cs="宋体"/>
          <w:bCs/>
          <w:sz w:val="20"/>
        </w:rPr>
        <w:t xml:space="preserve">15.8 </w:t>
      </w:r>
      <w:r>
        <w:rPr>
          <w:rFonts w:hint="eastAsia" w:ascii="宋体" w:hAnsi="宋体" w:cs="宋体"/>
          <w:bCs/>
          <w:sz w:val="20"/>
        </w:rPr>
        <w:t>评标委员会应当根据招标文件规定的评标标准和方法，对投标文件进行系统地评审和比较。招标文件中没有规定的标准和方法不得作为评标的依据。</w:t>
      </w:r>
    </w:p>
    <w:p>
      <w:pPr>
        <w:ind w:firstLine="400" w:firstLineChars="200"/>
        <w:rPr>
          <w:rFonts w:ascii="宋体" w:cs="宋体"/>
          <w:bCs/>
          <w:sz w:val="20"/>
        </w:rPr>
      </w:pPr>
      <w:r>
        <w:rPr>
          <w:rFonts w:ascii="宋体" w:hAnsi="宋体" w:cs="宋体"/>
          <w:bCs/>
          <w:sz w:val="20"/>
        </w:rPr>
        <w:t xml:space="preserve">15.9 </w:t>
      </w:r>
      <w:r>
        <w:rPr>
          <w:rFonts w:hint="eastAsia" w:ascii="宋体" w:hAnsi="宋体" w:cs="宋体"/>
          <w:bCs/>
          <w:sz w:val="20"/>
        </w:rPr>
        <w:t>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ind w:firstLine="400" w:firstLineChars="200"/>
        <w:rPr>
          <w:rFonts w:ascii="宋体" w:cs="宋体"/>
          <w:bCs/>
          <w:sz w:val="20"/>
        </w:rPr>
      </w:pPr>
      <w:r>
        <w:rPr>
          <w:rFonts w:ascii="宋体" w:hAnsi="宋体" w:cs="宋体"/>
          <w:bCs/>
          <w:sz w:val="20"/>
        </w:rPr>
        <w:t xml:space="preserve">15.10 </w:t>
      </w:r>
      <w:r>
        <w:rPr>
          <w:rFonts w:hint="eastAsia" w:ascii="宋体" w:hAnsi="宋体" w:cs="宋体"/>
          <w:bCs/>
          <w:sz w:val="20"/>
        </w:rPr>
        <w:t>评标委员会成员和与本次评标活动有关的工作人员，不得透露对投标文件的评审和比较、中标候选人的推荐情况以及与评标有关的其他情况。</w:t>
      </w:r>
    </w:p>
    <w:p>
      <w:pPr>
        <w:ind w:firstLine="400" w:firstLineChars="200"/>
        <w:rPr>
          <w:rFonts w:ascii="宋体" w:cs="宋体"/>
          <w:bCs/>
          <w:sz w:val="20"/>
        </w:rPr>
      </w:pPr>
      <w:r>
        <w:rPr>
          <w:rFonts w:ascii="宋体" w:hAnsi="宋体" w:cs="宋体"/>
          <w:bCs/>
          <w:sz w:val="20"/>
        </w:rPr>
        <w:t>15.</w:t>
      </w:r>
      <w:r>
        <w:rPr>
          <w:rFonts w:ascii="宋体" w:hAnsi="宋体" w:cs="宋体"/>
          <w:bCs/>
          <w:sz w:val="20"/>
          <w:szCs w:val="22"/>
        </w:rPr>
        <w:t>1</w:t>
      </w:r>
      <w:r>
        <w:rPr>
          <w:rFonts w:hint="eastAsia" w:ascii="宋体" w:hAnsi="宋体" w:cs="宋体"/>
          <w:bCs/>
          <w:sz w:val="20"/>
          <w:szCs w:val="22"/>
          <w:lang w:val="en-US" w:eastAsia="zh-CN"/>
        </w:rPr>
        <w:t>1</w:t>
      </w:r>
      <w:r>
        <w:rPr>
          <w:rFonts w:hint="eastAsia" w:ascii="宋体" w:hAnsi="宋体" w:cs="宋体"/>
          <w:bCs/>
          <w:sz w:val="20"/>
        </w:rPr>
        <w:t>与评标活动有关的工作人员，是指评标委员会成员以外的、因参与评标监督工作或者事务性工作而知悉有关评标情况的所有人员。</w:t>
      </w:r>
    </w:p>
    <w:p>
      <w:pPr>
        <w:pStyle w:val="421"/>
        <w:ind w:left="181" w:hanging="181"/>
        <w:jc w:val="center"/>
        <w:rPr>
          <w:rFonts w:ascii="宋体" w:hAnsi="宋体" w:eastAsia="宋体"/>
        </w:rPr>
      </w:pPr>
      <w:bookmarkStart w:id="25" w:name="_Toc17179"/>
      <w:r>
        <w:rPr>
          <w:rFonts w:hint="eastAsia" w:ascii="宋体" w:hAnsi="宋体" w:eastAsia="宋体"/>
        </w:rPr>
        <w:t>第五章</w:t>
      </w:r>
      <w:r>
        <w:rPr>
          <w:rFonts w:hint="eastAsia" w:ascii="宋体" w:hAnsi="宋体" w:eastAsia="宋体"/>
          <w:lang w:val="en-US" w:eastAsia="zh-CN"/>
        </w:rPr>
        <w:t xml:space="preserve"> </w:t>
      </w:r>
      <w:r>
        <w:rPr>
          <w:rFonts w:hint="eastAsia" w:ascii="宋体" w:hAnsi="宋体" w:eastAsia="宋体"/>
        </w:rPr>
        <w:t>开</w:t>
      </w:r>
      <w:r>
        <w:rPr>
          <w:rFonts w:hint="eastAsia" w:ascii="宋体" w:hAnsi="宋体" w:eastAsia="宋体"/>
          <w:lang w:val="en-US" w:eastAsia="zh-CN"/>
        </w:rPr>
        <w:t xml:space="preserve"> </w:t>
      </w:r>
      <w:r>
        <w:rPr>
          <w:rFonts w:hint="eastAsia" w:ascii="宋体" w:hAnsi="宋体" w:eastAsia="宋体"/>
        </w:rPr>
        <w:t>标</w:t>
      </w:r>
      <w:bookmarkEnd w:id="25"/>
    </w:p>
    <w:p>
      <w:pPr>
        <w:numPr>
          <w:ilvl w:val="0"/>
          <w:numId w:val="19"/>
        </w:numPr>
        <w:ind w:left="425" w:leftChars="0" w:hanging="425" w:firstLineChars="0"/>
        <w:rPr>
          <w:rFonts w:ascii="宋体" w:cs="宋体"/>
          <w:b/>
          <w:sz w:val="20"/>
        </w:rPr>
      </w:pPr>
      <w:r>
        <w:rPr>
          <w:rFonts w:hint="eastAsia" w:ascii="宋体" w:hAnsi="宋体" w:cs="宋体"/>
          <w:b/>
          <w:sz w:val="20"/>
          <w:szCs w:val="22"/>
        </w:rPr>
        <w:t>开标</w:t>
      </w:r>
    </w:p>
    <w:p>
      <w:pPr>
        <w:ind w:firstLine="400" w:firstLineChars="200"/>
        <w:rPr>
          <w:rFonts w:ascii="宋体" w:cs="宋体"/>
          <w:bCs/>
          <w:sz w:val="20"/>
        </w:rPr>
      </w:pPr>
      <w:r>
        <w:rPr>
          <w:rFonts w:ascii="宋体" w:hAnsi="宋体" w:cs="宋体"/>
          <w:bCs/>
          <w:sz w:val="20"/>
        </w:rPr>
        <w:t>16.1</w:t>
      </w:r>
      <w:r>
        <w:rPr>
          <w:rFonts w:hint="eastAsia" w:ascii="宋体" w:hAnsi="宋体" w:cs="宋体"/>
          <w:bCs/>
          <w:color w:val="auto"/>
          <w:sz w:val="20"/>
          <w:lang w:val="en-US" w:eastAsia="zh-CN"/>
        </w:rPr>
        <w:t xml:space="preserve"> </w:t>
      </w:r>
      <w:r>
        <w:rPr>
          <w:rFonts w:hint="eastAsia" w:ascii="宋体" w:hAnsi="宋体" w:cs="宋体"/>
          <w:bCs/>
          <w:color w:val="auto"/>
          <w:sz w:val="20"/>
        </w:rPr>
        <w:t>本次招标按招标文件的投标邀请中规定的时间和地点进行公开开标，</w:t>
      </w:r>
      <w:r>
        <w:rPr>
          <w:rFonts w:hint="eastAsia" w:ascii="宋体" w:hAnsi="宋体" w:cs="宋体"/>
          <w:bCs/>
          <w:sz w:val="20"/>
        </w:rPr>
        <w:t>允许投标人的法定代表人或其授权人参加开标会。</w:t>
      </w:r>
    </w:p>
    <w:p>
      <w:pPr>
        <w:ind w:firstLine="400" w:firstLineChars="200"/>
        <w:rPr>
          <w:rFonts w:ascii="宋体" w:cs="宋体"/>
          <w:bCs/>
          <w:sz w:val="20"/>
        </w:rPr>
      </w:pPr>
      <w:r>
        <w:rPr>
          <w:rFonts w:ascii="宋体" w:hAnsi="宋体" w:cs="宋体"/>
          <w:bCs/>
          <w:sz w:val="20"/>
        </w:rPr>
        <w:t>16.2</w:t>
      </w:r>
      <w:r>
        <w:rPr>
          <w:rFonts w:hint="eastAsia" w:ascii="宋体" w:hAnsi="宋体" w:cs="宋体"/>
          <w:bCs/>
          <w:sz w:val="20"/>
          <w:lang w:val="en-US" w:eastAsia="zh-CN"/>
        </w:rPr>
        <w:t xml:space="preserve"> </w:t>
      </w:r>
      <w:r>
        <w:rPr>
          <w:rFonts w:hint="eastAsia" w:ascii="宋体" w:hAnsi="宋体" w:cs="宋体"/>
          <w:bCs/>
          <w:sz w:val="20"/>
        </w:rPr>
        <w:t>开标时将检查预审合格的投标人所提交投标文件的密封情况，并在确认无误后拆封投标文件进行唱标。唱标以投标方提交的投标文件正本中“开标一览表”的内容为准，并对唱标内容作以记录。</w:t>
      </w:r>
    </w:p>
    <w:p>
      <w:pPr>
        <w:ind w:firstLine="400" w:firstLineChars="200"/>
        <w:rPr>
          <w:rFonts w:ascii="宋体" w:cs="宋体"/>
          <w:bCs/>
          <w:sz w:val="20"/>
        </w:rPr>
      </w:pPr>
      <w:r>
        <w:rPr>
          <w:rFonts w:ascii="宋体" w:hAnsi="宋体" w:cs="宋体"/>
          <w:bCs/>
          <w:sz w:val="20"/>
        </w:rPr>
        <w:t>16.3</w:t>
      </w:r>
      <w:r>
        <w:rPr>
          <w:rFonts w:hint="eastAsia" w:ascii="宋体" w:hAnsi="宋体" w:cs="宋体"/>
          <w:bCs/>
          <w:sz w:val="20"/>
          <w:lang w:val="en-US" w:eastAsia="zh-CN"/>
        </w:rPr>
        <w:t xml:space="preserve"> </w:t>
      </w:r>
      <w:r>
        <w:rPr>
          <w:rFonts w:hint="eastAsia" w:ascii="宋体" w:hAnsi="宋体" w:cs="宋体"/>
          <w:bCs/>
          <w:sz w:val="20"/>
        </w:rPr>
        <w:t>开标和唱标的顺序，按照递交投标文件的正顺序依次进行。</w:t>
      </w:r>
    </w:p>
    <w:p>
      <w:pPr>
        <w:ind w:firstLine="400" w:firstLineChars="200"/>
        <w:rPr>
          <w:rFonts w:ascii="宋体" w:cs="宋体"/>
          <w:bCs/>
          <w:sz w:val="20"/>
        </w:rPr>
      </w:pPr>
      <w:r>
        <w:rPr>
          <w:rFonts w:ascii="宋体" w:hAnsi="宋体" w:cs="宋体"/>
          <w:bCs/>
          <w:sz w:val="20"/>
        </w:rPr>
        <w:t>16.4</w:t>
      </w:r>
      <w:r>
        <w:rPr>
          <w:rFonts w:hint="eastAsia" w:ascii="宋体" w:hAnsi="宋体" w:cs="宋体"/>
          <w:bCs/>
          <w:sz w:val="20"/>
          <w:lang w:val="en-US" w:eastAsia="zh-CN"/>
        </w:rPr>
        <w:t xml:space="preserve"> </w:t>
      </w:r>
      <w:r>
        <w:rPr>
          <w:rFonts w:hint="eastAsia" w:ascii="宋体" w:hAnsi="宋体" w:cs="宋体"/>
          <w:bCs/>
          <w:sz w:val="20"/>
        </w:rPr>
        <w:t>评标原则以招标文件的规定为准，并在开标会议上予以宣布。</w:t>
      </w:r>
    </w:p>
    <w:p>
      <w:pPr>
        <w:pStyle w:val="421"/>
        <w:ind w:left="181" w:hanging="181"/>
        <w:jc w:val="center"/>
        <w:rPr>
          <w:rFonts w:ascii="宋体" w:hAnsi="宋体" w:eastAsia="宋体"/>
        </w:rPr>
      </w:pPr>
      <w:bookmarkStart w:id="26" w:name="_Toc29063"/>
      <w:r>
        <w:rPr>
          <w:rFonts w:hint="eastAsia" w:ascii="宋体" w:hAnsi="宋体" w:eastAsia="宋体"/>
        </w:rPr>
        <w:t>第六章</w:t>
      </w:r>
      <w:r>
        <w:rPr>
          <w:rFonts w:hint="eastAsia" w:ascii="宋体" w:hAnsi="宋体" w:eastAsia="宋体"/>
          <w:lang w:val="en-US" w:eastAsia="zh-CN"/>
        </w:rPr>
        <w:t xml:space="preserve"> </w:t>
      </w:r>
      <w:r>
        <w:rPr>
          <w:rFonts w:hint="eastAsia" w:ascii="宋体" w:hAnsi="宋体" w:eastAsia="宋体"/>
        </w:rPr>
        <w:t>评</w:t>
      </w:r>
      <w:r>
        <w:rPr>
          <w:rFonts w:hint="eastAsia" w:ascii="宋体" w:hAnsi="宋体" w:eastAsia="宋体"/>
          <w:lang w:val="en-US" w:eastAsia="zh-CN"/>
        </w:rPr>
        <w:t xml:space="preserve"> </w:t>
      </w:r>
      <w:r>
        <w:rPr>
          <w:rFonts w:hint="eastAsia" w:ascii="宋体" w:hAnsi="宋体" w:eastAsia="宋体"/>
        </w:rPr>
        <w:t>标</w:t>
      </w:r>
      <w:bookmarkEnd w:id="26"/>
    </w:p>
    <w:p>
      <w:pPr>
        <w:numPr>
          <w:ilvl w:val="0"/>
          <w:numId w:val="19"/>
        </w:numPr>
        <w:ind w:left="425" w:leftChars="0" w:hanging="425" w:firstLineChars="0"/>
        <w:rPr>
          <w:rFonts w:ascii="宋体" w:cs="宋体"/>
          <w:b/>
          <w:sz w:val="20"/>
        </w:rPr>
      </w:pPr>
      <w:r>
        <w:rPr>
          <w:rFonts w:hint="eastAsia" w:ascii="宋体" w:hAnsi="宋体" w:cs="宋体"/>
          <w:b/>
          <w:sz w:val="20"/>
        </w:rPr>
        <w:t>评标依据</w:t>
      </w:r>
    </w:p>
    <w:p>
      <w:pPr>
        <w:ind w:firstLine="400" w:firstLineChars="200"/>
        <w:rPr>
          <w:rFonts w:ascii="宋体" w:cs="宋体"/>
          <w:bCs/>
          <w:sz w:val="20"/>
        </w:rPr>
      </w:pPr>
      <w:r>
        <w:rPr>
          <w:rFonts w:ascii="宋体" w:hAnsi="宋体" w:cs="宋体"/>
          <w:bCs/>
          <w:sz w:val="20"/>
        </w:rPr>
        <w:t xml:space="preserve">17.1 </w:t>
      </w:r>
      <w:r>
        <w:rPr>
          <w:rFonts w:hint="eastAsia" w:ascii="宋体" w:hAnsi="宋体" w:cs="宋体"/>
          <w:bCs/>
          <w:sz w:val="20"/>
        </w:rPr>
        <w:t>评标的依据为招标文件。</w:t>
      </w:r>
    </w:p>
    <w:p>
      <w:pPr>
        <w:numPr>
          <w:ilvl w:val="0"/>
          <w:numId w:val="19"/>
        </w:numPr>
        <w:ind w:left="425" w:leftChars="0" w:hanging="425" w:firstLineChars="0"/>
        <w:rPr>
          <w:rFonts w:ascii="宋体" w:cs="宋体"/>
          <w:b/>
          <w:sz w:val="20"/>
        </w:rPr>
      </w:pPr>
      <w:r>
        <w:rPr>
          <w:rFonts w:hint="eastAsia" w:ascii="宋体" w:hAnsi="宋体" w:cs="宋体"/>
          <w:b/>
          <w:sz w:val="20"/>
        </w:rPr>
        <w:t>投标文件的澄清</w:t>
      </w:r>
    </w:p>
    <w:p>
      <w:pPr>
        <w:ind w:firstLine="400" w:firstLineChars="200"/>
        <w:rPr>
          <w:rFonts w:ascii="宋体" w:cs="宋体"/>
          <w:bCs/>
          <w:sz w:val="20"/>
        </w:rPr>
      </w:pPr>
      <w:r>
        <w:rPr>
          <w:rFonts w:ascii="宋体" w:hAnsi="宋体" w:cs="宋体"/>
          <w:bCs/>
          <w:sz w:val="20"/>
        </w:rPr>
        <w:t>18.1</w:t>
      </w:r>
      <w:r>
        <w:rPr>
          <w:rFonts w:hint="eastAsia" w:ascii="宋体" w:hAnsi="宋体" w:cs="宋体"/>
          <w:bCs/>
          <w:sz w:val="20"/>
          <w:lang w:val="en-US" w:eastAsia="zh-CN"/>
        </w:rPr>
        <w:t xml:space="preserve"> </w:t>
      </w:r>
      <w:r>
        <w:rPr>
          <w:rFonts w:hint="eastAsia" w:ascii="宋体" w:hAnsi="宋体" w:cs="宋体"/>
          <w:bCs/>
          <w:sz w:val="20"/>
        </w:rPr>
        <w:t>为有助于对投标文件进行审查、评估和比较，招标方组建的评标委员会（或谈判小组）将对认为需要（不是每一个）的投标人进行询标，请投标方澄清其投标内容，投标方有责任按照招标方通知的时间、地点指派专人进行答疑和澄清。询标时投标方代表应作书面记录。并对重要内容</w:t>
      </w:r>
      <w:r>
        <w:rPr>
          <w:rFonts w:hint="eastAsia" w:ascii="宋体" w:hAnsi="宋体" w:cs="宋体"/>
          <w:bCs/>
          <w:sz w:val="20"/>
          <w:lang w:val="en-US" w:eastAsia="zh-CN"/>
        </w:rPr>
        <w:t>作</w:t>
      </w:r>
      <w:r>
        <w:rPr>
          <w:rFonts w:hint="eastAsia" w:ascii="宋体" w:hAnsi="宋体" w:cs="宋体"/>
          <w:bCs/>
          <w:sz w:val="20"/>
        </w:rPr>
        <w:t>出书面答复。</w:t>
      </w:r>
    </w:p>
    <w:p>
      <w:pPr>
        <w:ind w:firstLine="400" w:firstLineChars="200"/>
        <w:rPr>
          <w:rFonts w:ascii="宋体" w:cs="宋体"/>
          <w:bCs/>
          <w:color w:val="auto"/>
          <w:sz w:val="20"/>
        </w:rPr>
      </w:pPr>
      <w:r>
        <w:rPr>
          <w:rFonts w:ascii="宋体" w:hAnsi="宋体" w:cs="宋体"/>
          <w:bCs/>
          <w:color w:val="auto"/>
          <w:sz w:val="20"/>
        </w:rPr>
        <w:t>18.2</w:t>
      </w:r>
      <w:r>
        <w:rPr>
          <w:rFonts w:hint="eastAsia" w:ascii="宋体" w:hAnsi="宋体" w:cs="宋体"/>
          <w:bCs/>
          <w:color w:val="auto"/>
          <w:sz w:val="20"/>
          <w:lang w:val="en-US" w:eastAsia="zh-CN"/>
        </w:rPr>
        <w:t xml:space="preserve"> </w:t>
      </w:r>
      <w:r>
        <w:rPr>
          <w:rFonts w:hint="eastAsia" w:ascii="宋体" w:hAnsi="宋体" w:cs="宋体"/>
          <w:bCs/>
          <w:color w:val="auto"/>
          <w:sz w:val="20"/>
        </w:rPr>
        <w:t>重要澄清的答复应是书面的，但不得对投标的价格、技术指标和参数等内容进行实质性修改。澄清</w:t>
      </w:r>
      <w:r>
        <w:rPr>
          <w:rFonts w:hint="eastAsia" w:ascii="宋体" w:hAnsi="宋体" w:cs="宋体"/>
          <w:bCs/>
          <w:color w:val="auto"/>
          <w:sz w:val="20"/>
          <w:lang w:val="en-US" w:eastAsia="zh-CN"/>
        </w:rPr>
        <w:t>答复</w:t>
      </w:r>
      <w:r>
        <w:rPr>
          <w:rFonts w:hint="eastAsia" w:ascii="宋体" w:hAnsi="宋体" w:cs="宋体"/>
          <w:bCs/>
          <w:color w:val="auto"/>
          <w:sz w:val="20"/>
        </w:rPr>
        <w:t>文件须由投标方法人代表或法人授权代表签字或加盖</w:t>
      </w:r>
      <w:r>
        <w:rPr>
          <w:rFonts w:hint="eastAsia" w:ascii="宋体" w:hAnsi="宋体" w:cs="宋体"/>
          <w:bCs/>
          <w:color w:val="auto"/>
          <w:sz w:val="20"/>
          <w:lang w:val="en-US" w:eastAsia="zh-CN"/>
        </w:rPr>
        <w:t>投</w:t>
      </w:r>
      <w:r>
        <w:rPr>
          <w:rFonts w:hint="eastAsia" w:ascii="宋体" w:hAnsi="宋体" w:cs="宋体"/>
          <w:bCs/>
          <w:color w:val="auto"/>
          <w:sz w:val="20"/>
        </w:rPr>
        <w:t>标方公章并作为投标文件的组成部分。</w:t>
      </w:r>
    </w:p>
    <w:p>
      <w:pPr>
        <w:numPr>
          <w:ilvl w:val="0"/>
          <w:numId w:val="19"/>
        </w:numPr>
        <w:ind w:left="425" w:leftChars="0" w:hanging="425" w:firstLineChars="0"/>
        <w:rPr>
          <w:rFonts w:ascii="宋体" w:cs="宋体"/>
          <w:b/>
          <w:sz w:val="20"/>
        </w:rPr>
      </w:pPr>
      <w:r>
        <w:rPr>
          <w:rFonts w:hint="eastAsia" w:ascii="宋体" w:hAnsi="宋体" w:cs="宋体"/>
          <w:b/>
          <w:sz w:val="20"/>
        </w:rPr>
        <w:t>评标过程的保密</w:t>
      </w:r>
    </w:p>
    <w:p>
      <w:pPr>
        <w:ind w:firstLine="400" w:firstLineChars="200"/>
        <w:rPr>
          <w:rFonts w:ascii="宋体" w:cs="宋体"/>
          <w:bCs/>
          <w:sz w:val="20"/>
        </w:rPr>
      </w:pPr>
      <w:r>
        <w:rPr>
          <w:rFonts w:ascii="宋体" w:hAnsi="宋体" w:cs="宋体"/>
          <w:bCs/>
          <w:sz w:val="20"/>
        </w:rPr>
        <w:t>19.1</w:t>
      </w:r>
      <w:r>
        <w:rPr>
          <w:rFonts w:hint="eastAsia" w:ascii="宋体" w:hAnsi="宋体" w:cs="宋体"/>
          <w:bCs/>
          <w:sz w:val="20"/>
          <w:lang w:val="en-US" w:eastAsia="zh-CN"/>
        </w:rPr>
        <w:t xml:space="preserve"> </w:t>
      </w:r>
      <w:r>
        <w:rPr>
          <w:rFonts w:hint="eastAsia" w:ascii="宋体" w:hAnsi="宋体" w:cs="宋体"/>
          <w:bCs/>
          <w:sz w:val="20"/>
        </w:rPr>
        <w:t>开标后，直到授予投标人合同为止，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ind w:firstLine="400" w:firstLineChars="200"/>
        <w:rPr>
          <w:rFonts w:ascii="宋体" w:cs="宋体"/>
          <w:bCs/>
          <w:sz w:val="20"/>
        </w:rPr>
      </w:pPr>
      <w:r>
        <w:rPr>
          <w:rFonts w:ascii="宋体" w:hAnsi="宋体" w:cs="宋体"/>
          <w:bCs/>
          <w:sz w:val="20"/>
        </w:rPr>
        <w:t xml:space="preserve">19.2 </w:t>
      </w:r>
      <w:r>
        <w:rPr>
          <w:rFonts w:hint="eastAsia" w:ascii="宋体" w:hAnsi="宋体" w:cs="宋体"/>
          <w:bCs/>
          <w:sz w:val="20"/>
        </w:rPr>
        <w:t>投标人在评标过程中，所进行的力图影响评标结果的不符合《政府采购法》及本次招标有关规定的活动，将被取消中标资格。</w:t>
      </w:r>
    </w:p>
    <w:p>
      <w:pPr>
        <w:numPr>
          <w:ilvl w:val="0"/>
          <w:numId w:val="19"/>
        </w:numPr>
        <w:ind w:left="425" w:leftChars="0" w:hanging="425" w:firstLineChars="0"/>
        <w:rPr>
          <w:rFonts w:ascii="宋体" w:cs="宋体"/>
          <w:b/>
          <w:sz w:val="20"/>
        </w:rPr>
      </w:pPr>
      <w:r>
        <w:rPr>
          <w:rFonts w:hint="eastAsia" w:ascii="宋体" w:hAnsi="宋体" w:cs="宋体"/>
          <w:b/>
          <w:sz w:val="20"/>
          <w:szCs w:val="22"/>
        </w:rPr>
        <w:t>初步</w:t>
      </w:r>
      <w:r>
        <w:rPr>
          <w:rFonts w:hint="eastAsia" w:ascii="宋体" w:hAnsi="宋体" w:cs="宋体"/>
          <w:b/>
          <w:sz w:val="20"/>
        </w:rPr>
        <w:t>评审</w:t>
      </w:r>
    </w:p>
    <w:p>
      <w:pPr>
        <w:ind w:firstLine="400" w:firstLineChars="200"/>
        <w:rPr>
          <w:rFonts w:ascii="宋体" w:cs="宋体"/>
          <w:bCs/>
          <w:sz w:val="20"/>
        </w:rPr>
      </w:pPr>
      <w:r>
        <w:rPr>
          <w:rFonts w:ascii="宋体" w:hAnsi="宋体" w:cs="宋体"/>
          <w:bCs/>
          <w:sz w:val="20"/>
        </w:rPr>
        <w:t xml:space="preserve">20.1 </w:t>
      </w:r>
      <w:r>
        <w:rPr>
          <w:rFonts w:hint="eastAsia" w:ascii="宋体" w:hAnsi="宋体" w:cs="宋体"/>
          <w:bCs/>
          <w:sz w:val="20"/>
        </w:rPr>
        <w:t>评标委员会可以书面方式要求投标人对投标文件中含义不明确、对同类问题表述不一致或者有明显文字和计算错误的内容作必要的澄清、说明或补正。澄清、说明或补正应以书面方式进行</w:t>
      </w:r>
      <w:r>
        <w:rPr>
          <w:rFonts w:ascii="宋体" w:hAnsi="宋体" w:cs="宋体"/>
          <w:bCs/>
          <w:sz w:val="20"/>
        </w:rPr>
        <w:t>,</w:t>
      </w:r>
      <w:r>
        <w:rPr>
          <w:rFonts w:hint="eastAsia" w:ascii="宋体" w:hAnsi="宋体" w:cs="宋体"/>
          <w:bCs/>
          <w:sz w:val="20"/>
        </w:rPr>
        <w:t>并不得超出投标文件的范围或者改变投标文件的实质性内容。投标文件中的大写金额和小写金额不一致的以大写金额为准；总价金额与单价金额不一致的，以单价金额为准。</w:t>
      </w:r>
    </w:p>
    <w:p>
      <w:pPr>
        <w:ind w:firstLine="400" w:firstLineChars="200"/>
        <w:rPr>
          <w:rFonts w:ascii="宋体" w:cs="宋体"/>
          <w:bCs/>
          <w:sz w:val="20"/>
        </w:rPr>
      </w:pPr>
      <w:r>
        <w:rPr>
          <w:rFonts w:ascii="宋体" w:hAnsi="宋体" w:cs="宋体"/>
          <w:bCs/>
          <w:sz w:val="20"/>
        </w:rPr>
        <w:t xml:space="preserve">20.2 </w:t>
      </w:r>
      <w:r>
        <w:rPr>
          <w:rFonts w:hint="eastAsia" w:ascii="宋体" w:hAnsi="宋体" w:cs="宋体"/>
          <w:bCs/>
          <w:sz w:val="20"/>
        </w:rPr>
        <w:t>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ind w:firstLine="400" w:firstLineChars="200"/>
        <w:rPr>
          <w:rFonts w:ascii="宋体" w:cs="宋体"/>
          <w:bCs/>
          <w:sz w:val="20"/>
        </w:rPr>
      </w:pPr>
      <w:r>
        <w:rPr>
          <w:rFonts w:ascii="宋体" w:hAnsi="宋体" w:cs="宋体"/>
          <w:bCs/>
          <w:sz w:val="20"/>
        </w:rPr>
        <w:t>20.3</w:t>
      </w:r>
      <w:r>
        <w:rPr>
          <w:rFonts w:hint="eastAsia" w:ascii="宋体" w:hAnsi="宋体" w:cs="宋体"/>
          <w:bCs/>
          <w:sz w:val="20"/>
          <w:lang w:val="en-US" w:eastAsia="zh-CN"/>
        </w:rPr>
        <w:t xml:space="preserve"> </w:t>
      </w:r>
      <w:r>
        <w:rPr>
          <w:rFonts w:hint="eastAsia" w:ascii="宋体" w:hAnsi="宋体" w:cs="宋体"/>
          <w:bCs/>
          <w:sz w:val="20"/>
        </w:rPr>
        <w:t>投标最低报价不作为是否中标的依据。</w:t>
      </w:r>
    </w:p>
    <w:p>
      <w:pPr>
        <w:ind w:firstLine="400" w:firstLineChars="200"/>
        <w:rPr>
          <w:rFonts w:ascii="宋体" w:cs="宋体"/>
          <w:bCs/>
          <w:sz w:val="20"/>
        </w:rPr>
      </w:pPr>
      <w:r>
        <w:rPr>
          <w:rFonts w:ascii="宋体" w:hAnsi="宋体" w:cs="宋体"/>
          <w:bCs/>
          <w:sz w:val="20"/>
        </w:rPr>
        <w:t>20.4</w:t>
      </w:r>
      <w:r>
        <w:rPr>
          <w:rFonts w:hint="eastAsia" w:ascii="宋体" w:hAnsi="宋体" w:cs="宋体"/>
          <w:bCs/>
          <w:sz w:val="20"/>
          <w:lang w:val="en-US" w:eastAsia="zh-CN"/>
        </w:rPr>
        <w:t xml:space="preserve"> </w:t>
      </w:r>
      <w:r>
        <w:rPr>
          <w:rFonts w:hint="eastAsia" w:ascii="宋体" w:hAnsi="宋体" w:cs="宋体"/>
          <w:bCs/>
          <w:sz w:val="20"/>
        </w:rPr>
        <w:t>招标方不接受不符合国家有关部门相关规定的投标报价或优惠方案。</w:t>
      </w:r>
    </w:p>
    <w:p>
      <w:pPr>
        <w:ind w:firstLine="400" w:firstLineChars="200"/>
        <w:rPr>
          <w:rFonts w:ascii="宋体" w:cs="宋体"/>
          <w:bCs/>
          <w:sz w:val="20"/>
        </w:rPr>
      </w:pPr>
      <w:r>
        <w:rPr>
          <w:rFonts w:ascii="宋体" w:hAnsi="宋体" w:cs="宋体"/>
          <w:bCs/>
          <w:sz w:val="20"/>
        </w:rPr>
        <w:t>20.5</w:t>
      </w:r>
      <w:r>
        <w:rPr>
          <w:rFonts w:hint="eastAsia" w:ascii="宋体" w:hAnsi="宋体" w:cs="宋体"/>
          <w:bCs/>
          <w:sz w:val="20"/>
          <w:lang w:val="en-US" w:eastAsia="zh-CN"/>
        </w:rPr>
        <w:t xml:space="preserve"> </w:t>
      </w:r>
      <w:r>
        <w:rPr>
          <w:rFonts w:hint="eastAsia" w:ascii="宋体" w:hAnsi="宋体" w:cs="宋体"/>
          <w:bCs/>
          <w:sz w:val="20"/>
        </w:rPr>
        <w:t>在评标过程中，评标委员会发现投标人以他人名义投标、串通投标、以行贿手段谋取中标或者以其他弄虚作假方式投标的，该投标人的投标应作废标处理。</w:t>
      </w:r>
    </w:p>
    <w:p>
      <w:pPr>
        <w:ind w:firstLine="400" w:firstLineChars="200"/>
        <w:rPr>
          <w:rFonts w:ascii="宋体" w:cs="宋体"/>
          <w:bCs/>
          <w:sz w:val="20"/>
        </w:rPr>
      </w:pPr>
      <w:r>
        <w:rPr>
          <w:rFonts w:ascii="宋体" w:hAnsi="宋体" w:cs="宋体"/>
          <w:bCs/>
          <w:sz w:val="20"/>
        </w:rPr>
        <w:t xml:space="preserve">20.6 </w:t>
      </w:r>
      <w:r>
        <w:rPr>
          <w:rFonts w:hint="eastAsia" w:ascii="宋体" w:hAnsi="宋体" w:cs="宋体"/>
          <w:bCs/>
          <w:sz w:val="20"/>
        </w:rPr>
        <w:t>投标人的资格条件不符合国家有关规定和招标文件要求的，或者拒不按照要求对投标文件进行澄清、说明或补正的，评标委员会可以否决其投标。</w:t>
      </w:r>
    </w:p>
    <w:p>
      <w:pPr>
        <w:ind w:firstLine="400" w:firstLineChars="200"/>
        <w:rPr>
          <w:rFonts w:ascii="宋体" w:cs="宋体"/>
          <w:bCs/>
          <w:sz w:val="20"/>
        </w:rPr>
      </w:pPr>
      <w:r>
        <w:rPr>
          <w:rFonts w:ascii="宋体" w:hAnsi="宋体" w:cs="宋体"/>
          <w:bCs/>
          <w:sz w:val="20"/>
        </w:rPr>
        <w:t>20.7</w:t>
      </w:r>
      <w:r>
        <w:rPr>
          <w:rFonts w:hint="eastAsia" w:ascii="宋体" w:hAnsi="宋体" w:cs="宋体"/>
          <w:bCs/>
          <w:sz w:val="20"/>
          <w:lang w:val="en-US" w:eastAsia="zh-CN"/>
        </w:rPr>
        <w:t xml:space="preserve"> </w:t>
      </w:r>
      <w:r>
        <w:rPr>
          <w:rFonts w:hint="eastAsia" w:ascii="宋体" w:hAnsi="宋体" w:cs="宋体"/>
          <w:bCs/>
          <w:sz w:val="20"/>
        </w:rPr>
        <w:t>投标人不得误导、干扰招标方的评标活动，否则将废除其投标。</w:t>
      </w:r>
    </w:p>
    <w:p>
      <w:pPr>
        <w:ind w:firstLine="400" w:firstLineChars="200"/>
        <w:rPr>
          <w:rFonts w:ascii="宋体" w:cs="宋体"/>
          <w:bCs/>
          <w:sz w:val="20"/>
        </w:rPr>
      </w:pPr>
      <w:r>
        <w:rPr>
          <w:rFonts w:ascii="宋体" w:hAnsi="宋体" w:cs="宋体"/>
          <w:bCs/>
          <w:sz w:val="20"/>
        </w:rPr>
        <w:t xml:space="preserve">20.8 </w:t>
      </w:r>
      <w:r>
        <w:rPr>
          <w:rFonts w:hint="eastAsia" w:ascii="宋体" w:hAnsi="宋体" w:cs="宋体"/>
          <w:bCs/>
          <w:sz w:val="20"/>
        </w:rPr>
        <w:t>下列情况属于重大偏差：</w:t>
      </w:r>
    </w:p>
    <w:p>
      <w:pPr>
        <w:numPr>
          <w:ilvl w:val="0"/>
          <w:numId w:val="24"/>
        </w:numPr>
        <w:ind w:left="845" w:leftChars="0" w:hanging="425" w:firstLineChars="0"/>
        <w:rPr>
          <w:rFonts w:ascii="宋体" w:cs="宋体"/>
          <w:bCs/>
          <w:sz w:val="20"/>
        </w:rPr>
      </w:pPr>
      <w:r>
        <w:rPr>
          <w:rFonts w:hint="eastAsia" w:ascii="宋体" w:hAnsi="宋体" w:cs="宋体"/>
          <w:bCs/>
          <w:sz w:val="20"/>
        </w:rPr>
        <w:t>投标文件中附有招标人不能接受的条件的；</w:t>
      </w:r>
    </w:p>
    <w:p>
      <w:pPr>
        <w:ind w:firstLine="400" w:firstLineChars="200"/>
        <w:rPr>
          <w:rFonts w:ascii="宋体" w:cs="宋体"/>
          <w:bCs/>
          <w:sz w:val="20"/>
        </w:rPr>
      </w:pPr>
      <w:r>
        <w:rPr>
          <w:rFonts w:hint="eastAsia" w:ascii="宋体" w:hAnsi="宋体" w:cs="宋体"/>
          <w:bCs/>
          <w:sz w:val="20"/>
        </w:rPr>
        <w:t>投标文件有上述情形的，为未能对招标文件</w:t>
      </w:r>
      <w:r>
        <w:rPr>
          <w:rFonts w:hint="eastAsia" w:ascii="宋体" w:hAnsi="宋体" w:cs="宋体"/>
          <w:bCs/>
          <w:sz w:val="20"/>
          <w:lang w:val="en-US" w:eastAsia="zh-CN"/>
        </w:rPr>
        <w:t>作</w:t>
      </w:r>
      <w:r>
        <w:rPr>
          <w:rFonts w:hint="eastAsia" w:ascii="宋体" w:hAnsi="宋体" w:cs="宋体"/>
          <w:bCs/>
          <w:sz w:val="20"/>
        </w:rPr>
        <w:t>出实质性响应的投标，并作废标处理。</w:t>
      </w:r>
    </w:p>
    <w:p>
      <w:pPr>
        <w:ind w:firstLine="400" w:firstLineChars="200"/>
        <w:rPr>
          <w:rFonts w:ascii="宋体" w:cs="宋体"/>
          <w:bCs/>
          <w:sz w:val="20"/>
        </w:rPr>
      </w:pPr>
      <w:r>
        <w:rPr>
          <w:rFonts w:ascii="宋体" w:hAnsi="宋体" w:cs="宋体"/>
          <w:bCs/>
          <w:sz w:val="20"/>
        </w:rPr>
        <w:t xml:space="preserve">20.9 </w:t>
      </w:r>
      <w:r>
        <w:rPr>
          <w:rFonts w:hint="eastAsia" w:ascii="宋体" w:hAnsi="宋体" w:cs="宋体"/>
          <w:bCs/>
          <w:sz w:val="20"/>
        </w:rPr>
        <w:t>评标委员会根据本规定否决不合格投标或者界定为废标后，因有效投标不足三个使得投标明显缺乏竞争性时，根据《政府采购法》和《政府采购货物和服务招标投标管理办法》的相关规定，除采购任务取消外，依法处理。</w:t>
      </w:r>
    </w:p>
    <w:p>
      <w:pPr>
        <w:ind w:firstLine="400" w:firstLineChars="200"/>
        <w:rPr>
          <w:rFonts w:ascii="宋体" w:cs="宋体"/>
          <w:bCs/>
          <w:sz w:val="20"/>
        </w:rPr>
      </w:pPr>
      <w:r>
        <w:rPr>
          <w:rFonts w:ascii="宋体" w:hAnsi="宋体" w:cs="宋体"/>
          <w:bCs/>
          <w:sz w:val="20"/>
        </w:rPr>
        <w:t xml:space="preserve">20.10 </w:t>
      </w:r>
      <w:r>
        <w:rPr>
          <w:rFonts w:hint="eastAsia" w:ascii="宋体" w:hAnsi="宋体" w:cs="宋体"/>
          <w:bCs/>
          <w:sz w:val="20"/>
        </w:rPr>
        <w:t>对投标文件响应性的审查</w:t>
      </w:r>
    </w:p>
    <w:p>
      <w:pPr>
        <w:numPr>
          <w:ilvl w:val="0"/>
          <w:numId w:val="25"/>
        </w:numPr>
        <w:ind w:left="845" w:leftChars="0" w:hanging="425" w:firstLineChars="0"/>
        <w:rPr>
          <w:rFonts w:ascii="宋体" w:cs="宋体"/>
          <w:bCs/>
          <w:sz w:val="20"/>
        </w:rPr>
      </w:pPr>
      <w:r>
        <w:rPr>
          <w:rFonts w:hint="eastAsia" w:ascii="宋体" w:hAnsi="宋体" w:cs="宋体"/>
          <w:bCs/>
          <w:sz w:val="20"/>
        </w:rPr>
        <w:t>开标后，招标方将组织对投标文件进行审查，检查投标书是否完整，是否出现计算性错误，投标书正本是否由投标表现人签名，是否满足招标书的格式要求，是否提供投标保证金。</w:t>
      </w:r>
    </w:p>
    <w:p>
      <w:pPr>
        <w:numPr>
          <w:ilvl w:val="0"/>
          <w:numId w:val="25"/>
        </w:numPr>
        <w:ind w:left="845" w:leftChars="0" w:hanging="425" w:firstLineChars="0"/>
        <w:rPr>
          <w:rFonts w:hint="eastAsia" w:ascii="宋体" w:hAnsi="宋体" w:cs="宋体"/>
          <w:bCs/>
          <w:sz w:val="20"/>
          <w:szCs w:val="22"/>
          <w:lang w:eastAsia="zh-CN"/>
        </w:rPr>
      </w:pPr>
      <w:r>
        <w:rPr>
          <w:rFonts w:hint="eastAsia" w:ascii="宋体" w:hAnsi="宋体" w:cs="宋体"/>
          <w:bCs/>
          <w:sz w:val="20"/>
          <w:szCs w:val="22"/>
        </w:rPr>
        <w:t>在对投标文件进行详细评估之前，招标方将依据投标人提供的资格证明文件审查投标人的财务和技术能力。如果确定投标人无能力履行合同，其投标将被拒绝。</w:t>
      </w:r>
    </w:p>
    <w:p>
      <w:pPr>
        <w:numPr>
          <w:ilvl w:val="0"/>
          <w:numId w:val="25"/>
        </w:numPr>
        <w:ind w:left="845" w:leftChars="0" w:hanging="425" w:firstLineChars="0"/>
        <w:rPr>
          <w:rFonts w:ascii="宋体" w:cs="宋体"/>
          <w:bCs/>
          <w:sz w:val="20"/>
        </w:rPr>
      </w:pPr>
      <w:r>
        <w:rPr>
          <w:rFonts w:hint="eastAsia" w:ascii="宋体" w:hAnsi="宋体" w:cs="宋体"/>
          <w:bCs/>
          <w:sz w:val="20"/>
        </w:rPr>
        <w:t>评标委员会将确定每一投标人是否对投标文件的要求</w:t>
      </w:r>
      <w:r>
        <w:rPr>
          <w:rFonts w:hint="eastAsia" w:ascii="宋体" w:hAnsi="宋体" w:cs="宋体"/>
          <w:bCs/>
          <w:sz w:val="20"/>
          <w:lang w:val="en-US" w:eastAsia="zh-CN"/>
        </w:rPr>
        <w:t>作</w:t>
      </w:r>
      <w:r>
        <w:rPr>
          <w:rFonts w:hint="eastAsia" w:ascii="宋体" w:hAnsi="宋体" w:cs="宋体"/>
          <w:bCs/>
          <w:sz w:val="20"/>
        </w:rPr>
        <w:t>出了实质性响应，而没有重大偏离。实质性响应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响应的投标人的公平竞争地位。</w:t>
      </w:r>
    </w:p>
    <w:p>
      <w:pPr>
        <w:numPr>
          <w:ilvl w:val="0"/>
          <w:numId w:val="25"/>
        </w:numPr>
        <w:ind w:left="845" w:leftChars="0" w:hanging="425" w:firstLineChars="0"/>
        <w:rPr>
          <w:rFonts w:ascii="宋体" w:cs="宋体"/>
          <w:bCs/>
          <w:sz w:val="20"/>
        </w:rPr>
      </w:pPr>
      <w:r>
        <w:rPr>
          <w:rFonts w:hint="eastAsia" w:ascii="宋体" w:hAnsi="宋体" w:cs="宋体"/>
          <w:bCs/>
          <w:sz w:val="20"/>
        </w:rPr>
        <w:t>评标</w:t>
      </w:r>
      <w:r>
        <w:rPr>
          <w:rFonts w:hint="eastAsia" w:ascii="宋体" w:hAnsi="宋体" w:cs="宋体"/>
          <w:bCs/>
          <w:sz w:val="20"/>
          <w:szCs w:val="22"/>
        </w:rPr>
        <w:t>委员会</w:t>
      </w:r>
      <w:r>
        <w:rPr>
          <w:rFonts w:hint="eastAsia" w:ascii="宋体" w:hAnsi="宋体" w:cs="宋体"/>
          <w:bCs/>
          <w:sz w:val="20"/>
        </w:rPr>
        <w:t>判断投标文件的响应性仅基于投标文件本身而不靠外部证据。</w:t>
      </w:r>
    </w:p>
    <w:p>
      <w:pPr>
        <w:ind w:firstLine="400" w:firstLineChars="200"/>
        <w:rPr>
          <w:rFonts w:ascii="宋体" w:cs="宋体"/>
          <w:bCs/>
          <w:sz w:val="20"/>
        </w:rPr>
      </w:pPr>
      <w:r>
        <w:rPr>
          <w:rFonts w:ascii="宋体" w:hAnsi="宋体" w:cs="宋体"/>
          <w:bCs/>
          <w:sz w:val="20"/>
        </w:rPr>
        <w:t xml:space="preserve">20.11 </w:t>
      </w:r>
      <w:r>
        <w:rPr>
          <w:rFonts w:hint="eastAsia" w:ascii="宋体" w:hAnsi="宋体" w:cs="宋体"/>
          <w:bCs/>
          <w:sz w:val="20"/>
        </w:rPr>
        <w:t>投标文件的澄清</w:t>
      </w:r>
    </w:p>
    <w:p>
      <w:pPr>
        <w:numPr>
          <w:ilvl w:val="0"/>
          <w:numId w:val="26"/>
        </w:numPr>
        <w:ind w:left="845" w:leftChars="0" w:hanging="425" w:firstLineChars="0"/>
        <w:rPr>
          <w:rFonts w:ascii="宋体" w:cs="宋体"/>
          <w:bCs/>
          <w:sz w:val="20"/>
        </w:rPr>
      </w:pPr>
      <w:r>
        <w:rPr>
          <w:rFonts w:hint="eastAsia" w:ascii="宋体" w:hAnsi="宋体" w:cs="宋体"/>
          <w:bCs/>
          <w:sz w:val="20"/>
        </w:rPr>
        <w:t>为了</w:t>
      </w:r>
      <w:r>
        <w:rPr>
          <w:rFonts w:hint="eastAsia" w:ascii="宋体" w:hAnsi="宋体" w:cs="宋体"/>
          <w:bCs/>
          <w:sz w:val="20"/>
          <w:szCs w:val="22"/>
        </w:rPr>
        <w:t>有助于</w:t>
      </w:r>
      <w:r>
        <w:rPr>
          <w:rFonts w:hint="eastAsia" w:ascii="宋体" w:hAnsi="宋体" w:cs="宋体"/>
          <w:bCs/>
          <w:sz w:val="20"/>
        </w:rPr>
        <w:t>对投标文件进行审查、评估和比较，招标方有权向投标人质疑，要求投标人澄清其投标内容。投标人有责任按照招标方指定的时间、地点指派专人进行答疑和澄清。</w:t>
      </w:r>
    </w:p>
    <w:p>
      <w:pPr>
        <w:numPr>
          <w:ilvl w:val="0"/>
          <w:numId w:val="26"/>
        </w:numPr>
        <w:ind w:left="845" w:leftChars="0" w:hanging="425" w:firstLineChars="0"/>
        <w:rPr>
          <w:rFonts w:ascii="宋体" w:cs="宋体"/>
          <w:bCs/>
          <w:sz w:val="20"/>
        </w:rPr>
      </w:pPr>
      <w:r>
        <w:rPr>
          <w:rFonts w:hint="eastAsia" w:ascii="宋体" w:hAnsi="宋体" w:cs="宋体"/>
          <w:bCs/>
          <w:sz w:val="20"/>
        </w:rPr>
        <w:t>所有</w:t>
      </w:r>
      <w:r>
        <w:rPr>
          <w:rFonts w:hint="eastAsia" w:ascii="宋体" w:hAnsi="宋体" w:cs="宋体"/>
          <w:bCs/>
          <w:sz w:val="20"/>
          <w:szCs w:val="22"/>
        </w:rPr>
        <w:t>澄清</w:t>
      </w:r>
      <w:r>
        <w:rPr>
          <w:rFonts w:hint="eastAsia" w:ascii="宋体" w:hAnsi="宋体" w:cs="宋体"/>
          <w:bCs/>
          <w:sz w:val="20"/>
        </w:rPr>
        <w:t>的答复必须是书面形式。</w:t>
      </w:r>
    </w:p>
    <w:p>
      <w:pPr>
        <w:numPr>
          <w:ilvl w:val="0"/>
          <w:numId w:val="26"/>
        </w:numPr>
        <w:ind w:left="845" w:leftChars="0" w:hanging="425" w:firstLineChars="0"/>
        <w:rPr>
          <w:rFonts w:ascii="宋体" w:cs="宋体"/>
          <w:bCs/>
          <w:sz w:val="20"/>
        </w:rPr>
      </w:pPr>
      <w:r>
        <w:rPr>
          <w:rFonts w:hint="eastAsia" w:ascii="宋体" w:hAnsi="宋体" w:cs="宋体"/>
          <w:bCs/>
          <w:sz w:val="20"/>
        </w:rPr>
        <w:t>投标人的澄清不得对投标内容进行实质性修改。</w:t>
      </w:r>
    </w:p>
    <w:p>
      <w:pPr>
        <w:numPr>
          <w:ilvl w:val="0"/>
          <w:numId w:val="19"/>
        </w:numPr>
        <w:ind w:left="425" w:leftChars="0" w:hanging="425" w:firstLineChars="0"/>
        <w:rPr>
          <w:rFonts w:ascii="宋体" w:cs="宋体"/>
          <w:b/>
          <w:sz w:val="20"/>
        </w:rPr>
      </w:pPr>
      <w:r>
        <w:rPr>
          <w:rFonts w:hint="eastAsia" w:ascii="宋体" w:hAnsi="宋体" w:cs="宋体"/>
          <w:b/>
          <w:sz w:val="20"/>
        </w:rPr>
        <w:t>详细</w:t>
      </w:r>
      <w:r>
        <w:rPr>
          <w:rFonts w:hint="eastAsia" w:ascii="宋体" w:hAnsi="宋体" w:cs="宋体"/>
          <w:b/>
          <w:sz w:val="20"/>
          <w:szCs w:val="22"/>
        </w:rPr>
        <w:t>评审</w:t>
      </w:r>
    </w:p>
    <w:p>
      <w:pPr>
        <w:ind w:firstLine="400" w:firstLineChars="200"/>
        <w:rPr>
          <w:rFonts w:ascii="宋体" w:cs="宋体"/>
          <w:bCs/>
          <w:sz w:val="20"/>
        </w:rPr>
      </w:pPr>
      <w:r>
        <w:rPr>
          <w:rFonts w:ascii="宋体" w:hAnsi="宋体" w:cs="宋体"/>
          <w:bCs/>
          <w:sz w:val="20"/>
        </w:rPr>
        <w:t xml:space="preserve">21.1 </w:t>
      </w:r>
      <w:r>
        <w:rPr>
          <w:rFonts w:hint="eastAsia" w:ascii="宋体" w:hAnsi="宋体" w:cs="宋体"/>
          <w:bCs/>
          <w:sz w:val="20"/>
        </w:rPr>
        <w:t>经初步评审合格的投标文件，评标委员会应当根据招标文件确定的评标标准和方法，对其技术和商务部分作进一步的评审和比较。</w:t>
      </w:r>
    </w:p>
    <w:p>
      <w:pPr>
        <w:ind w:firstLine="400" w:firstLineChars="200"/>
        <w:rPr>
          <w:rFonts w:ascii="宋体" w:cs="宋体"/>
          <w:bCs/>
          <w:sz w:val="20"/>
        </w:rPr>
      </w:pPr>
      <w:r>
        <w:rPr>
          <w:rFonts w:ascii="宋体" w:hAnsi="宋体" w:cs="宋体"/>
          <w:bCs/>
          <w:sz w:val="20"/>
        </w:rPr>
        <w:t xml:space="preserve">21.2 </w:t>
      </w:r>
      <w:r>
        <w:rPr>
          <w:rFonts w:hint="eastAsia" w:ascii="宋体" w:hAnsi="宋体" w:cs="宋体"/>
          <w:bCs/>
          <w:sz w:val="20"/>
        </w:rPr>
        <w:t>采用综合评议法衡量投标文件是否最大限度地满足招标文件中规定的各项评价标准，最大限度地满足招标文件中规定的各项综合评价标准的投标，应当推荐为中标候选人。</w:t>
      </w:r>
    </w:p>
    <w:p>
      <w:pPr>
        <w:ind w:firstLine="400" w:firstLineChars="200"/>
        <w:rPr>
          <w:rFonts w:ascii="宋体" w:cs="宋体"/>
          <w:bCs/>
          <w:sz w:val="20"/>
        </w:rPr>
      </w:pPr>
      <w:r>
        <w:rPr>
          <w:rFonts w:ascii="宋体" w:hAnsi="宋体" w:cs="宋体"/>
          <w:bCs/>
          <w:sz w:val="20"/>
        </w:rPr>
        <w:t xml:space="preserve">21.3 </w:t>
      </w:r>
      <w:r>
        <w:rPr>
          <w:rFonts w:hint="eastAsia" w:ascii="宋体" w:hAnsi="宋体" w:cs="宋体"/>
          <w:bCs/>
          <w:sz w:val="20"/>
        </w:rPr>
        <w:t>根据综合评议法完成评标后，评标委员会应当拟定一份“综合评议法表”，连同书面评标报告提交招标人。“综合评议法”应当载明投标人的投标项目、所作的任何修正、对商业偏差的调整、对技术偏差的调整、对各评审因素的评估以及对每一投标的最终评审结果。</w:t>
      </w:r>
    </w:p>
    <w:p>
      <w:pPr>
        <w:ind w:firstLine="400" w:firstLineChars="200"/>
        <w:rPr>
          <w:rFonts w:ascii="宋体" w:cs="宋体"/>
          <w:bCs/>
          <w:sz w:val="20"/>
        </w:rPr>
      </w:pPr>
      <w:r>
        <w:rPr>
          <w:rFonts w:ascii="宋体" w:hAnsi="宋体" w:cs="宋体"/>
          <w:bCs/>
          <w:sz w:val="20"/>
        </w:rPr>
        <w:t xml:space="preserve">21.4 </w:t>
      </w:r>
      <w:r>
        <w:rPr>
          <w:rFonts w:hint="eastAsia" w:ascii="宋体" w:hAnsi="宋体" w:cs="宋体"/>
          <w:bCs/>
          <w:sz w:val="20"/>
        </w:rPr>
        <w:t>评标和定标一般应当在开标后</w:t>
      </w:r>
      <w:r>
        <w:rPr>
          <w:rFonts w:ascii="宋体" w:hAnsi="宋体" w:cs="宋体"/>
          <w:bCs/>
          <w:sz w:val="20"/>
        </w:rPr>
        <w:t>3</w:t>
      </w:r>
      <w:r>
        <w:rPr>
          <w:rFonts w:hint="eastAsia" w:ascii="宋体" w:hAnsi="宋体" w:cs="宋体"/>
          <w:bCs/>
          <w:sz w:val="20"/>
        </w:rPr>
        <w:t>个工作日内完成，项目金额较大、技术较为复杂等特殊项目的评标工作应当在</w:t>
      </w:r>
      <w:r>
        <w:rPr>
          <w:rFonts w:ascii="宋体" w:hAnsi="宋体" w:cs="宋体"/>
          <w:bCs/>
          <w:sz w:val="20"/>
        </w:rPr>
        <w:t>30</w:t>
      </w:r>
      <w:r>
        <w:rPr>
          <w:rFonts w:hint="eastAsia" w:ascii="宋体" w:hAnsi="宋体" w:cs="宋体"/>
          <w:bCs/>
          <w:sz w:val="20"/>
        </w:rPr>
        <w:t>个工作日内完成。不能在开标后</w:t>
      </w:r>
      <w:r>
        <w:rPr>
          <w:rFonts w:ascii="宋体" w:hAnsi="宋体" w:cs="宋体"/>
          <w:bCs/>
          <w:sz w:val="20"/>
        </w:rPr>
        <w:t>30</w:t>
      </w:r>
      <w:r>
        <w:rPr>
          <w:rFonts w:hint="eastAsia" w:ascii="宋体" w:hAnsi="宋体" w:cs="宋体"/>
          <w:bCs/>
          <w:sz w:val="20"/>
        </w:rPr>
        <w:t>个工作日内完成评标和定标的，招标人应当提前</w:t>
      </w:r>
      <w:r>
        <w:rPr>
          <w:rFonts w:ascii="宋体" w:hAnsi="宋体" w:cs="宋体"/>
          <w:bCs/>
          <w:sz w:val="20"/>
        </w:rPr>
        <w:t>3</w:t>
      </w:r>
      <w:r>
        <w:rPr>
          <w:rFonts w:hint="eastAsia" w:ascii="宋体" w:hAnsi="宋体" w:cs="宋体"/>
          <w:bCs/>
          <w:sz w:val="20"/>
        </w:rPr>
        <w:t>天通知所有投标人延长投标有效期。同意延长投标有效期的投标人应当相应延长投标保证金的有效期，但不得修改投标文件的实质性内容。</w:t>
      </w:r>
    </w:p>
    <w:p>
      <w:pPr>
        <w:numPr>
          <w:ilvl w:val="0"/>
          <w:numId w:val="19"/>
        </w:numPr>
        <w:ind w:left="425" w:leftChars="0" w:hanging="425" w:firstLineChars="0"/>
        <w:rPr>
          <w:rFonts w:ascii="宋体" w:cs="宋体"/>
          <w:b/>
          <w:sz w:val="20"/>
        </w:rPr>
      </w:pPr>
      <w:r>
        <w:rPr>
          <w:rFonts w:hint="eastAsia" w:ascii="宋体" w:hAnsi="宋体" w:cs="宋体"/>
          <w:b/>
          <w:sz w:val="20"/>
        </w:rPr>
        <w:t>评分标准</w:t>
      </w:r>
    </w:p>
    <w:p>
      <w:pPr>
        <w:ind w:firstLine="400" w:firstLineChars="200"/>
        <w:rPr>
          <w:rFonts w:ascii="宋体" w:hAnsi="宋体" w:cs="宋体"/>
          <w:bCs/>
          <w:sz w:val="20"/>
        </w:rPr>
      </w:pPr>
      <w:r>
        <w:rPr>
          <w:rFonts w:hint="eastAsia" w:ascii="宋体" w:hAnsi="宋体" w:cs="宋体"/>
          <w:bCs/>
          <w:sz w:val="20"/>
        </w:rPr>
        <w:t>评标委员会根据招标文件对各投标方所报商务文件、技术文件进行评审和综合评估打分，打分采取百分制。</w:t>
      </w:r>
      <w:r>
        <w:rPr>
          <w:rFonts w:ascii="宋体" w:hAnsi="宋体" w:cs="宋体"/>
          <w:bCs/>
          <w:sz w:val="20"/>
        </w:rPr>
        <w:t xml:space="preserve"> </w:t>
      </w:r>
    </w:p>
    <w:p>
      <w:pPr>
        <w:ind w:firstLine="402" w:firstLineChars="200"/>
        <w:rPr>
          <w:rFonts w:ascii="宋体" w:cs="宋体"/>
          <w:b/>
          <w:sz w:val="32"/>
          <w:szCs w:val="32"/>
        </w:rPr>
      </w:pPr>
      <w:r>
        <w:rPr>
          <w:rFonts w:hint="eastAsia" w:ascii="宋体" w:hAnsi="宋体" w:cs="宋体"/>
          <w:b/>
          <w:sz w:val="20"/>
        </w:rPr>
        <w:t>评分标准</w:t>
      </w:r>
      <w:r>
        <w:rPr>
          <w:rFonts w:ascii="宋体" w:hAnsi="宋体" w:cs="宋体"/>
          <w:b/>
          <w:sz w:val="20"/>
        </w:rPr>
        <w:t xml:space="preserve"> </w:t>
      </w:r>
    </w:p>
    <w:p>
      <w:pPr>
        <w:jc w:val="center"/>
        <w:rPr>
          <w:rFonts w:ascii="宋体" w:cs="宋体"/>
          <w:b/>
          <w:sz w:val="32"/>
          <w:szCs w:val="32"/>
        </w:rPr>
      </w:pPr>
      <w:r>
        <w:rPr>
          <w:rFonts w:hint="eastAsia" w:ascii="宋体" w:hAnsi="宋体" w:cs="宋体"/>
          <w:b/>
          <w:sz w:val="32"/>
          <w:szCs w:val="32"/>
        </w:rPr>
        <w:t>技术部分</w:t>
      </w:r>
    </w:p>
    <w:p>
      <w:pPr>
        <w:jc w:val="center"/>
        <w:rPr>
          <w:rFonts w:ascii="宋体"/>
          <w:bCs/>
          <w:sz w:val="20"/>
        </w:rPr>
      </w:pPr>
    </w:p>
    <w:tbl>
      <w:tblPr>
        <w:tblStyle w:val="73"/>
        <w:tblW w:w="9118" w:type="dxa"/>
        <w:tblInd w:w="0" w:type="dxa"/>
        <w:tblLayout w:type="fixed"/>
        <w:tblCellMar>
          <w:top w:w="0" w:type="dxa"/>
          <w:left w:w="108" w:type="dxa"/>
          <w:bottom w:w="0" w:type="dxa"/>
          <w:right w:w="108" w:type="dxa"/>
        </w:tblCellMar>
      </w:tblPr>
      <w:tblGrid>
        <w:gridCol w:w="419"/>
        <w:gridCol w:w="1224"/>
        <w:gridCol w:w="846"/>
        <w:gridCol w:w="5019"/>
        <w:gridCol w:w="1610"/>
      </w:tblGrid>
      <w:tr>
        <w:tblPrEx>
          <w:tblCellMar>
            <w:top w:w="0" w:type="dxa"/>
            <w:left w:w="108" w:type="dxa"/>
            <w:bottom w:w="0" w:type="dxa"/>
            <w:right w:w="108" w:type="dxa"/>
          </w:tblCellMar>
        </w:tblPrEx>
        <w:trPr>
          <w:trHeight w:val="975" w:hRule="atLeast"/>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序号</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考核项目</w:t>
            </w:r>
          </w:p>
        </w:tc>
        <w:tc>
          <w:tcPr>
            <w:tcW w:w="8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分数</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评分标准</w:t>
            </w:r>
          </w:p>
        </w:tc>
        <w:tc>
          <w:tcPr>
            <w:tcW w:w="161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备注</w:t>
            </w:r>
          </w:p>
        </w:tc>
      </w:tr>
      <w:tr>
        <w:tblPrEx>
          <w:tblCellMar>
            <w:top w:w="0" w:type="dxa"/>
            <w:left w:w="108" w:type="dxa"/>
            <w:bottom w:w="0" w:type="dxa"/>
            <w:right w:w="108" w:type="dxa"/>
          </w:tblCellMar>
        </w:tblPrEx>
        <w:trPr>
          <w:trHeight w:val="975" w:hRule="atLeast"/>
        </w:trPr>
        <w:tc>
          <w:tcPr>
            <w:tcW w:w="419" w:type="dxa"/>
            <w:vMerge w:val="restart"/>
            <w:tcBorders>
              <w:top w:val="single" w:color="auto" w:sz="4" w:space="0"/>
              <w:left w:val="single" w:color="auto" w:sz="4" w:space="0"/>
              <w:right w:val="single" w:color="auto" w:sz="4" w:space="0"/>
            </w:tcBorders>
            <w:vAlign w:val="center"/>
          </w:tcPr>
          <w:p>
            <w:pPr>
              <w:widowControl/>
              <w:jc w:val="both"/>
              <w:rPr>
                <w:rFonts w:asci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r>
              <w:rPr>
                <w:rFonts w:ascii="宋体" w:hAnsi="宋体" w:cs="宋体"/>
                <w:kern w:val="0"/>
                <w:sz w:val="20"/>
              </w:rPr>
              <w:t>1</w:t>
            </w:r>
          </w:p>
          <w:p>
            <w:pPr>
              <w:widowControl/>
              <w:jc w:val="center"/>
              <w:rPr>
                <w:rFonts w:ascii="宋体" w:cs="宋体"/>
                <w:kern w:val="0"/>
                <w:sz w:val="20"/>
              </w:rPr>
            </w:pPr>
          </w:p>
          <w:p>
            <w:pPr>
              <w:widowControl/>
              <w:jc w:val="center"/>
              <w:rPr>
                <w:rFonts w:ascii="宋体" w:cs="宋体"/>
                <w:kern w:val="0"/>
                <w:sz w:val="20"/>
              </w:rPr>
            </w:pPr>
          </w:p>
          <w:p>
            <w:pPr>
              <w:widowControl/>
              <w:jc w:val="center"/>
              <w:rPr>
                <w:rFonts w:ascii="宋体" w:cs="宋体"/>
                <w:kern w:val="0"/>
                <w:sz w:val="20"/>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整体方案</w:t>
            </w:r>
          </w:p>
          <w:p>
            <w:pPr>
              <w:widowControl/>
              <w:jc w:val="center"/>
              <w:rPr>
                <w:rFonts w:ascii="宋体" w:cs="宋体"/>
                <w:kern w:val="0"/>
                <w:sz w:val="20"/>
              </w:rPr>
            </w:pPr>
            <w:r>
              <w:rPr>
                <w:rFonts w:hint="eastAsia" w:ascii="宋体" w:hAnsi="宋体" w:cs="宋体"/>
                <w:kern w:val="0"/>
                <w:sz w:val="20"/>
              </w:rPr>
              <w:t>（</w:t>
            </w:r>
            <w:r>
              <w:rPr>
                <w:rFonts w:ascii="宋体" w:hAnsi="宋体" w:cs="宋体"/>
                <w:kern w:val="0"/>
                <w:sz w:val="20"/>
              </w:rPr>
              <w:t>13</w:t>
            </w:r>
            <w:r>
              <w:rPr>
                <w:rFonts w:hint="eastAsia" w:ascii="宋体" w:hAnsi="宋体" w:cs="宋体"/>
                <w:kern w:val="0"/>
                <w:sz w:val="20"/>
              </w:rPr>
              <w:t>分）</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ascii="宋体" w:hAnsi="宋体"/>
                <w:kern w:val="0"/>
                <w:sz w:val="20"/>
              </w:rPr>
              <w:t>3</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hAnsi="宋体"/>
                <w:kern w:val="0"/>
                <w:sz w:val="20"/>
                <w:szCs w:val="22"/>
              </w:rPr>
            </w:pPr>
            <w:r>
              <w:rPr>
                <w:rFonts w:hint="eastAsia" w:ascii="宋体" w:hAnsi="宋体"/>
                <w:kern w:val="0"/>
                <w:sz w:val="20"/>
                <w:szCs w:val="22"/>
              </w:rPr>
              <w:t>投标人应充分了解本项目总体方案，框架结构以及功能描述符合要求，围绕本项目构建统一、规范、多级联动、多点部署的技术体系，方案总体目标和设计原则描述清晰，项目建设重点、难点分析准确，思路清晰完整可行的技术实施方案。</w:t>
            </w:r>
            <w:r>
              <w:rPr>
                <w:rFonts w:hint="eastAsia" w:ascii="宋体" w:hAnsi="宋体"/>
                <w:kern w:val="0"/>
                <w:sz w:val="20"/>
                <w:szCs w:val="22"/>
                <w:lang w:val="en-US" w:eastAsia="zh-CN"/>
              </w:rPr>
              <w:t>优秀</w:t>
            </w:r>
            <w:r>
              <w:rPr>
                <w:rFonts w:hint="eastAsia" w:ascii="宋体" w:hAnsi="宋体"/>
                <w:kern w:val="0"/>
                <w:sz w:val="20"/>
                <w:szCs w:val="22"/>
              </w:rPr>
              <w:t>得</w:t>
            </w:r>
            <w:r>
              <w:rPr>
                <w:rFonts w:ascii="宋体" w:hAnsi="宋体"/>
                <w:kern w:val="0"/>
                <w:sz w:val="20"/>
                <w:szCs w:val="22"/>
              </w:rPr>
              <w:t>3</w:t>
            </w:r>
            <w:r>
              <w:rPr>
                <w:rFonts w:hint="eastAsia" w:ascii="宋体" w:hAnsi="宋体"/>
                <w:kern w:val="0"/>
                <w:sz w:val="20"/>
                <w:szCs w:val="22"/>
              </w:rPr>
              <w:t>分，良好得</w:t>
            </w:r>
            <w:r>
              <w:rPr>
                <w:rFonts w:ascii="宋体" w:hAnsi="宋体"/>
                <w:kern w:val="0"/>
                <w:sz w:val="20"/>
                <w:szCs w:val="22"/>
              </w:rPr>
              <w:t>2</w:t>
            </w:r>
            <w:r>
              <w:rPr>
                <w:rFonts w:hint="eastAsia" w:ascii="宋体" w:hAnsi="宋体"/>
                <w:kern w:val="0"/>
                <w:sz w:val="20"/>
                <w:szCs w:val="22"/>
              </w:rPr>
              <w:t>分，</w:t>
            </w:r>
            <w:r>
              <w:rPr>
                <w:rFonts w:hint="eastAsia" w:ascii="宋体" w:hAnsi="宋体"/>
                <w:kern w:val="0"/>
                <w:sz w:val="20"/>
                <w:szCs w:val="22"/>
                <w:lang w:val="en-US" w:eastAsia="zh-CN"/>
              </w:rPr>
              <w:t>其他得1分</w:t>
            </w:r>
            <w:r>
              <w:rPr>
                <w:rFonts w:hint="eastAsia" w:ascii="宋体" w:hAnsi="宋体"/>
                <w:kern w:val="0"/>
                <w:sz w:val="20"/>
                <w:szCs w:val="22"/>
              </w:rPr>
              <w:t>。</w:t>
            </w:r>
            <w:r>
              <w:rPr>
                <w:rFonts w:ascii="宋体" w:hAnsi="宋体"/>
                <w:kern w:val="0"/>
                <w:sz w:val="20"/>
                <w:szCs w:val="22"/>
              </w:rPr>
              <w:t xml:space="preserve"> </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distribute"/>
              <w:rPr>
                <w:rFonts w:hint="eastAsia" w:ascii="宋体" w:hAnsi="宋体" w:cs="宋体"/>
                <w:kern w:val="0"/>
                <w:sz w:val="20"/>
              </w:rPr>
            </w:pPr>
            <w:r>
              <w:rPr>
                <w:rFonts w:ascii="宋体" w:hAnsi="宋体" w:cs="宋体"/>
                <w:kern w:val="0"/>
                <w:sz w:val="20"/>
              </w:rPr>
              <w:t xml:space="preserve">     </w:t>
            </w:r>
            <w:r>
              <w:rPr>
                <w:rFonts w:hint="eastAsia" w:ascii="宋体" w:hAnsi="宋体" w:cs="宋体"/>
                <w:kern w:val="0"/>
                <w:sz w:val="20"/>
              </w:rPr>
              <w:t>投标人须现场提供视频或</w:t>
            </w:r>
            <w:r>
              <w:rPr>
                <w:rFonts w:ascii="宋体" w:hAnsi="宋体" w:cs="宋体"/>
                <w:kern w:val="0"/>
                <w:sz w:val="20"/>
              </w:rPr>
              <w:t>PPT</w:t>
            </w:r>
            <w:r>
              <w:rPr>
                <w:rFonts w:hint="eastAsia" w:ascii="宋体" w:hAnsi="宋体" w:cs="宋体"/>
                <w:kern w:val="0"/>
                <w:sz w:val="20"/>
              </w:rPr>
              <w:t>演示讲解（时间不超过</w:t>
            </w:r>
            <w:r>
              <w:rPr>
                <w:rFonts w:ascii="宋体" w:hAnsi="宋体" w:cs="宋体"/>
                <w:kern w:val="0"/>
                <w:sz w:val="20"/>
              </w:rPr>
              <w:t>10</w:t>
            </w:r>
            <w:r>
              <w:rPr>
                <w:rFonts w:hint="eastAsia" w:ascii="宋体" w:hAnsi="宋体" w:cs="宋体"/>
                <w:kern w:val="0"/>
                <w:sz w:val="20"/>
              </w:rPr>
              <w:t>分钟），重点阐述软件系统整体方案和实施方案的优点。</w:t>
            </w:r>
          </w:p>
          <w:p>
            <w:pPr>
              <w:widowControl/>
              <w:jc w:val="distribute"/>
              <w:rPr>
                <w:rFonts w:hint="eastAsia" w:ascii="宋体" w:hAnsi="宋体" w:eastAsia="宋体" w:cs="宋体"/>
                <w:kern w:val="0"/>
                <w:sz w:val="20"/>
                <w:lang w:eastAsia="zh-CN"/>
              </w:rPr>
            </w:pP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ascii="宋体" w:hAnsi="宋体"/>
                <w:kern w:val="0"/>
                <w:sz w:val="20"/>
              </w:rPr>
              <w:t>10</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szCs w:val="22"/>
              </w:rPr>
            </w:pPr>
            <w:r>
              <w:rPr>
                <w:rFonts w:hint="eastAsia" w:ascii="宋体" w:hAnsi="宋体"/>
                <w:kern w:val="0"/>
                <w:sz w:val="20"/>
                <w:szCs w:val="22"/>
              </w:rPr>
              <w:t>本项目为哈密市智慧城市</w:t>
            </w:r>
            <w:r>
              <w:rPr>
                <w:rFonts w:hint="eastAsia" w:ascii="宋体" w:hAnsi="宋体"/>
                <w:kern w:val="0"/>
                <w:sz w:val="20"/>
                <w:szCs w:val="22"/>
                <w:lang w:val="en-US" w:eastAsia="zh-CN"/>
              </w:rPr>
              <w:t>大数据中心电子政务外网机房扩容</w:t>
            </w:r>
            <w:r>
              <w:rPr>
                <w:rFonts w:hint="eastAsia" w:ascii="宋体" w:hAnsi="宋体"/>
                <w:kern w:val="0"/>
                <w:sz w:val="20"/>
                <w:szCs w:val="22"/>
              </w:rPr>
              <w:t>建设项目，需与哈密市智慧城市</w:t>
            </w:r>
            <w:r>
              <w:rPr>
                <w:rFonts w:hint="eastAsia" w:ascii="宋体" w:hAnsi="宋体"/>
                <w:kern w:val="0"/>
                <w:sz w:val="20"/>
                <w:szCs w:val="22"/>
                <w:lang w:val="en-US" w:eastAsia="zh-CN"/>
              </w:rPr>
              <w:t>大数据中心一期云</w:t>
            </w:r>
            <w:r>
              <w:rPr>
                <w:rFonts w:hint="eastAsia" w:ascii="宋体" w:hAnsi="宋体"/>
                <w:kern w:val="0"/>
                <w:sz w:val="20"/>
                <w:szCs w:val="22"/>
              </w:rPr>
              <w:t>平台深度融合，必须确保</w:t>
            </w:r>
            <w:r>
              <w:rPr>
                <w:rFonts w:hint="eastAsia" w:ascii="宋体" w:hAnsi="宋体"/>
                <w:kern w:val="0"/>
                <w:sz w:val="20"/>
                <w:szCs w:val="22"/>
                <w:lang w:val="en-US" w:eastAsia="zh-CN"/>
              </w:rPr>
              <w:t>与</w:t>
            </w:r>
            <w:r>
              <w:rPr>
                <w:rFonts w:hint="eastAsia" w:ascii="宋体" w:hAnsi="宋体"/>
                <w:kern w:val="0"/>
                <w:sz w:val="20"/>
                <w:szCs w:val="22"/>
                <w:lang w:val="zh-CN"/>
              </w:rPr>
              <w:t>一期云平台保持一致性及互联互通</w:t>
            </w:r>
            <w:r>
              <w:rPr>
                <w:rFonts w:hint="eastAsia" w:ascii="宋体" w:hAnsi="宋体"/>
                <w:kern w:val="0"/>
                <w:sz w:val="20"/>
                <w:szCs w:val="22"/>
              </w:rPr>
              <w:t>，并保证</w:t>
            </w:r>
            <w:r>
              <w:rPr>
                <w:rFonts w:hint="eastAsia" w:ascii="宋体" w:hAnsi="宋体"/>
                <w:kern w:val="0"/>
                <w:sz w:val="20"/>
                <w:szCs w:val="22"/>
                <w:lang w:val="zh-CN"/>
              </w:rPr>
              <w:t>一期云平台</w:t>
            </w:r>
            <w:r>
              <w:rPr>
                <w:rFonts w:hint="eastAsia" w:ascii="宋体" w:hAnsi="宋体"/>
                <w:kern w:val="0"/>
                <w:sz w:val="20"/>
                <w:szCs w:val="22"/>
              </w:rPr>
              <w:t>业务不中断，数据安全。投标人须针对本项目所建平台与</w:t>
            </w:r>
            <w:r>
              <w:rPr>
                <w:rFonts w:hint="eastAsia" w:ascii="宋体" w:hAnsi="宋体"/>
                <w:kern w:val="0"/>
                <w:sz w:val="20"/>
                <w:szCs w:val="22"/>
                <w:lang w:val="zh-CN"/>
              </w:rPr>
              <w:t>一期云平台</w:t>
            </w:r>
            <w:r>
              <w:rPr>
                <w:rFonts w:hint="eastAsia" w:ascii="宋体" w:hAnsi="宋体"/>
                <w:kern w:val="0"/>
                <w:sz w:val="20"/>
                <w:szCs w:val="22"/>
              </w:rPr>
              <w:t>互联互通，针对各项功能须提供具体实现方案和步骤，要达到初步设计要求，未实质响应的视为无效投标。软件须提供授权证明。根据响应程度综合评分，满分</w:t>
            </w:r>
            <w:r>
              <w:rPr>
                <w:rFonts w:hint="eastAsia" w:ascii="宋体" w:hAnsi="宋体"/>
                <w:kern w:val="0"/>
                <w:sz w:val="20"/>
                <w:szCs w:val="22"/>
                <w:lang w:val="en-US" w:eastAsia="zh-CN"/>
              </w:rPr>
              <w:t>10</w:t>
            </w:r>
            <w:r>
              <w:rPr>
                <w:rFonts w:hint="eastAsia" w:ascii="宋体" w:hAnsi="宋体"/>
                <w:kern w:val="0"/>
                <w:sz w:val="20"/>
                <w:szCs w:val="22"/>
              </w:rPr>
              <w:t>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restart"/>
            <w:tcBorders>
              <w:left w:val="single" w:color="auto" w:sz="4" w:space="0"/>
              <w:right w:val="single" w:color="auto" w:sz="4" w:space="0"/>
            </w:tcBorders>
            <w:vAlign w:val="center"/>
          </w:tcPr>
          <w:p>
            <w:pPr>
              <w:widowControl/>
              <w:jc w:val="center"/>
              <w:rPr>
                <w:rFonts w:hint="eastAsia" w:ascii="宋体" w:eastAsia="宋体" w:cs="宋体"/>
                <w:kern w:val="0"/>
                <w:sz w:val="20"/>
                <w:lang w:val="en-US" w:eastAsia="zh-CN"/>
              </w:rPr>
            </w:pPr>
            <w:r>
              <w:rPr>
                <w:rFonts w:hint="eastAsia" w:ascii="宋体" w:cs="宋体"/>
                <w:kern w:val="0"/>
                <w:sz w:val="20"/>
                <w:lang w:val="en-US" w:eastAsia="zh-CN"/>
              </w:rPr>
              <w:t>2</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rPr>
            </w:pPr>
            <w:r>
              <w:rPr>
                <w:rFonts w:hint="eastAsia" w:ascii="宋体" w:hAnsi="宋体" w:cs="宋体"/>
                <w:sz w:val="20"/>
              </w:rPr>
              <w:t>实施方案</w:t>
            </w:r>
          </w:p>
          <w:p>
            <w:pPr>
              <w:spacing w:line="360" w:lineRule="exact"/>
              <w:jc w:val="center"/>
              <w:rPr>
                <w:rFonts w:ascii="宋体" w:cs="宋体"/>
                <w:kern w:val="0"/>
                <w:sz w:val="20"/>
              </w:rPr>
            </w:pPr>
            <w:r>
              <w:rPr>
                <w:rFonts w:hint="eastAsia" w:ascii="宋体" w:hAnsi="宋体" w:cs="宋体"/>
                <w:kern w:val="0"/>
                <w:sz w:val="20"/>
              </w:rPr>
              <w:t>（</w:t>
            </w:r>
            <w:r>
              <w:rPr>
                <w:rFonts w:hint="eastAsia" w:ascii="宋体" w:hAnsi="宋体" w:cs="宋体"/>
                <w:kern w:val="0"/>
                <w:sz w:val="20"/>
                <w:lang w:val="en-US" w:eastAsia="zh-CN"/>
              </w:rPr>
              <w:t>6</w:t>
            </w:r>
            <w:r>
              <w:rPr>
                <w:rFonts w:hint="eastAsia" w:ascii="宋体" w:hAnsi="宋体" w:cs="宋体"/>
                <w:kern w:val="0"/>
                <w:sz w:val="20"/>
              </w:rPr>
              <w:t>分）</w:t>
            </w:r>
          </w:p>
        </w:tc>
        <w:tc>
          <w:tcPr>
            <w:tcW w:w="846" w:type="dxa"/>
            <w:tcBorders>
              <w:top w:val="single" w:color="auto" w:sz="4" w:space="0"/>
              <w:left w:val="single" w:color="auto" w:sz="4" w:space="0"/>
              <w:bottom w:val="single" w:color="auto" w:sz="4" w:space="0"/>
              <w:right w:val="single" w:color="auto" w:sz="4" w:space="0"/>
            </w:tcBorders>
            <w:vAlign w:val="center"/>
          </w:tcPr>
          <w:p>
            <w:pPr>
              <w:pStyle w:val="489"/>
              <w:spacing w:line="360" w:lineRule="exact"/>
              <w:ind w:firstLine="0"/>
              <w:jc w:val="center"/>
              <w:rPr>
                <w:rFonts w:ascii="宋体"/>
                <w:kern w:val="0"/>
                <w:sz w:val="20"/>
              </w:rPr>
            </w:pPr>
            <w:r>
              <w:rPr>
                <w:rFonts w:ascii="宋体" w:hAnsi="宋体" w:cs="宋体"/>
                <w:sz w:val="20"/>
              </w:rPr>
              <w:t>4</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szCs w:val="22"/>
              </w:rPr>
            </w:pPr>
            <w:r>
              <w:rPr>
                <w:rFonts w:hint="eastAsia" w:ascii="宋体" w:hAnsi="宋体"/>
                <w:kern w:val="0"/>
                <w:sz w:val="20"/>
                <w:szCs w:val="22"/>
              </w:rPr>
              <w:t>方案包括能够实际应用于本项目的系统部署要求、系统部署结构、服务器资源参数、软件资源名称描述等，安装调试方案切实可行、具有可操作性，并输出部署文档。总集成方案完备，项目周期计划合理，保障措施完备，质量、进度、成本控制管理有效，应急措施健全，系统部署、验收方案可行，各阶段文档资料齐全。由评标专家根据投标人所提方案质量优劣打分，满分</w:t>
            </w:r>
            <w:r>
              <w:rPr>
                <w:rFonts w:ascii="宋体" w:hAnsi="宋体"/>
                <w:kern w:val="0"/>
                <w:sz w:val="20"/>
                <w:szCs w:val="22"/>
              </w:rPr>
              <w:t>4</w:t>
            </w:r>
            <w:r>
              <w:rPr>
                <w:rFonts w:hint="eastAsia" w:ascii="宋体" w:hAnsi="宋体"/>
                <w:kern w:val="0"/>
                <w:sz w:val="20"/>
                <w:szCs w:val="22"/>
              </w:rPr>
              <w:t>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671"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pStyle w:val="489"/>
              <w:spacing w:line="360" w:lineRule="exact"/>
              <w:ind w:firstLine="0"/>
              <w:jc w:val="center"/>
              <w:rPr>
                <w:rFonts w:ascii="宋体"/>
                <w:kern w:val="0"/>
                <w:sz w:val="20"/>
              </w:rPr>
            </w:pPr>
            <w:r>
              <w:rPr>
                <w:rFonts w:hint="eastAsia" w:ascii="宋体" w:hAnsi="宋体"/>
                <w:kern w:val="0"/>
                <w:sz w:val="20"/>
                <w:lang w:val="en-US" w:eastAsia="zh-CN"/>
              </w:rPr>
              <w:t>2</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tcPr>
          <w:p>
            <w:pPr>
              <w:widowControl/>
              <w:ind w:firstLine="400" w:firstLineChars="200"/>
              <w:rPr>
                <w:rFonts w:ascii="宋体"/>
                <w:kern w:val="0"/>
                <w:sz w:val="20"/>
                <w:szCs w:val="22"/>
              </w:rPr>
            </w:pPr>
            <w:r>
              <w:rPr>
                <w:rFonts w:hint="eastAsia" w:ascii="宋体" w:hAnsi="宋体"/>
                <w:kern w:val="0"/>
                <w:sz w:val="20"/>
                <w:szCs w:val="22"/>
              </w:rPr>
              <w:t>投标人为本项目拟派的项目经理具有工信部颁发的信息系统项目管理师、高级工程师、</w:t>
            </w:r>
            <w:r>
              <w:rPr>
                <w:rFonts w:ascii="宋体" w:hAnsi="宋体"/>
                <w:kern w:val="0"/>
                <w:sz w:val="20"/>
                <w:szCs w:val="22"/>
              </w:rPr>
              <w:t>PMP</w:t>
            </w:r>
            <w:r>
              <w:rPr>
                <w:rFonts w:hint="eastAsia" w:ascii="宋体" w:hAnsi="宋体"/>
                <w:kern w:val="0"/>
                <w:sz w:val="20"/>
                <w:szCs w:val="22"/>
              </w:rPr>
              <w:t>认证、高级项目经理资质，或具备此同等资质条件的得</w:t>
            </w:r>
            <w:r>
              <w:rPr>
                <w:rFonts w:hint="eastAsia" w:ascii="宋体" w:hAnsi="宋体"/>
                <w:kern w:val="0"/>
                <w:sz w:val="20"/>
                <w:szCs w:val="22"/>
                <w:lang w:val="en-US" w:eastAsia="zh-CN"/>
              </w:rPr>
              <w:t>1</w:t>
            </w:r>
            <w:r>
              <w:rPr>
                <w:rFonts w:hint="eastAsia" w:ascii="宋体" w:hAnsi="宋体"/>
                <w:kern w:val="0"/>
                <w:sz w:val="20"/>
                <w:szCs w:val="22"/>
              </w:rPr>
              <w:t>分，不满足不得分。同时，投标商项目参与人员应另有系统分析师</w:t>
            </w:r>
            <w:r>
              <w:rPr>
                <w:rFonts w:ascii="宋体" w:hAnsi="宋体"/>
                <w:kern w:val="0"/>
                <w:sz w:val="20"/>
                <w:szCs w:val="22"/>
              </w:rPr>
              <w:t>1</w:t>
            </w:r>
            <w:r>
              <w:rPr>
                <w:rFonts w:hint="eastAsia" w:ascii="宋体" w:hAnsi="宋体"/>
                <w:kern w:val="0"/>
                <w:sz w:val="20"/>
                <w:szCs w:val="22"/>
              </w:rPr>
              <w:t>人</w:t>
            </w:r>
            <w:r>
              <w:rPr>
                <w:rFonts w:hint="eastAsia" w:ascii="宋体" w:hAnsi="宋体"/>
                <w:color w:val="auto"/>
                <w:kern w:val="0"/>
                <w:sz w:val="20"/>
                <w:szCs w:val="22"/>
              </w:rPr>
              <w:t>，</w:t>
            </w:r>
            <w:r>
              <w:rPr>
                <w:rFonts w:ascii="宋体" w:hAnsi="宋体"/>
                <w:color w:val="auto"/>
                <w:kern w:val="0"/>
                <w:sz w:val="20"/>
                <w:szCs w:val="22"/>
              </w:rPr>
              <w:t>Oracle</w:t>
            </w:r>
            <w:r>
              <w:rPr>
                <w:rFonts w:hint="eastAsia" w:ascii="宋体" w:hAnsi="宋体"/>
                <w:color w:val="auto"/>
                <w:kern w:val="0"/>
                <w:sz w:val="20"/>
                <w:szCs w:val="22"/>
              </w:rPr>
              <w:t>数据库</w:t>
            </w:r>
            <w:r>
              <w:rPr>
                <w:rFonts w:ascii="宋体" w:hAnsi="宋体"/>
                <w:color w:val="auto"/>
                <w:kern w:val="0"/>
                <w:sz w:val="20"/>
                <w:szCs w:val="22"/>
              </w:rPr>
              <w:t>OC</w:t>
            </w:r>
            <w:r>
              <w:rPr>
                <w:rFonts w:hint="eastAsia" w:ascii="宋体" w:hAnsi="宋体"/>
                <w:color w:val="auto"/>
                <w:kern w:val="0"/>
                <w:sz w:val="20"/>
                <w:szCs w:val="22"/>
                <w:lang w:val="en-US" w:eastAsia="zh-CN"/>
              </w:rPr>
              <w:t>P</w:t>
            </w:r>
            <w:r>
              <w:rPr>
                <w:rFonts w:hint="eastAsia" w:ascii="宋体" w:hAnsi="宋体"/>
                <w:color w:val="auto"/>
                <w:kern w:val="0"/>
                <w:sz w:val="20"/>
                <w:szCs w:val="22"/>
              </w:rPr>
              <w:t>专家</w:t>
            </w:r>
            <w:r>
              <w:rPr>
                <w:rFonts w:ascii="宋体" w:hAnsi="宋体"/>
                <w:color w:val="auto"/>
                <w:kern w:val="0"/>
                <w:sz w:val="20"/>
                <w:szCs w:val="22"/>
              </w:rPr>
              <w:t>1</w:t>
            </w:r>
            <w:r>
              <w:rPr>
                <w:rFonts w:hint="eastAsia" w:ascii="宋体" w:hAnsi="宋体"/>
                <w:color w:val="auto"/>
                <w:kern w:val="0"/>
                <w:sz w:val="20"/>
                <w:szCs w:val="22"/>
              </w:rPr>
              <w:t>人，</w:t>
            </w:r>
            <w:r>
              <w:rPr>
                <w:rFonts w:hint="eastAsia" w:ascii="宋体" w:hAnsi="宋体"/>
                <w:kern w:val="0"/>
                <w:sz w:val="20"/>
                <w:szCs w:val="22"/>
              </w:rPr>
              <w:t>全部满足此条件的得</w:t>
            </w:r>
            <w:r>
              <w:rPr>
                <w:rFonts w:hint="eastAsia" w:ascii="宋体" w:hAnsi="宋体"/>
                <w:kern w:val="0"/>
                <w:sz w:val="20"/>
                <w:szCs w:val="22"/>
                <w:lang w:val="en-US" w:eastAsia="zh-CN"/>
              </w:rPr>
              <w:t>1</w:t>
            </w:r>
            <w:r>
              <w:rPr>
                <w:rFonts w:hint="eastAsia" w:ascii="宋体" w:hAnsi="宋体"/>
                <w:kern w:val="0"/>
                <w:sz w:val="20"/>
                <w:szCs w:val="22"/>
              </w:rPr>
              <w:t>分，少一项扣</w:t>
            </w:r>
            <w:r>
              <w:rPr>
                <w:rFonts w:ascii="宋体" w:hAnsi="宋体"/>
                <w:kern w:val="0"/>
                <w:sz w:val="20"/>
                <w:szCs w:val="22"/>
              </w:rPr>
              <w:t>0.</w:t>
            </w:r>
            <w:r>
              <w:rPr>
                <w:rFonts w:hint="eastAsia" w:ascii="宋体" w:hAnsi="宋体"/>
                <w:kern w:val="0"/>
                <w:sz w:val="20"/>
                <w:szCs w:val="22"/>
                <w:lang w:val="en-US" w:eastAsia="zh-CN"/>
              </w:rPr>
              <w:t>5</w:t>
            </w:r>
            <w:r>
              <w:rPr>
                <w:rFonts w:hint="eastAsia" w:ascii="宋体" w:hAnsi="宋体"/>
                <w:kern w:val="0"/>
                <w:sz w:val="20"/>
                <w:szCs w:val="22"/>
              </w:rPr>
              <w:t>分，扣完为止。说明：</w:t>
            </w:r>
          </w:p>
          <w:p>
            <w:pPr>
              <w:widowControl/>
              <w:ind w:firstLine="400" w:firstLineChars="200"/>
              <w:rPr>
                <w:rFonts w:ascii="宋体"/>
                <w:kern w:val="0"/>
                <w:sz w:val="20"/>
                <w:szCs w:val="22"/>
              </w:rPr>
            </w:pPr>
            <w:r>
              <w:rPr>
                <w:rFonts w:hint="eastAsia" w:ascii="宋体" w:hAnsi="宋体"/>
                <w:kern w:val="0"/>
                <w:sz w:val="20"/>
                <w:szCs w:val="22"/>
              </w:rPr>
              <w:t>（</w:t>
            </w:r>
            <w:r>
              <w:rPr>
                <w:rFonts w:ascii="宋体" w:hAnsi="宋体"/>
                <w:kern w:val="0"/>
                <w:sz w:val="20"/>
                <w:szCs w:val="22"/>
              </w:rPr>
              <w:t>1</w:t>
            </w:r>
            <w:r>
              <w:rPr>
                <w:rFonts w:hint="eastAsia" w:ascii="宋体" w:hAnsi="宋体"/>
                <w:kern w:val="0"/>
                <w:sz w:val="20"/>
                <w:szCs w:val="22"/>
              </w:rPr>
              <w:t>）提供证书复印件并加盖投标人公章；</w:t>
            </w:r>
          </w:p>
          <w:p>
            <w:pPr>
              <w:widowControl/>
              <w:ind w:firstLine="400" w:firstLineChars="200"/>
              <w:rPr>
                <w:rFonts w:ascii="宋体"/>
                <w:kern w:val="0"/>
                <w:sz w:val="20"/>
                <w:szCs w:val="22"/>
              </w:rPr>
            </w:pPr>
            <w:r>
              <w:rPr>
                <w:rFonts w:hint="eastAsia" w:ascii="宋体" w:hAnsi="宋体"/>
                <w:kern w:val="0"/>
                <w:sz w:val="20"/>
                <w:szCs w:val="22"/>
              </w:rPr>
              <w:t>（</w:t>
            </w:r>
            <w:r>
              <w:rPr>
                <w:rFonts w:ascii="宋体" w:hAnsi="宋体"/>
                <w:kern w:val="0"/>
                <w:sz w:val="20"/>
                <w:szCs w:val="22"/>
              </w:rPr>
              <w:t>2</w:t>
            </w:r>
            <w:r>
              <w:rPr>
                <w:rFonts w:hint="eastAsia" w:ascii="宋体" w:hAnsi="宋体"/>
                <w:kern w:val="0"/>
                <w:sz w:val="20"/>
                <w:szCs w:val="22"/>
              </w:rPr>
              <w:t>）投标人须提供以上相关人员不少于</w:t>
            </w:r>
            <w:r>
              <w:rPr>
                <w:rFonts w:ascii="宋体" w:hAnsi="宋体"/>
                <w:kern w:val="0"/>
                <w:sz w:val="20"/>
                <w:szCs w:val="22"/>
              </w:rPr>
              <w:t>6</w:t>
            </w:r>
            <w:r>
              <w:rPr>
                <w:rFonts w:hint="eastAsia" w:ascii="宋体" w:hAnsi="宋体"/>
                <w:kern w:val="0"/>
                <w:sz w:val="20"/>
                <w:szCs w:val="22"/>
              </w:rPr>
              <w:t>个月缴纳社保证明材料复印件并加盖投标人公章。</w:t>
            </w:r>
          </w:p>
          <w:p>
            <w:pPr>
              <w:widowControl/>
              <w:ind w:firstLine="400" w:firstLineChars="200"/>
              <w:rPr>
                <w:rFonts w:ascii="宋体"/>
                <w:kern w:val="0"/>
                <w:sz w:val="20"/>
                <w:szCs w:val="22"/>
              </w:rPr>
            </w:pPr>
            <w:r>
              <w:rPr>
                <w:rFonts w:hint="eastAsia" w:ascii="宋体" w:hAnsi="宋体"/>
                <w:kern w:val="0"/>
                <w:sz w:val="20"/>
                <w:szCs w:val="22"/>
              </w:rPr>
              <w:t>（</w:t>
            </w:r>
            <w:r>
              <w:rPr>
                <w:rFonts w:ascii="宋体" w:hAnsi="宋体"/>
                <w:kern w:val="0"/>
                <w:sz w:val="20"/>
                <w:szCs w:val="22"/>
              </w:rPr>
              <w:t>3</w:t>
            </w:r>
            <w:r>
              <w:rPr>
                <w:rFonts w:hint="eastAsia" w:ascii="宋体" w:hAnsi="宋体"/>
                <w:kern w:val="0"/>
                <w:sz w:val="20"/>
                <w:szCs w:val="22"/>
              </w:rPr>
              <w:t>）项目实施期间，项目经理每月必须在场</w:t>
            </w:r>
            <w:r>
              <w:rPr>
                <w:rFonts w:ascii="宋体" w:hAnsi="宋体"/>
                <w:kern w:val="0"/>
                <w:sz w:val="20"/>
                <w:szCs w:val="22"/>
              </w:rPr>
              <w:t>2</w:t>
            </w:r>
            <w:r>
              <w:rPr>
                <w:rFonts w:hint="eastAsia" w:ascii="宋体" w:hAnsi="宋体"/>
                <w:kern w:val="0"/>
                <w:sz w:val="20"/>
                <w:szCs w:val="22"/>
                <w:lang w:val="en-US" w:eastAsia="zh-CN"/>
              </w:rPr>
              <w:t>0</w:t>
            </w:r>
            <w:r>
              <w:rPr>
                <w:rFonts w:hint="eastAsia" w:ascii="宋体" w:hAnsi="宋体"/>
                <w:kern w:val="0"/>
                <w:sz w:val="20"/>
                <w:szCs w:val="22"/>
              </w:rPr>
              <w:t>天以上。</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restart"/>
            <w:tcBorders>
              <w:top w:val="single" w:color="auto" w:sz="4" w:space="0"/>
              <w:left w:val="single" w:color="auto" w:sz="4" w:space="0"/>
              <w:right w:val="single" w:color="auto" w:sz="4" w:space="0"/>
            </w:tcBorders>
            <w:vAlign w:val="center"/>
          </w:tcPr>
          <w:p>
            <w:pPr>
              <w:widowControl/>
              <w:rPr>
                <w:rFonts w:hint="eastAsia" w:ascii="宋体" w:hAnsi="宋体" w:eastAsia="宋体" w:cs="宋体"/>
                <w:kern w:val="0"/>
                <w:sz w:val="20"/>
                <w:lang w:val="en-US" w:eastAsia="zh-CN"/>
              </w:rPr>
            </w:pPr>
            <w:r>
              <w:rPr>
                <w:rFonts w:hint="eastAsia" w:ascii="宋体" w:hAnsi="宋体" w:cs="宋体"/>
                <w:kern w:val="0"/>
                <w:sz w:val="20"/>
                <w:lang w:val="en-US" w:eastAsia="zh-CN"/>
              </w:rPr>
              <w:t>3</w:t>
            </w:r>
          </w:p>
        </w:tc>
        <w:tc>
          <w:tcPr>
            <w:tcW w:w="1224" w:type="dxa"/>
            <w:vMerge w:val="restart"/>
            <w:tcBorders>
              <w:top w:val="single" w:color="auto" w:sz="4" w:space="0"/>
              <w:left w:val="single" w:color="auto" w:sz="4" w:space="0"/>
              <w:right w:val="single" w:color="auto" w:sz="4" w:space="0"/>
            </w:tcBorders>
            <w:vAlign w:val="center"/>
          </w:tcPr>
          <w:p>
            <w:pPr>
              <w:widowControl/>
              <w:rPr>
                <w:rFonts w:ascii="宋体"/>
                <w:kern w:val="0"/>
                <w:sz w:val="20"/>
                <w:szCs w:val="22"/>
              </w:rPr>
            </w:pPr>
            <w:r>
              <w:rPr>
                <w:rFonts w:hint="eastAsia" w:ascii="宋体" w:hAnsi="宋体"/>
                <w:kern w:val="0"/>
                <w:sz w:val="20"/>
                <w:szCs w:val="22"/>
              </w:rPr>
              <w:t>技术功能要求</w:t>
            </w:r>
          </w:p>
          <w:p>
            <w:pPr>
              <w:widowControl/>
              <w:rPr>
                <w:rFonts w:ascii="宋体"/>
                <w:kern w:val="0"/>
                <w:sz w:val="20"/>
                <w:szCs w:val="22"/>
              </w:rPr>
            </w:pPr>
            <w:r>
              <w:rPr>
                <w:rFonts w:hint="eastAsia" w:ascii="宋体" w:hAnsi="宋体"/>
                <w:kern w:val="0"/>
                <w:sz w:val="20"/>
                <w:szCs w:val="22"/>
              </w:rPr>
              <w:t>（</w:t>
            </w:r>
            <w:r>
              <w:rPr>
                <w:rFonts w:hint="eastAsia" w:ascii="宋体" w:hAnsi="宋体"/>
                <w:kern w:val="0"/>
                <w:sz w:val="20"/>
                <w:szCs w:val="22"/>
                <w:lang w:val="en-US" w:eastAsia="zh-CN"/>
              </w:rPr>
              <w:t>20</w:t>
            </w:r>
            <w:r>
              <w:rPr>
                <w:rFonts w:hint="eastAsia" w:ascii="宋体" w:hAnsi="宋体"/>
                <w:kern w:val="0"/>
                <w:sz w:val="20"/>
                <w:szCs w:val="22"/>
              </w:rPr>
              <w:t>分）</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2"/>
              </w:rPr>
            </w:pPr>
            <w:r>
              <w:rPr>
                <w:rFonts w:hint="eastAsia" w:ascii="宋体" w:hAnsi="宋体"/>
                <w:kern w:val="0"/>
                <w:sz w:val="20"/>
                <w:szCs w:val="22"/>
                <w:lang w:val="en-US" w:eastAsia="zh-CN"/>
              </w:rPr>
              <w:t>3</w:t>
            </w:r>
            <w:r>
              <w:rPr>
                <w:rFonts w:hint="eastAsia" w:ascii="宋体" w:hAnsi="宋体"/>
                <w:kern w:val="0"/>
                <w:sz w:val="20"/>
                <w:szCs w:val="22"/>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color w:val="auto"/>
                <w:kern w:val="0"/>
                <w:sz w:val="20"/>
                <w:szCs w:val="22"/>
              </w:rPr>
            </w:pPr>
            <w:r>
              <w:rPr>
                <w:rFonts w:hint="eastAsia" w:ascii="宋体" w:hAnsi="宋体"/>
                <w:color w:val="auto"/>
                <w:kern w:val="0"/>
                <w:sz w:val="20"/>
                <w:szCs w:val="22"/>
              </w:rPr>
              <w:t>针对本项目建设内容提供通用、开放的标准化接口和协议，并协助完成哈密市医疗云平台</w:t>
            </w:r>
            <w:r>
              <w:rPr>
                <w:rFonts w:hint="eastAsia" w:ascii="宋体" w:hAnsi="宋体"/>
                <w:color w:val="auto"/>
                <w:kern w:val="0"/>
                <w:sz w:val="20"/>
                <w:szCs w:val="22"/>
                <w:lang w:eastAsia="zh-CN"/>
              </w:rPr>
              <w:t>、</w:t>
            </w:r>
            <w:r>
              <w:rPr>
                <w:rFonts w:hint="eastAsia" w:ascii="宋体" w:hAnsi="宋体"/>
                <w:color w:val="auto"/>
                <w:kern w:val="0"/>
                <w:sz w:val="20"/>
                <w:szCs w:val="22"/>
                <w:lang w:val="en-US" w:eastAsia="zh-CN"/>
              </w:rPr>
              <w:t>教育平台等属地非涉密信息系统</w:t>
            </w:r>
            <w:r>
              <w:rPr>
                <w:rFonts w:hint="eastAsia" w:ascii="宋体" w:hAnsi="宋体"/>
                <w:color w:val="auto"/>
                <w:kern w:val="0"/>
                <w:sz w:val="20"/>
                <w:szCs w:val="22"/>
              </w:rPr>
              <w:t>迁入大数据中心。根据方案优劣情况打分，</w:t>
            </w:r>
            <w:r>
              <w:rPr>
                <w:rFonts w:hint="eastAsia" w:ascii="宋体" w:hAnsi="宋体"/>
                <w:color w:val="auto"/>
                <w:kern w:val="0"/>
                <w:sz w:val="20"/>
                <w:szCs w:val="22"/>
                <w:lang w:val="en-US" w:eastAsia="zh-CN"/>
              </w:rPr>
              <w:t>满分3</w:t>
            </w:r>
            <w:r>
              <w:rPr>
                <w:rFonts w:hint="eastAsia" w:ascii="宋体" w:hAnsi="宋体"/>
                <w:color w:val="auto"/>
                <w:kern w:val="0"/>
                <w:sz w:val="20"/>
                <w:szCs w:val="22"/>
              </w:rPr>
              <w:t>分。</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center"/>
              <w:rPr>
                <w:rFonts w:ascii="宋体" w:cs="宋体"/>
                <w:sz w:val="20"/>
              </w:rPr>
            </w:pPr>
          </w:p>
          <w:p>
            <w:pPr>
              <w:widowControl/>
              <w:jc w:val="both"/>
              <w:rPr>
                <w:rFonts w:ascii="宋体" w:cs="宋体"/>
                <w:kern w:val="0"/>
                <w:sz w:val="20"/>
              </w:rPr>
            </w:pPr>
            <w:r>
              <w:rPr>
                <w:rFonts w:ascii="宋体" w:hAnsi="宋体" w:cs="宋体"/>
                <w:sz w:val="20"/>
              </w:rPr>
              <w:t xml:space="preserve">   </w:t>
            </w:r>
            <w:r>
              <w:rPr>
                <w:rFonts w:hint="eastAsia" w:ascii="宋体" w:hAnsi="宋体" w:cs="宋体"/>
                <w:sz w:val="20"/>
              </w:rPr>
              <w:t>应按各小项分档打分。投标文件中各小项指标相近的，打分应属同一档次。但评标委员会小组成员应根据招标书文字部分要求的技术、功能和表格部分的性能指标要求，可按各投标文件（投标书和产品技术说明书）实际情况在档次打分范围内调整分值。</w:t>
            </w: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right w:val="single" w:color="auto" w:sz="4" w:space="0"/>
            </w:tcBorders>
            <w:vAlign w:val="center"/>
          </w:tcPr>
          <w:p>
            <w:pPr>
              <w:widowControl/>
              <w:ind w:firstLine="400" w:firstLineChars="200"/>
              <w:jc w:val="center"/>
              <w:rPr>
                <w:rFonts w:ascii="宋体"/>
                <w:kern w:val="0"/>
                <w:sz w:val="20"/>
                <w:szCs w:val="22"/>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2"/>
              </w:rPr>
            </w:pPr>
            <w:r>
              <w:rPr>
                <w:rFonts w:ascii="宋体" w:hAnsi="宋体"/>
                <w:kern w:val="0"/>
                <w:sz w:val="20"/>
                <w:szCs w:val="22"/>
              </w:rPr>
              <w:t>2</w:t>
            </w:r>
            <w:r>
              <w:rPr>
                <w:rFonts w:hint="eastAsia" w:ascii="宋体" w:hAnsi="宋体"/>
                <w:kern w:val="0"/>
                <w:sz w:val="20"/>
                <w:szCs w:val="22"/>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eastAsia="宋体"/>
                <w:color w:val="auto"/>
                <w:kern w:val="0"/>
                <w:sz w:val="20"/>
                <w:szCs w:val="22"/>
                <w:lang w:val="en-US" w:eastAsia="zh-CN"/>
              </w:rPr>
            </w:pPr>
            <w:r>
              <w:rPr>
                <w:rFonts w:hint="eastAsia" w:ascii="宋体" w:hAnsi="宋体"/>
                <w:color w:val="auto"/>
                <w:kern w:val="0"/>
                <w:sz w:val="20"/>
                <w:szCs w:val="22"/>
              </w:rPr>
              <w:t>在云平台物理层和虚拟化层</w:t>
            </w:r>
            <w:r>
              <w:rPr>
                <w:rFonts w:hint="eastAsia" w:ascii="宋体" w:hAnsi="宋体"/>
                <w:color w:val="auto"/>
                <w:kern w:val="0"/>
                <w:sz w:val="20"/>
                <w:szCs w:val="22"/>
                <w:lang w:eastAsia="zh-CN"/>
              </w:rPr>
              <w:t>，</w:t>
            </w:r>
            <w:r>
              <w:rPr>
                <w:rFonts w:hint="eastAsia" w:ascii="宋体" w:hAnsi="宋体"/>
                <w:color w:val="auto"/>
                <w:kern w:val="0"/>
                <w:sz w:val="20"/>
                <w:szCs w:val="22"/>
              </w:rPr>
              <w:t>提供硬件资源基础管理，基于硬件来构建池化的虚拟资源，包括服务器虚拟化、存储虚拟化、网络虚拟化和监控/运维系统等</w:t>
            </w:r>
            <w:r>
              <w:rPr>
                <w:rFonts w:hint="eastAsia" w:ascii="宋体" w:hAnsi="宋体"/>
                <w:color w:val="auto"/>
                <w:kern w:val="0"/>
                <w:sz w:val="20"/>
                <w:szCs w:val="22"/>
                <w:lang w:eastAsia="zh-CN"/>
              </w:rPr>
              <w:t>。</w:t>
            </w:r>
            <w:r>
              <w:rPr>
                <w:rFonts w:hint="eastAsia" w:ascii="宋体" w:hAnsi="宋体"/>
                <w:color w:val="auto"/>
                <w:kern w:val="0"/>
                <w:sz w:val="20"/>
                <w:szCs w:val="22"/>
              </w:rPr>
              <w:t>根据方案优劣情况打分，</w:t>
            </w:r>
            <w:r>
              <w:rPr>
                <w:rFonts w:hint="eastAsia" w:ascii="宋体" w:hAnsi="宋体"/>
                <w:color w:val="auto"/>
                <w:kern w:val="0"/>
                <w:sz w:val="20"/>
                <w:szCs w:val="22"/>
                <w:lang w:val="en-US" w:eastAsia="zh-CN"/>
              </w:rPr>
              <w:t>满分2</w:t>
            </w:r>
            <w:r>
              <w:rPr>
                <w:rFonts w:hint="eastAsia" w:ascii="宋体" w:hAnsi="宋体"/>
                <w:color w:val="auto"/>
                <w:kern w:val="0"/>
                <w:sz w:val="20"/>
                <w:szCs w:val="22"/>
              </w:rPr>
              <w:t>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1013"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right w:val="single" w:color="auto" w:sz="4" w:space="0"/>
            </w:tcBorders>
            <w:vAlign w:val="center"/>
          </w:tcPr>
          <w:p>
            <w:pPr>
              <w:widowControl/>
              <w:ind w:firstLine="400" w:firstLineChars="200"/>
              <w:jc w:val="center"/>
              <w:rPr>
                <w:rFonts w:ascii="宋体"/>
                <w:kern w:val="0"/>
                <w:sz w:val="20"/>
                <w:szCs w:val="22"/>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2"/>
              </w:rPr>
            </w:pPr>
            <w:r>
              <w:rPr>
                <w:rFonts w:ascii="宋体" w:hAnsi="宋体"/>
                <w:kern w:val="0"/>
                <w:sz w:val="20"/>
                <w:szCs w:val="22"/>
              </w:rPr>
              <w:t>2</w:t>
            </w:r>
            <w:r>
              <w:rPr>
                <w:rFonts w:hint="eastAsia" w:ascii="宋体" w:hAnsi="宋体"/>
                <w:kern w:val="0"/>
                <w:sz w:val="20"/>
                <w:szCs w:val="22"/>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color w:val="auto"/>
                <w:kern w:val="0"/>
                <w:sz w:val="20"/>
                <w:szCs w:val="22"/>
              </w:rPr>
            </w:pPr>
            <w:r>
              <w:rPr>
                <w:rFonts w:hint="eastAsia" w:ascii="宋体" w:hAnsi="宋体"/>
                <w:color w:val="auto"/>
                <w:kern w:val="0"/>
                <w:sz w:val="20"/>
                <w:szCs w:val="22"/>
              </w:rPr>
              <w:t>在云服务层，平台向管理员/用户提供云平台服务，包括云主机服务、网页交互、API接口、监控系统、弹性网络、负载均衡和VPC等服务。根据方案优劣情况打分，</w:t>
            </w:r>
            <w:r>
              <w:rPr>
                <w:rFonts w:hint="eastAsia" w:ascii="宋体" w:hAnsi="宋体"/>
                <w:color w:val="auto"/>
                <w:kern w:val="0"/>
                <w:sz w:val="20"/>
                <w:szCs w:val="22"/>
                <w:lang w:val="en-US" w:eastAsia="zh-CN"/>
              </w:rPr>
              <w:t>满分2</w:t>
            </w:r>
            <w:r>
              <w:rPr>
                <w:rFonts w:hint="eastAsia" w:ascii="宋体" w:hAnsi="宋体"/>
                <w:color w:val="auto"/>
                <w:kern w:val="0"/>
                <w:sz w:val="20"/>
                <w:szCs w:val="22"/>
              </w:rPr>
              <w:t>分。</w:t>
            </w:r>
          </w:p>
          <w:p>
            <w:pPr>
              <w:widowControl/>
              <w:ind w:firstLine="400" w:firstLineChars="200"/>
              <w:rPr>
                <w:rFonts w:hint="eastAsia" w:ascii="宋体" w:hAnsi="宋体"/>
                <w:color w:val="auto"/>
                <w:kern w:val="0"/>
                <w:sz w:val="20"/>
                <w:szCs w:val="22"/>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rPr>
            </w:pPr>
            <w:r>
              <w:rPr>
                <w:rFonts w:ascii="宋体" w:hAnsi="宋体"/>
                <w:kern w:val="0"/>
                <w:sz w:val="20"/>
              </w:rPr>
              <w:t>2</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color w:val="auto"/>
                <w:kern w:val="0"/>
                <w:sz w:val="20"/>
                <w:szCs w:val="22"/>
              </w:rPr>
            </w:pPr>
            <w:r>
              <w:rPr>
                <w:rFonts w:hint="eastAsia" w:ascii="宋体" w:hAnsi="宋体"/>
                <w:color w:val="auto"/>
                <w:kern w:val="0"/>
                <w:sz w:val="20"/>
                <w:szCs w:val="22"/>
              </w:rPr>
              <w:t>平台的建设从基础资源池（计算、存储、网络）、虚拟化平台、云平台等多个层面充分考虑业务的安全可靠，需要充分保障物理资源层、资源抽象与控制层和云服务层稳定性与安全性，并提供云安全基础服务。根据方案优劣情况打分，</w:t>
            </w:r>
            <w:r>
              <w:rPr>
                <w:rFonts w:hint="eastAsia" w:ascii="宋体" w:hAnsi="宋体"/>
                <w:color w:val="auto"/>
                <w:kern w:val="0"/>
                <w:sz w:val="20"/>
                <w:szCs w:val="22"/>
                <w:lang w:val="en-US" w:eastAsia="zh-CN"/>
              </w:rPr>
              <w:t>满分2</w:t>
            </w:r>
            <w:r>
              <w:rPr>
                <w:rFonts w:hint="eastAsia" w:ascii="宋体" w:hAnsi="宋体"/>
                <w:color w:val="auto"/>
                <w:kern w:val="0"/>
                <w:sz w:val="20"/>
                <w:szCs w:val="22"/>
              </w:rPr>
              <w:t>分。</w:t>
            </w:r>
          </w:p>
          <w:p>
            <w:pPr>
              <w:widowControl/>
              <w:ind w:firstLine="400" w:firstLineChars="200"/>
              <w:rPr>
                <w:rFonts w:hint="eastAsia" w:ascii="宋体" w:hAnsi="宋体"/>
                <w:color w:val="auto"/>
                <w:kern w:val="0"/>
                <w:sz w:val="20"/>
                <w:szCs w:val="22"/>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both"/>
              <w:rPr>
                <w:rFonts w:ascii="宋体"/>
                <w:kern w:val="0"/>
                <w:sz w:val="20"/>
              </w:rPr>
            </w:pPr>
            <w:r>
              <w:rPr>
                <w:rFonts w:hint="eastAsia" w:ascii="宋体" w:hAnsi="宋体"/>
                <w:kern w:val="0"/>
                <w:sz w:val="20"/>
                <w:lang w:val="en-US" w:eastAsia="zh-CN"/>
              </w:rPr>
              <w:t>3</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color w:val="auto"/>
                <w:kern w:val="0"/>
                <w:sz w:val="20"/>
                <w:szCs w:val="22"/>
              </w:rPr>
            </w:pPr>
            <w:r>
              <w:rPr>
                <w:rFonts w:hint="eastAsia" w:ascii="宋体" w:hAnsi="宋体"/>
                <w:color w:val="auto"/>
                <w:kern w:val="0"/>
                <w:sz w:val="20"/>
                <w:szCs w:val="22"/>
                <w:lang w:val="en-US" w:eastAsia="zh-CN"/>
              </w:rPr>
              <w:t>需</w:t>
            </w:r>
            <w:r>
              <w:rPr>
                <w:rFonts w:hint="eastAsia" w:ascii="宋体" w:hAnsi="宋体"/>
                <w:color w:val="auto"/>
                <w:kern w:val="0"/>
                <w:sz w:val="20"/>
                <w:szCs w:val="22"/>
              </w:rPr>
              <w:t>与一期云平台互联互通，避免云中心成为新的云孤岛。根据方案优劣情况打分，</w:t>
            </w:r>
            <w:r>
              <w:rPr>
                <w:rFonts w:hint="eastAsia" w:ascii="宋体" w:hAnsi="宋体"/>
                <w:color w:val="auto"/>
                <w:kern w:val="0"/>
                <w:sz w:val="20"/>
                <w:szCs w:val="22"/>
                <w:lang w:val="en-US" w:eastAsia="zh-CN"/>
              </w:rPr>
              <w:t>满分3</w:t>
            </w:r>
            <w:r>
              <w:rPr>
                <w:rFonts w:hint="eastAsia" w:ascii="宋体" w:hAnsi="宋体"/>
                <w:color w:val="auto"/>
                <w:kern w:val="0"/>
                <w:sz w:val="20"/>
                <w:szCs w:val="22"/>
              </w:rPr>
              <w:t>分。</w:t>
            </w:r>
          </w:p>
          <w:p>
            <w:pPr>
              <w:widowControl/>
              <w:ind w:firstLine="400" w:firstLineChars="200"/>
              <w:rPr>
                <w:rFonts w:ascii="宋体"/>
                <w:color w:val="auto"/>
                <w:kern w:val="0"/>
                <w:sz w:val="20"/>
                <w:szCs w:val="22"/>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right w:val="single" w:color="auto" w:sz="4" w:space="0"/>
            </w:tcBorders>
            <w:vAlign w:val="center"/>
          </w:tcPr>
          <w:p>
            <w:pPr>
              <w:widowControl/>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lang w:val="en-US" w:eastAsia="zh-CN"/>
              </w:rPr>
              <w:t>5</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color w:val="000000" w:themeColor="text1"/>
                <w:kern w:val="0"/>
                <w:sz w:val="20"/>
                <w:szCs w:val="22"/>
                <w:lang w:val="en-US" w:eastAsia="zh-CN"/>
              </w:rPr>
            </w:pPr>
            <w:r>
              <w:rPr>
                <w:rFonts w:hint="eastAsia" w:ascii="宋体" w:hAnsi="宋体"/>
                <w:color w:val="000000" w:themeColor="text1"/>
                <w:kern w:val="0"/>
                <w:sz w:val="20"/>
                <w:szCs w:val="22"/>
                <w:lang w:val="en-US" w:eastAsia="zh-CN"/>
              </w:rPr>
              <w:t>新建云平台须支持一期安全大数据平台所包含云盾混合云，实现统一安全管控，确保云平台安全得到保障。</w:t>
            </w:r>
            <w:r>
              <w:rPr>
                <w:rFonts w:hint="eastAsia" w:ascii="宋体" w:hAnsi="宋体"/>
                <w:color w:val="000000" w:themeColor="text1"/>
                <w:kern w:val="0"/>
                <w:sz w:val="20"/>
                <w:szCs w:val="22"/>
              </w:rPr>
              <w:t>根据方案优劣情况打分</w:t>
            </w:r>
            <w:r>
              <w:rPr>
                <w:rFonts w:hint="eastAsia" w:ascii="宋体" w:hAnsi="宋体"/>
                <w:color w:val="000000" w:themeColor="text1"/>
                <w:kern w:val="0"/>
                <w:sz w:val="20"/>
                <w:szCs w:val="22"/>
                <w:lang w:val="en-US" w:eastAsia="zh-CN"/>
              </w:rPr>
              <w:t>满分5</w:t>
            </w:r>
            <w:r>
              <w:rPr>
                <w:rFonts w:hint="eastAsia" w:ascii="宋体" w:hAnsi="宋体"/>
                <w:color w:val="000000" w:themeColor="text1"/>
                <w:kern w:val="0"/>
                <w:sz w:val="20"/>
                <w:szCs w:val="22"/>
              </w:rPr>
              <w:t>分。</w:t>
            </w:r>
          </w:p>
          <w:p>
            <w:pPr>
              <w:widowControl/>
              <w:ind w:firstLine="400" w:firstLineChars="200"/>
              <w:rPr>
                <w:rFonts w:ascii="宋体"/>
                <w:color w:val="000000" w:themeColor="text1"/>
                <w:kern w:val="0"/>
                <w:sz w:val="20"/>
                <w:szCs w:val="22"/>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rPr>
            </w:pPr>
          </w:p>
        </w:tc>
        <w:tc>
          <w:tcPr>
            <w:tcW w:w="1224"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kern w:val="0"/>
                <w:sz w:val="20"/>
                <w:lang w:val="en-US" w:eastAsia="zh-CN"/>
              </w:rPr>
            </w:pPr>
            <w:r>
              <w:rPr>
                <w:rFonts w:hint="eastAsia" w:ascii="宋体" w:hAnsi="宋体"/>
                <w:kern w:val="0"/>
                <w:sz w:val="20"/>
                <w:lang w:val="en-US" w:eastAsia="zh-CN"/>
              </w:rPr>
              <w:t>3分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color w:val="000000" w:themeColor="text1"/>
                <w:kern w:val="0"/>
                <w:sz w:val="20"/>
                <w:szCs w:val="22"/>
              </w:rPr>
            </w:pPr>
            <w:r>
              <w:rPr>
                <w:rFonts w:hint="eastAsia" w:ascii="宋体" w:hAnsi="宋体"/>
                <w:color w:val="000000" w:themeColor="text1"/>
                <w:kern w:val="0"/>
                <w:sz w:val="20"/>
                <w:szCs w:val="22"/>
                <w:lang w:val="en-US" w:eastAsia="zh-CN"/>
              </w:rPr>
              <w:t>需要和一期云平台使用同一套管控平台，在管控平台上形成两个不同的管理域，方便统一运维管理，满分3</w:t>
            </w:r>
            <w:r>
              <w:rPr>
                <w:rFonts w:hint="eastAsia" w:ascii="宋体" w:hAnsi="宋体"/>
                <w:color w:val="000000" w:themeColor="text1"/>
                <w:kern w:val="0"/>
                <w:sz w:val="20"/>
                <w:szCs w:val="22"/>
              </w:rPr>
              <w:t>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4</w:t>
            </w:r>
          </w:p>
        </w:tc>
        <w:tc>
          <w:tcPr>
            <w:tcW w:w="1224" w:type="dxa"/>
            <w:tcBorders>
              <w:top w:val="single" w:color="auto" w:sz="4" w:space="0"/>
              <w:left w:val="single" w:color="auto" w:sz="4" w:space="0"/>
              <w:bottom w:val="single" w:color="auto" w:sz="4" w:space="0"/>
              <w:right w:val="single" w:color="auto" w:sz="4" w:space="0"/>
            </w:tcBorders>
            <w:vAlign w:val="center"/>
          </w:tcPr>
          <w:p>
            <w:pPr>
              <w:pStyle w:val="489"/>
              <w:spacing w:before="0" w:after="0" w:line="240" w:lineRule="auto"/>
              <w:ind w:firstLine="0"/>
              <w:jc w:val="center"/>
              <w:rPr>
                <w:rFonts w:ascii="宋体" w:cs="宋体"/>
                <w:sz w:val="20"/>
              </w:rPr>
            </w:pPr>
            <w:r>
              <w:rPr>
                <w:rFonts w:hint="eastAsia" w:ascii="宋体" w:hAnsi="宋体" w:cs="宋体"/>
                <w:sz w:val="20"/>
              </w:rPr>
              <w:t>设备选型及性能指标</w:t>
            </w:r>
          </w:p>
          <w:p>
            <w:pPr>
              <w:pStyle w:val="489"/>
              <w:spacing w:before="0" w:after="0" w:line="240" w:lineRule="auto"/>
              <w:ind w:firstLine="0"/>
              <w:jc w:val="center"/>
              <w:rPr>
                <w:rFonts w:ascii="宋体" w:cs="宋体"/>
                <w:kern w:val="0"/>
                <w:sz w:val="20"/>
              </w:rPr>
            </w:pPr>
            <w:r>
              <w:rPr>
                <w:rFonts w:hint="eastAsia" w:ascii="宋体" w:hAnsi="宋体" w:cs="宋体"/>
                <w:kern w:val="0"/>
                <w:sz w:val="20"/>
              </w:rPr>
              <w:t>（</w:t>
            </w:r>
            <w:r>
              <w:rPr>
                <w:rFonts w:hint="eastAsia" w:ascii="宋体" w:hAnsi="宋体" w:cs="宋体"/>
                <w:kern w:val="0"/>
                <w:sz w:val="20"/>
                <w:lang w:val="en-US" w:eastAsia="zh-CN"/>
              </w:rPr>
              <w:t>4</w:t>
            </w:r>
            <w:r>
              <w:rPr>
                <w:rFonts w:hint="eastAsia" w:ascii="宋体" w:hAnsi="宋体" w:cs="宋体"/>
                <w:kern w:val="0"/>
                <w:sz w:val="20"/>
              </w:rPr>
              <w:t>分）</w:t>
            </w:r>
          </w:p>
        </w:tc>
        <w:tc>
          <w:tcPr>
            <w:tcW w:w="846" w:type="dxa"/>
            <w:tcBorders>
              <w:top w:val="single" w:color="auto" w:sz="4" w:space="0"/>
              <w:left w:val="nil"/>
              <w:bottom w:val="single" w:color="auto" w:sz="4" w:space="0"/>
              <w:right w:val="single" w:color="auto" w:sz="4" w:space="0"/>
            </w:tcBorders>
            <w:vAlign w:val="center"/>
          </w:tcPr>
          <w:p>
            <w:pPr>
              <w:pStyle w:val="489"/>
              <w:spacing w:before="0" w:after="0" w:line="240" w:lineRule="auto"/>
              <w:ind w:firstLine="120"/>
              <w:jc w:val="center"/>
              <w:rPr>
                <w:rFonts w:ascii="宋体" w:cs="宋体"/>
                <w:kern w:val="0"/>
                <w:sz w:val="20"/>
              </w:rPr>
            </w:pPr>
            <w:r>
              <w:rPr>
                <w:rFonts w:hint="eastAsia" w:ascii="宋体" w:hAnsi="宋体" w:cs="宋体"/>
                <w:sz w:val="20"/>
                <w:lang w:val="en-US" w:eastAsia="zh-CN"/>
              </w:rPr>
              <w:t>4</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color w:val="000000" w:themeColor="text1"/>
                <w:kern w:val="0"/>
                <w:sz w:val="20"/>
                <w:szCs w:val="22"/>
              </w:rPr>
            </w:pPr>
            <w:r>
              <w:rPr>
                <w:rFonts w:hint="eastAsia" w:ascii="宋体" w:hAnsi="宋体"/>
                <w:color w:val="000000" w:themeColor="text1"/>
                <w:kern w:val="0"/>
                <w:sz w:val="20"/>
                <w:szCs w:val="22"/>
              </w:rPr>
              <w:t>根据所投产品设备选型打分，</w:t>
            </w:r>
            <w:r>
              <w:rPr>
                <w:rFonts w:hint="eastAsia" w:ascii="宋体" w:hAnsi="宋体"/>
                <w:color w:val="000000" w:themeColor="text1"/>
                <w:kern w:val="0"/>
                <w:sz w:val="20"/>
                <w:szCs w:val="22"/>
                <w:lang w:val="en-US" w:eastAsia="zh-CN"/>
              </w:rPr>
              <w:t>高于</w:t>
            </w:r>
            <w:r>
              <w:rPr>
                <w:rFonts w:hint="eastAsia" w:ascii="宋体" w:hAnsi="宋体"/>
                <w:color w:val="000000" w:themeColor="text1"/>
                <w:kern w:val="0"/>
                <w:sz w:val="20"/>
                <w:szCs w:val="22"/>
              </w:rPr>
              <w:t>招标文件要求得</w:t>
            </w:r>
            <w:r>
              <w:rPr>
                <w:rFonts w:hint="eastAsia" w:ascii="宋体" w:hAnsi="宋体"/>
                <w:color w:val="000000" w:themeColor="text1"/>
                <w:kern w:val="0"/>
                <w:sz w:val="20"/>
                <w:szCs w:val="22"/>
                <w:lang w:val="en-US" w:eastAsia="zh-CN"/>
              </w:rPr>
              <w:t>3-4</w:t>
            </w:r>
            <w:r>
              <w:rPr>
                <w:rFonts w:hint="eastAsia" w:ascii="宋体" w:hAnsi="宋体"/>
                <w:color w:val="000000" w:themeColor="text1"/>
                <w:kern w:val="0"/>
                <w:sz w:val="20"/>
                <w:szCs w:val="22"/>
              </w:rPr>
              <w:t>分，完全符合</w:t>
            </w:r>
            <w:r>
              <w:rPr>
                <w:rFonts w:hint="eastAsia" w:ascii="宋体" w:hAnsi="宋体"/>
                <w:color w:val="000000" w:themeColor="text1"/>
                <w:kern w:val="0"/>
                <w:sz w:val="20"/>
                <w:szCs w:val="22"/>
                <w:lang w:val="en-US" w:eastAsia="zh-CN"/>
              </w:rPr>
              <w:t>招标文件要求的得2分，低于</w:t>
            </w:r>
            <w:r>
              <w:rPr>
                <w:rFonts w:hint="eastAsia" w:ascii="宋体" w:hAnsi="宋体"/>
                <w:color w:val="000000" w:themeColor="text1"/>
                <w:kern w:val="0"/>
                <w:sz w:val="20"/>
                <w:szCs w:val="22"/>
              </w:rPr>
              <w:t>要求不得分。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lang w:val="en-US" w:eastAsia="zh-CN"/>
              </w:rPr>
            </w:pPr>
            <w:r>
              <w:rPr>
                <w:rFonts w:hint="eastAsia" w:ascii="宋体" w:hAnsi="宋体" w:cs="宋体"/>
                <w:kern w:val="0"/>
                <w:sz w:val="20"/>
                <w:lang w:val="en-US" w:eastAsia="zh-CN"/>
              </w:rPr>
              <w:t>5</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sz w:val="20"/>
                <w:szCs w:val="22"/>
              </w:rPr>
            </w:pPr>
            <w:r>
              <w:rPr>
                <w:rFonts w:hint="eastAsia" w:ascii="宋体" w:hAnsi="宋体"/>
                <w:kern w:val="0"/>
                <w:sz w:val="20"/>
                <w:szCs w:val="22"/>
              </w:rPr>
              <w:t>售后服务体系及服务情况</w:t>
            </w:r>
          </w:p>
          <w:p>
            <w:pPr>
              <w:widowControl/>
              <w:rPr>
                <w:rFonts w:ascii="宋体"/>
                <w:kern w:val="0"/>
                <w:sz w:val="20"/>
                <w:szCs w:val="22"/>
              </w:rPr>
            </w:pPr>
            <w:r>
              <w:rPr>
                <w:rFonts w:hint="eastAsia" w:ascii="宋体" w:hAnsi="宋体"/>
                <w:kern w:val="0"/>
                <w:sz w:val="20"/>
                <w:szCs w:val="22"/>
              </w:rPr>
              <w:t>（</w:t>
            </w:r>
            <w:r>
              <w:rPr>
                <w:rFonts w:ascii="宋体" w:hAnsi="宋体"/>
                <w:kern w:val="0"/>
                <w:sz w:val="20"/>
                <w:szCs w:val="22"/>
              </w:rPr>
              <w:t>8</w:t>
            </w:r>
            <w:r>
              <w:rPr>
                <w:rFonts w:hint="eastAsia" w:ascii="宋体" w:hAnsi="宋体"/>
                <w:kern w:val="0"/>
                <w:sz w:val="20"/>
                <w:szCs w:val="22"/>
              </w:rPr>
              <w:t>分）</w:t>
            </w:r>
          </w:p>
        </w:tc>
        <w:tc>
          <w:tcPr>
            <w:tcW w:w="846"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szCs w:val="22"/>
              </w:rPr>
            </w:pPr>
            <w:r>
              <w:rPr>
                <w:rFonts w:ascii="宋体" w:hAnsi="宋体"/>
                <w:kern w:val="0"/>
                <w:sz w:val="20"/>
                <w:szCs w:val="22"/>
              </w:rPr>
              <w:t>8</w:t>
            </w:r>
            <w:r>
              <w:rPr>
                <w:rFonts w:hint="eastAsia" w:ascii="宋体" w:hAnsi="宋体"/>
                <w:kern w:val="0"/>
                <w:sz w:val="20"/>
                <w:szCs w:val="22"/>
              </w:rPr>
              <w:t>分</w:t>
            </w:r>
          </w:p>
        </w:tc>
        <w:tc>
          <w:tcPr>
            <w:tcW w:w="5019" w:type="dxa"/>
            <w:tcBorders>
              <w:top w:val="single" w:color="auto" w:sz="4" w:space="0"/>
              <w:left w:val="single" w:color="auto" w:sz="4" w:space="0"/>
              <w:bottom w:val="single" w:color="auto" w:sz="4" w:space="0"/>
              <w:right w:val="single" w:color="auto" w:sz="4" w:space="0"/>
            </w:tcBorders>
          </w:tcPr>
          <w:p>
            <w:pPr>
              <w:widowControl/>
              <w:ind w:firstLine="400" w:firstLineChars="200"/>
              <w:rPr>
                <w:rFonts w:ascii="宋体"/>
                <w:kern w:val="0"/>
                <w:sz w:val="20"/>
                <w:szCs w:val="22"/>
              </w:rPr>
            </w:pPr>
            <w:r>
              <w:rPr>
                <w:rFonts w:hint="eastAsia" w:ascii="宋体" w:hAnsi="宋体"/>
                <w:kern w:val="0"/>
                <w:sz w:val="20"/>
                <w:szCs w:val="22"/>
                <w:lang w:val="en-US" w:eastAsia="zh-CN"/>
              </w:rPr>
              <w:t>具有完善的售后服务体系，</w:t>
            </w:r>
            <w:r>
              <w:rPr>
                <w:rFonts w:hint="eastAsia" w:ascii="宋体" w:hAnsi="宋体"/>
                <w:kern w:val="0"/>
                <w:sz w:val="20"/>
                <w:szCs w:val="22"/>
              </w:rPr>
              <w:t>提供</w:t>
            </w:r>
            <w:r>
              <w:rPr>
                <w:rFonts w:hint="eastAsia" w:ascii="宋体" w:hAnsi="宋体"/>
                <w:kern w:val="0"/>
                <w:sz w:val="20"/>
                <w:szCs w:val="22"/>
                <w:lang w:val="en-US" w:eastAsia="zh-CN"/>
              </w:rPr>
              <w:t>平台软硬件</w:t>
            </w:r>
            <w:r>
              <w:rPr>
                <w:rFonts w:hint="eastAsia" w:ascii="宋体" w:hAnsi="宋体"/>
                <w:kern w:val="0"/>
                <w:sz w:val="20"/>
                <w:szCs w:val="22"/>
              </w:rPr>
              <w:t>本地化</w:t>
            </w:r>
            <w:r>
              <w:rPr>
                <w:rFonts w:hint="eastAsia" w:ascii="宋体" w:hAnsi="宋体"/>
                <w:kern w:val="0"/>
                <w:sz w:val="20"/>
                <w:szCs w:val="22"/>
                <w:lang w:val="en-US" w:eastAsia="zh-CN"/>
              </w:rPr>
              <w:t>原厂</w:t>
            </w:r>
            <w:r>
              <w:rPr>
                <w:rFonts w:hint="eastAsia" w:ascii="宋体" w:hAnsi="宋体"/>
                <w:kern w:val="0"/>
                <w:sz w:val="20"/>
                <w:szCs w:val="22"/>
              </w:rPr>
              <w:t>售后服务，免费提供验收后驻场服务</w:t>
            </w:r>
            <w:r>
              <w:rPr>
                <w:rFonts w:hint="eastAsia" w:ascii="宋体" w:hAnsi="宋体"/>
                <w:kern w:val="0"/>
                <w:sz w:val="20"/>
                <w:szCs w:val="22"/>
                <w:lang w:val="en-US" w:eastAsia="zh-CN"/>
              </w:rPr>
              <w:t>3</w:t>
            </w:r>
            <w:r>
              <w:rPr>
                <w:rFonts w:hint="eastAsia" w:ascii="宋体" w:hAnsi="宋体"/>
                <w:kern w:val="0"/>
                <w:sz w:val="20"/>
                <w:szCs w:val="22"/>
              </w:rPr>
              <w:t>年（按国家法定作息时间），</w:t>
            </w:r>
            <w:r>
              <w:rPr>
                <w:rFonts w:hint="eastAsia" w:ascii="宋体" w:hAnsi="宋体"/>
                <w:kern w:val="0"/>
                <w:sz w:val="20"/>
                <w:szCs w:val="22"/>
                <w:lang w:val="en-US" w:eastAsia="zh-CN"/>
              </w:rPr>
              <w:t>软硬件</w:t>
            </w:r>
            <w:r>
              <w:rPr>
                <w:rFonts w:hint="eastAsia" w:ascii="宋体" w:hAnsi="宋体"/>
                <w:kern w:val="0"/>
                <w:sz w:val="20"/>
                <w:szCs w:val="22"/>
              </w:rPr>
              <w:t>驻场人员人数</w:t>
            </w:r>
            <w:r>
              <w:rPr>
                <w:rFonts w:hint="eastAsia" w:ascii="宋体" w:hAnsi="宋体"/>
                <w:kern w:val="0"/>
                <w:sz w:val="20"/>
                <w:szCs w:val="22"/>
                <w:lang w:val="en-US" w:eastAsia="zh-CN"/>
              </w:rPr>
              <w:t>各1</w:t>
            </w:r>
            <w:r>
              <w:rPr>
                <w:rFonts w:hint="eastAsia" w:ascii="宋体" w:hAnsi="宋体"/>
                <w:kern w:val="0"/>
                <w:sz w:val="20"/>
                <w:szCs w:val="22"/>
              </w:rPr>
              <w:t>人，须经</w:t>
            </w:r>
            <w:r>
              <w:rPr>
                <w:rFonts w:hint="eastAsia" w:ascii="宋体" w:hAnsi="宋体"/>
                <w:kern w:val="0"/>
                <w:sz w:val="20"/>
                <w:szCs w:val="22"/>
                <w:lang w:val="en-US" w:eastAsia="zh-CN"/>
              </w:rPr>
              <w:t>招标方</w:t>
            </w:r>
            <w:r>
              <w:rPr>
                <w:rFonts w:hint="eastAsia" w:ascii="宋体" w:hAnsi="宋体"/>
                <w:kern w:val="0"/>
                <w:sz w:val="20"/>
                <w:szCs w:val="22"/>
              </w:rPr>
              <w:t>试用考核合格后方可录用，</w:t>
            </w:r>
            <w:r>
              <w:rPr>
                <w:rFonts w:hint="eastAsia" w:ascii="宋体" w:hAnsi="宋体"/>
                <w:kern w:val="0"/>
                <w:sz w:val="20"/>
                <w:szCs w:val="22"/>
                <w:lang w:val="en-US" w:eastAsia="zh-CN"/>
              </w:rPr>
              <w:t>同时</w:t>
            </w:r>
            <w:r>
              <w:rPr>
                <w:rFonts w:hint="eastAsia" w:ascii="宋体" w:hAnsi="宋体"/>
                <w:kern w:val="0"/>
                <w:sz w:val="20"/>
                <w:szCs w:val="22"/>
              </w:rPr>
              <w:t>提供</w:t>
            </w:r>
            <w:r>
              <w:rPr>
                <w:rFonts w:ascii="宋体" w:hAnsi="宋体"/>
                <w:kern w:val="0"/>
                <w:sz w:val="20"/>
                <w:szCs w:val="22"/>
              </w:rPr>
              <w:t>7*24</w:t>
            </w:r>
            <w:r>
              <w:rPr>
                <w:rFonts w:hint="eastAsia" w:ascii="宋体" w:hAnsi="宋体"/>
                <w:kern w:val="0"/>
                <w:sz w:val="20"/>
                <w:szCs w:val="22"/>
              </w:rPr>
              <w:t>小时远程服务（电话响应时限小于</w:t>
            </w:r>
            <w:r>
              <w:rPr>
                <w:rFonts w:ascii="宋体" w:hAnsi="宋体"/>
                <w:kern w:val="0"/>
                <w:sz w:val="20"/>
                <w:szCs w:val="22"/>
              </w:rPr>
              <w:t>30</w:t>
            </w:r>
            <w:r>
              <w:rPr>
                <w:rFonts w:hint="eastAsia" w:ascii="宋体" w:hAnsi="宋体"/>
                <w:kern w:val="0"/>
                <w:sz w:val="20"/>
                <w:szCs w:val="22"/>
              </w:rPr>
              <w:t>分钟）。到场时间要求（驻场人员到场时间小于</w:t>
            </w:r>
            <w:r>
              <w:rPr>
                <w:rFonts w:ascii="宋体" w:hAnsi="宋体"/>
                <w:kern w:val="0"/>
                <w:sz w:val="20"/>
                <w:szCs w:val="22"/>
              </w:rPr>
              <w:t>30</w:t>
            </w:r>
            <w:r>
              <w:rPr>
                <w:rFonts w:hint="eastAsia" w:ascii="宋体" w:hAnsi="宋体"/>
                <w:kern w:val="0"/>
                <w:sz w:val="20"/>
                <w:szCs w:val="22"/>
              </w:rPr>
              <w:t>分钟，异地小于</w:t>
            </w:r>
            <w:r>
              <w:rPr>
                <w:rFonts w:ascii="宋体" w:hAnsi="宋体"/>
                <w:kern w:val="0"/>
                <w:sz w:val="20"/>
                <w:szCs w:val="22"/>
              </w:rPr>
              <w:t>6</w:t>
            </w:r>
            <w:r>
              <w:rPr>
                <w:rFonts w:hint="eastAsia" w:ascii="宋体" w:hAnsi="宋体"/>
                <w:kern w:val="0"/>
                <w:sz w:val="20"/>
                <w:szCs w:val="22"/>
              </w:rPr>
              <w:t>小时），故障解决时间（根据级别先恢复，然后解决故障，小于</w:t>
            </w:r>
            <w:r>
              <w:rPr>
                <w:rFonts w:ascii="宋体" w:hAnsi="宋体"/>
                <w:kern w:val="0"/>
                <w:sz w:val="20"/>
                <w:szCs w:val="22"/>
              </w:rPr>
              <w:t>1</w:t>
            </w:r>
            <w:r>
              <w:rPr>
                <w:rFonts w:hint="eastAsia" w:ascii="宋体" w:hAnsi="宋体"/>
                <w:kern w:val="0"/>
                <w:sz w:val="20"/>
                <w:szCs w:val="22"/>
              </w:rPr>
              <w:t>小时）、备品备件基本情况（关键备品备件包括但不限于服务器、硬盘、交换机及光模块等）、提供故障报修平台</w:t>
            </w:r>
            <w:r>
              <w:rPr>
                <w:rFonts w:hint="eastAsia" w:ascii="宋体" w:hAnsi="宋体"/>
                <w:kern w:val="0"/>
                <w:sz w:val="20"/>
                <w:szCs w:val="22"/>
                <w:lang w:eastAsia="zh-CN"/>
              </w:rPr>
              <w:t>；</w:t>
            </w:r>
            <w:r>
              <w:rPr>
                <w:rFonts w:hint="eastAsia" w:ascii="宋体" w:hAnsi="宋体"/>
                <w:kern w:val="0"/>
                <w:sz w:val="20"/>
                <w:szCs w:val="22"/>
              </w:rPr>
              <w:t>提供</w:t>
            </w:r>
            <w:r>
              <w:rPr>
                <w:rFonts w:ascii="宋体" w:hAnsi="宋体"/>
                <w:kern w:val="0"/>
                <w:sz w:val="20"/>
                <w:szCs w:val="22"/>
              </w:rPr>
              <w:t>3</w:t>
            </w:r>
            <w:r>
              <w:rPr>
                <w:rFonts w:hint="eastAsia" w:ascii="宋体" w:hAnsi="宋体"/>
                <w:kern w:val="0"/>
                <w:sz w:val="20"/>
                <w:szCs w:val="22"/>
              </w:rPr>
              <w:t>年硬件免费质保及软件免费升级。</w:t>
            </w:r>
          </w:p>
          <w:p>
            <w:pPr>
              <w:widowControl/>
              <w:ind w:firstLine="400" w:firstLineChars="200"/>
              <w:rPr>
                <w:rFonts w:hint="eastAsia" w:ascii="宋体" w:hAnsi="宋体"/>
                <w:kern w:val="0"/>
                <w:sz w:val="20"/>
                <w:szCs w:val="22"/>
              </w:rPr>
            </w:pPr>
            <w:r>
              <w:rPr>
                <w:rFonts w:hint="eastAsia" w:ascii="宋体" w:hAnsi="宋体"/>
                <w:kern w:val="0"/>
                <w:sz w:val="20"/>
                <w:szCs w:val="22"/>
              </w:rPr>
              <w:t>满足以上要求得</w:t>
            </w:r>
            <w:r>
              <w:rPr>
                <w:rFonts w:hint="eastAsia" w:ascii="宋体" w:hAnsi="宋体"/>
                <w:kern w:val="0"/>
                <w:sz w:val="20"/>
                <w:szCs w:val="22"/>
                <w:lang w:val="en-US" w:eastAsia="zh-CN"/>
              </w:rPr>
              <w:t>6</w:t>
            </w:r>
            <w:r>
              <w:rPr>
                <w:rFonts w:hint="eastAsia" w:ascii="宋体" w:hAnsi="宋体"/>
                <w:kern w:val="0"/>
                <w:sz w:val="20"/>
                <w:szCs w:val="22"/>
              </w:rPr>
              <w:t>分，每延长</w:t>
            </w:r>
            <w:r>
              <w:rPr>
                <w:rFonts w:ascii="宋体" w:hAnsi="宋体"/>
                <w:kern w:val="0"/>
                <w:sz w:val="20"/>
                <w:szCs w:val="22"/>
              </w:rPr>
              <w:t>1</w:t>
            </w:r>
            <w:r>
              <w:rPr>
                <w:rFonts w:hint="eastAsia" w:ascii="宋体" w:hAnsi="宋体"/>
                <w:kern w:val="0"/>
                <w:sz w:val="20"/>
                <w:szCs w:val="22"/>
              </w:rPr>
              <w:t>年加</w:t>
            </w:r>
            <w:r>
              <w:rPr>
                <w:rFonts w:ascii="宋体" w:hAnsi="宋体"/>
                <w:kern w:val="0"/>
                <w:sz w:val="20"/>
                <w:szCs w:val="22"/>
              </w:rPr>
              <w:t>1</w:t>
            </w:r>
            <w:r>
              <w:rPr>
                <w:rFonts w:hint="eastAsia" w:ascii="宋体" w:hAnsi="宋体"/>
                <w:kern w:val="0"/>
                <w:sz w:val="20"/>
                <w:szCs w:val="22"/>
              </w:rPr>
              <w:t>分，满分</w:t>
            </w:r>
            <w:r>
              <w:rPr>
                <w:rFonts w:ascii="宋体" w:hAnsi="宋体"/>
                <w:kern w:val="0"/>
                <w:sz w:val="20"/>
                <w:szCs w:val="22"/>
              </w:rPr>
              <w:t>8</w:t>
            </w:r>
            <w:r>
              <w:rPr>
                <w:rFonts w:hint="eastAsia" w:ascii="宋体" w:hAnsi="宋体"/>
                <w:kern w:val="0"/>
                <w:sz w:val="20"/>
                <w:szCs w:val="22"/>
              </w:rPr>
              <w:t>分。</w:t>
            </w:r>
          </w:p>
          <w:p>
            <w:pPr>
              <w:widowControl/>
              <w:ind w:firstLine="400" w:firstLineChars="200"/>
              <w:rPr>
                <w:rFonts w:hint="eastAsia" w:ascii="宋体" w:hAnsi="宋体"/>
                <w:kern w:val="0"/>
                <w:sz w:val="20"/>
                <w:szCs w:val="22"/>
              </w:rPr>
            </w:pPr>
            <w:r>
              <w:rPr>
                <w:rFonts w:hint="eastAsia" w:ascii="宋体" w:hAnsi="宋体"/>
                <w:kern w:val="0"/>
                <w:sz w:val="20"/>
                <w:szCs w:val="22"/>
              </w:rPr>
              <w:t>此项投标方须出具承诺书并加盖公章（不提供不得分）。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75" w:hRule="atLeast"/>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lang w:val="en-US" w:eastAsia="zh-CN"/>
              </w:rPr>
            </w:pPr>
            <w:r>
              <w:rPr>
                <w:rFonts w:hint="eastAsia" w:ascii="宋体" w:hAnsi="宋体" w:cs="宋体"/>
                <w:kern w:val="0"/>
                <w:sz w:val="20"/>
                <w:lang w:val="en-US" w:eastAsia="zh-CN"/>
              </w:rPr>
              <w:t>6</w:t>
            </w:r>
          </w:p>
        </w:tc>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0"/>
              </w:rPr>
            </w:pPr>
            <w:r>
              <w:rPr>
                <w:rFonts w:hint="eastAsia" w:ascii="宋体" w:hAnsi="宋体" w:cs="宋体"/>
                <w:sz w:val="20"/>
              </w:rPr>
              <w:t>培训计划</w:t>
            </w:r>
          </w:p>
          <w:p>
            <w:pPr>
              <w:spacing w:line="360" w:lineRule="exact"/>
              <w:jc w:val="center"/>
              <w:rPr>
                <w:rFonts w:ascii="宋体" w:cs="宋体"/>
                <w:sz w:val="20"/>
              </w:rPr>
            </w:pPr>
            <w:r>
              <w:rPr>
                <w:rFonts w:hint="eastAsia" w:ascii="宋体" w:hAnsi="宋体" w:cs="宋体"/>
                <w:kern w:val="0"/>
                <w:sz w:val="20"/>
              </w:rPr>
              <w:t>（</w:t>
            </w:r>
            <w:r>
              <w:rPr>
                <w:rFonts w:hint="eastAsia" w:ascii="宋体" w:hAnsi="宋体" w:cs="宋体"/>
                <w:kern w:val="0"/>
                <w:sz w:val="20"/>
                <w:lang w:val="en-US" w:eastAsia="zh-CN"/>
              </w:rPr>
              <w:t>4</w:t>
            </w:r>
            <w:r>
              <w:rPr>
                <w:rFonts w:hint="eastAsia" w:ascii="宋体" w:hAnsi="宋体" w:cs="宋体"/>
                <w:kern w:val="0"/>
                <w:sz w:val="20"/>
              </w:rPr>
              <w:t>分）</w:t>
            </w:r>
          </w:p>
        </w:tc>
        <w:tc>
          <w:tcPr>
            <w:tcW w:w="846" w:type="dxa"/>
            <w:tcBorders>
              <w:top w:val="single" w:color="auto" w:sz="4" w:space="0"/>
              <w:left w:val="nil"/>
              <w:bottom w:val="single" w:color="auto" w:sz="4" w:space="0"/>
              <w:right w:val="single" w:color="auto" w:sz="4" w:space="0"/>
            </w:tcBorders>
            <w:vAlign w:val="center"/>
          </w:tcPr>
          <w:p>
            <w:pPr>
              <w:pStyle w:val="489"/>
              <w:spacing w:line="360" w:lineRule="exact"/>
              <w:ind w:firstLine="0"/>
              <w:jc w:val="center"/>
              <w:rPr>
                <w:rFonts w:ascii="宋体" w:cs="宋体"/>
                <w:sz w:val="20"/>
              </w:rPr>
            </w:pPr>
            <w:r>
              <w:rPr>
                <w:rFonts w:hint="eastAsia" w:ascii="宋体" w:hAnsi="宋体"/>
                <w:kern w:val="0"/>
                <w:sz w:val="20"/>
                <w:lang w:val="en-US" w:eastAsia="zh-CN"/>
              </w:rPr>
              <w:t>4</w:t>
            </w:r>
            <w:r>
              <w:rPr>
                <w:rFonts w:hint="eastAsia" w:ascii="宋体" w:hAnsi="宋体"/>
                <w:kern w:val="0"/>
                <w:sz w:val="20"/>
              </w:rPr>
              <w:t>分</w:t>
            </w:r>
          </w:p>
        </w:tc>
        <w:tc>
          <w:tcPr>
            <w:tcW w:w="5019" w:type="dxa"/>
            <w:tcBorders>
              <w:top w:val="single" w:color="auto" w:sz="4" w:space="0"/>
              <w:left w:val="single" w:color="auto" w:sz="4" w:space="0"/>
              <w:bottom w:val="single" w:color="auto" w:sz="4" w:space="0"/>
              <w:right w:val="single" w:color="auto" w:sz="4" w:space="0"/>
            </w:tcBorders>
          </w:tcPr>
          <w:p>
            <w:pPr>
              <w:widowControl/>
              <w:ind w:firstLine="400" w:firstLineChars="200"/>
              <w:rPr>
                <w:rFonts w:ascii="宋体"/>
                <w:kern w:val="0"/>
                <w:sz w:val="20"/>
                <w:szCs w:val="22"/>
              </w:rPr>
            </w:pPr>
            <w:r>
              <w:rPr>
                <w:rFonts w:hint="eastAsia" w:ascii="宋体" w:hAnsi="宋体"/>
                <w:kern w:val="0"/>
                <w:sz w:val="20"/>
                <w:szCs w:val="22"/>
              </w:rPr>
              <w:t>提供项目建设、运行维护、管理等培训方案。需要对最终用户及系统管理人员对每项成果进行培训。</w:t>
            </w:r>
          </w:p>
          <w:p>
            <w:pPr>
              <w:widowControl/>
              <w:ind w:firstLine="400" w:firstLineChars="200"/>
              <w:rPr>
                <w:rFonts w:ascii="宋体"/>
                <w:kern w:val="0"/>
                <w:sz w:val="20"/>
                <w:szCs w:val="22"/>
              </w:rPr>
            </w:pPr>
            <w:r>
              <w:rPr>
                <w:rFonts w:hint="eastAsia" w:ascii="宋体" w:hAnsi="宋体"/>
                <w:kern w:val="0"/>
                <w:sz w:val="20"/>
                <w:szCs w:val="22"/>
              </w:rPr>
              <w:t>需免费提供云平台培训及课程清单，并提供</w:t>
            </w:r>
            <w:r>
              <w:rPr>
                <w:rFonts w:ascii="宋体" w:hAnsi="宋体"/>
                <w:kern w:val="0"/>
                <w:sz w:val="20"/>
                <w:szCs w:val="22"/>
              </w:rPr>
              <w:t>4</w:t>
            </w:r>
            <w:r>
              <w:rPr>
                <w:rFonts w:hint="eastAsia" w:ascii="宋体" w:hAnsi="宋体"/>
                <w:kern w:val="0"/>
                <w:sz w:val="20"/>
                <w:szCs w:val="22"/>
              </w:rPr>
              <w:t>个原厂认证免费考试名额。</w:t>
            </w:r>
          </w:p>
          <w:p>
            <w:pPr>
              <w:widowControl/>
              <w:ind w:firstLine="400" w:firstLineChars="200"/>
              <w:rPr>
                <w:rFonts w:ascii="宋体"/>
                <w:kern w:val="0"/>
                <w:sz w:val="20"/>
                <w:szCs w:val="22"/>
              </w:rPr>
            </w:pPr>
            <w:r>
              <w:rPr>
                <w:rFonts w:hint="eastAsia" w:ascii="宋体" w:hAnsi="宋体"/>
                <w:kern w:val="0"/>
                <w:sz w:val="20"/>
                <w:szCs w:val="22"/>
              </w:rPr>
              <w:t>需免费提供硬件产品培训及课程清单，并提供</w:t>
            </w:r>
            <w:r>
              <w:rPr>
                <w:rFonts w:ascii="宋体" w:hAnsi="宋体"/>
                <w:kern w:val="0"/>
                <w:sz w:val="20"/>
                <w:szCs w:val="22"/>
              </w:rPr>
              <w:t>2</w:t>
            </w:r>
            <w:r>
              <w:rPr>
                <w:rFonts w:hint="eastAsia" w:ascii="宋体" w:hAnsi="宋体"/>
                <w:kern w:val="0"/>
                <w:sz w:val="20"/>
                <w:szCs w:val="22"/>
              </w:rPr>
              <w:t>个原厂认证免费考试名额。</w:t>
            </w:r>
          </w:p>
          <w:p>
            <w:pPr>
              <w:widowControl/>
              <w:ind w:firstLine="400" w:firstLineChars="200"/>
              <w:rPr>
                <w:rFonts w:ascii="宋体"/>
                <w:kern w:val="0"/>
                <w:sz w:val="20"/>
                <w:szCs w:val="22"/>
              </w:rPr>
            </w:pPr>
            <w:r>
              <w:rPr>
                <w:rFonts w:hint="eastAsia" w:ascii="宋体" w:hAnsi="宋体"/>
                <w:kern w:val="0"/>
                <w:sz w:val="20"/>
                <w:szCs w:val="22"/>
              </w:rPr>
              <w:t>根据投标人培训计划、培训内容以及人员时间安排进行综合比较评分，满分</w:t>
            </w:r>
            <w:r>
              <w:rPr>
                <w:rFonts w:hint="eastAsia" w:ascii="宋体" w:hAnsi="宋体"/>
                <w:kern w:val="0"/>
                <w:sz w:val="20"/>
                <w:szCs w:val="22"/>
                <w:lang w:val="en-US" w:eastAsia="zh-CN"/>
              </w:rPr>
              <w:t>4</w:t>
            </w:r>
            <w:r>
              <w:rPr>
                <w:rFonts w:hint="eastAsia" w:ascii="宋体" w:hAnsi="宋体"/>
                <w:kern w:val="0"/>
                <w:sz w:val="20"/>
                <w:szCs w:val="22"/>
              </w:rPr>
              <w:t>分。</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p>
        </w:tc>
      </w:tr>
      <w:tr>
        <w:tblPrEx>
          <w:tblCellMar>
            <w:top w:w="0" w:type="dxa"/>
            <w:left w:w="108" w:type="dxa"/>
            <w:bottom w:w="0" w:type="dxa"/>
            <w:right w:w="108" w:type="dxa"/>
          </w:tblCellMar>
        </w:tblPrEx>
        <w:trPr>
          <w:trHeight w:val="992" w:hRule="atLeast"/>
        </w:trPr>
        <w:tc>
          <w:tcPr>
            <w:tcW w:w="16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rPr>
              <w:t>技术分合计</w:t>
            </w:r>
          </w:p>
        </w:tc>
        <w:tc>
          <w:tcPr>
            <w:tcW w:w="8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rPr>
            </w:pPr>
            <w:r>
              <w:rPr>
                <w:rFonts w:hint="eastAsia" w:ascii="宋体" w:hAnsi="宋体" w:cs="宋体"/>
                <w:kern w:val="0"/>
                <w:sz w:val="20"/>
                <w:lang w:val="en-US" w:eastAsia="zh-CN"/>
              </w:rPr>
              <w:t>55</w:t>
            </w:r>
            <w:r>
              <w:rPr>
                <w:rFonts w:hint="eastAsia" w:ascii="宋体" w:hAnsi="宋体" w:cs="宋体"/>
                <w:kern w:val="0"/>
                <w:sz w:val="20"/>
              </w:rPr>
              <w:t>分</w:t>
            </w:r>
          </w:p>
        </w:tc>
        <w:tc>
          <w:tcPr>
            <w:tcW w:w="50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20"/>
              </w:rPr>
            </w:pPr>
          </w:p>
        </w:tc>
        <w:tc>
          <w:tcPr>
            <w:tcW w:w="161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rPr>
            </w:pPr>
          </w:p>
        </w:tc>
      </w:tr>
    </w:tbl>
    <w:p>
      <w:pPr>
        <w:jc w:val="center"/>
        <w:rPr>
          <w:rFonts w:ascii="宋体"/>
          <w:bCs/>
          <w:sz w:val="20"/>
        </w:rPr>
      </w:pPr>
    </w:p>
    <w:p>
      <w:pPr>
        <w:jc w:val="both"/>
        <w:rPr>
          <w:rFonts w:ascii="宋体"/>
          <w:bCs/>
          <w:sz w:val="20"/>
        </w:rPr>
      </w:pPr>
    </w:p>
    <w:p>
      <w:pPr>
        <w:widowControl/>
        <w:jc w:val="center"/>
        <w:rPr>
          <w:rFonts w:ascii="宋体" w:cs="宋体"/>
          <w:b/>
          <w:bCs/>
          <w:kern w:val="0"/>
          <w:sz w:val="32"/>
          <w:szCs w:val="32"/>
        </w:rPr>
      </w:pPr>
      <w:r>
        <w:rPr>
          <w:rFonts w:hint="eastAsia" w:ascii="宋体" w:hAnsi="宋体" w:cs="宋体"/>
          <w:b/>
          <w:bCs/>
          <w:kern w:val="0"/>
          <w:sz w:val="32"/>
          <w:szCs w:val="32"/>
        </w:rPr>
        <w:t>商务部分</w:t>
      </w:r>
    </w:p>
    <w:p>
      <w:pPr>
        <w:jc w:val="center"/>
        <w:rPr>
          <w:rFonts w:ascii="宋体"/>
          <w:bCs/>
          <w:sz w:val="20"/>
        </w:rPr>
      </w:pPr>
    </w:p>
    <w:tbl>
      <w:tblPr>
        <w:tblStyle w:val="73"/>
        <w:tblW w:w="9118" w:type="dxa"/>
        <w:tblInd w:w="0" w:type="dxa"/>
        <w:tblLayout w:type="fixed"/>
        <w:tblCellMar>
          <w:top w:w="0" w:type="dxa"/>
          <w:left w:w="108" w:type="dxa"/>
          <w:bottom w:w="0" w:type="dxa"/>
          <w:right w:w="108" w:type="dxa"/>
        </w:tblCellMar>
      </w:tblPr>
      <w:tblGrid>
        <w:gridCol w:w="622"/>
        <w:gridCol w:w="1028"/>
        <w:gridCol w:w="828"/>
        <w:gridCol w:w="5028"/>
        <w:gridCol w:w="1612"/>
      </w:tblGrid>
      <w:tr>
        <w:tblPrEx>
          <w:tblCellMar>
            <w:top w:w="0" w:type="dxa"/>
            <w:left w:w="108" w:type="dxa"/>
            <w:bottom w:w="0" w:type="dxa"/>
            <w:right w:w="108" w:type="dxa"/>
          </w:tblCellMar>
        </w:tblPrEx>
        <w:trPr>
          <w:trHeight w:val="300"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0"/>
              </w:rPr>
            </w:pPr>
            <w:r>
              <w:rPr>
                <w:rFonts w:hint="eastAsia" w:ascii="宋体" w:hAnsi="宋体" w:cs="宋体"/>
                <w:b/>
                <w:bCs/>
                <w:kern w:val="0"/>
                <w:sz w:val="20"/>
              </w:rPr>
              <w:t>序号</w:t>
            </w:r>
          </w:p>
        </w:tc>
        <w:tc>
          <w:tcPr>
            <w:tcW w:w="102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rPr>
            </w:pPr>
            <w:r>
              <w:rPr>
                <w:rFonts w:hint="eastAsia" w:ascii="宋体" w:hAnsi="宋体" w:cs="宋体"/>
                <w:b/>
                <w:bCs/>
                <w:kern w:val="0"/>
                <w:sz w:val="20"/>
              </w:rPr>
              <w:t>评分项目</w:t>
            </w:r>
          </w:p>
        </w:tc>
        <w:tc>
          <w:tcPr>
            <w:tcW w:w="82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rPr>
            </w:pPr>
            <w:r>
              <w:rPr>
                <w:rFonts w:hint="eastAsia" w:ascii="宋体" w:hAnsi="宋体" w:cs="宋体"/>
                <w:b/>
                <w:bCs/>
                <w:kern w:val="0"/>
                <w:sz w:val="20"/>
              </w:rPr>
              <w:t>分数</w:t>
            </w:r>
          </w:p>
        </w:tc>
        <w:tc>
          <w:tcPr>
            <w:tcW w:w="50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0"/>
              </w:rPr>
            </w:pPr>
            <w:r>
              <w:rPr>
                <w:rFonts w:hint="eastAsia" w:ascii="宋体" w:hAnsi="宋体" w:cs="宋体"/>
                <w:b/>
                <w:bCs/>
                <w:kern w:val="0"/>
                <w:sz w:val="20"/>
              </w:rPr>
              <w:t>评分标准</w:t>
            </w:r>
          </w:p>
        </w:tc>
        <w:tc>
          <w:tcPr>
            <w:tcW w:w="161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rPr>
            </w:pPr>
            <w:r>
              <w:rPr>
                <w:rFonts w:hint="eastAsia" w:ascii="宋体" w:hAnsi="宋体" w:cs="宋体"/>
                <w:b/>
                <w:bCs/>
                <w:kern w:val="0"/>
                <w:sz w:val="20"/>
              </w:rPr>
              <w:t>备注</w:t>
            </w:r>
          </w:p>
        </w:tc>
      </w:tr>
      <w:tr>
        <w:tblPrEx>
          <w:tblCellMar>
            <w:top w:w="0" w:type="dxa"/>
            <w:left w:w="108" w:type="dxa"/>
            <w:bottom w:w="0" w:type="dxa"/>
            <w:right w:w="108" w:type="dxa"/>
          </w:tblCellMar>
        </w:tblPrEx>
        <w:trPr>
          <w:trHeight w:val="1440" w:hRule="atLeast"/>
        </w:trPr>
        <w:tc>
          <w:tcPr>
            <w:tcW w:w="622"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0"/>
              </w:rPr>
            </w:pPr>
            <w:r>
              <w:rPr>
                <w:rFonts w:ascii="宋体" w:hAnsi="宋体"/>
                <w:kern w:val="0"/>
                <w:sz w:val="20"/>
              </w:rPr>
              <w:t>1</w:t>
            </w:r>
          </w:p>
        </w:tc>
        <w:tc>
          <w:tcPr>
            <w:tcW w:w="1028" w:type="dxa"/>
            <w:tcBorders>
              <w:top w:val="nil"/>
              <w:left w:val="nil"/>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rPr>
              <w:t>最终报价</w:t>
            </w:r>
          </w:p>
          <w:p>
            <w:pPr>
              <w:widowControl/>
              <w:jc w:val="center"/>
              <w:rPr>
                <w:rFonts w:ascii="宋体"/>
                <w:kern w:val="0"/>
                <w:sz w:val="20"/>
              </w:rPr>
            </w:pPr>
            <w:r>
              <w:rPr>
                <w:rFonts w:hint="eastAsia" w:ascii="宋体" w:hAnsi="宋体"/>
                <w:kern w:val="0"/>
                <w:sz w:val="20"/>
              </w:rPr>
              <w:t>（</w:t>
            </w:r>
            <w:r>
              <w:rPr>
                <w:rFonts w:ascii="宋体" w:hAnsi="宋体"/>
                <w:kern w:val="0"/>
                <w:sz w:val="20"/>
              </w:rPr>
              <w:t>35</w:t>
            </w:r>
            <w:r>
              <w:rPr>
                <w:rFonts w:hint="eastAsia" w:ascii="宋体" w:hAnsi="宋体"/>
                <w:kern w:val="0"/>
                <w:sz w:val="20"/>
              </w:rPr>
              <w:t>分）</w:t>
            </w:r>
          </w:p>
        </w:tc>
        <w:tc>
          <w:tcPr>
            <w:tcW w:w="82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rPr>
            </w:pPr>
            <w:r>
              <w:rPr>
                <w:rFonts w:ascii="宋体" w:hAnsi="宋体"/>
                <w:kern w:val="0"/>
                <w:sz w:val="20"/>
              </w:rPr>
              <w:t>35</w:t>
            </w:r>
            <w:r>
              <w:rPr>
                <w:rFonts w:hint="eastAsia" w:ascii="宋体" w:hAnsi="宋体"/>
                <w:kern w:val="0"/>
                <w:sz w:val="20"/>
              </w:rPr>
              <w:t>分</w:t>
            </w:r>
          </w:p>
        </w:tc>
        <w:tc>
          <w:tcPr>
            <w:tcW w:w="5028" w:type="dxa"/>
            <w:tcBorders>
              <w:top w:val="nil"/>
              <w:left w:val="single" w:color="auto" w:sz="4" w:space="0"/>
              <w:bottom w:val="single" w:color="auto" w:sz="4" w:space="0"/>
              <w:right w:val="single" w:color="auto" w:sz="4" w:space="0"/>
            </w:tcBorders>
            <w:vAlign w:val="center"/>
          </w:tcPr>
          <w:p>
            <w:pPr>
              <w:widowControl/>
              <w:ind w:firstLine="400" w:firstLineChars="200"/>
              <w:rPr>
                <w:rFonts w:ascii="宋体"/>
                <w:kern w:val="0"/>
                <w:sz w:val="20"/>
              </w:rPr>
            </w:pPr>
            <w:r>
              <w:rPr>
                <w:rFonts w:hint="eastAsia" w:ascii="宋体" w:hAnsi="宋体"/>
                <w:kern w:val="0"/>
                <w:sz w:val="20"/>
              </w:rPr>
              <w:t>对所有的有效投标的报价计算算术平均数，该平均报价的基准分为</w:t>
            </w:r>
            <w:r>
              <w:rPr>
                <w:rFonts w:ascii="宋体" w:hAnsi="宋体"/>
                <w:kern w:val="0"/>
                <w:sz w:val="20"/>
              </w:rPr>
              <w:t>25</w:t>
            </w:r>
            <w:r>
              <w:rPr>
                <w:rFonts w:hint="eastAsia" w:ascii="宋体" w:hAnsi="宋体"/>
                <w:kern w:val="0"/>
                <w:sz w:val="20"/>
              </w:rPr>
              <w:t>分，总分最高</w:t>
            </w:r>
            <w:r>
              <w:rPr>
                <w:rFonts w:ascii="宋体" w:hAnsi="宋体"/>
                <w:kern w:val="0"/>
                <w:sz w:val="20"/>
              </w:rPr>
              <w:t>35</w:t>
            </w:r>
            <w:r>
              <w:rPr>
                <w:rFonts w:hint="eastAsia" w:ascii="宋体" w:hAnsi="宋体"/>
                <w:kern w:val="0"/>
                <w:sz w:val="20"/>
              </w:rPr>
              <w:t>分。每高于或低于平均报价</w:t>
            </w:r>
            <w:r>
              <w:rPr>
                <w:rFonts w:ascii="宋体" w:hAnsi="宋体"/>
                <w:kern w:val="0"/>
                <w:sz w:val="20"/>
              </w:rPr>
              <w:t>1%</w:t>
            </w:r>
            <w:r>
              <w:rPr>
                <w:rFonts w:hint="eastAsia" w:ascii="宋体" w:hAnsi="宋体"/>
                <w:kern w:val="0"/>
                <w:sz w:val="20"/>
              </w:rPr>
              <w:t>，减少或增加得分</w:t>
            </w:r>
            <w:r>
              <w:rPr>
                <w:rFonts w:ascii="宋体" w:hAnsi="宋体"/>
                <w:kern w:val="0"/>
                <w:sz w:val="20"/>
              </w:rPr>
              <w:t>0.5</w:t>
            </w:r>
            <w:r>
              <w:rPr>
                <w:rFonts w:hint="eastAsia" w:ascii="宋体" w:hAnsi="宋体"/>
                <w:kern w:val="0"/>
                <w:sz w:val="20"/>
              </w:rPr>
              <w:t>分。四舍五入后保留</w:t>
            </w:r>
            <w:r>
              <w:rPr>
                <w:rFonts w:ascii="宋体" w:hAnsi="宋体"/>
                <w:kern w:val="0"/>
                <w:sz w:val="20"/>
              </w:rPr>
              <w:t>1</w:t>
            </w:r>
            <w:r>
              <w:rPr>
                <w:rFonts w:hint="eastAsia" w:ascii="宋体" w:hAnsi="宋体"/>
                <w:kern w:val="0"/>
                <w:sz w:val="20"/>
              </w:rPr>
              <w:t>位小数。</w:t>
            </w:r>
          </w:p>
        </w:tc>
        <w:tc>
          <w:tcPr>
            <w:tcW w:w="1612" w:type="dxa"/>
            <w:tcBorders>
              <w:top w:val="nil"/>
              <w:left w:val="nil"/>
              <w:bottom w:val="single" w:color="auto" w:sz="4" w:space="0"/>
              <w:right w:val="single" w:color="auto" w:sz="4" w:space="0"/>
            </w:tcBorders>
            <w:vAlign w:val="center"/>
          </w:tcPr>
          <w:p>
            <w:pPr>
              <w:widowControl/>
              <w:ind w:firstLine="400" w:firstLineChars="200"/>
              <w:rPr>
                <w:rFonts w:ascii="宋体"/>
                <w:kern w:val="0"/>
                <w:sz w:val="20"/>
              </w:rPr>
            </w:pPr>
          </w:p>
        </w:tc>
      </w:tr>
      <w:tr>
        <w:tblPrEx>
          <w:tblCellMar>
            <w:top w:w="0" w:type="dxa"/>
            <w:left w:w="108" w:type="dxa"/>
            <w:bottom w:w="0" w:type="dxa"/>
            <w:right w:w="108" w:type="dxa"/>
          </w:tblCellMar>
        </w:tblPrEx>
        <w:trPr>
          <w:trHeight w:val="1440" w:hRule="atLeast"/>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 w:val="20"/>
                <w:lang w:val="en-US" w:eastAsia="zh-CN"/>
              </w:rPr>
            </w:pPr>
            <w:r>
              <w:rPr>
                <w:rFonts w:hint="eastAsia" w:ascii="宋体" w:hAnsi="宋体"/>
                <w:kern w:val="0"/>
                <w:sz w:val="20"/>
                <w:lang w:val="en-US" w:eastAsia="zh-CN"/>
              </w:rPr>
              <w:t>2</w:t>
            </w:r>
          </w:p>
        </w:tc>
        <w:tc>
          <w:tcPr>
            <w:tcW w:w="1028" w:type="dxa"/>
            <w:tcBorders>
              <w:top w:val="nil"/>
              <w:left w:val="nil"/>
              <w:bottom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cs="宋体"/>
                <w:sz w:val="20"/>
              </w:rPr>
              <w:t>财务能力和状况</w:t>
            </w: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分）</w:t>
            </w:r>
          </w:p>
        </w:tc>
        <w:tc>
          <w:tcPr>
            <w:tcW w:w="82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0"/>
                <w:lang w:eastAsia="zh-CN"/>
              </w:rPr>
            </w:pPr>
            <w:r>
              <w:rPr>
                <w:rFonts w:hint="eastAsia" w:ascii="宋体" w:hAnsi="宋体" w:cs="宋体"/>
                <w:sz w:val="20"/>
                <w:lang w:val="en-US" w:eastAsia="zh-CN"/>
              </w:rPr>
              <w:t>1</w:t>
            </w:r>
            <w:r>
              <w:rPr>
                <w:rFonts w:hint="eastAsia" w:ascii="宋体" w:hAnsi="宋体" w:cs="宋体"/>
                <w:sz w:val="20"/>
                <w:highlight w:val="none"/>
                <w:lang w:val="en-US" w:eastAsia="zh-CN"/>
              </w:rPr>
              <w:t>分</w:t>
            </w:r>
          </w:p>
        </w:tc>
        <w:tc>
          <w:tcPr>
            <w:tcW w:w="5028" w:type="dxa"/>
            <w:tcBorders>
              <w:top w:val="nil"/>
              <w:left w:val="single" w:color="auto" w:sz="4" w:space="0"/>
              <w:bottom w:val="single" w:color="auto" w:sz="4" w:space="0"/>
              <w:right w:val="single" w:color="auto" w:sz="4" w:space="0"/>
            </w:tcBorders>
            <w:vAlign w:val="center"/>
          </w:tcPr>
          <w:p>
            <w:pPr>
              <w:ind w:firstLine="400" w:firstLineChars="200"/>
              <w:rPr>
                <w:rFonts w:hint="eastAsia" w:ascii="宋体" w:hAnsi="宋体"/>
                <w:kern w:val="0"/>
                <w:sz w:val="20"/>
              </w:rPr>
            </w:pPr>
            <w:r>
              <w:rPr>
                <w:rFonts w:hint="eastAsia" w:ascii="宋体" w:hAnsi="宋体" w:cs="宋体"/>
                <w:color w:val="auto"/>
                <w:sz w:val="20"/>
              </w:rPr>
              <w:t>经审计的上年度会计报表显示资产负债率小于40%（不含）的得1分；在≥40%和≤65%范围内的得0.5分；大于65%（不含）不得分，未提供原件扫描件者或报表未经审计的不得分。</w:t>
            </w:r>
          </w:p>
        </w:tc>
        <w:tc>
          <w:tcPr>
            <w:tcW w:w="1612" w:type="dxa"/>
            <w:tcBorders>
              <w:top w:val="nil"/>
              <w:left w:val="nil"/>
              <w:bottom w:val="single" w:color="auto" w:sz="4" w:space="0"/>
              <w:right w:val="single" w:color="auto" w:sz="4" w:space="0"/>
            </w:tcBorders>
            <w:vAlign w:val="center"/>
          </w:tcPr>
          <w:p>
            <w:pPr>
              <w:widowControl/>
              <w:ind w:firstLine="400" w:firstLineChars="200"/>
              <w:rPr>
                <w:rFonts w:ascii="宋体"/>
                <w:kern w:val="0"/>
                <w:sz w:val="20"/>
              </w:rPr>
            </w:pPr>
          </w:p>
        </w:tc>
      </w:tr>
      <w:tr>
        <w:tblPrEx>
          <w:tblCellMar>
            <w:top w:w="0" w:type="dxa"/>
            <w:left w:w="108" w:type="dxa"/>
            <w:bottom w:w="0" w:type="dxa"/>
            <w:right w:w="108" w:type="dxa"/>
          </w:tblCellMar>
        </w:tblPrEx>
        <w:trPr>
          <w:trHeight w:val="1440"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 w:val="20"/>
                <w:lang w:val="en-US" w:eastAsia="zh-CN"/>
              </w:rPr>
            </w:pPr>
            <w:r>
              <w:rPr>
                <w:rFonts w:hint="eastAsia" w:ascii="宋体" w:hAnsi="宋体"/>
                <w:kern w:val="0"/>
                <w:sz w:val="20"/>
                <w:lang w:val="en-US" w:eastAsia="zh-CN"/>
              </w:rPr>
              <w:t>3</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rPr>
              <w:t>商务偏离（</w:t>
            </w:r>
            <w:r>
              <w:rPr>
                <w:rFonts w:ascii="宋体" w:hAnsi="宋体"/>
                <w:kern w:val="0"/>
                <w:sz w:val="20"/>
              </w:rPr>
              <w:t>1</w:t>
            </w:r>
            <w:r>
              <w:rPr>
                <w:rFonts w:hint="eastAsia" w:ascii="宋体" w:hAnsi="宋体"/>
                <w:kern w:val="0"/>
                <w:sz w:val="20"/>
              </w:rPr>
              <w:t>分）</w:t>
            </w:r>
          </w:p>
        </w:tc>
        <w:tc>
          <w:tcPr>
            <w:tcW w:w="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rPr>
            </w:pPr>
            <w:r>
              <w:rPr>
                <w:rFonts w:ascii="宋体" w:hAnsi="宋体"/>
                <w:kern w:val="0"/>
                <w:sz w:val="20"/>
              </w:rPr>
              <w:t>1</w:t>
            </w:r>
            <w:r>
              <w:rPr>
                <w:rFonts w:hint="eastAsia" w:ascii="宋体" w:hAnsi="宋体"/>
                <w:kern w:val="0"/>
                <w:sz w:val="20"/>
              </w:rPr>
              <w:t>分</w:t>
            </w:r>
          </w:p>
        </w:tc>
        <w:tc>
          <w:tcPr>
            <w:tcW w:w="502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rPr>
            </w:pPr>
            <w:r>
              <w:rPr>
                <w:rFonts w:hint="eastAsia" w:ascii="宋体" w:hAnsi="宋体"/>
                <w:kern w:val="0"/>
                <w:sz w:val="20"/>
                <w:szCs w:val="22"/>
              </w:rPr>
              <w:t>商务负偏离不得分，无偏离得</w:t>
            </w:r>
            <w:r>
              <w:rPr>
                <w:rFonts w:ascii="宋体" w:hAnsi="宋体"/>
                <w:kern w:val="0"/>
                <w:sz w:val="20"/>
                <w:szCs w:val="22"/>
              </w:rPr>
              <w:t>0.5</w:t>
            </w:r>
            <w:r>
              <w:rPr>
                <w:rFonts w:hint="eastAsia" w:ascii="宋体" w:hAnsi="宋体"/>
                <w:kern w:val="0"/>
                <w:sz w:val="20"/>
                <w:szCs w:val="22"/>
              </w:rPr>
              <w:t>分，有正偏离加</w:t>
            </w:r>
            <w:r>
              <w:rPr>
                <w:rFonts w:ascii="宋体" w:hAnsi="宋体"/>
                <w:kern w:val="0"/>
                <w:sz w:val="20"/>
                <w:szCs w:val="22"/>
              </w:rPr>
              <w:t>0.5</w:t>
            </w:r>
            <w:r>
              <w:rPr>
                <w:rFonts w:hint="eastAsia" w:ascii="宋体" w:hAnsi="宋体"/>
                <w:kern w:val="0"/>
                <w:sz w:val="20"/>
                <w:szCs w:val="22"/>
              </w:rPr>
              <w:t>分，最高</w:t>
            </w:r>
            <w:r>
              <w:rPr>
                <w:rFonts w:ascii="宋体" w:hAnsi="宋体"/>
                <w:kern w:val="0"/>
                <w:sz w:val="20"/>
                <w:szCs w:val="22"/>
              </w:rPr>
              <w:t>1</w:t>
            </w:r>
            <w:r>
              <w:rPr>
                <w:rFonts w:hint="eastAsia" w:ascii="宋体" w:hAnsi="宋体"/>
                <w:kern w:val="0"/>
                <w:sz w:val="20"/>
                <w:szCs w:val="22"/>
              </w:rPr>
              <w:t>分。</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rPr>
            </w:pPr>
          </w:p>
        </w:tc>
      </w:tr>
      <w:tr>
        <w:tblPrEx>
          <w:tblCellMar>
            <w:top w:w="0" w:type="dxa"/>
            <w:left w:w="108" w:type="dxa"/>
            <w:bottom w:w="0" w:type="dxa"/>
            <w:right w:w="108" w:type="dxa"/>
          </w:tblCellMar>
        </w:tblPrEx>
        <w:trPr>
          <w:trHeight w:val="1440"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kern w:val="0"/>
                <w:sz w:val="20"/>
                <w:lang w:val="en-US" w:eastAsia="zh-CN"/>
              </w:rPr>
            </w:pPr>
            <w:r>
              <w:rPr>
                <w:rFonts w:hint="eastAsia" w:ascii="宋体" w:hAnsi="宋体"/>
                <w:kern w:val="0"/>
                <w:sz w:val="20"/>
                <w:lang w:val="en-US" w:eastAsia="zh-CN"/>
              </w:rPr>
              <w:t>4</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 w:val="20"/>
              </w:rPr>
            </w:pPr>
            <w:r>
              <w:rPr>
                <w:rFonts w:hint="eastAsia" w:ascii="宋体" w:hAnsi="宋体"/>
                <w:kern w:val="0"/>
                <w:sz w:val="20"/>
                <w:szCs w:val="22"/>
              </w:rPr>
              <w:t>综合实力及资信荣誉（</w:t>
            </w:r>
            <w:r>
              <w:rPr>
                <w:rFonts w:hint="eastAsia" w:ascii="宋体" w:hAnsi="宋体"/>
                <w:kern w:val="0"/>
                <w:sz w:val="20"/>
                <w:szCs w:val="22"/>
                <w:lang w:val="en-US" w:eastAsia="zh-CN"/>
              </w:rPr>
              <w:t>3</w:t>
            </w:r>
            <w:r>
              <w:rPr>
                <w:rFonts w:hint="eastAsia" w:ascii="宋体" w:hAnsi="宋体"/>
                <w:kern w:val="0"/>
                <w:sz w:val="20"/>
                <w:szCs w:val="22"/>
              </w:rPr>
              <w:t>分）</w:t>
            </w:r>
          </w:p>
        </w:tc>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kern w:val="0"/>
                <w:sz w:val="20"/>
                <w:lang w:eastAsia="zh-CN"/>
              </w:rPr>
            </w:pPr>
            <w:r>
              <w:rPr>
                <w:rFonts w:hint="eastAsia" w:ascii="宋体" w:hAnsi="宋体" w:cs="宋体"/>
                <w:sz w:val="20"/>
                <w:lang w:val="en-US" w:eastAsia="zh-CN"/>
              </w:rPr>
              <w:t>3</w:t>
            </w:r>
            <w:r>
              <w:rPr>
                <w:rFonts w:hint="eastAsia" w:ascii="宋体" w:hAnsi="宋体" w:cs="宋体"/>
                <w:sz w:val="20"/>
                <w:highlight w:val="none"/>
                <w:lang w:val="en-US" w:eastAsia="zh-CN"/>
              </w:rPr>
              <w:t>分</w:t>
            </w:r>
          </w:p>
        </w:tc>
        <w:tc>
          <w:tcPr>
            <w:tcW w:w="502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kern w:val="0"/>
                <w:sz w:val="20"/>
                <w:szCs w:val="22"/>
              </w:rPr>
            </w:pPr>
            <w:r>
              <w:rPr>
                <w:rFonts w:hint="eastAsia" w:ascii="宋体" w:hAnsi="宋体"/>
                <w:kern w:val="0"/>
                <w:sz w:val="20"/>
                <w:szCs w:val="22"/>
              </w:rPr>
              <w:t>1.投标人具有良好的企业信誉，同时提供“重合同守信用企业”证明或中国软件行业协会颁发的企业信用等级AAA级证书，得1分；</w:t>
            </w:r>
          </w:p>
          <w:p>
            <w:pPr>
              <w:widowControl/>
              <w:ind w:firstLine="400" w:firstLineChars="200"/>
              <w:rPr>
                <w:rFonts w:hint="eastAsia" w:ascii="宋体" w:hAnsi="宋体"/>
                <w:kern w:val="0"/>
                <w:sz w:val="20"/>
                <w:szCs w:val="22"/>
              </w:rPr>
            </w:pPr>
            <w:r>
              <w:rPr>
                <w:rFonts w:hint="eastAsia" w:ascii="宋体" w:hAnsi="宋体"/>
                <w:kern w:val="0"/>
                <w:sz w:val="20"/>
                <w:szCs w:val="22"/>
                <w:lang w:val="en-US" w:eastAsia="zh-CN"/>
              </w:rPr>
              <w:t>2</w:t>
            </w:r>
            <w:r>
              <w:rPr>
                <w:rFonts w:hint="eastAsia" w:ascii="宋体" w:hAnsi="宋体"/>
                <w:kern w:val="0"/>
                <w:sz w:val="20"/>
                <w:szCs w:val="22"/>
              </w:rPr>
              <w:t>.投标人具有CMMI软件成熟度认证证书四级及以上得</w:t>
            </w:r>
            <w:r>
              <w:rPr>
                <w:rFonts w:hint="eastAsia" w:ascii="宋体" w:hAnsi="宋体"/>
                <w:kern w:val="0"/>
                <w:sz w:val="20"/>
                <w:szCs w:val="22"/>
                <w:lang w:val="en-US" w:eastAsia="zh-CN"/>
              </w:rPr>
              <w:t>1</w:t>
            </w:r>
            <w:r>
              <w:rPr>
                <w:rFonts w:hint="eastAsia" w:ascii="宋体" w:hAnsi="宋体"/>
                <w:kern w:val="0"/>
                <w:sz w:val="20"/>
                <w:szCs w:val="22"/>
              </w:rPr>
              <w:t>分，三级得</w:t>
            </w:r>
            <w:r>
              <w:rPr>
                <w:rFonts w:hint="eastAsia" w:ascii="宋体" w:hAnsi="宋体"/>
                <w:kern w:val="0"/>
                <w:sz w:val="20"/>
                <w:szCs w:val="22"/>
                <w:lang w:val="en-US" w:eastAsia="zh-CN"/>
              </w:rPr>
              <w:t>0.5</w:t>
            </w:r>
            <w:r>
              <w:rPr>
                <w:rFonts w:hint="eastAsia" w:ascii="宋体" w:hAnsi="宋体"/>
                <w:kern w:val="0"/>
                <w:sz w:val="20"/>
                <w:szCs w:val="22"/>
              </w:rPr>
              <w:t>分，其他不得分。</w:t>
            </w:r>
          </w:p>
          <w:p>
            <w:pPr>
              <w:widowControl/>
              <w:ind w:firstLine="400" w:firstLineChars="200"/>
              <w:rPr>
                <w:rFonts w:hint="eastAsia" w:ascii="宋体" w:hAnsi="宋体"/>
                <w:kern w:val="0"/>
                <w:sz w:val="20"/>
                <w:szCs w:val="22"/>
              </w:rPr>
            </w:pPr>
            <w:r>
              <w:rPr>
                <w:rFonts w:hint="eastAsia" w:ascii="宋体" w:hAnsi="宋体"/>
                <w:kern w:val="0"/>
                <w:sz w:val="20"/>
                <w:szCs w:val="22"/>
                <w:lang w:val="en-US" w:eastAsia="zh-CN"/>
              </w:rPr>
              <w:t>3</w:t>
            </w:r>
            <w:r>
              <w:rPr>
                <w:rFonts w:hint="eastAsia" w:ascii="宋体" w:hAnsi="宋体"/>
                <w:kern w:val="0"/>
                <w:sz w:val="20"/>
                <w:szCs w:val="22"/>
              </w:rPr>
              <w:t>.投标人具有软件安全开发服务资质、信息系统安全集成服务资质</w:t>
            </w:r>
            <w:r>
              <w:rPr>
                <w:rFonts w:hint="eastAsia" w:ascii="宋体" w:hAnsi="宋体"/>
                <w:kern w:val="0"/>
                <w:sz w:val="20"/>
                <w:szCs w:val="22"/>
                <w:lang w:eastAsia="zh-CN"/>
              </w:rPr>
              <w:t>、</w:t>
            </w:r>
            <w:r>
              <w:rPr>
                <w:rFonts w:hint="eastAsia" w:ascii="宋体" w:hAnsi="宋体"/>
                <w:kern w:val="0"/>
                <w:sz w:val="20"/>
                <w:szCs w:val="22"/>
              </w:rPr>
              <w:t>信息系统安全运维服务资质</w:t>
            </w:r>
            <w:r>
              <w:rPr>
                <w:rFonts w:hint="eastAsia" w:ascii="宋体" w:hAnsi="宋体"/>
                <w:kern w:val="0"/>
                <w:sz w:val="20"/>
                <w:szCs w:val="22"/>
                <w:lang w:val="en-US" w:eastAsia="zh-CN"/>
              </w:rPr>
              <w:t>和</w:t>
            </w:r>
            <w:r>
              <w:rPr>
                <w:rFonts w:hint="eastAsia" w:ascii="宋体" w:hAnsi="宋体"/>
                <w:kern w:val="0"/>
                <w:sz w:val="20"/>
                <w:szCs w:val="22"/>
              </w:rPr>
              <w:t>信息技术服务运行维护（ITSS）标准符合性证书的得</w:t>
            </w:r>
            <w:r>
              <w:rPr>
                <w:rFonts w:hint="eastAsia" w:ascii="宋体" w:hAnsi="宋体"/>
                <w:kern w:val="0"/>
                <w:sz w:val="20"/>
                <w:szCs w:val="22"/>
                <w:lang w:val="en-US" w:eastAsia="zh-CN"/>
              </w:rPr>
              <w:t>1</w:t>
            </w:r>
            <w:r>
              <w:rPr>
                <w:rFonts w:hint="eastAsia" w:ascii="宋体" w:hAnsi="宋体"/>
                <w:kern w:val="0"/>
                <w:sz w:val="20"/>
                <w:szCs w:val="22"/>
              </w:rPr>
              <w:t>分，</w:t>
            </w:r>
            <w:r>
              <w:rPr>
                <w:rFonts w:hint="eastAsia" w:ascii="宋体" w:hAnsi="宋体"/>
                <w:kern w:val="0"/>
                <w:sz w:val="20"/>
                <w:szCs w:val="22"/>
                <w:lang w:val="en-US" w:eastAsia="zh-CN"/>
              </w:rPr>
              <w:t>缺项不得分</w:t>
            </w:r>
            <w:r>
              <w:rPr>
                <w:rFonts w:hint="eastAsia" w:ascii="宋体" w:hAnsi="宋体"/>
                <w:kern w:val="0"/>
                <w:sz w:val="20"/>
                <w:szCs w:val="22"/>
              </w:rPr>
              <w:t>；</w:t>
            </w:r>
          </w:p>
          <w:p>
            <w:pPr>
              <w:widowControl/>
              <w:ind w:firstLine="400" w:firstLineChars="200"/>
              <w:rPr>
                <w:rFonts w:hint="eastAsia" w:ascii="宋体" w:hAnsi="宋体"/>
                <w:kern w:val="0"/>
                <w:sz w:val="20"/>
                <w:szCs w:val="22"/>
              </w:rPr>
            </w:pPr>
            <w:r>
              <w:rPr>
                <w:rFonts w:hint="eastAsia" w:ascii="宋体" w:hAnsi="宋体"/>
                <w:kern w:val="0"/>
                <w:sz w:val="20"/>
                <w:szCs w:val="22"/>
              </w:rPr>
              <w:t>说明：以上均须提供证书</w:t>
            </w:r>
            <w:r>
              <w:rPr>
                <w:rFonts w:hint="eastAsia" w:ascii="宋体" w:hAnsi="宋体"/>
                <w:kern w:val="0"/>
                <w:sz w:val="20"/>
                <w:szCs w:val="22"/>
                <w:lang w:val="en-US" w:eastAsia="zh-CN"/>
              </w:rPr>
              <w:t>原件和</w:t>
            </w:r>
            <w:r>
              <w:rPr>
                <w:rFonts w:hint="eastAsia" w:ascii="宋体" w:hAnsi="宋体"/>
                <w:kern w:val="0"/>
                <w:sz w:val="20"/>
                <w:szCs w:val="22"/>
              </w:rPr>
              <w:t>证明材料复印件并加盖公章。</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rPr>
            </w:pPr>
          </w:p>
        </w:tc>
      </w:tr>
      <w:tr>
        <w:tblPrEx>
          <w:tblCellMar>
            <w:top w:w="0" w:type="dxa"/>
            <w:left w:w="108" w:type="dxa"/>
            <w:bottom w:w="0" w:type="dxa"/>
            <w:right w:w="108" w:type="dxa"/>
          </w:tblCellMar>
        </w:tblPrEx>
        <w:trPr>
          <w:trHeight w:val="1440" w:hRule="atLeast"/>
        </w:trPr>
        <w:tc>
          <w:tcPr>
            <w:tcW w:w="6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 w:val="20"/>
                <w:lang w:val="en-US" w:eastAsia="zh-CN"/>
              </w:rPr>
            </w:pPr>
            <w:r>
              <w:rPr>
                <w:rFonts w:hint="eastAsia" w:ascii="宋体" w:hAnsi="宋体"/>
                <w:kern w:val="0"/>
                <w:sz w:val="20"/>
                <w:lang w:val="en-US" w:eastAsia="zh-CN"/>
              </w:rPr>
              <w:t>5</w:t>
            </w:r>
          </w:p>
        </w:tc>
        <w:tc>
          <w:tcPr>
            <w:tcW w:w="102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rPr>
              <w:t>类似业绩</w:t>
            </w:r>
          </w:p>
          <w:p>
            <w:pPr>
              <w:widowControl/>
              <w:jc w:val="center"/>
              <w:rPr>
                <w:rFonts w:ascii="宋体"/>
                <w:kern w:val="0"/>
                <w:sz w:val="20"/>
              </w:rPr>
            </w:pPr>
            <w:r>
              <w:rPr>
                <w:rFonts w:hint="eastAsia" w:ascii="宋体" w:hAnsi="宋体"/>
                <w:kern w:val="0"/>
                <w:sz w:val="20"/>
              </w:rPr>
              <w:t>（</w:t>
            </w:r>
            <w:r>
              <w:rPr>
                <w:rFonts w:hint="eastAsia" w:ascii="宋体" w:hAnsi="宋体"/>
                <w:kern w:val="0"/>
                <w:sz w:val="20"/>
                <w:lang w:val="en-US" w:eastAsia="zh-CN"/>
              </w:rPr>
              <w:t>5</w:t>
            </w:r>
            <w:r>
              <w:rPr>
                <w:rFonts w:hint="eastAsia" w:ascii="宋体" w:hAnsi="宋体"/>
                <w:kern w:val="0"/>
                <w:sz w:val="20"/>
              </w:rPr>
              <w:t>分）</w:t>
            </w:r>
          </w:p>
        </w:tc>
        <w:tc>
          <w:tcPr>
            <w:tcW w:w="82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lang w:val="en-US" w:eastAsia="zh-CN"/>
              </w:rPr>
              <w:t>5</w:t>
            </w:r>
            <w:r>
              <w:rPr>
                <w:rFonts w:hint="eastAsia" w:ascii="宋体" w:hAnsi="宋体"/>
                <w:kern w:val="0"/>
                <w:sz w:val="20"/>
              </w:rPr>
              <w:t>分</w:t>
            </w:r>
          </w:p>
        </w:tc>
        <w:tc>
          <w:tcPr>
            <w:tcW w:w="502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hint="eastAsia" w:ascii="宋体" w:hAnsi="宋体"/>
                <w:kern w:val="0"/>
                <w:sz w:val="20"/>
                <w:szCs w:val="22"/>
              </w:rPr>
            </w:pPr>
            <w:r>
              <w:rPr>
                <w:rFonts w:hint="eastAsia" w:ascii="宋体" w:hAnsi="宋体"/>
                <w:kern w:val="0"/>
                <w:sz w:val="20"/>
                <w:szCs w:val="22"/>
              </w:rPr>
              <w:t>投标人须提供投标产品厂商出具的近</w:t>
            </w:r>
            <w:r>
              <w:rPr>
                <w:rFonts w:ascii="宋体" w:hAnsi="宋体"/>
                <w:kern w:val="0"/>
                <w:sz w:val="20"/>
                <w:szCs w:val="22"/>
              </w:rPr>
              <w:t>3</w:t>
            </w:r>
            <w:r>
              <w:rPr>
                <w:rFonts w:hint="eastAsia" w:ascii="宋体" w:hAnsi="宋体"/>
                <w:kern w:val="0"/>
                <w:sz w:val="20"/>
                <w:szCs w:val="22"/>
              </w:rPr>
              <w:t>年内与本项目类似的部署在私有云平台的大数据项目案例</w:t>
            </w:r>
            <w:r>
              <w:rPr>
                <w:rFonts w:hint="eastAsia" w:ascii="宋体" w:hAnsi="宋体"/>
                <w:kern w:val="0"/>
                <w:sz w:val="20"/>
              </w:rPr>
              <w:t>，投标人须提供所投产品自</w:t>
            </w:r>
            <w:r>
              <w:rPr>
                <w:rFonts w:ascii="宋体" w:hAnsi="宋体"/>
                <w:kern w:val="0"/>
                <w:sz w:val="20"/>
              </w:rPr>
              <w:t>201</w:t>
            </w:r>
            <w:r>
              <w:rPr>
                <w:rFonts w:hint="eastAsia" w:ascii="宋体" w:hAnsi="宋体"/>
                <w:kern w:val="0"/>
                <w:sz w:val="20"/>
                <w:lang w:val="en-US" w:eastAsia="zh-CN"/>
              </w:rPr>
              <w:t>5</w:t>
            </w:r>
            <w:r>
              <w:rPr>
                <w:rFonts w:hint="eastAsia" w:ascii="宋体" w:hAnsi="宋体"/>
                <w:kern w:val="0"/>
                <w:sz w:val="20"/>
              </w:rPr>
              <w:t>年以来为地市级或以上单位提供大规模应用的中标通知书或合同（</w:t>
            </w:r>
            <w:r>
              <w:rPr>
                <w:rFonts w:hint="eastAsia" w:ascii="宋体" w:hAnsi="宋体" w:cs="宋体"/>
                <w:szCs w:val="21"/>
              </w:rPr>
              <w:t>每提供一</w:t>
            </w:r>
            <w:r>
              <w:rPr>
                <w:rFonts w:hint="eastAsia" w:ascii="宋体" w:hAnsi="宋体"/>
                <w:kern w:val="0"/>
                <w:sz w:val="20"/>
                <w:szCs w:val="22"/>
              </w:rPr>
              <w:t>个省级案例得1分，每提供一个地市级案例得0.5分，满分</w:t>
            </w:r>
            <w:r>
              <w:rPr>
                <w:rFonts w:hint="eastAsia" w:ascii="宋体" w:hAnsi="宋体"/>
                <w:kern w:val="0"/>
                <w:sz w:val="20"/>
                <w:szCs w:val="22"/>
                <w:lang w:val="en-US" w:eastAsia="zh-CN"/>
              </w:rPr>
              <w:t>4</w:t>
            </w:r>
            <w:r>
              <w:rPr>
                <w:rFonts w:hint="eastAsia" w:ascii="宋体" w:hAnsi="宋体"/>
                <w:kern w:val="0"/>
                <w:sz w:val="20"/>
                <w:szCs w:val="22"/>
              </w:rPr>
              <w:t>分，同一省级或地市级用户的多个合同按一个案例计算；（以合同签订时间为准，扫描件加盖公章，同一案例不重复计分。）</w:t>
            </w:r>
          </w:p>
          <w:p>
            <w:pPr>
              <w:widowControl/>
              <w:ind w:firstLine="400" w:firstLineChars="200"/>
              <w:rPr>
                <w:rFonts w:ascii="宋体"/>
                <w:kern w:val="0"/>
                <w:sz w:val="20"/>
              </w:rPr>
            </w:pPr>
            <w:r>
              <w:rPr>
                <w:rFonts w:hint="eastAsia" w:ascii="宋体" w:hAnsi="宋体"/>
                <w:kern w:val="0"/>
                <w:sz w:val="20"/>
                <w:szCs w:val="22"/>
              </w:rPr>
              <w:t>有用户</w:t>
            </w:r>
            <w:r>
              <w:rPr>
                <w:rFonts w:hint="eastAsia" w:ascii="宋体" w:hAnsi="宋体"/>
                <w:kern w:val="0"/>
                <w:sz w:val="20"/>
                <w:szCs w:val="22"/>
                <w:lang w:val="en-US" w:eastAsia="zh-CN"/>
              </w:rPr>
              <w:t>正向</w:t>
            </w:r>
            <w:r>
              <w:rPr>
                <w:rFonts w:hint="eastAsia" w:ascii="宋体" w:hAnsi="宋体"/>
                <w:kern w:val="0"/>
                <w:sz w:val="20"/>
                <w:szCs w:val="22"/>
              </w:rPr>
              <w:t>评价的，1个加0.5分，</w:t>
            </w:r>
            <w:r>
              <w:rPr>
                <w:rFonts w:hint="eastAsia" w:ascii="宋体" w:hAnsi="宋体"/>
                <w:kern w:val="0"/>
                <w:sz w:val="20"/>
                <w:szCs w:val="22"/>
                <w:lang w:val="en-US" w:eastAsia="zh-CN"/>
              </w:rPr>
              <w:t>满分</w:t>
            </w:r>
            <w:r>
              <w:rPr>
                <w:rFonts w:hint="eastAsia" w:ascii="宋体" w:hAnsi="宋体"/>
                <w:kern w:val="0"/>
                <w:sz w:val="20"/>
                <w:szCs w:val="22"/>
              </w:rPr>
              <w:t>1分。</w:t>
            </w:r>
          </w:p>
        </w:tc>
        <w:tc>
          <w:tcPr>
            <w:tcW w:w="1612" w:type="dxa"/>
            <w:tcBorders>
              <w:top w:val="single" w:color="auto" w:sz="4" w:space="0"/>
              <w:left w:val="nil"/>
              <w:bottom w:val="single" w:color="auto" w:sz="4" w:space="0"/>
              <w:right w:val="single" w:color="auto" w:sz="4" w:space="0"/>
            </w:tcBorders>
            <w:vAlign w:val="center"/>
          </w:tcPr>
          <w:p>
            <w:pPr>
              <w:widowControl/>
              <w:ind w:firstLine="400" w:firstLineChars="200"/>
              <w:rPr>
                <w:rFonts w:ascii="宋体"/>
                <w:kern w:val="0"/>
                <w:sz w:val="20"/>
              </w:rPr>
            </w:pPr>
          </w:p>
        </w:tc>
      </w:tr>
      <w:tr>
        <w:tblPrEx>
          <w:tblCellMar>
            <w:top w:w="0" w:type="dxa"/>
            <w:left w:w="108" w:type="dxa"/>
            <w:bottom w:w="0" w:type="dxa"/>
            <w:right w:w="108" w:type="dxa"/>
          </w:tblCellMar>
        </w:tblPrEx>
        <w:trPr>
          <w:trHeight w:val="512" w:hRule="atLeast"/>
        </w:trPr>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rPr>
              <w:t>商务分合计</w:t>
            </w:r>
          </w:p>
        </w:tc>
        <w:tc>
          <w:tcPr>
            <w:tcW w:w="828"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0"/>
              </w:rPr>
            </w:pPr>
            <w:r>
              <w:rPr>
                <w:rFonts w:hint="eastAsia" w:ascii="宋体" w:hAnsi="宋体"/>
                <w:kern w:val="0"/>
                <w:sz w:val="20"/>
                <w:lang w:val="en-US" w:eastAsia="zh-CN"/>
              </w:rPr>
              <w:t>45</w:t>
            </w:r>
            <w:r>
              <w:rPr>
                <w:rFonts w:hint="eastAsia" w:ascii="宋体" w:hAnsi="宋体"/>
                <w:kern w:val="0"/>
                <w:sz w:val="20"/>
              </w:rPr>
              <w:t>分</w:t>
            </w:r>
          </w:p>
        </w:tc>
        <w:tc>
          <w:tcPr>
            <w:tcW w:w="502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kern w:val="0"/>
                <w:sz w:val="20"/>
              </w:rPr>
            </w:pPr>
          </w:p>
        </w:tc>
        <w:tc>
          <w:tcPr>
            <w:tcW w:w="1612" w:type="dxa"/>
            <w:tcBorders>
              <w:top w:val="single" w:color="auto" w:sz="4" w:space="0"/>
              <w:left w:val="nil"/>
              <w:bottom w:val="single" w:color="auto" w:sz="4" w:space="0"/>
              <w:right w:val="single" w:color="auto" w:sz="4" w:space="0"/>
            </w:tcBorders>
            <w:vAlign w:val="center"/>
          </w:tcPr>
          <w:p>
            <w:pPr>
              <w:widowControl/>
              <w:ind w:firstLine="400" w:firstLineChars="200"/>
              <w:rPr>
                <w:rFonts w:ascii="宋体"/>
                <w:kern w:val="0"/>
                <w:sz w:val="20"/>
              </w:rPr>
            </w:pPr>
          </w:p>
        </w:tc>
      </w:tr>
    </w:tbl>
    <w:p>
      <w:pPr>
        <w:jc w:val="center"/>
        <w:rPr>
          <w:rFonts w:ascii="宋体"/>
          <w:bCs/>
          <w:sz w:val="20"/>
        </w:rPr>
      </w:pPr>
    </w:p>
    <w:p>
      <w:pPr>
        <w:pStyle w:val="421"/>
        <w:ind w:left="181" w:hanging="181"/>
        <w:jc w:val="center"/>
        <w:rPr>
          <w:rFonts w:ascii="宋体" w:hAnsi="宋体" w:eastAsia="宋体"/>
        </w:rPr>
      </w:pPr>
      <w:bookmarkStart w:id="27" w:name="_Toc8393"/>
      <w:r>
        <w:rPr>
          <w:rFonts w:hint="eastAsia" w:ascii="宋体" w:hAnsi="宋体" w:eastAsia="宋体"/>
        </w:rPr>
        <w:t>第七章</w:t>
      </w:r>
      <w:r>
        <w:rPr>
          <w:rFonts w:hint="eastAsia" w:ascii="宋体" w:hAnsi="宋体" w:eastAsia="宋体"/>
          <w:lang w:val="en-US" w:eastAsia="zh-CN"/>
        </w:rPr>
        <w:t xml:space="preserve"> </w:t>
      </w:r>
      <w:r>
        <w:rPr>
          <w:rFonts w:hint="eastAsia" w:ascii="宋体" w:hAnsi="宋体" w:eastAsia="宋体"/>
        </w:rPr>
        <w:t>定</w:t>
      </w:r>
      <w:r>
        <w:rPr>
          <w:rFonts w:hint="eastAsia" w:ascii="宋体" w:hAnsi="宋体" w:eastAsia="宋体"/>
          <w:lang w:val="en-US" w:eastAsia="zh-CN"/>
        </w:rPr>
        <w:t xml:space="preserve"> </w:t>
      </w:r>
      <w:r>
        <w:rPr>
          <w:rFonts w:hint="eastAsia" w:ascii="宋体" w:hAnsi="宋体" w:eastAsia="宋体"/>
        </w:rPr>
        <w:t>标</w:t>
      </w:r>
      <w:bookmarkEnd w:id="27"/>
    </w:p>
    <w:p>
      <w:pPr>
        <w:numPr>
          <w:ilvl w:val="0"/>
          <w:numId w:val="19"/>
        </w:numPr>
        <w:ind w:left="425" w:leftChars="0" w:hanging="425" w:firstLineChars="0"/>
        <w:rPr>
          <w:rFonts w:ascii="宋体" w:cs="宋体"/>
          <w:b/>
          <w:sz w:val="20"/>
        </w:rPr>
      </w:pPr>
      <w:r>
        <w:rPr>
          <w:rFonts w:hint="eastAsia" w:ascii="宋体" w:hAnsi="宋体" w:cs="宋体"/>
          <w:b/>
          <w:sz w:val="20"/>
          <w:szCs w:val="22"/>
        </w:rPr>
        <w:t>定标</w:t>
      </w:r>
      <w:r>
        <w:rPr>
          <w:rFonts w:hint="eastAsia" w:ascii="宋体" w:hAnsi="宋体" w:cs="宋体"/>
          <w:b/>
          <w:sz w:val="20"/>
        </w:rPr>
        <w:t>标准</w:t>
      </w:r>
    </w:p>
    <w:p>
      <w:pPr>
        <w:ind w:firstLine="400" w:firstLineChars="200"/>
        <w:rPr>
          <w:rFonts w:ascii="宋体" w:cs="宋体"/>
          <w:bCs/>
          <w:sz w:val="20"/>
        </w:rPr>
      </w:pPr>
      <w:r>
        <w:rPr>
          <w:rFonts w:ascii="宋体" w:hAnsi="宋体" w:cs="宋体"/>
          <w:bCs/>
          <w:sz w:val="20"/>
        </w:rPr>
        <w:t>23.1</w:t>
      </w:r>
      <w:r>
        <w:rPr>
          <w:rFonts w:hint="eastAsia" w:ascii="宋体" w:hAnsi="宋体" w:cs="宋体"/>
          <w:bCs/>
          <w:sz w:val="20"/>
          <w:lang w:val="en-US" w:eastAsia="zh-CN"/>
        </w:rPr>
        <w:t xml:space="preserve"> </w:t>
      </w:r>
      <w:r>
        <w:rPr>
          <w:rFonts w:hint="eastAsia" w:ascii="宋体" w:hAnsi="宋体" w:cs="宋体"/>
          <w:bCs/>
          <w:sz w:val="20"/>
        </w:rPr>
        <w:t>合同将授予被确定为实质上响应招标文件要求，经评定认为具备履行合同义务能力、报价合理、技术和商务条件都符合招标文件要求的、对</w:t>
      </w:r>
      <w:r>
        <w:rPr>
          <w:rFonts w:hint="eastAsia" w:ascii="宋体" w:hAnsi="宋体" w:cs="宋体"/>
          <w:bCs/>
          <w:sz w:val="20"/>
          <w:lang w:val="en-US" w:eastAsia="zh-CN"/>
        </w:rPr>
        <w:t>招标方</w:t>
      </w:r>
      <w:r>
        <w:rPr>
          <w:rFonts w:hint="eastAsia" w:ascii="宋体" w:hAnsi="宋体" w:cs="宋体"/>
          <w:bCs/>
          <w:sz w:val="20"/>
        </w:rPr>
        <w:t>最为有利的投标方。</w:t>
      </w:r>
    </w:p>
    <w:p>
      <w:pPr>
        <w:ind w:firstLine="400" w:firstLineChars="200"/>
        <w:rPr>
          <w:rFonts w:ascii="宋体" w:cs="宋体"/>
          <w:bCs/>
          <w:sz w:val="20"/>
        </w:rPr>
      </w:pPr>
      <w:r>
        <w:rPr>
          <w:rFonts w:ascii="宋体" w:hAnsi="宋体" w:cs="宋体"/>
          <w:bCs/>
          <w:sz w:val="20"/>
        </w:rPr>
        <w:t>23.2</w:t>
      </w:r>
      <w:r>
        <w:rPr>
          <w:rFonts w:hint="eastAsia" w:ascii="宋体" w:hAnsi="宋体" w:cs="宋体"/>
          <w:bCs/>
          <w:sz w:val="20"/>
          <w:lang w:val="en-US" w:eastAsia="zh-CN"/>
        </w:rPr>
        <w:t xml:space="preserve"> </w:t>
      </w:r>
      <w:r>
        <w:rPr>
          <w:rFonts w:hint="eastAsia" w:ascii="宋体" w:hAnsi="宋体" w:cs="宋体"/>
          <w:bCs/>
          <w:sz w:val="20"/>
        </w:rPr>
        <w:t>最低投标价不一定是被授予合同的保证。</w:t>
      </w:r>
    </w:p>
    <w:p>
      <w:pPr>
        <w:ind w:firstLine="400" w:firstLineChars="200"/>
        <w:rPr>
          <w:rFonts w:ascii="宋体" w:cs="宋体"/>
          <w:bCs/>
          <w:sz w:val="20"/>
        </w:rPr>
      </w:pPr>
      <w:r>
        <w:rPr>
          <w:rFonts w:ascii="宋体" w:hAnsi="宋体" w:cs="宋体"/>
          <w:bCs/>
          <w:sz w:val="20"/>
        </w:rPr>
        <w:t>23.3</w:t>
      </w:r>
      <w:r>
        <w:rPr>
          <w:rFonts w:hint="eastAsia" w:ascii="宋体" w:hAnsi="宋体" w:cs="宋体"/>
          <w:bCs/>
          <w:sz w:val="20"/>
          <w:lang w:val="en-US" w:eastAsia="zh-CN"/>
        </w:rPr>
        <w:t xml:space="preserve"> </w:t>
      </w:r>
      <w:r>
        <w:rPr>
          <w:rFonts w:hint="eastAsia" w:ascii="宋体" w:hAnsi="宋体" w:cs="宋体"/>
          <w:bCs/>
          <w:sz w:val="20"/>
        </w:rPr>
        <w:t>得分最高者中标，得分相同的，按投标报价由低到高顺序排列。</w:t>
      </w:r>
    </w:p>
    <w:p>
      <w:pPr>
        <w:numPr>
          <w:ilvl w:val="0"/>
          <w:numId w:val="19"/>
        </w:numPr>
        <w:ind w:left="425" w:leftChars="0" w:hanging="425" w:firstLineChars="0"/>
        <w:rPr>
          <w:rFonts w:ascii="宋体" w:cs="宋体"/>
          <w:b/>
          <w:sz w:val="20"/>
        </w:rPr>
      </w:pPr>
      <w:r>
        <w:rPr>
          <w:rFonts w:hint="eastAsia" w:ascii="宋体" w:hAnsi="宋体" w:cs="宋体"/>
          <w:b/>
          <w:sz w:val="20"/>
        </w:rPr>
        <w:t>接受和拒绝任何或所有投标的权力</w:t>
      </w:r>
    </w:p>
    <w:p>
      <w:pPr>
        <w:ind w:firstLine="400" w:firstLineChars="200"/>
        <w:rPr>
          <w:rFonts w:ascii="宋体" w:cs="宋体"/>
          <w:bCs/>
          <w:sz w:val="20"/>
        </w:rPr>
      </w:pPr>
      <w:r>
        <w:rPr>
          <w:rFonts w:ascii="宋体" w:hAnsi="宋体" w:cs="宋体"/>
          <w:bCs/>
          <w:sz w:val="20"/>
        </w:rPr>
        <w:t>24.1</w:t>
      </w:r>
      <w:r>
        <w:rPr>
          <w:rFonts w:hint="eastAsia" w:ascii="宋体" w:hAnsi="宋体" w:cs="宋体"/>
          <w:bCs/>
          <w:sz w:val="20"/>
          <w:lang w:val="en-US" w:eastAsia="zh-CN"/>
        </w:rPr>
        <w:t xml:space="preserve"> </w:t>
      </w:r>
      <w:r>
        <w:rPr>
          <w:rFonts w:hint="eastAsia" w:ascii="宋体" w:hAnsi="宋体" w:cs="宋体"/>
          <w:bCs/>
          <w:sz w:val="20"/>
        </w:rPr>
        <w:t>为维护国家利益，招标方在授予合同之前仍有选择或拒绝任何全部投标的权力。</w:t>
      </w:r>
    </w:p>
    <w:p>
      <w:pPr>
        <w:numPr>
          <w:ilvl w:val="0"/>
          <w:numId w:val="19"/>
        </w:numPr>
        <w:ind w:left="425" w:leftChars="0" w:hanging="425" w:firstLineChars="0"/>
        <w:rPr>
          <w:rFonts w:ascii="宋体" w:cs="宋体"/>
          <w:b/>
          <w:sz w:val="20"/>
        </w:rPr>
      </w:pPr>
      <w:r>
        <w:rPr>
          <w:rFonts w:hint="eastAsia" w:ascii="宋体" w:hAnsi="宋体" w:cs="宋体"/>
          <w:b/>
          <w:sz w:val="20"/>
        </w:rPr>
        <w:t>中标</w:t>
      </w:r>
      <w:r>
        <w:rPr>
          <w:rFonts w:hint="eastAsia" w:ascii="宋体" w:hAnsi="宋体" w:cs="宋体"/>
          <w:b/>
          <w:sz w:val="20"/>
          <w:szCs w:val="22"/>
        </w:rPr>
        <w:t>通知书</w:t>
      </w:r>
    </w:p>
    <w:p>
      <w:pPr>
        <w:ind w:firstLine="400" w:firstLineChars="200"/>
        <w:rPr>
          <w:rFonts w:ascii="宋体" w:cs="宋体"/>
          <w:bCs/>
          <w:sz w:val="20"/>
        </w:rPr>
      </w:pPr>
      <w:r>
        <w:rPr>
          <w:rFonts w:ascii="宋体" w:hAnsi="宋体" w:cs="宋体"/>
          <w:bCs/>
          <w:sz w:val="20"/>
        </w:rPr>
        <w:t>25.1</w:t>
      </w:r>
      <w:r>
        <w:rPr>
          <w:rFonts w:hint="eastAsia" w:ascii="宋体" w:hAnsi="宋体" w:cs="宋体"/>
          <w:bCs/>
          <w:sz w:val="20"/>
          <w:lang w:val="en-US" w:eastAsia="zh-CN"/>
        </w:rPr>
        <w:t xml:space="preserve"> </w:t>
      </w:r>
      <w:r>
        <w:rPr>
          <w:rFonts w:hint="eastAsia" w:ascii="宋体" w:hAnsi="宋体" w:cs="宋体"/>
          <w:bCs/>
          <w:sz w:val="20"/>
        </w:rPr>
        <w:t>评标结束后</w:t>
      </w:r>
      <w:r>
        <w:rPr>
          <w:rFonts w:ascii="宋体" w:hAnsi="宋体" w:cs="宋体"/>
          <w:bCs/>
          <w:sz w:val="20"/>
        </w:rPr>
        <w:t>7</w:t>
      </w:r>
      <w:r>
        <w:rPr>
          <w:rFonts w:hint="eastAsia" w:ascii="宋体" w:hAnsi="宋体" w:cs="宋体"/>
          <w:bCs/>
          <w:sz w:val="20"/>
        </w:rPr>
        <w:t>个工作日内，政府采购中心将以书面形式发出《中标通知书》，但发出时间不超过投标有效期，《中标通知书》一经发出即发生法律效力。</w:t>
      </w:r>
    </w:p>
    <w:p>
      <w:pPr>
        <w:ind w:firstLine="400" w:firstLineChars="200"/>
        <w:rPr>
          <w:rFonts w:ascii="宋体" w:cs="宋体"/>
          <w:bCs/>
          <w:sz w:val="20"/>
        </w:rPr>
      </w:pPr>
      <w:r>
        <w:rPr>
          <w:rFonts w:ascii="宋体" w:hAnsi="宋体" w:cs="宋体"/>
          <w:bCs/>
          <w:sz w:val="20"/>
        </w:rPr>
        <w:t xml:space="preserve">25.2 </w:t>
      </w:r>
      <w:r>
        <w:rPr>
          <w:rFonts w:hint="eastAsia" w:ascii="宋体" w:hAnsi="宋体" w:cs="宋体"/>
          <w:bCs/>
          <w:sz w:val="20"/>
        </w:rPr>
        <w:t>《中标通知书》将作为签订合同的依据。</w:t>
      </w:r>
    </w:p>
    <w:p>
      <w:pPr>
        <w:pStyle w:val="421"/>
        <w:ind w:left="181" w:hanging="181"/>
        <w:jc w:val="center"/>
        <w:rPr>
          <w:rFonts w:ascii="宋体" w:hAnsi="宋体" w:eastAsia="宋体"/>
        </w:rPr>
      </w:pPr>
      <w:bookmarkStart w:id="28" w:name="_Toc12837"/>
      <w:r>
        <w:rPr>
          <w:rFonts w:hint="eastAsia" w:ascii="宋体" w:hAnsi="宋体" w:eastAsia="宋体"/>
        </w:rPr>
        <w:t>第八章</w:t>
      </w:r>
      <w:r>
        <w:rPr>
          <w:rFonts w:hint="eastAsia" w:ascii="宋体" w:hAnsi="宋体" w:eastAsia="宋体"/>
          <w:lang w:val="en-US" w:eastAsia="zh-CN"/>
        </w:rPr>
        <w:t xml:space="preserve"> </w:t>
      </w:r>
      <w:r>
        <w:rPr>
          <w:rFonts w:hint="eastAsia" w:ascii="宋体" w:hAnsi="宋体" w:eastAsia="宋体"/>
        </w:rPr>
        <w:t>授予合同</w:t>
      </w:r>
      <w:bookmarkEnd w:id="28"/>
    </w:p>
    <w:p>
      <w:pPr>
        <w:numPr>
          <w:ilvl w:val="0"/>
          <w:numId w:val="19"/>
        </w:numPr>
        <w:ind w:left="425" w:leftChars="0" w:hanging="425" w:firstLineChars="0"/>
        <w:rPr>
          <w:rFonts w:ascii="宋体" w:cs="宋体"/>
          <w:b/>
          <w:sz w:val="20"/>
        </w:rPr>
      </w:pPr>
      <w:r>
        <w:rPr>
          <w:rFonts w:hint="eastAsia" w:ascii="宋体" w:hAnsi="宋体" w:cs="宋体"/>
          <w:b/>
          <w:sz w:val="20"/>
        </w:rPr>
        <w:t>签订</w:t>
      </w:r>
      <w:r>
        <w:rPr>
          <w:rFonts w:hint="eastAsia" w:ascii="宋体" w:hAnsi="宋体" w:cs="宋体"/>
          <w:b/>
          <w:sz w:val="20"/>
          <w:szCs w:val="22"/>
        </w:rPr>
        <w:t>合同</w:t>
      </w:r>
    </w:p>
    <w:p>
      <w:pPr>
        <w:ind w:firstLine="400" w:firstLineChars="200"/>
        <w:rPr>
          <w:rFonts w:ascii="宋体" w:cs="宋体"/>
          <w:bCs/>
          <w:sz w:val="20"/>
        </w:rPr>
      </w:pPr>
      <w:r>
        <w:rPr>
          <w:rFonts w:ascii="宋体" w:hAnsi="宋体" w:cs="宋体"/>
          <w:bCs/>
          <w:sz w:val="20"/>
        </w:rPr>
        <w:t>26.1</w:t>
      </w:r>
      <w:r>
        <w:rPr>
          <w:rFonts w:hint="eastAsia" w:ascii="宋体" w:hAnsi="宋体" w:cs="宋体"/>
          <w:bCs/>
          <w:sz w:val="20"/>
          <w:lang w:val="en-US" w:eastAsia="zh-CN"/>
        </w:rPr>
        <w:t xml:space="preserve"> </w:t>
      </w:r>
      <w:r>
        <w:rPr>
          <w:rFonts w:hint="eastAsia" w:ascii="宋体" w:hAnsi="宋体" w:cs="宋体"/>
          <w:bCs/>
          <w:sz w:val="20"/>
        </w:rPr>
        <w:t>中标方收到招标方的《中标通知书》后</w:t>
      </w:r>
      <w:r>
        <w:rPr>
          <w:rFonts w:ascii="宋体" w:hAnsi="宋体" w:cs="宋体"/>
          <w:bCs/>
          <w:sz w:val="20"/>
        </w:rPr>
        <w:t>30</w:t>
      </w:r>
      <w:r>
        <w:rPr>
          <w:rFonts w:hint="eastAsia" w:ascii="宋体" w:hAnsi="宋体" w:cs="宋体"/>
          <w:bCs/>
          <w:sz w:val="20"/>
        </w:rPr>
        <w:t>日内，按照招标文件和中标方所投标书中的约定与采购单位签订书面合同，所签订的合同不得对招标文件和中标方的投标文件作实质性修改。</w:t>
      </w:r>
    </w:p>
    <w:p>
      <w:pPr>
        <w:ind w:firstLine="400" w:firstLineChars="200"/>
        <w:rPr>
          <w:rFonts w:ascii="宋体" w:cs="宋体"/>
          <w:bCs/>
          <w:sz w:val="20"/>
        </w:rPr>
      </w:pPr>
      <w:r>
        <w:rPr>
          <w:rFonts w:ascii="宋体" w:hAnsi="宋体" w:cs="宋体"/>
          <w:bCs/>
          <w:sz w:val="20"/>
        </w:rPr>
        <w:t xml:space="preserve">26.2 </w:t>
      </w:r>
      <w:r>
        <w:rPr>
          <w:rFonts w:hint="eastAsia" w:ascii="宋体" w:hAnsi="宋体" w:cs="宋体"/>
          <w:bCs/>
          <w:sz w:val="20"/>
        </w:rPr>
        <w:t>中标方须与采购单位分别签订硬件供货、软件及服务采购合同。</w:t>
      </w:r>
    </w:p>
    <w:p>
      <w:pPr>
        <w:ind w:firstLine="400" w:firstLineChars="200"/>
        <w:rPr>
          <w:rFonts w:ascii="宋体" w:cs="宋体"/>
          <w:bCs/>
          <w:sz w:val="20"/>
        </w:rPr>
      </w:pPr>
      <w:r>
        <w:rPr>
          <w:rFonts w:ascii="宋体" w:hAnsi="宋体" w:cs="宋体"/>
          <w:bCs/>
          <w:sz w:val="20"/>
        </w:rPr>
        <w:t xml:space="preserve">26.3 </w:t>
      </w:r>
      <w:r>
        <w:rPr>
          <w:rFonts w:hint="eastAsia" w:ascii="宋体" w:hAnsi="宋体" w:cs="宋体"/>
          <w:bCs/>
          <w:sz w:val="20"/>
        </w:rPr>
        <w:t>如中标方拒签合同，则按违约处理。招标方没收其投标保证金。</w:t>
      </w:r>
    </w:p>
    <w:p>
      <w:pPr>
        <w:ind w:firstLine="400" w:firstLineChars="200"/>
        <w:rPr>
          <w:rFonts w:ascii="宋体" w:cs="宋体"/>
          <w:bCs/>
          <w:sz w:val="20"/>
        </w:rPr>
      </w:pPr>
      <w:r>
        <w:rPr>
          <w:rFonts w:ascii="宋体" w:hAnsi="宋体" w:cs="宋体"/>
          <w:bCs/>
          <w:sz w:val="20"/>
        </w:rPr>
        <w:t xml:space="preserve">26.4 </w:t>
      </w:r>
      <w:r>
        <w:rPr>
          <w:rFonts w:hint="eastAsia" w:ascii="宋体" w:hAnsi="宋体" w:cs="宋体"/>
          <w:bCs/>
          <w:sz w:val="20"/>
        </w:rPr>
        <w:t>招标文件、中标方的投标文件及其澄清文件等，均为签订经济合同的依据。</w:t>
      </w:r>
    </w:p>
    <w:p>
      <w:pPr>
        <w:ind w:firstLine="400" w:firstLineChars="200"/>
        <w:rPr>
          <w:rFonts w:ascii="宋体" w:cs="宋体"/>
          <w:bCs/>
          <w:sz w:val="20"/>
        </w:rPr>
      </w:pPr>
      <w:r>
        <w:rPr>
          <w:rFonts w:ascii="宋体" w:hAnsi="宋体" w:cs="宋体"/>
          <w:bCs/>
          <w:sz w:val="20"/>
        </w:rPr>
        <w:t xml:space="preserve">26.5 </w:t>
      </w:r>
      <w:r>
        <w:rPr>
          <w:rFonts w:hint="eastAsia" w:ascii="宋体" w:hAnsi="宋体" w:cs="宋体"/>
          <w:bCs/>
          <w:sz w:val="20"/>
        </w:rPr>
        <w:t>禁止中标人将中标项目转包。如中标人为总集成服务商，经招标人同意，中标人可以将合同标的中的部分由第三方承担供货和服务责任，但中标方必须对合同标的的全部内容向招标方负责，并保证第三方提供的供货和服务符合招标文件的约定和投标文件的承诺及相关约定，同时确保项目进度和质量符合招标人要求。</w:t>
      </w:r>
    </w:p>
    <w:p>
      <w:pPr>
        <w:pStyle w:val="545"/>
        <w:ind w:left="0" w:firstLine="0" w:firstLineChars="0"/>
        <w:rPr>
          <w:rFonts w:ascii="宋体" w:hAnsi="宋体" w:eastAsia="宋体"/>
        </w:rPr>
      </w:pPr>
      <w:bookmarkStart w:id="29" w:name="_Toc29844"/>
      <w:r>
        <w:rPr>
          <w:rFonts w:hint="eastAsia" w:ascii="宋体" w:hAnsi="宋体" w:eastAsia="宋体"/>
        </w:rPr>
        <w:t>第四部分</w:t>
      </w:r>
      <w:r>
        <w:rPr>
          <w:rFonts w:ascii="宋体" w:hAnsi="宋体" w:eastAsia="宋体"/>
        </w:rPr>
        <w:t xml:space="preserve"> </w:t>
      </w:r>
      <w:r>
        <w:rPr>
          <w:rFonts w:hint="eastAsia" w:ascii="宋体" w:hAnsi="宋体" w:eastAsia="宋体"/>
        </w:rPr>
        <w:t>货物需求一览表及技术规格</w:t>
      </w:r>
      <w:bookmarkEnd w:id="29"/>
    </w:p>
    <w:p>
      <w:pPr>
        <w:pStyle w:val="551"/>
        <w:ind w:firstLine="420" w:firstLineChars="0"/>
        <w:rPr>
          <w:rFonts w:ascii="宋体"/>
          <w:lang w:val="zh-CN"/>
        </w:rPr>
      </w:pPr>
      <w:r>
        <w:rPr>
          <w:rFonts w:hint="eastAsia" w:ascii="宋体" w:hAnsi="宋体"/>
          <w:lang w:val="zh-CN"/>
        </w:rPr>
        <w:t>本次招标项目</w:t>
      </w:r>
      <w:r>
        <w:rPr>
          <w:rFonts w:hint="eastAsia"/>
          <w:lang w:val="en-US" w:eastAsia="zh-CN"/>
        </w:rPr>
        <w:t>结合哈密智慧城市大数据中心一期云平台现状和新的建设要求，</w:t>
      </w:r>
      <w:r>
        <w:rPr>
          <w:rFonts w:hint="eastAsia" w:ascii="宋体" w:hAnsi="宋体"/>
          <w:lang w:val="zh-CN"/>
        </w:rPr>
        <w:t>各投标人自行设计投标方案。</w:t>
      </w:r>
    </w:p>
    <w:p>
      <w:pPr>
        <w:spacing w:line="360" w:lineRule="auto"/>
        <w:ind w:firstLine="480" w:firstLineChars="200"/>
        <w:rPr>
          <w:rFonts w:ascii="宋体" w:cs="宋体"/>
          <w:kern w:val="0"/>
          <w:sz w:val="28"/>
          <w:szCs w:val="28"/>
        </w:rPr>
      </w:pPr>
      <w:r>
        <w:rPr>
          <w:rFonts w:hint="eastAsia" w:ascii="宋体" w:hAnsi="宋体" w:cs="Times New Roman"/>
          <w:sz w:val="24"/>
          <w:szCs w:val="21"/>
        </w:rPr>
        <w:t>此项目平台部署及测试须在</w:t>
      </w:r>
      <w:r>
        <w:rPr>
          <w:rFonts w:hint="eastAsia" w:ascii="宋体" w:hAnsi="宋体" w:cs="Times New Roman"/>
          <w:sz w:val="24"/>
          <w:szCs w:val="21"/>
          <w:highlight w:val="none"/>
        </w:rPr>
        <w:t>20</w:t>
      </w:r>
      <w:r>
        <w:rPr>
          <w:rFonts w:hint="eastAsia" w:ascii="宋体" w:hAnsi="宋体" w:cs="Times New Roman"/>
          <w:sz w:val="24"/>
          <w:szCs w:val="21"/>
          <w:highlight w:val="none"/>
          <w:lang w:val="en-US" w:eastAsia="zh-CN"/>
        </w:rPr>
        <w:t>20</w:t>
      </w:r>
      <w:r>
        <w:rPr>
          <w:rFonts w:hint="eastAsia" w:ascii="宋体" w:hAnsi="宋体" w:cs="Times New Roman"/>
          <w:sz w:val="24"/>
          <w:szCs w:val="21"/>
          <w:highlight w:val="none"/>
        </w:rPr>
        <w:t>年</w:t>
      </w:r>
      <w:r>
        <w:rPr>
          <w:rFonts w:hint="eastAsia" w:ascii="宋体" w:hAnsi="宋体" w:cs="Times New Roman"/>
          <w:sz w:val="24"/>
          <w:szCs w:val="21"/>
          <w:highlight w:val="none"/>
          <w:lang w:val="en-US" w:eastAsia="zh-CN"/>
        </w:rPr>
        <w:t>11</w:t>
      </w:r>
      <w:r>
        <w:rPr>
          <w:rFonts w:hint="eastAsia" w:ascii="宋体" w:hAnsi="宋体" w:cs="Times New Roman"/>
          <w:sz w:val="24"/>
          <w:szCs w:val="21"/>
          <w:highlight w:val="none"/>
        </w:rPr>
        <w:t>月</w:t>
      </w:r>
      <w:r>
        <w:rPr>
          <w:rFonts w:hint="eastAsia" w:ascii="宋体" w:hAnsi="宋体" w:cs="Times New Roman"/>
          <w:sz w:val="24"/>
          <w:szCs w:val="21"/>
          <w:highlight w:val="none"/>
          <w:lang w:val="en-US" w:eastAsia="zh-CN"/>
        </w:rPr>
        <w:t>1</w:t>
      </w:r>
      <w:r>
        <w:rPr>
          <w:rFonts w:hint="eastAsia" w:ascii="宋体" w:hAnsi="宋体" w:cs="Times New Roman"/>
          <w:sz w:val="24"/>
          <w:szCs w:val="21"/>
          <w:highlight w:val="none"/>
        </w:rPr>
        <w:t>日</w:t>
      </w:r>
      <w:r>
        <w:rPr>
          <w:rFonts w:hint="eastAsia" w:ascii="宋体" w:hAnsi="宋体" w:cs="Times New Roman"/>
          <w:sz w:val="24"/>
          <w:szCs w:val="21"/>
        </w:rPr>
        <w:t>前完成。</w:t>
      </w:r>
    </w:p>
    <w:p>
      <w:pPr>
        <w:pStyle w:val="421"/>
        <w:ind w:left="181" w:hanging="181"/>
        <w:jc w:val="center"/>
        <w:rPr>
          <w:rFonts w:ascii="宋体"/>
        </w:rPr>
      </w:pPr>
      <w:bookmarkStart w:id="30" w:name="_Toc3567"/>
      <w:r>
        <w:rPr>
          <w:rFonts w:hint="eastAsia" w:ascii="宋体" w:hAnsi="宋体" w:eastAsia="宋体"/>
        </w:rPr>
        <w:t>一</w:t>
      </w:r>
      <w:r>
        <w:rPr>
          <w:rFonts w:hint="eastAsia" w:ascii="宋体" w:hAnsi="宋体" w:eastAsia="宋体"/>
          <w:lang w:val="en-US" w:eastAsia="zh-CN"/>
        </w:rPr>
        <w:t>.</w:t>
      </w:r>
      <w:r>
        <w:rPr>
          <w:rFonts w:hint="eastAsia" w:ascii="宋体" w:hAnsi="宋体" w:eastAsia="宋体"/>
          <w:lang w:eastAsia="zh-CN"/>
        </w:rPr>
        <w:t>哈密市智慧政务（“互联网+”及信息技术综合应用工程）一期</w:t>
      </w:r>
      <w:r>
        <w:rPr>
          <w:rFonts w:hint="eastAsia" w:ascii="宋体" w:hAnsi="宋体" w:eastAsia="宋体"/>
          <w:lang w:val="en-US" w:eastAsia="zh-CN"/>
        </w:rPr>
        <w:t>电子政务外网机房扩容</w:t>
      </w:r>
      <w:r>
        <w:rPr>
          <w:rFonts w:hint="eastAsia" w:ascii="宋体" w:hAnsi="宋体" w:eastAsia="宋体"/>
        </w:rPr>
        <w:t>采购项目</w:t>
      </w:r>
      <w:r>
        <w:rPr>
          <w:rFonts w:hint="eastAsia" w:ascii="宋体" w:hAnsi="宋体" w:eastAsia="宋体"/>
          <w:lang w:val="en-US" w:eastAsia="zh-CN"/>
        </w:rPr>
        <w:t>总集成、服务器、网络设备及云平台</w:t>
      </w:r>
      <w:bookmarkEnd w:id="30"/>
    </w:p>
    <w:p>
      <w:pPr>
        <w:keepNext w:val="0"/>
        <w:keepLines w:val="0"/>
        <w:pageBreakBefore w:val="0"/>
        <w:widowControl w:val="0"/>
        <w:numPr>
          <w:ilvl w:val="1"/>
          <w:numId w:val="27"/>
        </w:numPr>
        <w:kinsoku/>
        <w:wordWrap/>
        <w:overflowPunct/>
        <w:topLinePunct w:val="0"/>
        <w:autoSpaceDE/>
        <w:autoSpaceDN/>
        <w:bidi w:val="0"/>
        <w:adjustRightInd/>
        <w:snapToGrid/>
        <w:spacing w:before="240" w:after="313" w:afterLines="100" w:line="360" w:lineRule="auto"/>
        <w:ind w:left="0" w:leftChars="0" w:firstLine="63" w:firstLineChars="0"/>
        <w:textAlignment w:val="auto"/>
        <w:outlineLvl w:val="1"/>
        <w:rPr>
          <w:rFonts w:hint="eastAsia" w:ascii="宋体" w:hAnsi="宋体" w:cs="Times New Roman"/>
          <w:b/>
          <w:sz w:val="28"/>
          <w:szCs w:val="21"/>
        </w:rPr>
      </w:pPr>
      <w:bookmarkStart w:id="31" w:name="_Toc4955"/>
      <w:r>
        <w:rPr>
          <w:rFonts w:hint="eastAsia" w:ascii="宋体" w:hAnsi="宋体" w:cs="Times New Roman"/>
          <w:b/>
          <w:sz w:val="28"/>
          <w:szCs w:val="21"/>
        </w:rPr>
        <w:t>采购清单</w:t>
      </w:r>
      <w:bookmarkEnd w:id="31"/>
    </w:p>
    <w:tbl>
      <w:tblPr>
        <w:tblStyle w:val="73"/>
        <w:tblW w:w="8405" w:type="dxa"/>
        <w:jc w:val="center"/>
        <w:shd w:val="clear" w:color="auto" w:fill="auto"/>
        <w:tblLayout w:type="fixed"/>
        <w:tblCellMar>
          <w:top w:w="0" w:type="dxa"/>
          <w:left w:w="0" w:type="dxa"/>
          <w:bottom w:w="0" w:type="dxa"/>
          <w:right w:w="0" w:type="dxa"/>
        </w:tblCellMar>
      </w:tblPr>
      <w:tblGrid>
        <w:gridCol w:w="1000"/>
        <w:gridCol w:w="1040"/>
        <w:gridCol w:w="3894"/>
        <w:gridCol w:w="1412"/>
        <w:gridCol w:w="1059"/>
      </w:tblGrid>
      <w:tr>
        <w:tblPrEx>
          <w:shd w:val="clear" w:color="auto" w:fill="auto"/>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left="0" w:leftChars="0"/>
              <w:jc w:val="center"/>
              <w:rPr>
                <w:rFonts w:hint="eastAsia" w:ascii="宋体" w:hAnsi="宋体" w:eastAsia="宋体" w:cs="宋体"/>
                <w:b/>
                <w:i w:val="0"/>
                <w:color w:val="000000"/>
                <w:sz w:val="22"/>
                <w:szCs w:val="22"/>
                <w:u w:val="none"/>
                <w:lang w:val="en-US" w:eastAsia="zh-CN"/>
              </w:rPr>
            </w:pPr>
            <w:bookmarkStart w:id="32" w:name="_Toc6251915"/>
            <w:r>
              <w:rPr>
                <w:rFonts w:hint="eastAsia" w:ascii="宋体" w:hAnsi="宋体" w:cs="宋体"/>
                <w:b/>
                <w:i w:val="0"/>
                <w:color w:val="000000"/>
                <w:sz w:val="22"/>
                <w:szCs w:val="22"/>
                <w:u w:val="none"/>
                <w:lang w:val="en-US" w:eastAsia="zh-CN"/>
              </w:rPr>
              <w:t>序号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left="0" w:leftChars="0"/>
              <w:jc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项目</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left="0" w:leftChars="0"/>
              <w:jc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分项</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left="0" w:leftChars="0"/>
              <w:jc w:val="center"/>
              <w:rPr>
                <w:rFonts w:hint="eastAsia" w:ascii="宋体" w:hAnsi="宋体" w:eastAsia="宋体" w:cs="宋体"/>
                <w:b/>
                <w:i w:val="0"/>
                <w:color w:val="000000"/>
                <w:sz w:val="22"/>
                <w:szCs w:val="22"/>
                <w:u w:val="none"/>
              </w:rPr>
            </w:pPr>
            <w:r>
              <w:rPr>
                <w:rFonts w:hint="eastAsia" w:ascii="宋体" w:hAnsi="宋体" w:cs="宋体"/>
                <w:b/>
                <w:i w:val="0"/>
                <w:color w:val="000000"/>
                <w:sz w:val="22"/>
                <w:szCs w:val="22"/>
                <w:u w:val="none"/>
                <w:lang w:val="en-US" w:eastAsia="zh-CN"/>
              </w:rPr>
              <w:t>单位</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left="0" w:leftChars="0"/>
              <w:jc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数量</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0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服务器（含CPU授权）</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存储计算型服务器（</w:t>
            </w:r>
            <w:r>
              <w:rPr>
                <w:rFonts w:hint="eastAsia" w:ascii="宋体" w:hAnsi="宋体" w:eastAsia="宋体" w:cs="宋体"/>
                <w:i w:val="0"/>
                <w:color w:val="000000"/>
                <w:kern w:val="0"/>
                <w:sz w:val="20"/>
                <w:szCs w:val="20"/>
                <w:u w:val="none"/>
                <w:lang w:val="en-US" w:eastAsia="zh-CN" w:bidi="ar"/>
              </w:rPr>
              <w:t>管控节点</w:t>
            </w:r>
            <w:r>
              <w:rPr>
                <w:rFonts w:hint="eastAsia" w:ascii="宋体" w:hAnsi="宋体" w:cs="宋体"/>
                <w:i w:val="0"/>
                <w:color w:val="000000"/>
                <w:kern w:val="0"/>
                <w:sz w:val="20"/>
                <w:szCs w:val="20"/>
                <w:u w:val="none"/>
                <w:lang w:val="en-US" w:eastAsia="zh-CN" w:bidi="ar"/>
              </w:rPr>
              <w:t>）</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3</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0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存储计算型服务器（</w:t>
            </w:r>
            <w:r>
              <w:rPr>
                <w:rFonts w:hint="eastAsia" w:ascii="宋体" w:hAnsi="宋体" w:eastAsia="宋体" w:cs="宋体"/>
                <w:i w:val="0"/>
                <w:color w:val="000000"/>
                <w:kern w:val="0"/>
                <w:sz w:val="20"/>
                <w:szCs w:val="20"/>
                <w:u w:val="none"/>
                <w:lang w:val="en-US" w:eastAsia="zh-CN" w:bidi="ar"/>
              </w:rPr>
              <w:t>弹性计算</w:t>
            </w:r>
            <w:r>
              <w:rPr>
                <w:rFonts w:hint="eastAsia" w:ascii="宋体" w:hAnsi="宋体" w:cs="宋体"/>
                <w:i w:val="0"/>
                <w:color w:val="000000"/>
                <w:kern w:val="0"/>
                <w:sz w:val="20"/>
                <w:szCs w:val="20"/>
                <w:u w:val="none"/>
                <w:lang w:val="en-US" w:eastAsia="zh-CN" w:bidi="ar"/>
              </w:rPr>
              <w:t>）</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r>
              <w:rPr>
                <w:rFonts w:hint="eastAsia" w:ascii="Arial" w:hAnsi="Arial" w:cs="Arial"/>
                <w:i w:val="0"/>
                <w:color w:val="000000"/>
                <w:kern w:val="0"/>
                <w:sz w:val="20"/>
                <w:szCs w:val="20"/>
                <w:u w:val="none"/>
                <w:lang w:val="en-US" w:eastAsia="zh-CN" w:bidi="ar"/>
              </w:rPr>
              <w:t>2</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0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交换机</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0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万兆网络交换机</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0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千兆网络交换机</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6</w:t>
            </w:r>
          </w:p>
        </w:tc>
        <w:tc>
          <w:tcPr>
            <w:tcW w:w="10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光纤交换机</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台</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w:t>
            </w:r>
          </w:p>
        </w:tc>
      </w:tr>
      <w:tr>
        <w:tblPrEx>
          <w:tblCellMar>
            <w:top w:w="0" w:type="dxa"/>
            <w:left w:w="0" w:type="dxa"/>
            <w:bottom w:w="0" w:type="dxa"/>
            <w:right w:w="0" w:type="dxa"/>
          </w:tblCellMar>
        </w:tblPrEx>
        <w:trPr>
          <w:cantSplit/>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存储设备</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Arial" w:hAnsi="Arial" w:cs="Arial"/>
                <w:i w:val="0"/>
                <w:color w:val="000000"/>
                <w:kern w:val="0"/>
                <w:sz w:val="20"/>
                <w:szCs w:val="20"/>
                <w:u w:val="none"/>
                <w:lang w:val="en-US" w:eastAsia="zh-CN" w:bidi="ar"/>
              </w:rPr>
              <w:t>Fcsan存储</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套</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云平台</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云平台</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9</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内存条</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长城超云DDR4 2400 32GB</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条</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60</w:t>
            </w:r>
          </w:p>
        </w:tc>
      </w:tr>
      <w:tr>
        <w:tblPrEx>
          <w:tblCellMar>
            <w:top w:w="0" w:type="dxa"/>
            <w:left w:w="0" w:type="dxa"/>
            <w:bottom w:w="0" w:type="dxa"/>
            <w:right w:w="0" w:type="dxa"/>
          </w:tblCellMar>
        </w:tblPrEx>
        <w:trPr>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负载均衡几口授权</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AD-7050链路授权</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个</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11</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辅材</w:t>
            </w:r>
          </w:p>
        </w:tc>
        <w:tc>
          <w:tcPr>
            <w:tcW w:w="3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网线、光纤、光模块等</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宋体" w:hAnsi="宋体" w:cs="宋体"/>
                <w:i w:val="0"/>
                <w:color w:val="000000"/>
                <w:sz w:val="20"/>
                <w:szCs w:val="20"/>
                <w:u w:val="none"/>
                <w:lang w:val="en-US" w:eastAsia="zh-CN"/>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jc w:val="center"/>
              <w:textAlignment w:val="center"/>
              <w:rPr>
                <w:rFonts w:hint="eastAsia" w:ascii="Arial" w:hAnsi="Arial" w:cs="Arial"/>
                <w:i w:val="0"/>
                <w:color w:val="000000"/>
                <w:kern w:val="0"/>
                <w:sz w:val="20"/>
                <w:szCs w:val="20"/>
                <w:u w:val="none"/>
                <w:lang w:val="en-US" w:eastAsia="zh-CN" w:bidi="ar"/>
              </w:rPr>
            </w:pPr>
          </w:p>
        </w:tc>
      </w:tr>
      <w:bookmarkEnd w:id="32"/>
    </w:tbl>
    <w:p>
      <w:pPr>
        <w:numPr>
          <w:ilvl w:val="1"/>
          <w:numId w:val="27"/>
        </w:numPr>
        <w:spacing w:before="240" w:after="240" w:line="360" w:lineRule="auto"/>
        <w:ind w:left="0" w:leftChars="0" w:firstLine="63" w:firstLineChars="0"/>
        <w:outlineLvl w:val="1"/>
        <w:rPr>
          <w:rFonts w:ascii="宋体"/>
          <w:b/>
          <w:sz w:val="28"/>
          <w:szCs w:val="21"/>
          <w:lang w:val="zh-CN"/>
        </w:rPr>
      </w:pPr>
      <w:bookmarkStart w:id="33" w:name="_Toc6251916"/>
      <w:bookmarkStart w:id="34" w:name="_Toc29773"/>
      <w:r>
        <w:rPr>
          <w:rFonts w:hint="eastAsia" w:ascii="宋体" w:hAnsi="宋体"/>
          <w:b/>
          <w:sz w:val="28"/>
          <w:szCs w:val="21"/>
        </w:rPr>
        <w:t>技术要求</w:t>
      </w:r>
      <w:bookmarkEnd w:id="33"/>
      <w:bookmarkEnd w:id="34"/>
      <w:r>
        <w:rPr>
          <w:rFonts w:hint="eastAsia" w:ascii="宋体" w:hAnsi="宋体"/>
          <w:b/>
          <w:sz w:val="28"/>
          <w:szCs w:val="21"/>
          <w:lang w:val="en-US" w:eastAsia="zh-CN"/>
        </w:rPr>
        <w:t xml:space="preserve">  </w:t>
      </w:r>
    </w:p>
    <w:p>
      <w:pPr>
        <w:keepNext w:val="0"/>
        <w:keepLines w:val="0"/>
        <w:pageBreakBefore w:val="0"/>
        <w:widowControl w:val="0"/>
        <w:numPr>
          <w:ilvl w:val="2"/>
          <w:numId w:val="27"/>
        </w:numPr>
        <w:kinsoku/>
        <w:wordWrap/>
        <w:overflowPunct/>
        <w:topLinePunct w:val="0"/>
        <w:autoSpaceDE/>
        <w:autoSpaceDN/>
        <w:bidi w:val="0"/>
        <w:adjustRightInd/>
        <w:snapToGrid/>
        <w:spacing w:before="240" w:line="360" w:lineRule="auto"/>
        <w:ind w:left="709" w:leftChars="0" w:hanging="709" w:firstLineChars="0"/>
        <w:textAlignment w:val="auto"/>
        <w:outlineLvl w:val="2"/>
        <w:rPr>
          <w:rFonts w:ascii="宋体"/>
          <w:b/>
          <w:sz w:val="28"/>
          <w:szCs w:val="21"/>
        </w:rPr>
      </w:pPr>
      <w:bookmarkStart w:id="35" w:name="_Toc6251918"/>
      <w:bookmarkStart w:id="36" w:name="_Toc3268"/>
      <w:r>
        <w:rPr>
          <w:rFonts w:hint="eastAsia" w:ascii="宋体" w:hAnsi="宋体"/>
          <w:b/>
          <w:sz w:val="28"/>
          <w:szCs w:val="21"/>
          <w:lang w:val="zh-CN"/>
        </w:rPr>
        <w:t>哈密市智慧政务（“互联网+”及信息技术综合应用工程）</w:t>
      </w:r>
      <w:r>
        <w:rPr>
          <w:rFonts w:hint="eastAsia" w:ascii="宋体" w:hAnsi="宋体"/>
          <w:b/>
          <w:sz w:val="28"/>
          <w:szCs w:val="21"/>
          <w:lang w:val="en-US" w:eastAsia="zh-CN"/>
        </w:rPr>
        <w:t>一期电子政务外网机房扩容</w:t>
      </w:r>
      <w:r>
        <w:rPr>
          <w:rFonts w:hint="eastAsia" w:ascii="宋体" w:hAnsi="宋体"/>
          <w:b/>
          <w:sz w:val="28"/>
          <w:szCs w:val="21"/>
          <w:lang w:val="zh-CN"/>
        </w:rPr>
        <w:t>云</w:t>
      </w:r>
      <w:r>
        <w:rPr>
          <w:rFonts w:hint="eastAsia" w:ascii="宋体" w:hAnsi="宋体"/>
          <w:b/>
          <w:sz w:val="28"/>
          <w:szCs w:val="21"/>
        </w:rPr>
        <w:t>平台技术要求</w:t>
      </w:r>
      <w:bookmarkEnd w:id="35"/>
      <w:bookmarkEnd w:id="36"/>
    </w:p>
    <w:p>
      <w:pPr>
        <w:numPr>
          <w:ilvl w:val="0"/>
          <w:numId w:val="28"/>
        </w:numPr>
        <w:spacing w:before="240" w:after="240" w:line="360" w:lineRule="auto"/>
        <w:ind w:left="425" w:leftChars="0" w:hanging="425" w:firstLineChars="0"/>
        <w:outlineLvl w:val="3"/>
        <w:rPr>
          <w:rFonts w:ascii="宋体"/>
          <w:b/>
          <w:sz w:val="28"/>
          <w:szCs w:val="21"/>
        </w:rPr>
      </w:pPr>
      <w:r>
        <w:rPr>
          <w:rFonts w:hint="eastAsia" w:ascii="宋体" w:hAnsi="宋体"/>
          <w:b/>
          <w:sz w:val="28"/>
          <w:szCs w:val="21"/>
          <w:lang w:val="en-US" w:eastAsia="zh-CN"/>
        </w:rPr>
        <w:t xml:space="preserve"> </w:t>
      </w:r>
      <w:r>
        <w:rPr>
          <w:rFonts w:hint="eastAsia" w:ascii="宋体" w:hAnsi="宋体"/>
          <w:b/>
          <w:sz w:val="28"/>
          <w:szCs w:val="21"/>
        </w:rPr>
        <w:t>虚拟化云平台</w:t>
      </w:r>
    </w:p>
    <w:p>
      <w:pPr>
        <w:spacing w:line="360" w:lineRule="auto"/>
        <w:ind w:firstLine="480" w:firstLineChars="200"/>
        <w:rPr>
          <w:rFonts w:ascii="宋体" w:hAnsi="宋体" w:cs="宋体"/>
          <w:sz w:val="24"/>
          <w:szCs w:val="21"/>
        </w:rPr>
      </w:pPr>
      <w:r>
        <w:rPr>
          <w:rFonts w:hint="eastAsia" w:ascii="宋体" w:hAnsi="宋体"/>
          <w:color w:val="auto"/>
          <w:sz w:val="24"/>
          <w:szCs w:val="21"/>
          <w:lang w:val="zh-CN"/>
        </w:rPr>
        <w:t>哈密</w:t>
      </w:r>
      <w:r>
        <w:rPr>
          <w:rFonts w:hint="eastAsia" w:ascii="宋体" w:hAnsi="宋体"/>
          <w:color w:val="auto"/>
          <w:sz w:val="24"/>
          <w:szCs w:val="21"/>
          <w:lang w:val="en-US" w:eastAsia="zh-CN"/>
        </w:rPr>
        <w:t>市</w:t>
      </w:r>
      <w:r>
        <w:rPr>
          <w:rFonts w:hint="eastAsia" w:ascii="宋体" w:hAnsi="宋体"/>
          <w:color w:val="auto"/>
          <w:sz w:val="24"/>
          <w:szCs w:val="21"/>
          <w:lang w:val="zh-CN"/>
        </w:rPr>
        <w:t>智慧</w:t>
      </w:r>
      <w:r>
        <w:rPr>
          <w:rFonts w:hint="eastAsia" w:ascii="宋体" w:hAnsi="宋体"/>
          <w:color w:val="auto"/>
          <w:sz w:val="24"/>
          <w:szCs w:val="21"/>
        </w:rPr>
        <w:t>政务</w:t>
      </w:r>
      <w:r>
        <w:rPr>
          <w:rFonts w:hint="eastAsia" w:ascii="宋体" w:hAnsi="宋体"/>
          <w:color w:val="auto"/>
          <w:sz w:val="24"/>
          <w:szCs w:val="21"/>
          <w:lang w:val="en-US" w:eastAsia="zh-CN"/>
        </w:rPr>
        <w:t>电子政务外网扩容</w:t>
      </w:r>
      <w:r>
        <w:rPr>
          <w:rFonts w:hint="eastAsia" w:ascii="宋体" w:hAnsi="宋体"/>
          <w:color w:val="auto"/>
          <w:sz w:val="24"/>
          <w:szCs w:val="21"/>
          <w:lang w:val="zh-CN"/>
        </w:rPr>
        <w:t>云平台需要与</w:t>
      </w:r>
      <w:r>
        <w:rPr>
          <w:rFonts w:hint="eastAsia" w:ascii="宋体" w:hAnsi="宋体"/>
          <w:color w:val="auto"/>
          <w:sz w:val="24"/>
          <w:szCs w:val="21"/>
          <w:lang w:val="zh-CN" w:eastAsia="zh-CN"/>
        </w:rPr>
        <w:t>哈密智慧</w:t>
      </w:r>
      <w:r>
        <w:rPr>
          <w:rFonts w:hint="eastAsia" w:ascii="宋体" w:hAnsi="宋体"/>
          <w:color w:val="auto"/>
          <w:sz w:val="24"/>
          <w:szCs w:val="21"/>
          <w:lang w:val="en-US" w:eastAsia="zh-CN"/>
        </w:rPr>
        <w:t>政务</w:t>
      </w:r>
      <w:r>
        <w:rPr>
          <w:rFonts w:hint="eastAsia" w:ascii="宋体" w:hAnsi="宋体" w:cs="宋体"/>
          <w:color w:val="auto"/>
          <w:sz w:val="24"/>
          <w:szCs w:val="21"/>
          <w:lang w:val="zh-CN"/>
        </w:rPr>
        <w:t>一期云平台保持一致性及互联互通，</w:t>
      </w:r>
      <w:r>
        <w:rPr>
          <w:rFonts w:hint="eastAsia" w:ascii="宋体" w:hAnsi="宋体" w:cs="宋体"/>
          <w:color w:val="auto"/>
          <w:sz w:val="24"/>
          <w:szCs w:val="21"/>
          <w:lang w:val="en-US" w:eastAsia="zh-CN"/>
        </w:rPr>
        <w:t>可管控</w:t>
      </w:r>
      <w:r>
        <w:rPr>
          <w:rFonts w:hint="eastAsia" w:ascii="宋体" w:hAnsi="宋体" w:cs="宋体"/>
          <w:color w:val="auto"/>
          <w:sz w:val="24"/>
          <w:szCs w:val="21"/>
          <w:lang w:val="zh-CN" w:eastAsia="zh-CN"/>
        </w:rPr>
        <w:t>哈密智慧</w:t>
      </w:r>
      <w:r>
        <w:rPr>
          <w:rFonts w:hint="eastAsia" w:ascii="宋体" w:hAnsi="宋体" w:cs="宋体"/>
          <w:color w:val="auto"/>
          <w:sz w:val="24"/>
          <w:szCs w:val="21"/>
          <w:lang w:val="en-US" w:eastAsia="zh-CN"/>
        </w:rPr>
        <w:t>政务</w:t>
      </w:r>
      <w:r>
        <w:rPr>
          <w:rFonts w:hint="eastAsia" w:ascii="宋体" w:hAnsi="宋体" w:cs="宋体"/>
          <w:color w:val="auto"/>
          <w:sz w:val="24"/>
          <w:szCs w:val="21"/>
          <w:lang w:val="zh-CN"/>
        </w:rPr>
        <w:t>一期</w:t>
      </w:r>
      <w:r>
        <w:rPr>
          <w:rFonts w:hint="eastAsia" w:ascii="宋体" w:hAnsi="宋体" w:cs="宋体"/>
          <w:color w:val="auto"/>
          <w:sz w:val="24"/>
          <w:szCs w:val="21"/>
        </w:rPr>
        <w:t>现有的云平台，</w:t>
      </w:r>
      <w:bookmarkStart w:id="37" w:name="OLE_LINK4"/>
      <w:bookmarkStart w:id="38" w:name="OLE_LINK5"/>
      <w:r>
        <w:rPr>
          <w:rFonts w:hint="eastAsia" w:ascii="宋体" w:hAnsi="宋体" w:cs="宋体"/>
          <w:sz w:val="24"/>
          <w:szCs w:val="21"/>
        </w:rPr>
        <w:t>提供构建完整的基础设施服务（</w:t>
      </w:r>
      <w:r>
        <w:rPr>
          <w:rFonts w:ascii="宋体" w:hAnsi="宋体" w:cs="宋体"/>
          <w:sz w:val="24"/>
          <w:szCs w:val="21"/>
        </w:rPr>
        <w:t>IaaS</w:t>
      </w:r>
      <w:r>
        <w:rPr>
          <w:rFonts w:hint="eastAsia" w:ascii="宋体" w:hAnsi="宋体" w:cs="宋体"/>
          <w:sz w:val="24"/>
          <w:szCs w:val="21"/>
        </w:rPr>
        <w:t>）云计算平台方案，以及云的调度能力，能够为政务客户提供完整的云计算资源管理平台</w:t>
      </w:r>
      <w:bookmarkEnd w:id="37"/>
      <w:bookmarkEnd w:id="38"/>
      <w:r>
        <w:rPr>
          <w:rFonts w:hint="eastAsia" w:ascii="宋体" w:hAnsi="宋体" w:cs="宋体"/>
          <w:sz w:val="24"/>
          <w:szCs w:val="21"/>
        </w:rPr>
        <w:t>。</w:t>
      </w:r>
    </w:p>
    <w:p>
      <w:pPr>
        <w:spacing w:line="360" w:lineRule="auto"/>
        <w:ind w:firstLine="480" w:firstLineChars="200"/>
        <w:rPr>
          <w:rFonts w:hint="eastAsia" w:ascii="宋体" w:eastAsia="宋体"/>
          <w:sz w:val="24"/>
          <w:szCs w:val="21"/>
          <w:lang w:eastAsia="zh-CN"/>
        </w:rPr>
      </w:pPr>
      <w:r>
        <w:rPr>
          <w:rFonts w:hint="eastAsia" w:ascii="宋体" w:hAnsi="宋体"/>
          <w:sz w:val="24"/>
          <w:szCs w:val="21"/>
        </w:rPr>
        <w:t>物理层和虚拟化层，提供硬件资源基础管理，基于硬件来构建池化的虚拟资源，包括服务器虚拟化、存储虚拟化、网络虚拟化和监控</w:t>
      </w:r>
      <w:r>
        <w:rPr>
          <w:rFonts w:ascii="宋体" w:hAnsi="宋体"/>
          <w:sz w:val="24"/>
          <w:szCs w:val="21"/>
        </w:rPr>
        <w:t>/</w:t>
      </w:r>
      <w:r>
        <w:rPr>
          <w:rFonts w:hint="eastAsia" w:ascii="宋体" w:hAnsi="宋体"/>
          <w:sz w:val="24"/>
          <w:szCs w:val="21"/>
        </w:rPr>
        <w:t>运维系统等</w:t>
      </w:r>
      <w:r>
        <w:rPr>
          <w:rFonts w:hint="eastAsia" w:ascii="宋体" w:hAnsi="宋体"/>
          <w:sz w:val="24"/>
          <w:szCs w:val="21"/>
          <w:lang w:eastAsia="zh-CN"/>
        </w:rPr>
        <w:t>。</w:t>
      </w:r>
    </w:p>
    <w:p>
      <w:pPr>
        <w:spacing w:line="360" w:lineRule="auto"/>
        <w:ind w:firstLine="480" w:firstLineChars="200"/>
        <w:rPr>
          <w:rFonts w:hint="eastAsia" w:ascii="宋体" w:eastAsia="宋体"/>
          <w:sz w:val="24"/>
          <w:szCs w:val="21"/>
          <w:lang w:eastAsia="zh-CN"/>
        </w:rPr>
      </w:pPr>
      <w:r>
        <w:rPr>
          <w:rFonts w:hint="eastAsia" w:ascii="宋体" w:hAnsi="宋体"/>
          <w:sz w:val="24"/>
          <w:szCs w:val="21"/>
        </w:rPr>
        <w:t>云服务层，平台向管理员</w:t>
      </w:r>
      <w:r>
        <w:rPr>
          <w:rFonts w:ascii="宋体" w:hAnsi="宋体"/>
          <w:sz w:val="24"/>
          <w:szCs w:val="21"/>
        </w:rPr>
        <w:t>/</w:t>
      </w:r>
      <w:r>
        <w:rPr>
          <w:rFonts w:hint="eastAsia" w:ascii="宋体" w:hAnsi="宋体"/>
          <w:sz w:val="24"/>
          <w:szCs w:val="21"/>
        </w:rPr>
        <w:t>用户提供云平台服务，包括云主机服务、网页交互、</w:t>
      </w:r>
      <w:r>
        <w:rPr>
          <w:rFonts w:ascii="宋体" w:hAnsi="宋体"/>
          <w:sz w:val="24"/>
          <w:szCs w:val="21"/>
        </w:rPr>
        <w:t>API</w:t>
      </w:r>
      <w:r>
        <w:rPr>
          <w:rFonts w:hint="eastAsia" w:ascii="宋体" w:hAnsi="宋体"/>
          <w:sz w:val="24"/>
          <w:szCs w:val="21"/>
        </w:rPr>
        <w:t>接口、监控系统、弹性网络、</w:t>
      </w:r>
      <w:r>
        <w:rPr>
          <w:rFonts w:ascii="宋体" w:hAnsi="宋体"/>
          <w:sz w:val="24"/>
          <w:szCs w:val="21"/>
        </w:rPr>
        <w:t>VPN</w:t>
      </w:r>
      <w:r>
        <w:rPr>
          <w:rFonts w:hint="eastAsia" w:ascii="宋体" w:hAnsi="宋体"/>
          <w:sz w:val="24"/>
          <w:szCs w:val="21"/>
        </w:rPr>
        <w:t>隧道、账户管理、计费模块、负载均衡和端口转发等服务</w:t>
      </w:r>
      <w:r>
        <w:rPr>
          <w:rFonts w:hint="eastAsia" w:ascii="宋体" w:hAnsi="宋体"/>
          <w:sz w:val="24"/>
          <w:szCs w:val="21"/>
          <w:lang w:eastAsia="zh-CN"/>
        </w:rPr>
        <w:t>。</w:t>
      </w:r>
    </w:p>
    <w:p>
      <w:pPr>
        <w:spacing w:line="360" w:lineRule="auto"/>
        <w:ind w:firstLine="480" w:firstLineChars="200"/>
        <w:rPr>
          <w:rFonts w:ascii="宋体"/>
          <w:sz w:val="24"/>
          <w:szCs w:val="21"/>
        </w:rPr>
      </w:pPr>
      <w:r>
        <w:rPr>
          <w:rFonts w:hint="eastAsia" w:ascii="宋体" w:hAnsi="宋体"/>
          <w:sz w:val="24"/>
          <w:szCs w:val="21"/>
        </w:rPr>
        <w:t>提供与云资源的统一管理能力。客户可通过运营商网专线、裸光纤、企业</w:t>
      </w:r>
      <w:r>
        <w:rPr>
          <w:rFonts w:ascii="宋体" w:hAnsi="宋体"/>
          <w:sz w:val="24"/>
          <w:szCs w:val="21"/>
        </w:rPr>
        <w:t>MPLS</w:t>
      </w:r>
      <w:r>
        <w:rPr>
          <w:rFonts w:hint="eastAsia" w:ascii="宋体" w:hAnsi="宋体"/>
          <w:sz w:val="24"/>
          <w:szCs w:val="21"/>
        </w:rPr>
        <w:t>或互联网</w:t>
      </w:r>
      <w:r>
        <w:rPr>
          <w:rFonts w:ascii="宋体" w:hAnsi="宋体"/>
          <w:sz w:val="24"/>
          <w:szCs w:val="21"/>
        </w:rPr>
        <w:t>VPN</w:t>
      </w:r>
      <w:r>
        <w:rPr>
          <w:rFonts w:hint="eastAsia" w:ascii="宋体" w:hAnsi="宋体"/>
          <w:sz w:val="24"/>
          <w:szCs w:val="21"/>
        </w:rPr>
        <w:t>等多种方式，使得业务域与核心数据域的互通互访。</w:t>
      </w:r>
    </w:p>
    <w:p>
      <w:pPr>
        <w:spacing w:line="360" w:lineRule="auto"/>
        <w:ind w:firstLine="480" w:firstLineChars="200"/>
        <w:rPr>
          <w:rFonts w:ascii="宋体"/>
          <w:sz w:val="24"/>
          <w:szCs w:val="21"/>
        </w:rPr>
      </w:pPr>
      <w:r>
        <w:rPr>
          <w:rFonts w:hint="eastAsia" w:ascii="宋体" w:hAnsi="宋体"/>
          <w:sz w:val="24"/>
          <w:szCs w:val="21"/>
        </w:rPr>
        <w:t>云数据中心包含以下组件：</w:t>
      </w:r>
    </w:p>
    <w:p>
      <w:pPr>
        <w:spacing w:line="360" w:lineRule="auto"/>
        <w:ind w:firstLine="482" w:firstLineChars="200"/>
        <w:rPr>
          <w:rFonts w:ascii="宋体"/>
          <w:sz w:val="24"/>
          <w:szCs w:val="21"/>
        </w:rPr>
      </w:pPr>
      <w:r>
        <w:rPr>
          <w:rFonts w:hint="eastAsia" w:ascii="宋体" w:hAnsi="宋体"/>
          <w:b/>
          <w:sz w:val="24"/>
          <w:szCs w:val="21"/>
        </w:rPr>
        <w:t>管理节点</w:t>
      </w:r>
      <w:r>
        <w:rPr>
          <w:rFonts w:hint="eastAsia" w:ascii="宋体" w:hAnsi="宋体"/>
          <w:sz w:val="24"/>
          <w:szCs w:val="21"/>
        </w:rPr>
        <w:t>：为整个云平台提供基于</w:t>
      </w:r>
      <w:r>
        <w:rPr>
          <w:rFonts w:ascii="宋体" w:hAnsi="宋体"/>
          <w:sz w:val="24"/>
          <w:szCs w:val="21"/>
        </w:rPr>
        <w:t>web</w:t>
      </w:r>
      <w:r>
        <w:rPr>
          <w:rFonts w:hint="eastAsia" w:ascii="宋体" w:hAnsi="宋体"/>
          <w:sz w:val="24"/>
          <w:szCs w:val="21"/>
        </w:rPr>
        <w:t>的访问控制和管理，提供基本的云平台管理服务，如访问控制、性能监控和配置功能。管理节点将各台计算服务器中的资源统一在一起，形成一个统一的虚拟计算池。其原理是：根据系统管理员设置的策略，管理虚拟机到计算服务器的分配，以及资源到给定计算服务器内虚拟机的分配。</w:t>
      </w:r>
    </w:p>
    <w:p>
      <w:pPr>
        <w:spacing w:line="360" w:lineRule="auto"/>
        <w:ind w:firstLine="480" w:firstLineChars="200"/>
        <w:rPr>
          <w:rFonts w:ascii="宋体"/>
          <w:sz w:val="24"/>
          <w:szCs w:val="21"/>
        </w:rPr>
      </w:pPr>
      <w:r>
        <w:rPr>
          <w:rFonts w:hint="eastAsia" w:ascii="宋体" w:hAnsi="宋体"/>
          <w:sz w:val="24"/>
          <w:szCs w:val="21"/>
        </w:rPr>
        <w:t>在管理节点无法访问（例如，网络断开、服务器硬件故障）的情况下（这种情况极少出现），计算服务器和业务虚拟机仍能继续工作。同时，管理节点支持双机高可用，保证管理控制台的可访问性。在管理节点的连接恢复后，它就能重新管理整个云平台。</w:t>
      </w:r>
    </w:p>
    <w:p>
      <w:pPr>
        <w:spacing w:line="360" w:lineRule="auto"/>
        <w:ind w:firstLine="482" w:firstLineChars="200"/>
        <w:rPr>
          <w:rFonts w:ascii="宋体"/>
          <w:sz w:val="24"/>
          <w:szCs w:val="21"/>
        </w:rPr>
      </w:pPr>
      <w:r>
        <w:rPr>
          <w:rFonts w:hint="eastAsia" w:ascii="宋体" w:hAnsi="宋体"/>
          <w:b/>
          <w:sz w:val="24"/>
          <w:szCs w:val="21"/>
        </w:rPr>
        <w:t>计算节点</w:t>
      </w:r>
      <w:r>
        <w:rPr>
          <w:rFonts w:hint="eastAsia" w:ascii="宋体" w:hAnsi="宋体"/>
          <w:sz w:val="24"/>
          <w:szCs w:val="21"/>
        </w:rPr>
        <w:t>：在祼机上运行云平台计算模块的标准</w:t>
      </w:r>
      <w:r>
        <w:rPr>
          <w:rFonts w:ascii="宋体" w:hAnsi="宋体"/>
          <w:sz w:val="24"/>
          <w:szCs w:val="21"/>
        </w:rPr>
        <w:t>x86</w:t>
      </w:r>
      <w:r>
        <w:rPr>
          <w:rFonts w:hint="eastAsia" w:ascii="宋体" w:hAnsi="宋体"/>
          <w:sz w:val="24"/>
          <w:szCs w:val="21"/>
        </w:rPr>
        <w:t>服务器。计算节点为虚拟机提供资源，并运行虚拟机。每台计算节点在云环境中均称为独立主机。可以将许多配置相似的</w:t>
      </w:r>
      <w:r>
        <w:rPr>
          <w:rFonts w:ascii="宋体" w:hAnsi="宋体"/>
          <w:sz w:val="24"/>
          <w:szCs w:val="21"/>
        </w:rPr>
        <w:t>x86</w:t>
      </w:r>
      <w:r>
        <w:rPr>
          <w:rFonts w:hint="eastAsia" w:ascii="宋体" w:hAnsi="宋体"/>
          <w:sz w:val="24"/>
          <w:szCs w:val="21"/>
        </w:rPr>
        <w:t>服务器组合在一起，并与相同的网络和存储子系统连接，以便提供虚拟环境中的资源集合，称为群集。</w:t>
      </w:r>
    </w:p>
    <w:p>
      <w:pPr>
        <w:spacing w:line="360" w:lineRule="auto"/>
        <w:ind w:firstLine="482" w:firstLineChars="200"/>
        <w:rPr>
          <w:rFonts w:ascii="宋体"/>
          <w:sz w:val="24"/>
          <w:szCs w:val="21"/>
        </w:rPr>
      </w:pPr>
      <w:r>
        <w:rPr>
          <w:rFonts w:hint="eastAsia" w:ascii="宋体" w:hAnsi="宋体"/>
          <w:b/>
          <w:sz w:val="24"/>
          <w:szCs w:val="21"/>
        </w:rPr>
        <w:t>存储网络和</w:t>
      </w:r>
      <w:r>
        <w:rPr>
          <w:rFonts w:ascii="宋体" w:hAnsi="宋体"/>
          <w:b/>
          <w:sz w:val="24"/>
          <w:szCs w:val="21"/>
        </w:rPr>
        <w:t>FC</w:t>
      </w:r>
      <w:r>
        <w:rPr>
          <w:rFonts w:hint="eastAsia" w:ascii="宋体" w:hAnsi="宋体"/>
          <w:b/>
          <w:sz w:val="24"/>
          <w:szCs w:val="21"/>
        </w:rPr>
        <w:t>网络</w:t>
      </w:r>
      <w:r>
        <w:rPr>
          <w:rFonts w:hint="eastAsia" w:ascii="宋体" w:hAnsi="宋体"/>
          <w:sz w:val="24"/>
          <w:szCs w:val="21"/>
        </w:rPr>
        <w:t>：</w:t>
      </w:r>
      <w:r>
        <w:rPr>
          <w:rFonts w:ascii="宋体" w:hAnsi="宋体"/>
          <w:sz w:val="24"/>
          <w:szCs w:val="21"/>
        </w:rPr>
        <w:t>FC SAN</w:t>
      </w:r>
      <w:r>
        <w:rPr>
          <w:rFonts w:hint="eastAsia" w:ascii="宋体" w:hAnsi="宋体"/>
          <w:sz w:val="24"/>
          <w:szCs w:val="21"/>
        </w:rPr>
        <w:t>、</w:t>
      </w:r>
      <w:r>
        <w:rPr>
          <w:rFonts w:ascii="宋体" w:hAnsi="宋体"/>
          <w:sz w:val="24"/>
          <w:szCs w:val="21"/>
        </w:rPr>
        <w:t>IP SAN</w:t>
      </w:r>
      <w:r>
        <w:rPr>
          <w:rFonts w:hint="eastAsia" w:ascii="宋体" w:hAnsi="宋体"/>
          <w:sz w:val="24"/>
          <w:szCs w:val="21"/>
        </w:rPr>
        <w:t>和</w:t>
      </w:r>
      <w:r>
        <w:rPr>
          <w:rFonts w:ascii="宋体" w:hAnsi="宋体"/>
          <w:sz w:val="24"/>
          <w:szCs w:val="21"/>
        </w:rPr>
        <w:t>NAS</w:t>
      </w:r>
      <w:r>
        <w:rPr>
          <w:rFonts w:hint="eastAsia" w:ascii="宋体" w:hAnsi="宋体"/>
          <w:sz w:val="24"/>
          <w:szCs w:val="21"/>
        </w:rPr>
        <w:t>、分布式存储是广泛应用的存储技术，支持这些技术以满足不同数据中心的存储需求。存储阵列通过存储区域网络连接到服务器组并在服务器组之间共享。可实现存储资源的聚合，并在将这些资源置备给虚拟机时使资源存储更具灵活性。</w:t>
      </w:r>
    </w:p>
    <w:p>
      <w:pPr>
        <w:spacing w:line="360" w:lineRule="auto"/>
        <w:ind w:firstLine="482" w:firstLineChars="200"/>
        <w:rPr>
          <w:rFonts w:ascii="宋体"/>
          <w:sz w:val="24"/>
          <w:szCs w:val="21"/>
        </w:rPr>
      </w:pPr>
      <w:r>
        <w:rPr>
          <w:rFonts w:ascii="宋体" w:hAnsi="宋体"/>
          <w:b/>
          <w:sz w:val="24"/>
          <w:szCs w:val="21"/>
        </w:rPr>
        <w:t>IP</w:t>
      </w:r>
      <w:r>
        <w:rPr>
          <w:rFonts w:hint="eastAsia" w:ascii="宋体" w:hAnsi="宋体"/>
          <w:b/>
          <w:sz w:val="24"/>
          <w:szCs w:val="21"/>
        </w:rPr>
        <w:t>网络</w:t>
      </w:r>
      <w:r>
        <w:rPr>
          <w:rFonts w:hint="eastAsia" w:ascii="宋体" w:hAnsi="宋体"/>
          <w:sz w:val="24"/>
          <w:szCs w:val="21"/>
        </w:rPr>
        <w:t>：每台计算节点都可以有多个物理网络适配器，为整个云平台提供高带宽和可靠的网络连接。</w:t>
      </w:r>
    </w:p>
    <w:p>
      <w:pPr>
        <w:spacing w:line="360" w:lineRule="auto"/>
        <w:ind w:firstLine="424" w:firstLineChars="177"/>
        <w:rPr>
          <w:rFonts w:ascii="宋体"/>
          <w:sz w:val="24"/>
          <w:szCs w:val="21"/>
        </w:rPr>
      </w:pPr>
    </w:p>
    <w:p>
      <w:pPr>
        <w:spacing w:line="360" w:lineRule="auto"/>
        <w:ind w:firstLine="424" w:firstLineChars="177"/>
        <w:rPr>
          <w:rFonts w:ascii="宋体"/>
          <w:sz w:val="24"/>
          <w:szCs w:val="21"/>
        </w:rPr>
      </w:pPr>
    </w:p>
    <w:tbl>
      <w:tblPr>
        <w:tblStyle w:val="7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Align w:val="center"/>
          </w:tcPr>
          <w:p>
            <w:pPr>
              <w:keepNext w:val="0"/>
              <w:keepLines w:val="0"/>
              <w:widowControl/>
              <w:suppressLineNumbers w:val="0"/>
              <w:jc w:val="center"/>
              <w:textAlignment w:val="center"/>
              <w:rPr>
                <w:rFonts w:ascii="宋体" w:cs="仿宋"/>
                <w:b/>
                <w:sz w:val="22"/>
                <w:szCs w:val="24"/>
              </w:rPr>
            </w:pPr>
            <w:r>
              <w:rPr>
                <w:rFonts w:hint="eastAsia" w:ascii="宋体" w:hAnsi="宋体" w:eastAsia="宋体" w:cs="宋体"/>
                <w:i w:val="0"/>
                <w:color w:val="000000"/>
                <w:kern w:val="0"/>
                <w:sz w:val="22"/>
                <w:szCs w:val="22"/>
                <w:u w:val="none"/>
                <w:lang w:val="en-US" w:eastAsia="zh-CN" w:bidi="ar"/>
              </w:rPr>
              <w:t>技术指标</w:t>
            </w:r>
          </w:p>
        </w:tc>
        <w:tc>
          <w:tcPr>
            <w:tcW w:w="6651" w:type="dxa"/>
            <w:vAlign w:val="center"/>
          </w:tcPr>
          <w:p>
            <w:pPr>
              <w:keepNext w:val="0"/>
              <w:keepLines w:val="0"/>
              <w:widowControl/>
              <w:suppressLineNumbers w:val="0"/>
              <w:jc w:val="center"/>
              <w:textAlignment w:val="center"/>
              <w:rPr>
                <w:rFonts w:ascii="宋体" w:cs="仿宋"/>
                <w:b/>
                <w:sz w:val="22"/>
                <w:szCs w:val="24"/>
              </w:rPr>
            </w:pPr>
            <w:r>
              <w:rPr>
                <w:rFonts w:hint="eastAsia" w:ascii="宋体" w:hAnsi="宋体" w:eastAsia="宋体" w:cs="宋体"/>
                <w:i w:val="0"/>
                <w:color w:val="000000"/>
                <w:kern w:val="0"/>
                <w:sz w:val="22"/>
                <w:szCs w:val="22"/>
                <w:u w:val="none"/>
                <w:lang w:val="en-US" w:eastAsia="zh-CN" w:bidi="ar"/>
              </w:rPr>
              <w:t>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restart"/>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总体要求</w:t>
            </w: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云平台为国产自研产品，所有代码自主可控，核心代码开源（截图证明）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所有资源API开放，提供开发手册、REST API、Java SDK, Python SDK，并须提供以上资源的在线下载地址（截图证明）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单集群支持管理物理主机个数</w:t>
            </w:r>
            <w:r>
              <w:rPr>
                <w:rStyle w:val="552"/>
                <w:lang w:val="en-US" w:eastAsia="zh-CN" w:bidi="ar"/>
              </w:rPr>
              <w:t>≥</w:t>
            </w:r>
            <w:r>
              <w:rPr>
                <w:rStyle w:val="553"/>
                <w:lang w:val="en-US" w:eastAsia="zh-CN" w:bidi="ar"/>
              </w:rPr>
              <w:t>50台</w:t>
            </w:r>
            <w:r>
              <w:rPr>
                <w:rFonts w:hint="eastAsia" w:ascii="宋体" w:hAnsi="宋体" w:eastAsia="宋体" w:cs="宋体"/>
                <w:i w:val="0"/>
                <w:color w:val="000000"/>
                <w:kern w:val="0"/>
                <w:sz w:val="22"/>
                <w:szCs w:val="22"/>
                <w:u w:val="none"/>
                <w:lang w:val="en-US" w:eastAsia="zh-CN" w:bidi="ar"/>
              </w:rPr>
              <w:t>（截图证明）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云平台须采用管控面和数据面分离设计方式，管理节点宕机不能影响云主机业务的正常服务，同时支持高可用模式部署，任一管理节点故障，不影响管理服务正常运行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云平台需要兼容一期搭建的云盾混合云，采用和一期云平台的统一上行链路，流量经过云盾混合云，确保本次扩建云平台的安全性可以得到全面保障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restart"/>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 xml:space="preserve">计算要求 </w:t>
            </w:r>
          </w:p>
        </w:tc>
        <w:tc>
          <w:tcPr>
            <w:tcW w:w="6651" w:type="dxa"/>
            <w:vAlign w:val="center"/>
          </w:tcPr>
          <w:p>
            <w:pPr>
              <w:keepNext w:val="0"/>
              <w:keepLines w:val="0"/>
              <w:widowControl/>
              <w:suppressLineNumbers w:val="0"/>
              <w:jc w:val="left"/>
              <w:textAlignment w:val="center"/>
              <w:rPr>
                <w:rFonts w:hint="eastAsia" w:ascii="宋体" w:hAnsi="宋体"/>
                <w:kern w:val="0"/>
                <w:sz w:val="20"/>
              </w:rPr>
            </w:pPr>
            <w:r>
              <w:rPr>
                <w:rFonts w:hint="eastAsia" w:ascii="宋体" w:hAnsi="宋体" w:eastAsia="宋体" w:cs="宋体"/>
                <w:i w:val="0"/>
                <w:color w:val="000000"/>
                <w:kern w:val="0"/>
                <w:sz w:val="22"/>
                <w:szCs w:val="22"/>
                <w:u w:val="none"/>
                <w:lang w:val="en-US" w:eastAsia="zh-CN" w:bidi="ar"/>
              </w:rPr>
              <w:t>须支持云主机生命周期管理，包括创建、启动、暂停、恢复、关闭电源、删除、更换和重置操作系统，支持在线修改云主机管理员密码，通过云平台重置云主机管理密码，满足日常运维需求操作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支持云主机回收站删除机制，防止用户误操作导致数据丢失。（要求提供软件功能截图证明材料）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须支持云主机热迁移。可以将云主机迁移到指定的物理服务器，便于服务器的检查保养，同时保证业务的连续性。同时须支持云主机HA。当某台物理节点发生意外故障，在其上运行的云主机能够在其他正常的物理节点上重新启动。须支持云主机在线快照，用户能够在不影响现有业务的情况下对云主机创建快照；同时须支持对云主机在线批量克隆、对云主机和云盘进行整机克隆，帮助用户快速复制已有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须支持GPU直通到云主机和USB映射到云主机，使得云主机兼容特殊硬件环境，满足承载应用需求。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支持云主机启动顺序指定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支持网卡热插拔，虚拟机无需重启即可生效，支持对网卡指定IP和MAC地址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支持CPU、磁盘、网卡的QoS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支持虚机组的快照管理，可以通过一键快照的方式将一批业务相关的虚拟机进行快照，支持一键快照恢复。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须支持对云主机、云盘以及云平台数据库进行本地备份、异地备份（截图证明）。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871" w:type="dxa"/>
            <w:vMerge w:val="restart"/>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网络要求</w:t>
            </w: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VPC网络同时支持vlan和标准通用封装协议，如：vxlan，geneve，nvgre等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须支持与外部物理网络通过扁平网络、路由网络模式进行组网，满足灵活的业务网络需求。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须支持配置IPv6、IPv4或双栈网络，根据需求选择地址类型（截图证明）。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须支持基于TCP/UDP/HTTP/HTTPS协议的云路由负载均衡服务，用户创建的负载均衡器可以将公网地址的访问流量分发到一组后端的云主机上， 并支持自动判断并隔离不可用的云主机，从而提高业务的服务能力和可用性。（截图证明）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支持纯软件部署，不需要依赖特定的网络设备即可实现VPC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须支持云路由端口转发服务，用户创建的端口转发能够在用户只有一个公网IP的情况下，通过不同的端口映射到后端云主机，节约公网IP资源。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871" w:type="dxa"/>
            <w:vMerge w:val="restart"/>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存储要求</w:t>
            </w: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为提系统的横向扩展和资源池化能力，硬件只使用X86服务器，支持不使用IP SAN和FC SAN等专用存储的方式；同时支持对接IP SAN或FC SAN存储；要求支持单个集群同时对接本地分布式存储和IPSAN/FCSAN存储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须支持IP-SAN/FC-SAN 透传，将物理LUN直接透传给云主机使用，实现更好的性能和存储特性支持（截图证明）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须支持配置存储心跳网络，能够作为云平台高可用判断依据（截图证明）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支持对虚机系统盘和云盘的备份和恢复，支持备份的策略设置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对象存储协议网关具有数据无关性，支持随着集群的扩展自动扩展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hint="eastAsia" w:ascii="宋体" w:hAnsi="宋体"/>
                <w:kern w:val="0"/>
                <w:sz w:val="20"/>
              </w:rPr>
            </w:pPr>
            <w:r>
              <w:rPr>
                <w:rFonts w:hint="eastAsia" w:ascii="宋体" w:hAnsi="宋体" w:eastAsia="宋体" w:cs="宋体"/>
                <w:i w:val="0"/>
                <w:color w:val="000000"/>
                <w:kern w:val="0"/>
                <w:sz w:val="22"/>
                <w:szCs w:val="22"/>
                <w:u w:val="none"/>
                <w:lang w:val="en-US" w:eastAsia="zh-CN" w:bidi="ar"/>
              </w:rPr>
              <w:t>系统虚机系统盘和云盘支持自动备份到OSS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871" w:type="dxa"/>
            <w:vMerge w:val="restart"/>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 xml:space="preserve">云平台管理要求  </w:t>
            </w: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可管控哈密智慧政务一期现有的云平台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支持项目管理。管理员通过创建项目的方式将各类资源交付到指定组织或成员，须支持配置回收策略，实现项目的全生命周期管理（截图证明）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支持物理机/虚拟机的的CPU使用率、内存使用率、网络性能的监控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cs="宋体"/>
                <w:i w:val="0"/>
                <w:color w:val="auto"/>
                <w:kern w:val="0"/>
                <w:sz w:val="22"/>
                <w:szCs w:val="22"/>
                <w:u w:val="none"/>
                <w:lang w:val="en-US" w:eastAsia="zh-CN" w:bidi="ar"/>
              </w:rPr>
              <w:t>云管</w:t>
            </w:r>
            <w:r>
              <w:rPr>
                <w:rFonts w:hint="eastAsia" w:ascii="宋体" w:hAnsi="宋体" w:eastAsia="宋体" w:cs="宋体"/>
                <w:i w:val="0"/>
                <w:color w:val="auto"/>
                <w:kern w:val="0"/>
                <w:sz w:val="22"/>
                <w:szCs w:val="22"/>
                <w:u w:val="none"/>
                <w:lang w:val="en-US" w:eastAsia="zh-CN" w:bidi="ar"/>
              </w:rPr>
              <w:t>平台</w:t>
            </w:r>
            <w:r>
              <w:rPr>
                <w:rFonts w:hint="eastAsia" w:ascii="宋体" w:hAnsi="宋体" w:cs="宋体"/>
                <w:i w:val="0"/>
                <w:color w:val="auto"/>
                <w:kern w:val="0"/>
                <w:sz w:val="22"/>
                <w:szCs w:val="22"/>
                <w:u w:val="none"/>
                <w:lang w:val="en-US" w:eastAsia="zh-CN" w:bidi="ar"/>
              </w:rPr>
              <w:t>支持</w:t>
            </w:r>
            <w:r>
              <w:rPr>
                <w:rFonts w:hint="eastAsia" w:ascii="宋体" w:hAnsi="宋体" w:eastAsia="宋体" w:cs="宋体"/>
                <w:i w:val="0"/>
                <w:color w:val="auto"/>
                <w:kern w:val="0"/>
                <w:sz w:val="22"/>
                <w:szCs w:val="22"/>
                <w:u w:val="none"/>
                <w:lang w:val="en-US" w:eastAsia="zh-CN" w:bidi="ar"/>
              </w:rPr>
              <w:t>对</w:t>
            </w:r>
            <w:r>
              <w:rPr>
                <w:rFonts w:hint="eastAsia" w:ascii="宋体" w:hAnsi="宋体" w:cs="宋体"/>
                <w:i w:val="0"/>
                <w:color w:val="auto"/>
                <w:kern w:val="0"/>
                <w:sz w:val="22"/>
                <w:szCs w:val="22"/>
                <w:u w:val="none"/>
                <w:lang w:val="en-US" w:eastAsia="zh-CN" w:bidi="ar"/>
              </w:rPr>
              <w:t>本地现有云平台</w:t>
            </w:r>
            <w:r>
              <w:rPr>
                <w:rFonts w:hint="eastAsia" w:ascii="宋体" w:hAnsi="宋体" w:eastAsia="宋体" w:cs="宋体"/>
                <w:i w:val="0"/>
                <w:color w:val="auto"/>
                <w:kern w:val="0"/>
                <w:sz w:val="22"/>
                <w:szCs w:val="22"/>
                <w:u w:val="none"/>
                <w:lang w:val="en-US" w:eastAsia="zh-CN" w:bidi="ar"/>
              </w:rPr>
              <w:t>中云资源统一管控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支持VNC密码设置，保证远程维护安全性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提供用户自服务门户和API接口，用户可自行创建不同规格的虚拟主机，自定义CPU、内存、网络、磁盘等属性。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提供用户中心，实现用户概览，用户信息修改及详情查看，操作日志清单等功能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云平台向终端用户提供图形化的统一管理门户，用户使用统一登录界面完成自助操作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1" w:type="dxa"/>
            <w:vMerge w:val="continue"/>
            <w:vAlign w:val="center"/>
          </w:tcPr>
          <w:p>
            <w:pPr>
              <w:jc w:val="center"/>
              <w:rPr>
                <w:rFonts w:ascii="宋体"/>
                <w:kern w:val="0"/>
                <w:sz w:val="20"/>
              </w:rPr>
            </w:pPr>
          </w:p>
        </w:tc>
        <w:tc>
          <w:tcPr>
            <w:tcW w:w="6651" w:type="dxa"/>
            <w:vAlign w:val="center"/>
          </w:tcPr>
          <w:p>
            <w:pPr>
              <w:keepNext w:val="0"/>
              <w:keepLines w:val="0"/>
              <w:widowControl/>
              <w:suppressLineNumbers w:val="0"/>
              <w:jc w:val="left"/>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提供基于用户、项目、部门和资源维度的统计分析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71" w:type="dxa"/>
            <w:vAlign w:val="center"/>
          </w:tcPr>
          <w:p>
            <w:pPr>
              <w:keepNext w:val="0"/>
              <w:keepLines w:val="0"/>
              <w:widowControl/>
              <w:suppressLineNumbers w:val="0"/>
              <w:jc w:val="center"/>
              <w:textAlignment w:val="center"/>
              <w:rPr>
                <w:rFonts w:ascii="宋体"/>
                <w:kern w:val="0"/>
                <w:sz w:val="20"/>
              </w:rPr>
            </w:pPr>
            <w:r>
              <w:rPr>
                <w:rFonts w:hint="eastAsia" w:ascii="宋体" w:hAnsi="宋体" w:eastAsia="宋体" w:cs="宋体"/>
                <w:i w:val="0"/>
                <w:color w:val="000000"/>
                <w:kern w:val="0"/>
                <w:sz w:val="22"/>
                <w:szCs w:val="22"/>
                <w:u w:val="none"/>
                <w:lang w:val="en-US" w:eastAsia="zh-CN" w:bidi="ar"/>
              </w:rPr>
              <w:t>技术支持与质保服务</w:t>
            </w:r>
          </w:p>
        </w:tc>
        <w:tc>
          <w:tcPr>
            <w:tcW w:w="6651" w:type="dxa"/>
            <w:vAlign w:val="center"/>
          </w:tcPr>
          <w:p>
            <w:pPr>
              <w:keepNext w:val="0"/>
              <w:keepLines w:val="0"/>
              <w:widowControl/>
              <w:suppressLineNumbers w:val="0"/>
              <w:jc w:val="left"/>
              <w:textAlignment w:val="center"/>
              <w:rPr>
                <w:rFonts w:hint="eastAsia" w:ascii="宋体" w:eastAsia="宋体"/>
                <w:kern w:val="0"/>
                <w:sz w:val="20"/>
                <w:lang w:eastAsia="zh-CN"/>
              </w:rPr>
            </w:pPr>
            <w:r>
              <w:rPr>
                <w:rFonts w:hint="eastAsia" w:ascii="宋体" w:hAnsi="宋体" w:eastAsia="宋体" w:cs="宋体"/>
                <w:i w:val="0"/>
                <w:color w:val="000000"/>
                <w:kern w:val="0"/>
                <w:sz w:val="22"/>
                <w:szCs w:val="22"/>
                <w:u w:val="none"/>
                <w:lang w:val="en-US" w:eastAsia="zh-CN" w:bidi="ar"/>
              </w:rPr>
              <w:t>提供原厂三年免费质保，免费升级技术支持服务。</w:t>
            </w:r>
          </w:p>
        </w:tc>
      </w:tr>
    </w:tbl>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spacing w:line="360" w:lineRule="auto"/>
        <w:rPr>
          <w:rFonts w:ascii="宋体"/>
          <w:sz w:val="24"/>
          <w:szCs w:val="24"/>
          <w:lang w:val="zh-CN"/>
        </w:rPr>
      </w:pPr>
    </w:p>
    <w:p>
      <w:pPr>
        <w:keepNext w:val="0"/>
        <w:keepLines w:val="0"/>
        <w:pageBreakBefore w:val="0"/>
        <w:widowControl w:val="0"/>
        <w:numPr>
          <w:ilvl w:val="2"/>
          <w:numId w:val="27"/>
        </w:numPr>
        <w:kinsoku/>
        <w:wordWrap/>
        <w:overflowPunct/>
        <w:topLinePunct w:val="0"/>
        <w:autoSpaceDE/>
        <w:autoSpaceDN/>
        <w:bidi w:val="0"/>
        <w:adjustRightInd/>
        <w:snapToGrid/>
        <w:spacing w:before="240" w:line="360" w:lineRule="auto"/>
        <w:ind w:left="709" w:leftChars="0" w:hanging="709" w:firstLineChars="0"/>
        <w:textAlignment w:val="auto"/>
        <w:outlineLvl w:val="2"/>
        <w:rPr>
          <w:rFonts w:ascii="宋体"/>
          <w:sz w:val="24"/>
          <w:szCs w:val="24"/>
          <w:lang w:val="zh-CN"/>
        </w:rPr>
      </w:pPr>
      <w:bookmarkStart w:id="39" w:name="_Toc9390"/>
      <w:r>
        <w:rPr>
          <w:rFonts w:hint="eastAsia" w:ascii="宋体" w:hAnsi="宋体"/>
          <w:b/>
          <w:sz w:val="28"/>
          <w:szCs w:val="21"/>
          <w:lang w:val="zh-CN"/>
        </w:rPr>
        <w:t>哈密市智慧政务（“互联网+”及信息技术综合应用工程）一期</w:t>
      </w:r>
      <w:r>
        <w:rPr>
          <w:rFonts w:hint="eastAsia" w:ascii="宋体" w:hAnsi="宋体"/>
          <w:b/>
          <w:sz w:val="28"/>
          <w:szCs w:val="21"/>
          <w:lang w:val="en-US" w:eastAsia="zh-CN"/>
        </w:rPr>
        <w:t>电子政务外网机房扩容</w:t>
      </w:r>
      <w:r>
        <w:rPr>
          <w:rFonts w:hint="eastAsia" w:ascii="宋体" w:hAnsi="宋体"/>
          <w:b/>
          <w:sz w:val="28"/>
          <w:szCs w:val="21"/>
        </w:rPr>
        <w:t>硬件设备参数要求</w:t>
      </w:r>
      <w:bookmarkEnd w:id="39"/>
    </w:p>
    <w:p>
      <w:pPr>
        <w:numPr>
          <w:ilvl w:val="3"/>
          <w:numId w:val="27"/>
        </w:numPr>
        <w:spacing w:before="240" w:after="240" w:line="360" w:lineRule="auto"/>
        <w:ind w:left="851" w:leftChars="0" w:hanging="851" w:firstLineChars="0"/>
        <w:outlineLvl w:val="3"/>
        <w:rPr>
          <w:rFonts w:ascii="宋体"/>
          <w:sz w:val="24"/>
          <w:szCs w:val="24"/>
          <w:lang w:val="zh-CN"/>
        </w:rPr>
      </w:pPr>
      <w:r>
        <w:rPr>
          <w:rFonts w:hint="eastAsia" w:ascii="宋体" w:hAnsi="宋体"/>
          <w:b/>
          <w:sz w:val="28"/>
          <w:szCs w:val="21"/>
          <w:lang w:val="en-US" w:eastAsia="zh-CN"/>
        </w:rPr>
        <w:t>存储计算型</w:t>
      </w:r>
      <w:r>
        <w:rPr>
          <w:rFonts w:hint="eastAsia" w:ascii="宋体" w:hAnsi="宋体"/>
          <w:b/>
          <w:sz w:val="28"/>
          <w:szCs w:val="21"/>
        </w:rPr>
        <w:t>服务器要求</w:t>
      </w:r>
      <w:r>
        <w:rPr>
          <w:rFonts w:hint="eastAsia" w:ascii="宋体" w:hAnsi="宋体"/>
          <w:b/>
          <w:sz w:val="28"/>
          <w:szCs w:val="21"/>
          <w:lang w:eastAsia="zh-CN"/>
        </w:rPr>
        <w:t>（</w:t>
      </w:r>
      <w:r>
        <w:rPr>
          <w:rFonts w:hint="eastAsia" w:ascii="宋体" w:hAnsi="宋体"/>
          <w:b/>
          <w:sz w:val="28"/>
          <w:szCs w:val="21"/>
          <w:lang w:val="en-US" w:eastAsia="zh-CN"/>
        </w:rPr>
        <w:t>管控节点</w:t>
      </w:r>
      <w:r>
        <w:rPr>
          <w:rFonts w:hint="eastAsia" w:ascii="宋体" w:hAnsi="宋体"/>
          <w:b/>
          <w:sz w:val="28"/>
          <w:szCs w:val="21"/>
          <w:lang w:eastAsia="zh-CN"/>
        </w:rPr>
        <w:t>）</w:t>
      </w:r>
    </w:p>
    <w:tbl>
      <w:tblPr>
        <w:tblStyle w:val="73"/>
        <w:tblW w:w="8880" w:type="dxa"/>
        <w:tblInd w:w="0" w:type="dxa"/>
        <w:shd w:val="clear" w:color="auto" w:fill="auto"/>
        <w:tblLayout w:type="fixed"/>
        <w:tblCellMar>
          <w:top w:w="0" w:type="dxa"/>
          <w:left w:w="0" w:type="dxa"/>
          <w:bottom w:w="0" w:type="dxa"/>
          <w:right w:w="0" w:type="dxa"/>
        </w:tblCellMar>
      </w:tblPr>
      <w:tblGrid>
        <w:gridCol w:w="1931"/>
        <w:gridCol w:w="6949"/>
      </w:tblGrid>
      <w:tr>
        <w:tblPrEx>
          <w:shd w:val="clear" w:color="auto" w:fill="auto"/>
          <w:tblCellMar>
            <w:top w:w="0" w:type="dxa"/>
            <w:left w:w="0" w:type="dxa"/>
            <w:bottom w:w="0" w:type="dxa"/>
            <w:right w:w="0" w:type="dxa"/>
          </w:tblCellMar>
        </w:tblPrEx>
        <w:trPr>
          <w:trHeight w:val="369" w:hRule="atLeast"/>
        </w:trPr>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hint="eastAsia" w:ascii="宋体" w:hAnsi="宋体" w:eastAsia="宋体" w:cs="宋体"/>
                <w:b/>
                <w:i w:val="0"/>
                <w:color w:val="000000"/>
                <w:sz w:val="22"/>
                <w:szCs w:val="22"/>
                <w:u w:val="none"/>
              </w:rPr>
            </w:pPr>
            <w:r>
              <w:pict>
                <v:shape id="任意多边形: 形状 2" o:spid="_x0000_s1039" o:spt="100" alt="060GB8BED2CE51@291@D5E2647B442B7080&gt;:W80A&lt;ZX81113917!!!BIHO@]x81113917!@0C1D41110DDB637169Onsl`m/enu!!!!!!!!!!!!!!!!!!!!!!!!!!!!!!!!!!!!!!!!!!!!!!!!!!!!!!!!!!!!!!!!!!!!!!!!!!!!!!!!!!!!!!!!!!!!!!!!!!!!!!!!!!!!!!!!!!!!!!!!!!!!!!!!!!!!!!!!!!!!!!!!!!!!!!!!!!!!!!!!!!!!!!!!!!!!!!!!!!!!!!!!!!!!!!!!!!!!!!!!!!!!!!!!!!!!!!!!!!!!!!!!!!!!!!!!!!!!!!!!!!!!!!!!!!!!!!!!!!!!!!!!!!!!!!!!!!!!!!!!!!!!!!!!!!!!!!!!!!!!!!!!!!!!!!!!!!!!!!!!!!!!!!!!!!!!!!!!!!!!!!!!!!!!!!!!!!!!!!!!!!!!!!!!!!!!!!!!!!!!!!!!!!!!!!!!!!!!!!!!!!!!!!!!!!!!!!!!!!!!!!!!!!!!!!!!!!!!!!!!!!!!!!!!!!!!!!!!!!!!!!!!!!!!!!!!!!!!!!!!!!!!!!!!!!!!!!!!!!!!!!!!!!!!!!!!!!!!!!!!!!!!!!!!!!!!!!!!!!!!!!!!!!!!!!!!!!!!!!!!!!!!!!!!!!!!!!!!!!!!!!!!!!!!!!!!!!!!!!!!!!!!!!!!!!!!!!!!!!!!!!!!!!!!!!!!!!!!!!!!!!!!!!!!!!!!!!!!!!!!!!!!!!!!!!!!!!!!!!!!!!!!!!!!!!!!!!!!!!!!!!!!!!!!!!!!!!!!!!!!!!!!!!!!!!!!!!!!!!!!!!!!!!!!!!!!!!!!!!!!!!!!!!!!!!!!!!!!!!!!!!!!!!!!!!!!!!!!!!!!!!!!!!!!!!!!!!!!!!!!!!!!!!!!!!!!!!!!!!!!!!!!!!!!!!!!!!!!!!!!!!!!!!!!!!!!!!!!!!!!!!!!!!!!!!!!!!!!!!!!!!!!!!!!!!!!!!!!!!!!!!!!!!!!!!!!!!!!!!!!!!!!!!!!!!!!!!!!!!!!!!!!!!!!!!!!!!!!!!!!!!!!!!!!!!!!!!!!!!!!!!!!!!!!!!!!!!!!!!!!!!!!!!!!!!!!!!!!!!!!!!!!!!!!!!!!!!!!!!!!!!!!!!!!!!!!!!!!!!!!!!!!!!!!!!!!!!!!!!!!!!!!!!!!!!!!!!!!!!!!!!!!!!!!!!!!!!!!!!!!!!!!!!!!!!!!!!!!!!!!!!!!!!!!!!!!!!!!!!!!!!!!!!!!!!!!!!!!!!!!!!!!!!!!!!!!!!!!!!!!!!!!!!!!!!!!!!!!!!!!!!!!!!!!!!!!!!!!!!!!!!!!!!!!!!!!!!!!!!!!!!!!!!!!!!!!!!!!!!!!!!!!!!!!!!!!!!!!!!!!!!!!!!!!!!!!!!!!!!!!!!!!!!!!!!!!!!!!!!!!!!!!!!!!!!!!!!!!!!!!!!!!!!!!!!!!!!!!!!!!!!!!!!!!!!!!!!!!!!!!!!!!!!!!!!!!!!!!!!!!!!!!!!!!!!!!!!!!!!!!!!!!!!!!!!!!!!!!!!!!!!!!!!!!!!!!!!!!!!!!!!!!!!!!!!!!!!!!!!!!!!!!!!!!!!!!!!!!!!!!!!!!!!!!!!!!!!!!!!!!!!!!!!!!!!!!!!!!!!!!!!!!!!!!!!!!!!!!!!!!!!!!!!!!!!!!!!!!!!!!!!!!!!!!!!!!!!!!!!!!!!!!!!!!!!!!!!!!!!!!!!!!!!!!!!!!!!!!!!!!!!!!!!!!!!!!!!!!!!!!!!!!!!!!!!!!!!!!!!!!!!!!!!!!!!!!!!!!!!!!!!!!!!!!!!!!!!!!!!!!!!!!!!!!!!!!!!!!!!!!!!!!!!!!!!!!!!!!!!!!!!!!!!!!!!!!!!!!!!!!!!!!!!!!!!!!!!!!!!!!!!!!!!!!!!!!!!!!!!!!!!!!!!!!!!!!!!!!!!!!!!!!!!!!!!!!!!!!!!!!!!!!!!!!!!!!!!!!!!!!!!!!!!!!!!!!!!!!!!!!!!!!!!!!!!!!!!!!!!!!!!!!!!!!!!!!!!!!!!!!!!!!!!!!!!!!!!!!!!!!!!!!!!!!!!!!!!!!!!!!!!!!!!!!!!!!!!!!!!!!!!!!!!!!!!!!!!!!!!!!!!!!!!!!!!!!!!!!!!!!!!!!!!!!!!!!!!!!!!!!!!!!!!!!!!!!!!!!!!!!!!!!!!!!!!!!!!!!!!!!!!!!!!!!!!!!!!!!!!!!!!!!!!!!!!!!!!!!!!!!!!!!!!!!!!!!!!!!!!!!!!!!!!!!!!!!!!!!!!!!!!!!!!!!!!!!!!!!!!!!!!!!!!!!!!!!!!!!!!!!!!!!!!!!!!!!!!!!!!!!!!!!!!!!!!!!!!!!!!!!!!!!!!!!!!!!!!!!!!!!!!!!!!!!!!!!!!!!!!!!!!!!!!!!!!!!!1!1" style="position:absolute;left:0pt;margin-left:0pt;margin-top:0pt;height:0.05pt;width:0.05pt;z-index:1024;mso-width-relative:page;mso-height-relative:page;" coordsize="635,635" path="m0,0c0,0,0,0,0,0c0,0,0,0,0,0l0,0,0,0xe">
                  <v:path textboxrect="3163,3163,18437,18437" o:connecttype="segments" o:connectlocs="0,0;0,0;0,0;0,0;0,0" o:connectangles="0,0,0,0,0"/>
                  <v:fill focussize="0,0"/>
                  <v:stroke joinstyle="round"/>
                  <v:imagedata o:title=""/>
                  <o:lock v:ext="edit" text="t" aspectratio="t"/>
                  <v:textbox>
                    <w:txbxContent>
                      <w:p/>
                    </w:txbxContent>
                  </v:textbox>
                  <w10:anchorlock/>
                </v:shape>
              </w:pict>
            </w:r>
            <w:r>
              <w:rPr>
                <w:rFonts w:hint="eastAsia" w:ascii="宋体" w:hAnsi="宋体"/>
                <w:b/>
                <w:sz w:val="22"/>
                <w:szCs w:val="24"/>
              </w:rPr>
              <w:t>技术指标</w:t>
            </w:r>
          </w:p>
        </w:tc>
        <w:tc>
          <w:tcPr>
            <w:tcW w:w="6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60" w:lineRule="auto"/>
              <w:jc w:val="center"/>
              <w:rPr>
                <w:rFonts w:hint="default" w:ascii="宋体" w:hAnsi="宋体" w:eastAsia="宋体" w:cs="宋体"/>
                <w:b/>
                <w:i w:val="0"/>
                <w:color w:val="000000"/>
                <w:sz w:val="22"/>
                <w:szCs w:val="22"/>
                <w:u w:val="none"/>
                <w:lang w:val="en-US" w:eastAsia="zh-CN"/>
              </w:rPr>
            </w:pPr>
            <w:r>
              <w:rPr>
                <w:rFonts w:hint="eastAsia" w:ascii="宋体" w:hAnsi="宋体"/>
                <w:b/>
                <w:sz w:val="22"/>
                <w:szCs w:val="24"/>
              </w:rPr>
              <w:t>指标参数</w:t>
            </w:r>
          </w:p>
        </w:tc>
      </w:tr>
      <w:tr>
        <w:tblPrEx>
          <w:tblCellMar>
            <w:top w:w="0" w:type="dxa"/>
            <w:left w:w="0" w:type="dxa"/>
            <w:bottom w:w="0" w:type="dxa"/>
            <w:right w:w="0" w:type="dxa"/>
          </w:tblCellMar>
        </w:tblPrEx>
        <w:trPr>
          <w:trHeight w:val="366" w:hRule="atLeast"/>
        </w:trPr>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6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center"/>
              <w:rPr>
                <w:rFonts w:hint="default" w:ascii="宋体" w:hAnsi="宋体" w:eastAsia="宋体" w:cs="宋体"/>
                <w:b/>
                <w:i w:val="0"/>
                <w:color w:val="000000"/>
                <w:sz w:val="22"/>
                <w:szCs w:val="22"/>
                <w:u w:val="none"/>
                <w:lang w:val="en-US" w:eastAsia="zh-CN"/>
              </w:rPr>
            </w:pPr>
            <w:r>
              <w:rPr>
                <w:rFonts w:hint="eastAsia" w:ascii="宋体" w:hAnsi="宋体"/>
                <w:kern w:val="0"/>
                <w:sz w:val="20"/>
                <w:szCs w:val="22"/>
                <w:lang w:val="en-US" w:eastAsia="zh-CN"/>
              </w:rPr>
              <w:t>采购数量</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3台</w:t>
            </w: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center"/>
              <w:rPr>
                <w:rFonts w:hint="eastAsia" w:ascii="宋体" w:hAnsi="宋体"/>
                <w:kern w:val="0"/>
                <w:sz w:val="20"/>
                <w:szCs w:val="22"/>
                <w:lang w:val="en-US" w:eastAsia="zh-CN"/>
              </w:rPr>
            </w:pPr>
            <w:r>
              <w:rPr>
                <w:rFonts w:hint="eastAsia" w:ascii="宋体" w:hAnsi="宋体"/>
                <w:kern w:val="0"/>
                <w:sz w:val="20"/>
              </w:rPr>
              <w:t>服务器外观</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cs="宋体"/>
                <w:b/>
                <w:i w:val="0"/>
                <w:color w:val="000000"/>
                <w:sz w:val="22"/>
                <w:szCs w:val="22"/>
                <w:u w:val="none"/>
                <w:lang w:val="en-US" w:eastAsia="zh-CN"/>
              </w:rPr>
            </w:pPr>
            <w:r>
              <w:rPr>
                <w:rFonts w:hint="eastAsia" w:ascii="宋体" w:hAnsi="宋体"/>
                <w:kern w:val="0"/>
                <w:sz w:val="20"/>
              </w:rPr>
              <w:t>机架式，</w:t>
            </w:r>
            <w:r>
              <w:rPr>
                <w:rFonts w:ascii="宋体" w:hAnsi="宋体"/>
                <w:kern w:val="0"/>
                <w:sz w:val="20"/>
              </w:rPr>
              <w:t>2</w:t>
            </w:r>
            <w:r>
              <w:rPr>
                <w:rFonts w:hint="eastAsia" w:ascii="宋体" w:hAnsi="宋体"/>
                <w:kern w:val="0"/>
                <w:sz w:val="20"/>
              </w:rPr>
              <w:t>路服务器</w:t>
            </w: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center"/>
              <w:rPr>
                <w:rFonts w:hint="eastAsia" w:ascii="宋体" w:hAnsi="宋体" w:eastAsia="宋体"/>
                <w:kern w:val="0"/>
                <w:sz w:val="20"/>
                <w:lang w:val="en-US" w:eastAsia="zh-CN"/>
              </w:rPr>
            </w:pPr>
            <w:r>
              <w:rPr>
                <w:rFonts w:hint="eastAsia" w:ascii="宋体" w:hAnsi="宋体"/>
                <w:kern w:val="0"/>
                <w:sz w:val="20"/>
                <w:lang w:val="en-US" w:eastAsia="zh-CN"/>
              </w:rPr>
              <w:t>品牌</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kern w:val="0"/>
                <w:sz w:val="20"/>
              </w:rPr>
            </w:pPr>
            <w:r>
              <w:rPr>
                <w:rFonts w:hint="eastAsia" w:ascii="宋体" w:hAnsi="宋体"/>
                <w:kern w:val="0"/>
                <w:sz w:val="20"/>
              </w:rPr>
              <w:t>国产主流品牌</w:t>
            </w: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宋体" w:hAnsi="宋体" w:eastAsia="宋体" w:cs="宋体"/>
                <w:b/>
                <w:i w:val="0"/>
                <w:color w:val="000000"/>
                <w:sz w:val="22"/>
                <w:szCs w:val="22"/>
                <w:u w:val="none"/>
                <w:lang w:val="en-US" w:eastAsia="zh-CN"/>
              </w:rPr>
            </w:pPr>
            <w:r>
              <w:rPr>
                <w:rFonts w:hint="eastAsia" w:ascii="宋体" w:hAnsi="宋体"/>
                <w:kern w:val="0"/>
                <w:sz w:val="20"/>
                <w:lang w:val="en-US" w:eastAsia="zh-CN"/>
              </w:rPr>
              <w:t>处理器类型</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default" w:ascii="宋体" w:hAnsi="宋体" w:eastAsia="宋体" w:cs="宋体"/>
                <w:b/>
                <w:i w:val="0"/>
                <w:color w:val="000000"/>
                <w:sz w:val="22"/>
                <w:szCs w:val="22"/>
                <w:u w:val="none"/>
                <w:lang w:val="en-US" w:eastAsia="zh-CN"/>
              </w:rPr>
            </w:pPr>
            <w:r>
              <w:rPr>
                <w:rFonts w:ascii="宋体" w:hAnsi="宋体"/>
                <w:kern w:val="0"/>
                <w:sz w:val="20"/>
              </w:rPr>
              <w:t>Intel Xeon Silver</w:t>
            </w:r>
            <w:r>
              <w:rPr>
                <w:rFonts w:hint="eastAsia" w:ascii="宋体" w:hAnsi="宋体"/>
                <w:kern w:val="0"/>
                <w:sz w:val="20"/>
                <w:lang w:val="en-US" w:eastAsia="zh-CN"/>
              </w:rPr>
              <w:t>系列</w:t>
            </w: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eastAsia="宋体"/>
                <w:kern w:val="0"/>
                <w:sz w:val="20"/>
                <w:lang w:val="en-US" w:eastAsia="zh-CN"/>
              </w:rPr>
            </w:pPr>
            <w:r>
              <w:rPr>
                <w:rFonts w:hint="eastAsia" w:ascii="宋体" w:hAnsi="宋体"/>
                <w:kern w:val="0"/>
                <w:sz w:val="20"/>
              </w:rPr>
              <w:t>处理器配置</w:t>
            </w:r>
            <w:r>
              <w:rPr>
                <w:rFonts w:hint="eastAsia" w:ascii="宋体" w:hAnsi="宋体"/>
                <w:kern w:val="0"/>
                <w:sz w:val="20"/>
                <w:lang w:val="en-US" w:eastAsia="zh-CN"/>
              </w:rPr>
              <w:t>数目</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default" w:ascii="宋体" w:hAnsi="宋体" w:eastAsia="宋体"/>
                <w:kern w:val="0"/>
                <w:sz w:val="20"/>
                <w:lang w:val="en-US" w:eastAsia="zh-CN"/>
              </w:rPr>
            </w:pPr>
            <w:r>
              <w:rPr>
                <w:rFonts w:hint="eastAsia" w:ascii="宋体" w:hAnsi="宋体"/>
                <w:kern w:val="0"/>
                <w:sz w:val="20"/>
                <w:lang w:val="en-US" w:eastAsia="zh-CN"/>
              </w:rPr>
              <w:t>2颗</w:t>
            </w:r>
          </w:p>
        </w:tc>
      </w:tr>
      <w:tr>
        <w:tblPrEx>
          <w:tblCellMar>
            <w:top w:w="0" w:type="dxa"/>
            <w:left w:w="0" w:type="dxa"/>
            <w:bottom w:w="0" w:type="dxa"/>
            <w:right w:w="0" w:type="dxa"/>
          </w:tblCellMar>
        </w:tblPrEx>
        <w:trPr>
          <w:trHeight w:val="366"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eastAsia="宋体" w:cs="宋体"/>
                <w:b/>
                <w:i w:val="0"/>
                <w:color w:val="000000"/>
                <w:sz w:val="22"/>
                <w:szCs w:val="22"/>
                <w:u w:val="none"/>
              </w:rPr>
            </w:pPr>
            <w:r>
              <w:rPr>
                <w:rFonts w:hint="eastAsia" w:ascii="宋体" w:hAnsi="宋体"/>
                <w:kern w:val="0"/>
                <w:sz w:val="20"/>
              </w:rPr>
              <w:t>内存要求</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8*32GB  DDR4-2933P-R</w:t>
            </w:r>
            <w:r>
              <w:rPr>
                <w:rFonts w:hint="eastAsia" w:ascii="宋体" w:hAnsi="宋体" w:cs="宋体"/>
                <w:i w:val="0"/>
                <w:color w:val="000000"/>
                <w:kern w:val="0"/>
                <w:sz w:val="20"/>
                <w:szCs w:val="20"/>
                <w:u w:val="none"/>
                <w:lang w:val="en-US" w:eastAsia="zh-CN" w:bidi="ar"/>
              </w:rPr>
              <w:t xml:space="preserve"> </w:t>
            </w:r>
            <w:r>
              <w:rPr>
                <w:rFonts w:hint="eastAsia" w:ascii="宋体" w:hAnsi="宋体"/>
                <w:kern w:val="0"/>
                <w:sz w:val="20"/>
              </w:rPr>
              <w:t>频率</w:t>
            </w:r>
            <w:r>
              <w:rPr>
                <w:rFonts w:ascii="宋体" w:hAnsi="宋体"/>
                <w:kern w:val="0"/>
                <w:sz w:val="20"/>
              </w:rPr>
              <w:t xml:space="preserve"> </w:t>
            </w:r>
            <w:r>
              <w:rPr>
                <w:rFonts w:hint="eastAsia" w:ascii="宋体" w:hAnsi="宋体"/>
                <w:kern w:val="0"/>
                <w:sz w:val="20"/>
              </w:rPr>
              <w:t>≥</w:t>
            </w:r>
            <w:r>
              <w:rPr>
                <w:rFonts w:ascii="宋体" w:hAnsi="宋体"/>
                <w:kern w:val="0"/>
                <w:sz w:val="20"/>
              </w:rPr>
              <w:t>2400MHz</w:t>
            </w:r>
            <w:r>
              <w:rPr>
                <w:rFonts w:hint="eastAsia" w:ascii="宋体" w:hAnsi="宋体"/>
                <w:kern w:val="0"/>
                <w:sz w:val="20"/>
                <w:lang w:val="en-US" w:eastAsia="zh-CN"/>
              </w:rPr>
              <w:t xml:space="preserve">  </w:t>
            </w:r>
            <w:r>
              <w:rPr>
                <w:rFonts w:hint="eastAsia" w:ascii="宋体" w:hAnsi="宋体"/>
                <w:kern w:val="0"/>
                <w:sz w:val="20"/>
                <w:lang w:eastAsia="zh-CN"/>
              </w:rPr>
              <w:t>支持RDIMM或LRDIMM</w:t>
            </w:r>
          </w:p>
        </w:tc>
      </w:tr>
      <w:tr>
        <w:tblPrEx>
          <w:tblCellMar>
            <w:top w:w="0" w:type="dxa"/>
            <w:left w:w="0" w:type="dxa"/>
            <w:bottom w:w="0" w:type="dxa"/>
            <w:right w:w="0" w:type="dxa"/>
          </w:tblCellMar>
        </w:tblPrEx>
        <w:trPr>
          <w:trHeight w:val="962"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eastAsia="宋体" w:cs="宋体"/>
                <w:b/>
                <w:i w:val="0"/>
                <w:color w:val="000000"/>
                <w:sz w:val="22"/>
                <w:szCs w:val="22"/>
                <w:u w:val="none"/>
              </w:rPr>
            </w:pPr>
            <w:r>
              <w:rPr>
                <w:rFonts w:hint="eastAsia" w:ascii="宋体" w:hAnsi="宋体"/>
                <w:kern w:val="0"/>
                <w:sz w:val="20"/>
              </w:rPr>
              <w:t>硬盘</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≥4块600GB 12G SAS 10K 2.5in 512n HDD通用硬盘；</w:t>
            </w:r>
          </w:p>
          <w:p>
            <w:pPr>
              <w:ind w:left="0" w:leftChars="0"/>
              <w:jc w:val="left"/>
              <w:rPr>
                <w:rFonts w:hint="eastAsia" w:ascii="宋体" w:hAnsi="宋体" w:eastAsia="宋体" w:cs="宋体"/>
                <w:b/>
                <w:i w:val="0"/>
                <w:color w:val="000000"/>
                <w:sz w:val="22"/>
                <w:szCs w:val="22"/>
                <w:u w:val="none"/>
              </w:rPr>
            </w:pP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≥8个2.5寸热插拔硬盘槽位；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块12Gb SATA/SAS RAID卡-支持RAID0/1/10</w:t>
            </w:r>
          </w:p>
        </w:tc>
      </w:tr>
      <w:tr>
        <w:tblPrEx>
          <w:tblCellMar>
            <w:top w:w="0" w:type="dxa"/>
            <w:left w:w="0" w:type="dxa"/>
            <w:bottom w:w="0" w:type="dxa"/>
            <w:right w:w="0" w:type="dxa"/>
          </w:tblCellMar>
        </w:tblPrEx>
        <w:trPr>
          <w:trHeight w:val="543"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ascii="宋体" w:hAnsi="宋体"/>
                <w:kern w:val="0"/>
                <w:sz w:val="20"/>
              </w:rPr>
              <w:t>PCI I/O</w:t>
            </w:r>
            <w:r>
              <w:rPr>
                <w:rFonts w:hint="eastAsia" w:ascii="宋体" w:hAnsi="宋体"/>
                <w:kern w:val="0"/>
                <w:sz w:val="20"/>
              </w:rPr>
              <w:t>插槽</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宋体" w:hAnsi="宋体" w:eastAsia="宋体" w:cs="宋体"/>
                <w:i w:val="0"/>
                <w:color w:val="000000"/>
                <w:kern w:val="0"/>
                <w:sz w:val="22"/>
                <w:szCs w:val="22"/>
                <w:u w:val="none"/>
                <w:lang w:val="en-US" w:eastAsia="zh-CN" w:bidi="ar"/>
              </w:rPr>
            </w:pPr>
            <w:r>
              <w:rPr>
                <w:rFonts w:ascii="宋体" w:hAnsi="宋体"/>
                <w:kern w:val="0"/>
                <w:sz w:val="20"/>
              </w:rPr>
              <w:t>PCI-E 3.0</w:t>
            </w:r>
            <w:r>
              <w:rPr>
                <w:rFonts w:hint="eastAsia" w:ascii="宋体" w:hAnsi="宋体"/>
                <w:kern w:val="0"/>
                <w:sz w:val="20"/>
              </w:rPr>
              <w:t>插槽≥</w:t>
            </w:r>
            <w:r>
              <w:rPr>
                <w:rFonts w:ascii="宋体" w:hAnsi="宋体"/>
                <w:kern w:val="0"/>
                <w:sz w:val="20"/>
              </w:rPr>
              <w:t>4</w:t>
            </w:r>
            <w:r>
              <w:rPr>
                <w:rFonts w:hint="eastAsia" w:ascii="宋体" w:hAnsi="宋体"/>
                <w:kern w:val="0"/>
                <w:sz w:val="20"/>
              </w:rPr>
              <w:t>个</w:t>
            </w:r>
          </w:p>
        </w:tc>
      </w:tr>
      <w:tr>
        <w:tblPrEx>
          <w:tblCellMar>
            <w:top w:w="0" w:type="dxa"/>
            <w:left w:w="0" w:type="dxa"/>
            <w:bottom w:w="0" w:type="dxa"/>
            <w:right w:w="0" w:type="dxa"/>
          </w:tblCellMar>
        </w:tblPrEx>
        <w:trPr>
          <w:trHeight w:val="649"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eastAsia="宋体" w:cs="宋体"/>
                <w:b/>
                <w:i w:val="0"/>
                <w:color w:val="000000"/>
                <w:sz w:val="22"/>
                <w:szCs w:val="22"/>
                <w:u w:val="none"/>
              </w:rPr>
            </w:pPr>
            <w:r>
              <w:rPr>
                <w:rFonts w:hint="eastAsia" w:ascii="宋体" w:hAnsi="宋体"/>
                <w:kern w:val="0"/>
                <w:sz w:val="20"/>
              </w:rPr>
              <w:t>网卡</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r>
              <w:rPr>
                <w:rFonts w:hint="eastAsia" w:ascii="宋体" w:hAnsi="宋体" w:cs="宋体"/>
                <w:i w:val="0"/>
                <w:color w:val="auto"/>
                <w:kern w:val="0"/>
                <w:sz w:val="20"/>
                <w:szCs w:val="20"/>
                <w:u w:val="none"/>
                <w:lang w:val="en-US" w:eastAsia="zh-CN" w:bidi="ar"/>
              </w:rPr>
              <w:t>实配≥</w:t>
            </w:r>
            <w:r>
              <w:rPr>
                <w:rFonts w:hint="eastAsia" w:ascii="宋体" w:hAnsi="宋体" w:eastAsia="宋体" w:cs="宋体"/>
                <w:i w:val="0"/>
                <w:color w:val="auto"/>
                <w:kern w:val="0"/>
                <w:sz w:val="20"/>
                <w:szCs w:val="20"/>
                <w:u w:val="none"/>
                <w:lang w:val="en-US" w:eastAsia="zh-CN" w:bidi="ar"/>
              </w:rPr>
              <w:t>2块单端口16GB HBA卡</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个万兆光口（含光模块），</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个千兆电口</w:t>
            </w:r>
            <w:r>
              <w:rPr>
                <w:rFonts w:hint="eastAsia" w:ascii="宋体" w:hAnsi="宋体" w:cs="宋体"/>
                <w:i w:val="0"/>
                <w:color w:val="auto"/>
                <w:kern w:val="0"/>
                <w:sz w:val="20"/>
                <w:szCs w:val="20"/>
                <w:u w:val="none"/>
                <w:lang w:val="en-US" w:eastAsia="zh-CN" w:bidi="ar"/>
              </w:rPr>
              <w:t>，</w:t>
            </w:r>
            <w:r>
              <w:rPr>
                <w:rFonts w:hint="eastAsia" w:ascii="宋体" w:hAnsi="宋体"/>
                <w:color w:val="auto"/>
                <w:kern w:val="0"/>
                <w:sz w:val="20"/>
              </w:rPr>
              <w:t>支持</w:t>
            </w:r>
            <w:r>
              <w:rPr>
                <w:rFonts w:ascii="宋体" w:hAnsi="宋体"/>
                <w:color w:val="auto"/>
                <w:kern w:val="0"/>
                <w:sz w:val="20"/>
              </w:rPr>
              <w:t>PXE</w:t>
            </w:r>
            <w:r>
              <w:rPr>
                <w:rFonts w:hint="eastAsia" w:ascii="宋体" w:hAnsi="宋体"/>
                <w:color w:val="auto"/>
                <w:kern w:val="0"/>
                <w:sz w:val="20"/>
              </w:rPr>
              <w:t>，支持虚拟化应用。</w:t>
            </w:r>
          </w:p>
        </w:tc>
      </w:tr>
      <w:tr>
        <w:tblPrEx>
          <w:tblCellMar>
            <w:top w:w="0" w:type="dxa"/>
            <w:left w:w="0" w:type="dxa"/>
            <w:bottom w:w="0" w:type="dxa"/>
            <w:right w:w="0" w:type="dxa"/>
          </w:tblCellMar>
        </w:tblPrEx>
        <w:trPr>
          <w:trHeight w:val="801"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宋体" w:hAnsi="宋体" w:eastAsia="宋体"/>
                <w:kern w:val="0"/>
                <w:sz w:val="20"/>
                <w:lang w:val="en-US" w:eastAsia="zh-CN"/>
              </w:rPr>
            </w:pPr>
            <w:r>
              <w:rPr>
                <w:rFonts w:hint="eastAsia" w:ascii="宋体" w:hAnsi="宋体"/>
                <w:kern w:val="0"/>
                <w:sz w:val="20"/>
                <w:lang w:val="en-US" w:eastAsia="zh-CN"/>
              </w:rPr>
              <w:t>电源</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i w:val="0"/>
                <w:color w:val="000000"/>
                <w:kern w:val="0"/>
                <w:sz w:val="20"/>
                <w:szCs w:val="20"/>
                <w:u w:val="none"/>
                <w:lang w:val="en-US" w:eastAsia="zh-CN" w:bidi="ar"/>
              </w:rPr>
            </w:pPr>
            <w:r>
              <w:rPr>
                <w:rFonts w:ascii="宋体" w:hAnsi="宋体"/>
                <w:kern w:val="0"/>
                <w:sz w:val="20"/>
              </w:rPr>
              <w:t>220VAC/240HVDC</w:t>
            </w:r>
            <w:r>
              <w:rPr>
                <w:rFonts w:hint="eastAsia" w:ascii="宋体" w:hAnsi="宋体"/>
                <w:kern w:val="0"/>
                <w:sz w:val="20"/>
              </w:rPr>
              <w:t>交直流兼容电源</w:t>
            </w:r>
            <w:r>
              <w:rPr>
                <w:rFonts w:ascii="宋体" w:hAnsi="宋体"/>
                <w:kern w:val="0"/>
                <w:sz w:val="20"/>
              </w:rPr>
              <w:t xml:space="preserve"> * 2 </w:t>
            </w:r>
            <w:r>
              <w:rPr>
                <w:rFonts w:hint="eastAsia" w:ascii="宋体" w:hAnsi="宋体"/>
                <w:kern w:val="0"/>
                <w:sz w:val="20"/>
              </w:rPr>
              <w:t>电源线根据机房环境来选择，如国标</w:t>
            </w:r>
            <w:r>
              <w:rPr>
                <w:rFonts w:ascii="宋体" w:hAnsi="宋体"/>
                <w:kern w:val="0"/>
                <w:sz w:val="20"/>
              </w:rPr>
              <w:t>/</w:t>
            </w:r>
            <w:r>
              <w:rPr>
                <w:rFonts w:hint="eastAsia" w:ascii="宋体" w:hAnsi="宋体"/>
                <w:kern w:val="0"/>
                <w:sz w:val="20"/>
              </w:rPr>
              <w:t>美标</w:t>
            </w:r>
            <w:r>
              <w:rPr>
                <w:rFonts w:ascii="宋体" w:hAnsi="宋体"/>
                <w:kern w:val="0"/>
                <w:sz w:val="20"/>
              </w:rPr>
              <w:t xml:space="preserve">/C14 </w:t>
            </w:r>
            <w:r>
              <w:rPr>
                <w:rFonts w:hint="eastAsia" w:ascii="宋体" w:hAnsi="宋体"/>
                <w:kern w:val="0"/>
                <w:sz w:val="20"/>
              </w:rPr>
              <w:t>电源效率</w:t>
            </w:r>
            <w:r>
              <w:rPr>
                <w:rFonts w:ascii="宋体" w:hAnsi="宋体"/>
                <w:kern w:val="0"/>
                <w:sz w:val="20"/>
              </w:rPr>
              <w:t xml:space="preserve"> </w:t>
            </w:r>
            <w:r>
              <w:rPr>
                <w:rFonts w:hint="eastAsia" w:ascii="宋体" w:hAnsi="宋体"/>
                <w:kern w:val="0"/>
                <w:sz w:val="20"/>
              </w:rPr>
              <w:t>主动式</w:t>
            </w:r>
            <w:r>
              <w:rPr>
                <w:rFonts w:ascii="宋体" w:hAnsi="宋体"/>
                <w:kern w:val="0"/>
                <w:sz w:val="20"/>
              </w:rPr>
              <w:t>PFC</w:t>
            </w:r>
            <w:r>
              <w:rPr>
                <w:rFonts w:hint="eastAsia" w:ascii="宋体" w:hAnsi="宋体"/>
                <w:kern w:val="0"/>
                <w:sz w:val="20"/>
                <w:lang w:eastAsia="zh-CN"/>
              </w:rPr>
              <w:t>，</w:t>
            </w:r>
            <w:r>
              <w:rPr>
                <w:rFonts w:hint="eastAsia" w:ascii="宋体" w:hAnsi="宋体"/>
                <w:kern w:val="0"/>
                <w:sz w:val="20"/>
              </w:rPr>
              <w:t>通过</w:t>
            </w:r>
            <w:r>
              <w:rPr>
                <w:rFonts w:ascii="宋体" w:hAnsi="宋体"/>
                <w:kern w:val="0"/>
                <w:sz w:val="20"/>
              </w:rPr>
              <w:t>80plus</w:t>
            </w:r>
            <w:r>
              <w:rPr>
                <w:rFonts w:hint="eastAsia" w:ascii="宋体" w:hAnsi="宋体"/>
                <w:kern w:val="0"/>
                <w:sz w:val="20"/>
              </w:rPr>
              <w:t>白金认证</w:t>
            </w:r>
            <w:r>
              <w:rPr>
                <w:rFonts w:ascii="宋体" w:hAnsi="宋体"/>
                <w:kern w:val="0"/>
                <w:sz w:val="20"/>
              </w:rPr>
              <w:t xml:space="preserve"> </w:t>
            </w:r>
          </w:p>
        </w:tc>
      </w:tr>
      <w:tr>
        <w:tblPrEx>
          <w:tblCellMar>
            <w:top w:w="0" w:type="dxa"/>
            <w:left w:w="0" w:type="dxa"/>
            <w:bottom w:w="0" w:type="dxa"/>
            <w:right w:w="0" w:type="dxa"/>
          </w:tblCellMar>
        </w:tblPrEx>
        <w:trPr>
          <w:trHeight w:val="428"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lang w:val="en-US" w:eastAsia="zh-CN"/>
              </w:rPr>
            </w:pPr>
            <w:r>
              <w:rPr>
                <w:rFonts w:ascii="宋体" w:hAnsi="宋体"/>
                <w:kern w:val="0"/>
                <w:sz w:val="20"/>
              </w:rPr>
              <w:t>IO</w:t>
            </w:r>
            <w:r>
              <w:rPr>
                <w:rFonts w:hint="eastAsia" w:ascii="宋体" w:hAnsi="宋体"/>
                <w:kern w:val="0"/>
                <w:sz w:val="20"/>
              </w:rPr>
              <w:t>接口</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宋体" w:hAnsi="宋体"/>
                <w:kern w:val="0"/>
                <w:sz w:val="20"/>
              </w:rPr>
            </w:pPr>
            <w:r>
              <w:rPr>
                <w:rFonts w:ascii="宋体" w:hAnsi="宋体"/>
                <w:kern w:val="0"/>
                <w:sz w:val="20"/>
              </w:rPr>
              <w:t>IO</w:t>
            </w:r>
            <w:r>
              <w:rPr>
                <w:rFonts w:hint="eastAsia" w:ascii="宋体" w:hAnsi="宋体"/>
                <w:kern w:val="0"/>
                <w:sz w:val="20"/>
              </w:rPr>
              <w:t>接口</w:t>
            </w:r>
            <w:r>
              <w:rPr>
                <w:rFonts w:ascii="宋体" w:hAnsi="宋体"/>
                <w:kern w:val="0"/>
                <w:sz w:val="20"/>
              </w:rPr>
              <w:t xml:space="preserve"> </w:t>
            </w:r>
            <w:r>
              <w:rPr>
                <w:rFonts w:hint="eastAsia" w:ascii="宋体" w:hAnsi="宋体"/>
                <w:kern w:val="0"/>
                <w:sz w:val="20"/>
              </w:rPr>
              <w:t>不少于</w:t>
            </w:r>
            <w:r>
              <w:rPr>
                <w:rFonts w:ascii="宋体" w:hAnsi="宋体"/>
                <w:kern w:val="0"/>
                <w:sz w:val="20"/>
              </w:rPr>
              <w:t>2</w:t>
            </w:r>
            <w:r>
              <w:rPr>
                <w:rFonts w:hint="eastAsia" w:ascii="宋体" w:hAnsi="宋体"/>
                <w:kern w:val="0"/>
                <w:sz w:val="20"/>
              </w:rPr>
              <w:t>个</w:t>
            </w:r>
            <w:r>
              <w:rPr>
                <w:rFonts w:ascii="宋体" w:hAnsi="宋体"/>
                <w:kern w:val="0"/>
                <w:sz w:val="20"/>
              </w:rPr>
              <w:t>USB</w:t>
            </w:r>
            <w:r>
              <w:rPr>
                <w:rFonts w:hint="eastAsia" w:ascii="宋体" w:hAnsi="宋体"/>
                <w:kern w:val="0"/>
                <w:sz w:val="20"/>
              </w:rPr>
              <w:t>接口</w:t>
            </w:r>
            <w:r>
              <w:rPr>
                <w:rFonts w:ascii="宋体" w:hAnsi="宋体"/>
                <w:kern w:val="0"/>
                <w:sz w:val="20"/>
              </w:rPr>
              <w:t xml:space="preserve">, </w:t>
            </w:r>
            <w:r>
              <w:rPr>
                <w:rFonts w:hint="eastAsia" w:ascii="宋体" w:hAnsi="宋体"/>
                <w:kern w:val="0"/>
                <w:sz w:val="20"/>
              </w:rPr>
              <w:t>支持</w:t>
            </w:r>
            <w:r>
              <w:rPr>
                <w:rFonts w:ascii="宋体" w:hAnsi="宋体"/>
                <w:kern w:val="0"/>
                <w:sz w:val="20"/>
              </w:rPr>
              <w:t>VGA</w:t>
            </w:r>
            <w:r>
              <w:rPr>
                <w:rFonts w:hint="eastAsia" w:ascii="宋体" w:hAnsi="宋体"/>
                <w:kern w:val="0"/>
                <w:sz w:val="20"/>
              </w:rPr>
              <w:t>接口</w:t>
            </w:r>
          </w:p>
        </w:tc>
      </w:tr>
      <w:tr>
        <w:tblPrEx>
          <w:tblCellMar>
            <w:top w:w="0" w:type="dxa"/>
            <w:left w:w="0" w:type="dxa"/>
            <w:bottom w:w="0" w:type="dxa"/>
            <w:right w:w="0" w:type="dxa"/>
          </w:tblCellMar>
        </w:tblPrEx>
        <w:trPr>
          <w:trHeight w:val="504"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宋体" w:hAnsi="宋体"/>
                <w:kern w:val="0"/>
                <w:sz w:val="20"/>
              </w:rPr>
            </w:pPr>
            <w:r>
              <w:rPr>
                <w:rFonts w:hint="eastAsia" w:ascii="宋体" w:hAnsi="宋体"/>
                <w:kern w:val="0"/>
                <w:sz w:val="20"/>
              </w:rPr>
              <w:t>冗余组件</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宋体" w:hAnsi="宋体"/>
                <w:kern w:val="0"/>
                <w:sz w:val="20"/>
              </w:rPr>
            </w:pPr>
            <w:r>
              <w:rPr>
                <w:rFonts w:ascii="宋体" w:hAnsi="宋体"/>
                <w:kern w:val="0"/>
                <w:sz w:val="20"/>
              </w:rPr>
              <w:t>1+1</w:t>
            </w:r>
            <w:r>
              <w:rPr>
                <w:rFonts w:hint="eastAsia" w:ascii="宋体" w:hAnsi="宋体"/>
                <w:kern w:val="0"/>
                <w:sz w:val="20"/>
              </w:rPr>
              <w:t>冗余电源，支持热插拔；冗余系统风扇；</w:t>
            </w:r>
          </w:p>
        </w:tc>
      </w:tr>
      <w:tr>
        <w:tblPrEx>
          <w:tblCellMar>
            <w:top w:w="0" w:type="dxa"/>
            <w:left w:w="0" w:type="dxa"/>
            <w:bottom w:w="0" w:type="dxa"/>
            <w:right w:w="0" w:type="dxa"/>
          </w:tblCellMar>
        </w:tblPrEx>
        <w:trPr>
          <w:trHeight w:val="962"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hint="eastAsia" w:ascii="宋体" w:hAnsi="宋体"/>
                <w:kern w:val="0"/>
                <w:sz w:val="20"/>
              </w:rPr>
              <w:t>硬件诊断功能</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宋体" w:hAnsi="宋体"/>
                <w:kern w:val="0"/>
                <w:sz w:val="20"/>
              </w:rPr>
            </w:pPr>
            <w:r>
              <w:rPr>
                <w:rFonts w:hint="eastAsia" w:ascii="宋体" w:hAnsi="宋体"/>
                <w:kern w:val="0"/>
                <w:sz w:val="20"/>
              </w:rPr>
              <w:t>提供主机前面板故障诊断面板，能够对主机</w:t>
            </w:r>
            <w:r>
              <w:rPr>
                <w:rFonts w:ascii="宋体" w:hAnsi="宋体"/>
                <w:kern w:val="0"/>
                <w:sz w:val="20"/>
              </w:rPr>
              <w:t>CPU/</w:t>
            </w:r>
            <w:r>
              <w:rPr>
                <w:rFonts w:hint="eastAsia" w:ascii="宋体" w:hAnsi="宋体"/>
                <w:kern w:val="0"/>
                <w:sz w:val="20"/>
              </w:rPr>
              <w:t>内存</w:t>
            </w:r>
            <w:r>
              <w:rPr>
                <w:rFonts w:ascii="宋体" w:hAnsi="宋体"/>
                <w:kern w:val="0"/>
                <w:sz w:val="20"/>
              </w:rPr>
              <w:t>/</w:t>
            </w:r>
            <w:r>
              <w:rPr>
                <w:rFonts w:hint="eastAsia" w:ascii="宋体" w:hAnsi="宋体"/>
                <w:kern w:val="0"/>
                <w:sz w:val="20"/>
              </w:rPr>
              <w:t>硬盘</w:t>
            </w:r>
            <w:r>
              <w:rPr>
                <w:rFonts w:ascii="宋体" w:hAnsi="宋体"/>
                <w:kern w:val="0"/>
                <w:sz w:val="20"/>
              </w:rPr>
              <w:t>/</w:t>
            </w:r>
            <w:r>
              <w:rPr>
                <w:rFonts w:hint="eastAsia" w:ascii="宋体" w:hAnsi="宋体"/>
                <w:kern w:val="0"/>
                <w:sz w:val="20"/>
              </w:rPr>
              <w:t>网卡</w:t>
            </w:r>
            <w:r>
              <w:rPr>
                <w:rFonts w:ascii="宋体" w:hAnsi="宋体"/>
                <w:kern w:val="0"/>
                <w:sz w:val="20"/>
              </w:rPr>
              <w:t>/</w:t>
            </w:r>
            <w:r>
              <w:rPr>
                <w:rFonts w:hint="eastAsia" w:ascii="宋体" w:hAnsi="宋体"/>
                <w:kern w:val="0"/>
                <w:sz w:val="20"/>
              </w:rPr>
              <w:t>风扇</w:t>
            </w:r>
            <w:r>
              <w:rPr>
                <w:rFonts w:ascii="宋体" w:hAnsi="宋体"/>
                <w:kern w:val="0"/>
                <w:sz w:val="20"/>
              </w:rPr>
              <w:t>/</w:t>
            </w:r>
            <w:r>
              <w:rPr>
                <w:rFonts w:hint="eastAsia" w:ascii="宋体" w:hAnsi="宋体"/>
                <w:kern w:val="0"/>
                <w:sz w:val="20"/>
              </w:rPr>
              <w:t>温度</w:t>
            </w:r>
            <w:r>
              <w:rPr>
                <w:rFonts w:ascii="宋体" w:hAnsi="宋体"/>
                <w:kern w:val="0"/>
                <w:sz w:val="20"/>
              </w:rPr>
              <w:t>/</w:t>
            </w:r>
            <w:r>
              <w:rPr>
                <w:rFonts w:hint="eastAsia" w:ascii="宋体" w:hAnsi="宋体"/>
                <w:kern w:val="0"/>
                <w:sz w:val="20"/>
              </w:rPr>
              <w:t>电源等关键部件的故障诊断报警功能；能够独立显示硬盘故障、系统运行故障、风扇及温度故障、网络故障。</w:t>
            </w:r>
          </w:p>
        </w:tc>
      </w:tr>
      <w:tr>
        <w:tblPrEx>
          <w:tblCellMar>
            <w:top w:w="0" w:type="dxa"/>
            <w:left w:w="0" w:type="dxa"/>
            <w:bottom w:w="0" w:type="dxa"/>
            <w:right w:w="0" w:type="dxa"/>
          </w:tblCellMar>
        </w:tblPrEx>
        <w:trPr>
          <w:trHeight w:val="1275"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hint="eastAsia" w:ascii="宋体" w:hAnsi="宋体"/>
                <w:kern w:val="0"/>
                <w:sz w:val="20"/>
              </w:rPr>
              <w:t>管理维护功能</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宋体"/>
                <w:kern w:val="0"/>
                <w:sz w:val="20"/>
              </w:rPr>
            </w:pPr>
            <w:r>
              <w:rPr>
                <w:rFonts w:hint="eastAsia" w:ascii="宋体" w:hAnsi="宋体"/>
                <w:kern w:val="0"/>
                <w:sz w:val="20"/>
              </w:rPr>
              <w:t>提供基于</w:t>
            </w:r>
            <w:r>
              <w:rPr>
                <w:rFonts w:ascii="宋体" w:hAnsi="宋体"/>
                <w:kern w:val="0"/>
                <w:sz w:val="20"/>
              </w:rPr>
              <w:t>Web</w:t>
            </w:r>
            <w:r>
              <w:rPr>
                <w:rFonts w:hint="eastAsia" w:ascii="宋体" w:hAnsi="宋体"/>
                <w:kern w:val="0"/>
                <w:sz w:val="20"/>
              </w:rPr>
              <w:t>的远程管理控制、配备硬件监控、远程管理功能；支持</w:t>
            </w:r>
            <w:r>
              <w:rPr>
                <w:rFonts w:ascii="宋体" w:hAnsi="宋体"/>
                <w:kern w:val="0"/>
                <w:sz w:val="20"/>
              </w:rPr>
              <w:t>IPMI2.0</w:t>
            </w:r>
            <w:r>
              <w:rPr>
                <w:rFonts w:hint="eastAsia" w:ascii="宋体" w:hAnsi="宋体"/>
                <w:kern w:val="0"/>
                <w:sz w:val="20"/>
              </w:rPr>
              <w:t>标准。提供</w:t>
            </w:r>
            <w:r>
              <w:rPr>
                <w:rFonts w:ascii="宋体" w:hAnsi="宋体"/>
                <w:kern w:val="0"/>
                <w:sz w:val="20"/>
              </w:rPr>
              <w:t>IKVM</w:t>
            </w:r>
            <w:r>
              <w:rPr>
                <w:rFonts w:hint="eastAsia" w:ascii="宋体" w:hAnsi="宋体"/>
                <w:kern w:val="0"/>
                <w:sz w:val="20"/>
              </w:rPr>
              <w:t>功能，实现远程</w:t>
            </w:r>
            <w:r>
              <w:rPr>
                <w:rFonts w:ascii="宋体" w:hAnsi="宋体"/>
                <w:kern w:val="0"/>
                <w:sz w:val="20"/>
              </w:rPr>
              <w:t>KVM</w:t>
            </w:r>
            <w:r>
              <w:rPr>
                <w:rFonts w:hint="eastAsia" w:ascii="宋体" w:hAnsi="宋体"/>
                <w:kern w:val="0"/>
                <w:sz w:val="20"/>
              </w:rPr>
              <w:t>功能；</w:t>
            </w:r>
          </w:p>
          <w:p>
            <w:pPr>
              <w:widowControl/>
              <w:jc w:val="left"/>
              <w:rPr>
                <w:rFonts w:hint="eastAsia" w:ascii="宋体" w:hAnsi="宋体"/>
                <w:kern w:val="0"/>
                <w:sz w:val="20"/>
              </w:rPr>
            </w:pPr>
            <w:r>
              <w:rPr>
                <w:rFonts w:hint="eastAsia" w:ascii="宋体" w:hAnsi="宋体"/>
                <w:kern w:val="0"/>
                <w:sz w:val="20"/>
              </w:rPr>
              <w:t>独立管理口</w:t>
            </w:r>
            <w:r>
              <w:rPr>
                <w:rFonts w:ascii="宋体" w:hAnsi="宋体"/>
                <w:kern w:val="0"/>
                <w:sz w:val="20"/>
              </w:rPr>
              <w:t>100%</w:t>
            </w:r>
            <w:r>
              <w:rPr>
                <w:rFonts w:hint="eastAsia" w:ascii="宋体" w:hAnsi="宋体"/>
                <w:kern w:val="0"/>
                <w:sz w:val="20"/>
              </w:rPr>
              <w:t>兼容千兆或百兆交换网络，通过管理口实现远程开关机、重启、网络安装操作系统等操作。</w:t>
            </w:r>
          </w:p>
        </w:tc>
      </w:tr>
      <w:tr>
        <w:tblPrEx>
          <w:tblCellMar>
            <w:top w:w="0" w:type="dxa"/>
            <w:left w:w="0" w:type="dxa"/>
            <w:bottom w:w="0" w:type="dxa"/>
            <w:right w:w="0" w:type="dxa"/>
          </w:tblCellMar>
        </w:tblPrEx>
        <w:trPr>
          <w:trHeight w:val="1275"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hint="eastAsia" w:ascii="宋体" w:hAnsi="宋体"/>
                <w:kern w:val="0"/>
                <w:sz w:val="20"/>
              </w:rPr>
              <w:t>保修服务</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宋体"/>
                <w:kern w:val="0"/>
                <w:sz w:val="20"/>
              </w:rPr>
            </w:pPr>
            <w:r>
              <w:rPr>
                <w:rFonts w:hint="eastAsia" w:ascii="宋体" w:hAnsi="宋体"/>
                <w:kern w:val="0"/>
                <w:sz w:val="20"/>
              </w:rPr>
              <w:t>提供原厂商三年</w:t>
            </w:r>
            <w:r>
              <w:rPr>
                <w:rFonts w:ascii="宋体" w:hAnsi="宋体"/>
                <w:kern w:val="0"/>
                <w:sz w:val="20"/>
              </w:rPr>
              <w:t>7*24</w:t>
            </w:r>
            <w:r>
              <w:rPr>
                <w:rFonts w:hint="eastAsia" w:ascii="宋体" w:hAnsi="宋体"/>
                <w:kern w:val="0"/>
                <w:sz w:val="20"/>
              </w:rPr>
              <w:t>小时工程师带备件上门服务；</w:t>
            </w:r>
          </w:p>
          <w:p>
            <w:pPr>
              <w:widowControl/>
              <w:jc w:val="left"/>
              <w:rPr>
                <w:rFonts w:ascii="宋体"/>
                <w:kern w:val="0"/>
                <w:sz w:val="20"/>
              </w:rPr>
            </w:pPr>
            <w:r>
              <w:rPr>
                <w:rFonts w:hint="eastAsia" w:ascii="宋体" w:hAnsi="宋体"/>
                <w:kern w:val="0"/>
                <w:sz w:val="20"/>
              </w:rPr>
              <w:t>提供三年硬盘免回收</w:t>
            </w:r>
          </w:p>
          <w:p>
            <w:pPr>
              <w:widowControl/>
              <w:jc w:val="left"/>
              <w:rPr>
                <w:rFonts w:ascii="宋体"/>
                <w:kern w:val="0"/>
                <w:sz w:val="20"/>
              </w:rPr>
            </w:pPr>
            <w:r>
              <w:rPr>
                <w:rFonts w:hint="eastAsia" w:ascii="宋体" w:hAnsi="宋体"/>
                <w:kern w:val="0"/>
                <w:sz w:val="20"/>
              </w:rPr>
              <w:t>提供系统安装部署服务（主机机柜安装、操作系统及软件安装部署等）</w:t>
            </w:r>
          </w:p>
          <w:p>
            <w:pPr>
              <w:widowControl/>
              <w:jc w:val="left"/>
              <w:rPr>
                <w:rFonts w:hint="eastAsia" w:ascii="宋体" w:hAnsi="宋体"/>
                <w:kern w:val="0"/>
                <w:sz w:val="20"/>
              </w:rPr>
            </w:pPr>
            <w:r>
              <w:rPr>
                <w:rFonts w:hint="eastAsia" w:ascii="宋体" w:hAnsi="宋体"/>
                <w:kern w:val="0"/>
                <w:sz w:val="20"/>
              </w:rPr>
              <w:t>提供原厂三年每年</w:t>
            </w:r>
            <w:r>
              <w:rPr>
                <w:rFonts w:ascii="宋体" w:hAnsi="宋体"/>
                <w:kern w:val="0"/>
                <w:sz w:val="20"/>
              </w:rPr>
              <w:t>2</w:t>
            </w:r>
            <w:r>
              <w:rPr>
                <w:rFonts w:hint="eastAsia" w:ascii="宋体" w:hAnsi="宋体"/>
                <w:kern w:val="0"/>
                <w:sz w:val="20"/>
              </w:rPr>
              <w:t>次服务器巡检服务</w:t>
            </w:r>
          </w:p>
        </w:tc>
      </w:tr>
      <w:tr>
        <w:tblPrEx>
          <w:tblCellMar>
            <w:top w:w="0" w:type="dxa"/>
            <w:left w:w="0" w:type="dxa"/>
            <w:bottom w:w="0" w:type="dxa"/>
            <w:right w:w="0" w:type="dxa"/>
          </w:tblCellMar>
        </w:tblPrEx>
        <w:trPr>
          <w:trHeight w:val="713"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hint="eastAsia" w:ascii="宋体" w:hAnsi="宋体"/>
                <w:kern w:val="0"/>
                <w:sz w:val="20"/>
              </w:rPr>
              <w:t>技术支持与质保服务</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宋体" w:hAnsi="宋体"/>
                <w:kern w:val="0"/>
                <w:sz w:val="20"/>
              </w:rPr>
            </w:pPr>
            <w:r>
              <w:rPr>
                <w:rFonts w:hint="eastAsia" w:ascii="宋体" w:hAnsi="宋体"/>
                <w:kern w:val="0"/>
                <w:sz w:val="20"/>
              </w:rPr>
              <w:t>提供</w:t>
            </w:r>
            <w:r>
              <w:rPr>
                <w:rFonts w:hint="eastAsia" w:ascii="宋体" w:hAnsi="宋体"/>
                <w:kern w:val="0"/>
                <w:sz w:val="20"/>
                <w:lang w:val="en-US" w:eastAsia="zh-CN"/>
              </w:rPr>
              <w:t>原厂</w:t>
            </w:r>
            <w:r>
              <w:rPr>
                <w:rFonts w:hint="eastAsia" w:ascii="宋体" w:hAnsi="宋体"/>
                <w:kern w:val="0"/>
                <w:sz w:val="20"/>
              </w:rPr>
              <w:t>三年免费（免上门费、备件费、人工费及相关费用）技术支持与保修服务；</w:t>
            </w:r>
          </w:p>
        </w:tc>
      </w:tr>
      <w:tr>
        <w:tblPrEx>
          <w:tblCellMar>
            <w:top w:w="0" w:type="dxa"/>
            <w:left w:w="0" w:type="dxa"/>
            <w:bottom w:w="0" w:type="dxa"/>
            <w:right w:w="0" w:type="dxa"/>
          </w:tblCellMar>
        </w:tblPrEx>
        <w:trPr>
          <w:trHeight w:val="723" w:hRule="atLeast"/>
        </w:trPr>
        <w:tc>
          <w:tcPr>
            <w:tcW w:w="1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宋体" w:hAnsi="宋体"/>
                <w:kern w:val="0"/>
                <w:sz w:val="20"/>
              </w:rPr>
            </w:pPr>
            <w:r>
              <w:rPr>
                <w:rFonts w:hint="eastAsia" w:ascii="宋体" w:hAnsi="宋体"/>
                <w:kern w:val="0"/>
                <w:sz w:val="20"/>
              </w:rPr>
              <w:t>机柜及操作系统兼容性</w:t>
            </w:r>
          </w:p>
        </w:tc>
        <w:tc>
          <w:tcPr>
            <w:tcW w:w="6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宋体"/>
                <w:kern w:val="0"/>
                <w:sz w:val="20"/>
              </w:rPr>
            </w:pPr>
            <w:r>
              <w:rPr>
                <w:rFonts w:hint="eastAsia" w:ascii="宋体" w:hAnsi="宋体"/>
                <w:kern w:val="0"/>
                <w:sz w:val="20"/>
              </w:rPr>
              <w:t>与现有主流品牌机柜兼容，保证可以上架到现有主流标准机柜；</w:t>
            </w:r>
          </w:p>
          <w:p>
            <w:pPr>
              <w:widowControl/>
              <w:jc w:val="left"/>
              <w:rPr>
                <w:rFonts w:hint="eastAsia" w:ascii="宋体" w:hAnsi="宋体"/>
                <w:kern w:val="0"/>
                <w:sz w:val="20"/>
              </w:rPr>
            </w:pPr>
            <w:r>
              <w:rPr>
                <w:rFonts w:hint="eastAsia" w:ascii="宋体" w:hAnsi="宋体"/>
                <w:kern w:val="0"/>
                <w:sz w:val="20"/>
              </w:rPr>
              <w:t>支持主流</w:t>
            </w:r>
            <w:r>
              <w:rPr>
                <w:rFonts w:ascii="宋体" w:hAnsi="宋体"/>
                <w:kern w:val="0"/>
                <w:sz w:val="20"/>
              </w:rPr>
              <w:t>64</w:t>
            </w:r>
            <w:r>
              <w:rPr>
                <w:rFonts w:hint="eastAsia" w:ascii="宋体" w:hAnsi="宋体"/>
                <w:kern w:val="0"/>
                <w:sz w:val="20"/>
              </w:rPr>
              <w:t>位操作系统；</w:t>
            </w:r>
          </w:p>
        </w:tc>
      </w:tr>
    </w:tbl>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numId w:val="0"/>
        </w:numPr>
        <w:spacing w:before="240" w:after="240" w:line="360" w:lineRule="auto"/>
        <w:ind w:leftChars="0"/>
        <w:outlineLvl w:val="3"/>
        <w:rPr>
          <w:rFonts w:hint="eastAsia" w:ascii="宋体" w:hAnsi="宋体"/>
          <w:b/>
          <w:sz w:val="28"/>
          <w:szCs w:val="21"/>
        </w:rPr>
      </w:pPr>
    </w:p>
    <w:p>
      <w:pPr>
        <w:numPr>
          <w:ilvl w:val="3"/>
          <w:numId w:val="27"/>
        </w:numPr>
        <w:spacing w:before="240" w:after="240" w:line="360" w:lineRule="auto"/>
        <w:ind w:left="851" w:leftChars="0" w:hanging="851" w:firstLineChars="0"/>
        <w:outlineLvl w:val="3"/>
        <w:rPr>
          <w:rFonts w:hint="eastAsia" w:ascii="宋体" w:hAnsi="宋体"/>
          <w:b/>
          <w:sz w:val="28"/>
          <w:szCs w:val="21"/>
        </w:rPr>
      </w:pPr>
      <w:r>
        <w:rPr>
          <w:rFonts w:hint="eastAsia" w:ascii="宋体" w:hAnsi="宋体"/>
          <w:b/>
          <w:sz w:val="28"/>
          <w:szCs w:val="21"/>
          <w:lang w:val="en-US" w:eastAsia="zh-CN"/>
        </w:rPr>
        <w:t>存储计算型</w:t>
      </w:r>
      <w:r>
        <w:rPr>
          <w:rFonts w:hint="eastAsia" w:ascii="宋体" w:hAnsi="宋体"/>
          <w:b/>
          <w:sz w:val="28"/>
          <w:szCs w:val="21"/>
        </w:rPr>
        <w:t>服务器要求</w:t>
      </w:r>
      <w:r>
        <w:rPr>
          <w:rFonts w:hint="eastAsia" w:ascii="宋体" w:hAnsi="宋体"/>
          <w:b/>
          <w:sz w:val="28"/>
          <w:szCs w:val="21"/>
          <w:lang w:eastAsia="zh-CN"/>
        </w:rPr>
        <w:t>（</w:t>
      </w:r>
      <w:r>
        <w:rPr>
          <w:rFonts w:hint="eastAsia" w:ascii="宋体" w:hAnsi="宋体"/>
          <w:b/>
          <w:sz w:val="28"/>
          <w:szCs w:val="21"/>
          <w:lang w:val="en-US" w:eastAsia="zh-CN"/>
        </w:rPr>
        <w:t>弹性计算</w:t>
      </w:r>
      <w:r>
        <w:rPr>
          <w:rFonts w:hint="eastAsia" w:ascii="宋体" w:hAnsi="宋体"/>
          <w:b/>
          <w:sz w:val="28"/>
          <w:szCs w:val="21"/>
          <w:lang w:eastAsia="zh-CN"/>
        </w:rPr>
        <w:t>）</w:t>
      </w:r>
    </w:p>
    <w:tbl>
      <w:tblPr>
        <w:tblStyle w:val="73"/>
        <w:tblW w:w="8880" w:type="dxa"/>
        <w:jc w:val="center"/>
        <w:shd w:val="clear" w:color="auto" w:fill="auto"/>
        <w:tblLayout w:type="fixed"/>
        <w:tblCellMar>
          <w:top w:w="0" w:type="dxa"/>
          <w:left w:w="0" w:type="dxa"/>
          <w:bottom w:w="0" w:type="dxa"/>
          <w:right w:w="0" w:type="dxa"/>
        </w:tblCellMar>
      </w:tblPr>
      <w:tblGrid>
        <w:gridCol w:w="1597"/>
        <w:gridCol w:w="7283"/>
      </w:tblGrid>
      <w:tr>
        <w:tblPrEx>
          <w:shd w:val="clear" w:color="auto" w:fill="auto"/>
          <w:tblCellMar>
            <w:top w:w="0" w:type="dxa"/>
            <w:left w:w="0" w:type="dxa"/>
            <w:bottom w:w="0" w:type="dxa"/>
            <w:right w:w="0" w:type="dxa"/>
          </w:tblCellMar>
        </w:tblPrEx>
        <w:trPr>
          <w:trHeight w:val="39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spacing w:line="360" w:lineRule="auto"/>
              <w:jc w:val="center"/>
              <w:rPr>
                <w:rFonts w:hint="eastAsia" w:ascii="宋体" w:hAnsi="宋体" w:eastAsia="宋体" w:cs="宋体"/>
                <w:b/>
                <w:i w:val="0"/>
                <w:color w:val="000000"/>
                <w:sz w:val="22"/>
                <w:szCs w:val="22"/>
                <w:u w:val="none"/>
              </w:rPr>
            </w:pPr>
            <w:r>
              <w:pict>
                <v:shape id="_x0000_s1038" o:spid="_x0000_s1038" o:spt="100" alt="060GB8BED2CE51@291@D5E2647B442B7080&gt;:W80A&lt;ZX81113917!!!BIHO@]x81113917!@0C1D41110DDB637169Onsl`m/enu!!!!!!!!!!!!!!!!!!!!!!!!!!!!!!!!!!!!!!!!!!!!!!!!!!!!!!!!!!!!!!!!!!!!!!!!!!!!!!!!!!!!!!!!!!!!!!!!!!!!!!!!!!!!!!!!!!!!!!!!!!!!!!!!!!!!!!!!!!!!!!!!!!!!!!!!!!!!!!!!!!!!!!!!!!!!!!!!!!!!!!!!!!!!!!!!!!!!!!!!!!!!!!!!!!!!!!!!!!!!!!!!!!!!!!!!!!!!!!!!!!!!!!!!!!!!!!!!!!!!!!!!!!!!!!!!!!!!!!!!!!!!!!!!!!!!!!!!!!!!!!!!!!!!!!!!!!!!!!!!!!!!!!!!!!!!!!!!!!!!!!!!!!!!!!!!!!!!!!!!!!!!!!!!!!!!!!!!!!!!!!!!!!!!!!!!!!!!!!!!!!!!!!!!!!!!!!!!!!!!!!!!!!!!!!!!!!!!!!!!!!!!!!!!!!!!!!!!!!!!!!!!!!!!!!!!!!!!!!!!!!!!!!!!!!!!!!!!!!!!!!!!!!!!!!!!!!!!!!!!!!!!!!!!!!!!!!!!!!!!!!!!!!!!!!!!!!!!!!!!!!!!!!!!!!!!!!!!!!!!!!!!!!!!!!!!!!!!!!!!!!!!!!!!!!!!!!!!!!!!!!!!!!!!!!!!!!!!!!!!!!!!!!!!!!!!!!!!!!!!!!!!!!!!!!!!!!!!!!!!!!!!!!!!!!!!!!!!!!!!!!!!!!!!!!!!!!!!!!!!!!!!!!!!!!!!!!!!!!!!!!!!!!!!!!!!!!!!!!!!!!!!!!!!!!!!!!!!!!!!!!!!!!!!!!!!!!!!!!!!!!!!!!!!!!!!!!!!!!!!!!!!!!!!!!!!!!!!!!!!!!!!!!!!!!!!!!!!!!!!!!!!!!!!!!!!!!!!!!!!!!!!!!!!!!!!!!!!!!!!!!!!!!!!!!!!!!!!!!!!!!!!!!!!!!!!!!!!!!!!!!!!!!!!!!!!!!!!!!!!!!!!!!!!!!!!!!!!!!!!!!!!!!!!!!!!!!!!!!!!!!!!!!!!!!!!!!!!!!!!!!!!!!!!!!!!!!!!!!!!!!!!!!!!!!!!!!!!!!!!!!!!!!!!!!!!!!!!!!!!!!!!!!!!!!!!!!!!!!!!!!!!!!!!!!!!!!!!!!!!!!!!!!!!!!!!!!!!!!!!!!!!!!!!!!!!!!!!!!!!!!!!!!!!!!!!!!!!!!!!!!!!!!!!!!!!!!!!!!!!!!!!!!!!!!!!!!!!!!!!!!!!!!!!!!!!!!!!!!!!!!!!!!!!!!!!!!!!!!!!!!!!!!!!!!!!!!!!!!!!!!!!!!!!!!!!!!!!!!!!!!!!!!!!!!!!!!!!!!!!!!!!!!!!!!!!!!!!!!!!!!!!!!!!!!!!!!!!!!!!!!!!!!!!!!!!!!!!!!!!!!!!!!!!!!!!!!!!!!!!!!!!!!!!!!!!!!!!!!!!!!!!!!!!!!!!!!!!!!!!!!!!!!!!!!!!!!!!!!!!!!!!!!!!!!!!!!!!!!!!!!!!!!!!!!!!!!!!!!!!!!!!!!!!!!!!!!!!!!!!!!!!!!!!!!!!!!!!!!!!!!!!!!!!!!!!!!!!!!!!!!!!!!!!!!!!!!!!!!!!!!!!!!!!!!!!!!!!!!!!!!!!!!!!!!!!!!!!!!!!!!!!!!!!!!!!!!!!!!!!!!!!!!!!!!!!!!!!!!!!!!!!!!!!!!!!!!!!!!!!!!!!!!!!!!!!!!!!!!!!!!!!!!!!!!!!!!!!!!!!!!!!!!!!!!!!!!!!!!!!!!!!!!!!!!!!!!!!!!!!!!!!!!!!!!!!!!!!!!!!!!!!!!!!!!!!!!!!!!!!!!!!!!!!!!!!!!!!!!!!!!!!!!!!!!!!!!!!!!!!!!!!!!!!!!!!!!!!!!!!!!!!!!!!!!!!!!!!!!!!!!!!!!!!!!!!!!!!!!!!!!!!!!!!!!!!!!!!!!!!!!!!!!!!!!!!!!!!!!!!!!!!!!!!!!!!!!!!!!!!!!!!!!!!!!!!!!!!!!!!!!!!!!!!!!!!!!!!!!!!!!!!!!!!!!!!!!!!!!!!!!!!!!!!!!!!!!!!!!!!!!!!!!!!!!!!!!!!!!!!!!!!!!!!!!!!!!!!!!!!!!!!!!!!!!!!!!!!!!!!!!!!!!!!!!!!!!!!!!!!!!!!!!!!!!!!!!!!!!!!!!!!!!!!!!!!!!!!!!!!!!!!!!!!!!!!!!!!!!!!!!!!!!!!!!!!!!!!!!!!!!!!!!!!!!!!!!!!!!!!!!!!!!!!!!!!!!!!!!!!!!!!!!!!!!!!!!!!!!!!!!!!!!!!!!!!!!!!!!!!!!!!!!!!!!!!!!!!!!!!!!!!!!!!!!!!!!!!!!!!!!!!!!!!!!!!!!!!!!!!!!!!!!!!!!!!!1!1" style="position:absolute;left:0pt;margin-left:0pt;margin-top:0pt;height:0.05pt;width:0.05pt;z-index:1024;mso-width-relative:page;mso-height-relative:page;" coordsize="635,635" path="m0,0c0,0,0,0,0,0c0,0,0,0,0,0l0,0,0,0xe">
                  <v:path textboxrect="3163,3163,18437,18437" o:connecttype="segments" o:connectlocs="0,0;0,0;0,0;0,0;0,0" o:connectangles="0,0,0,0,0"/>
                  <v:fill focussize="0,0"/>
                  <v:stroke joinstyle="round"/>
                  <v:imagedata o:title=""/>
                  <o:lock v:ext="edit" text="t" aspectratio="t"/>
                  <v:textbox>
                    <w:txbxContent>
                      <w:p/>
                    </w:txbxContent>
                  </v:textbox>
                  <w10:anchorlock/>
                </v:shape>
              </w:pict>
            </w:r>
            <w:r>
              <w:rPr>
                <w:rFonts w:hint="eastAsia" w:ascii="宋体" w:hAnsi="宋体"/>
                <w:b/>
                <w:sz w:val="22"/>
                <w:szCs w:val="24"/>
              </w:rPr>
              <w:t>技术指标</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spacing w:line="360" w:lineRule="auto"/>
              <w:jc w:val="center"/>
              <w:rPr>
                <w:rFonts w:hint="default" w:ascii="宋体" w:hAnsi="宋体" w:eastAsia="宋体" w:cs="宋体"/>
                <w:b/>
                <w:i w:val="0"/>
                <w:color w:val="000000"/>
                <w:sz w:val="22"/>
                <w:szCs w:val="22"/>
                <w:u w:val="none"/>
                <w:lang w:val="en-US" w:eastAsia="zh-CN"/>
              </w:rPr>
            </w:pPr>
            <w:r>
              <w:rPr>
                <w:rFonts w:hint="eastAsia" w:ascii="宋体" w:hAnsi="宋体"/>
                <w:b/>
                <w:sz w:val="22"/>
                <w:szCs w:val="24"/>
              </w:rPr>
              <w:t>指标参数</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default" w:ascii="宋体" w:hAnsi="宋体" w:eastAsia="宋体" w:cs="宋体"/>
                <w:b/>
                <w:i w:val="0"/>
                <w:color w:val="000000"/>
                <w:sz w:val="22"/>
                <w:szCs w:val="22"/>
                <w:u w:val="none"/>
                <w:lang w:val="en-US" w:eastAsia="zh-CN"/>
              </w:rPr>
            </w:pPr>
            <w:r>
              <w:rPr>
                <w:rFonts w:hint="eastAsia" w:ascii="宋体" w:hAnsi="宋体"/>
                <w:kern w:val="0"/>
                <w:sz w:val="20"/>
                <w:szCs w:val="22"/>
                <w:lang w:val="en-US" w:eastAsia="zh-CN"/>
              </w:rPr>
              <w:t>采购数量</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default"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42台</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kern w:val="0"/>
                <w:sz w:val="20"/>
                <w:szCs w:val="22"/>
                <w:lang w:val="en-US" w:eastAsia="zh-CN"/>
              </w:rPr>
            </w:pPr>
            <w:r>
              <w:rPr>
                <w:rFonts w:hint="eastAsia" w:ascii="宋体" w:hAnsi="宋体"/>
                <w:kern w:val="0"/>
                <w:sz w:val="20"/>
              </w:rPr>
              <w:t>服务器外观</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cs="宋体"/>
                <w:b/>
                <w:i w:val="0"/>
                <w:color w:val="000000"/>
                <w:sz w:val="22"/>
                <w:szCs w:val="22"/>
                <w:u w:val="none"/>
                <w:lang w:val="en-US" w:eastAsia="zh-CN"/>
              </w:rPr>
            </w:pPr>
            <w:r>
              <w:rPr>
                <w:rFonts w:hint="eastAsia" w:ascii="宋体" w:hAnsi="宋体"/>
                <w:kern w:val="0"/>
                <w:sz w:val="20"/>
              </w:rPr>
              <w:t>机架式，</w:t>
            </w:r>
            <w:r>
              <w:rPr>
                <w:rFonts w:ascii="宋体" w:hAnsi="宋体"/>
                <w:kern w:val="0"/>
                <w:sz w:val="20"/>
              </w:rPr>
              <w:t>2</w:t>
            </w:r>
            <w:r>
              <w:rPr>
                <w:rFonts w:hint="eastAsia" w:ascii="宋体" w:hAnsi="宋体"/>
                <w:kern w:val="0"/>
                <w:sz w:val="20"/>
              </w:rPr>
              <w:t>路服务器</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kern w:val="0"/>
                <w:sz w:val="20"/>
              </w:rPr>
            </w:pPr>
            <w:r>
              <w:rPr>
                <w:rFonts w:hint="eastAsia" w:ascii="宋体" w:hAnsi="宋体"/>
                <w:kern w:val="0"/>
                <w:sz w:val="20"/>
                <w:lang w:val="en-US" w:eastAsia="zh-CN"/>
              </w:rPr>
              <w:t>品牌</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kern w:val="0"/>
                <w:sz w:val="20"/>
              </w:rPr>
            </w:pPr>
            <w:r>
              <w:rPr>
                <w:rFonts w:hint="eastAsia" w:ascii="宋体" w:hAnsi="宋体"/>
                <w:kern w:val="0"/>
                <w:sz w:val="20"/>
              </w:rPr>
              <w:t>国产主流品牌</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eastAsia="宋体" w:cs="宋体"/>
                <w:b/>
                <w:i w:val="0"/>
                <w:color w:val="000000"/>
                <w:sz w:val="22"/>
                <w:szCs w:val="22"/>
                <w:u w:val="none"/>
              </w:rPr>
            </w:pPr>
            <w:r>
              <w:rPr>
                <w:rFonts w:hint="eastAsia" w:ascii="宋体" w:hAnsi="宋体"/>
                <w:kern w:val="0"/>
                <w:sz w:val="20"/>
                <w:lang w:val="en-US" w:eastAsia="zh-CN"/>
              </w:rPr>
              <w:t>处理器类型</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default" w:ascii="宋体" w:hAnsi="宋体" w:eastAsia="宋体" w:cs="宋体"/>
                <w:b/>
                <w:i w:val="0"/>
                <w:color w:val="000000"/>
                <w:sz w:val="22"/>
                <w:szCs w:val="22"/>
                <w:u w:val="none"/>
                <w:lang w:val="en-US" w:eastAsia="zh-CN"/>
              </w:rPr>
            </w:pPr>
            <w:r>
              <w:rPr>
                <w:rFonts w:ascii="宋体" w:hAnsi="宋体"/>
                <w:kern w:val="0"/>
                <w:sz w:val="20"/>
              </w:rPr>
              <w:t>Intel Xeon Silver</w:t>
            </w:r>
            <w:r>
              <w:rPr>
                <w:rFonts w:hint="eastAsia" w:ascii="宋体" w:hAnsi="宋体"/>
                <w:kern w:val="0"/>
                <w:sz w:val="20"/>
                <w:lang w:val="en-US" w:eastAsia="zh-CN"/>
              </w:rPr>
              <w:t xml:space="preserve"> 系列</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lang w:val="en-US" w:eastAsia="zh-CN"/>
              </w:rPr>
            </w:pPr>
            <w:r>
              <w:rPr>
                <w:rFonts w:hint="eastAsia" w:ascii="宋体" w:hAnsi="宋体"/>
                <w:kern w:val="0"/>
                <w:sz w:val="20"/>
              </w:rPr>
              <w:t>处理器配置</w:t>
            </w:r>
            <w:r>
              <w:rPr>
                <w:rFonts w:hint="eastAsia" w:ascii="宋体" w:hAnsi="宋体"/>
                <w:kern w:val="0"/>
                <w:sz w:val="20"/>
                <w:lang w:val="en-US" w:eastAsia="zh-CN"/>
              </w:rPr>
              <w:t>数目</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ascii="宋体" w:hAnsi="宋体"/>
                <w:kern w:val="0"/>
                <w:sz w:val="20"/>
              </w:rPr>
            </w:pPr>
            <w:r>
              <w:rPr>
                <w:rFonts w:hint="eastAsia" w:ascii="宋体" w:hAnsi="宋体"/>
                <w:kern w:val="0"/>
                <w:sz w:val="20"/>
                <w:lang w:val="en-US" w:eastAsia="zh-CN"/>
              </w:rPr>
              <w:t>2颗</w:t>
            </w:r>
          </w:p>
        </w:tc>
      </w:tr>
      <w:tr>
        <w:tblPrEx>
          <w:tblCellMar>
            <w:top w:w="0" w:type="dxa"/>
            <w:left w:w="0" w:type="dxa"/>
            <w:bottom w:w="0" w:type="dxa"/>
            <w:right w:w="0" w:type="dxa"/>
          </w:tblCellMar>
        </w:tblPrEx>
        <w:trPr>
          <w:trHeight w:val="32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eastAsia="宋体" w:cs="宋体"/>
                <w:b/>
                <w:i w:val="0"/>
                <w:color w:val="000000"/>
                <w:sz w:val="22"/>
                <w:szCs w:val="22"/>
                <w:u w:val="none"/>
              </w:rPr>
            </w:pPr>
            <w:r>
              <w:rPr>
                <w:rFonts w:hint="eastAsia" w:ascii="宋体" w:hAnsi="宋体"/>
                <w:kern w:val="0"/>
                <w:sz w:val="20"/>
              </w:rPr>
              <w:t>内存要求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default" w:ascii="宋体" w:hAnsi="宋体" w:eastAsia="宋体" w:cs="宋体"/>
                <w:b/>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8*32GB  DDR4-2933P-R</w:t>
            </w:r>
            <w:r>
              <w:rPr>
                <w:rFonts w:hint="eastAsia" w:ascii="宋体" w:hAnsi="宋体" w:cs="宋体"/>
                <w:i w:val="0"/>
                <w:color w:val="000000"/>
                <w:kern w:val="0"/>
                <w:sz w:val="20"/>
                <w:szCs w:val="20"/>
                <w:u w:val="none"/>
                <w:lang w:val="en-US" w:eastAsia="zh-CN" w:bidi="ar"/>
              </w:rPr>
              <w:t xml:space="preserve"> </w:t>
            </w:r>
            <w:r>
              <w:rPr>
                <w:rFonts w:hint="eastAsia" w:ascii="宋体" w:hAnsi="宋体"/>
                <w:kern w:val="0"/>
                <w:sz w:val="20"/>
              </w:rPr>
              <w:t>频率</w:t>
            </w:r>
            <w:r>
              <w:rPr>
                <w:rFonts w:ascii="宋体" w:hAnsi="宋体"/>
                <w:kern w:val="0"/>
                <w:sz w:val="20"/>
              </w:rPr>
              <w:t xml:space="preserve"> </w:t>
            </w:r>
            <w:r>
              <w:rPr>
                <w:rFonts w:hint="eastAsia" w:ascii="宋体" w:hAnsi="宋体"/>
                <w:kern w:val="0"/>
                <w:sz w:val="20"/>
              </w:rPr>
              <w:t>≥</w:t>
            </w:r>
            <w:r>
              <w:rPr>
                <w:rFonts w:ascii="宋体" w:hAnsi="宋体"/>
                <w:kern w:val="0"/>
                <w:sz w:val="20"/>
              </w:rPr>
              <w:t>2400MHz</w:t>
            </w:r>
            <w:r>
              <w:rPr>
                <w:rFonts w:hint="eastAsia" w:ascii="宋体" w:hAnsi="宋体"/>
                <w:kern w:val="0"/>
                <w:sz w:val="20"/>
                <w:lang w:val="en-US" w:eastAsia="zh-CN"/>
              </w:rPr>
              <w:t xml:space="preserve">  </w:t>
            </w:r>
            <w:r>
              <w:rPr>
                <w:rFonts w:hint="eastAsia" w:ascii="宋体" w:hAnsi="宋体"/>
                <w:kern w:val="0"/>
                <w:sz w:val="20"/>
                <w:lang w:eastAsia="zh-CN"/>
              </w:rPr>
              <w:t>支持RDIMM或LRDIMM</w:t>
            </w:r>
          </w:p>
        </w:tc>
      </w:tr>
      <w:tr>
        <w:tblPrEx>
          <w:tblCellMar>
            <w:top w:w="0" w:type="dxa"/>
            <w:left w:w="0" w:type="dxa"/>
            <w:bottom w:w="0" w:type="dxa"/>
            <w:right w:w="0" w:type="dxa"/>
          </w:tblCellMar>
        </w:tblPrEx>
        <w:trPr>
          <w:trHeight w:val="746"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eastAsia="宋体" w:cs="宋体"/>
                <w:b/>
                <w:i w:val="0"/>
                <w:color w:val="000000"/>
                <w:sz w:val="22"/>
                <w:szCs w:val="22"/>
                <w:u w:val="none"/>
              </w:rPr>
            </w:pPr>
            <w:r>
              <w:rPr>
                <w:rFonts w:hint="eastAsia" w:ascii="宋体" w:hAnsi="宋体"/>
                <w:kern w:val="0"/>
                <w:sz w:val="20"/>
              </w:rPr>
              <w:t>硬盘</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实配≥3</w:t>
            </w:r>
            <w:r>
              <w:rPr>
                <w:rFonts w:hint="eastAsia" w:ascii="宋体" w:hAnsi="宋体" w:eastAsia="宋体" w:cs="宋体"/>
                <w:i w:val="0"/>
                <w:color w:val="auto"/>
                <w:kern w:val="0"/>
                <w:sz w:val="20"/>
                <w:szCs w:val="20"/>
                <w:u w:val="none"/>
                <w:lang w:val="en-US" w:eastAsia="zh-CN" w:bidi="ar"/>
              </w:rPr>
              <w:t>*600GB 10K SAS硬盘</w:t>
            </w:r>
          </w:p>
          <w:p>
            <w:pPr>
              <w:ind w:left="0" w:leftChars="0"/>
              <w:jc w:val="center"/>
              <w:rPr>
                <w:rFonts w:hint="eastAsia" w:ascii="宋体" w:hAnsi="宋体" w:eastAsia="宋体" w:cs="宋体"/>
                <w:b/>
                <w:i w:val="0"/>
                <w:color w:val="000000"/>
                <w:sz w:val="22"/>
                <w:szCs w:val="22"/>
                <w:u w:val="none"/>
              </w:rPr>
            </w:pPr>
            <w:r>
              <w:rPr>
                <w:rFonts w:hint="eastAsia" w:ascii="宋体" w:hAnsi="宋体" w:cs="宋体"/>
                <w:i w:val="0"/>
                <w:color w:val="auto"/>
                <w:kern w:val="0"/>
                <w:sz w:val="20"/>
                <w:szCs w:val="20"/>
                <w:u w:val="none"/>
                <w:lang w:val="en-US" w:eastAsia="zh-CN" w:bidi="ar"/>
              </w:rPr>
              <w:t>实配≥</w:t>
            </w:r>
            <w:r>
              <w:rPr>
                <w:rFonts w:hint="eastAsia" w:ascii="宋体" w:hAnsi="宋体" w:cs="宋体"/>
                <w:i w:val="0"/>
                <w:color w:val="auto"/>
                <w:kern w:val="0"/>
                <w:sz w:val="22"/>
                <w:szCs w:val="22"/>
                <w:u w:val="none"/>
                <w:lang w:val="en-US" w:eastAsia="zh-CN" w:bidi="ar"/>
              </w:rPr>
              <w:t>10</w:t>
            </w:r>
            <w:r>
              <w:rPr>
                <w:rFonts w:hint="eastAsia" w:ascii="宋体" w:hAnsi="宋体" w:eastAsia="宋体" w:cs="宋体"/>
                <w:i w:val="0"/>
                <w:color w:val="auto"/>
                <w:kern w:val="0"/>
                <w:sz w:val="22"/>
                <w:szCs w:val="22"/>
                <w:u w:val="none"/>
                <w:lang w:val="en-US" w:eastAsia="zh-CN" w:bidi="ar"/>
              </w:rPr>
              <w:t>块4T SATA 3.5寸 7.2K热插拔硬盘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cs="宋体"/>
                <w:i w:val="0"/>
                <w:color w:val="auto"/>
                <w:kern w:val="0"/>
                <w:sz w:val="20"/>
                <w:szCs w:val="20"/>
                <w:u w:val="none"/>
                <w:lang w:val="en-US" w:eastAsia="zh-CN" w:bidi="ar"/>
              </w:rPr>
              <w:t>实配</w:t>
            </w:r>
            <w:r>
              <w:rPr>
                <w:rFonts w:hint="eastAsia" w:ascii="宋体" w:hAnsi="宋体" w:eastAsia="宋体" w:cs="宋体"/>
                <w:i w:val="0"/>
                <w:color w:val="auto"/>
                <w:kern w:val="0"/>
                <w:sz w:val="20"/>
                <w:szCs w:val="20"/>
                <w:u w:val="none"/>
                <w:lang w:val="en-US" w:eastAsia="zh-CN" w:bidi="ar"/>
              </w:rPr>
              <w:t>≥1块12Gb SATA/SAS RAID卡-支持RAID0/1/10</w:t>
            </w:r>
          </w:p>
        </w:tc>
      </w:tr>
      <w:tr>
        <w:tblPrEx>
          <w:tblCellMar>
            <w:top w:w="0" w:type="dxa"/>
            <w:left w:w="0" w:type="dxa"/>
            <w:bottom w:w="0" w:type="dxa"/>
            <w:right w:w="0" w:type="dxa"/>
          </w:tblCellMar>
        </w:tblPrEx>
        <w:trPr>
          <w:trHeight w:val="536"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ascii="宋体" w:hAnsi="宋体"/>
                <w:kern w:val="0"/>
                <w:sz w:val="20"/>
              </w:rPr>
              <w:t>PCI I/O</w:t>
            </w:r>
            <w:r>
              <w:rPr>
                <w:rFonts w:hint="eastAsia" w:ascii="宋体" w:hAnsi="宋体"/>
                <w:kern w:val="0"/>
                <w:sz w:val="20"/>
              </w:rPr>
              <w:t>插槽</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eastAsia="宋体" w:cs="宋体"/>
                <w:i w:val="0"/>
                <w:color w:val="000000"/>
                <w:kern w:val="0"/>
                <w:sz w:val="20"/>
                <w:szCs w:val="20"/>
                <w:u w:val="none"/>
                <w:lang w:val="en-US" w:eastAsia="zh-CN" w:bidi="ar"/>
              </w:rPr>
            </w:pPr>
            <w:r>
              <w:rPr>
                <w:rFonts w:ascii="宋体" w:hAnsi="宋体"/>
                <w:kern w:val="0"/>
                <w:sz w:val="20"/>
              </w:rPr>
              <w:t>PCI-E 3.0</w:t>
            </w:r>
            <w:r>
              <w:rPr>
                <w:rFonts w:hint="eastAsia" w:ascii="宋体" w:hAnsi="宋体"/>
                <w:kern w:val="0"/>
                <w:sz w:val="20"/>
              </w:rPr>
              <w:t>插槽≥</w:t>
            </w:r>
            <w:r>
              <w:rPr>
                <w:rFonts w:ascii="宋体" w:hAnsi="宋体"/>
                <w:kern w:val="0"/>
                <w:sz w:val="20"/>
              </w:rPr>
              <w:t>4</w:t>
            </w:r>
            <w:r>
              <w:rPr>
                <w:rFonts w:hint="eastAsia" w:ascii="宋体" w:hAnsi="宋体"/>
                <w:kern w:val="0"/>
                <w:sz w:val="20"/>
              </w:rPr>
              <w:t>个</w:t>
            </w:r>
          </w:p>
        </w:tc>
      </w:tr>
      <w:tr>
        <w:tblPrEx>
          <w:tblCellMar>
            <w:top w:w="0" w:type="dxa"/>
            <w:left w:w="0" w:type="dxa"/>
            <w:bottom w:w="0" w:type="dxa"/>
            <w:right w:w="0" w:type="dxa"/>
          </w:tblCellMar>
        </w:tblPrEx>
        <w:trPr>
          <w:trHeight w:val="435"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eastAsia="宋体" w:cs="宋体"/>
                <w:b/>
                <w:i w:val="0"/>
                <w:color w:val="auto"/>
                <w:sz w:val="22"/>
                <w:szCs w:val="22"/>
                <w:u w:val="none"/>
              </w:rPr>
            </w:pPr>
            <w:r>
              <w:rPr>
                <w:rFonts w:hint="eastAsia" w:ascii="宋体" w:hAnsi="宋体"/>
                <w:color w:val="auto"/>
                <w:kern w:val="0"/>
                <w:sz w:val="20"/>
              </w:rPr>
              <w:t>网卡</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eastAsia="宋体" w:cs="宋体"/>
                <w:b/>
                <w:i w:val="0"/>
                <w:color w:val="auto"/>
                <w:sz w:val="22"/>
                <w:szCs w:val="22"/>
                <w:u w:val="none"/>
              </w:rPr>
            </w:pPr>
            <w:r>
              <w:rPr>
                <w:rFonts w:hint="eastAsia" w:ascii="宋体" w:hAnsi="宋体" w:cs="宋体"/>
                <w:i w:val="0"/>
                <w:color w:val="auto"/>
                <w:kern w:val="0"/>
                <w:sz w:val="20"/>
                <w:szCs w:val="20"/>
                <w:u w:val="none"/>
                <w:lang w:val="en-US" w:eastAsia="zh-CN" w:bidi="ar"/>
              </w:rPr>
              <w:t>实配≥</w:t>
            </w:r>
            <w:r>
              <w:rPr>
                <w:rFonts w:hint="eastAsia" w:ascii="宋体" w:hAnsi="宋体" w:eastAsia="宋体" w:cs="宋体"/>
                <w:i w:val="0"/>
                <w:color w:val="auto"/>
                <w:kern w:val="0"/>
                <w:sz w:val="20"/>
                <w:szCs w:val="20"/>
                <w:u w:val="none"/>
                <w:lang w:val="en-US" w:eastAsia="zh-CN" w:bidi="ar"/>
              </w:rPr>
              <w:t>2块单端口16GB HBA卡</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个万兆光口（含光模块），</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个千兆电口</w:t>
            </w:r>
            <w:r>
              <w:rPr>
                <w:rFonts w:hint="eastAsia" w:ascii="宋体" w:hAnsi="宋体" w:cs="宋体"/>
                <w:i w:val="0"/>
                <w:color w:val="auto"/>
                <w:kern w:val="0"/>
                <w:sz w:val="20"/>
                <w:szCs w:val="20"/>
                <w:u w:val="none"/>
                <w:lang w:val="en-US" w:eastAsia="zh-CN" w:bidi="ar"/>
              </w:rPr>
              <w:t>，</w:t>
            </w:r>
            <w:r>
              <w:rPr>
                <w:rFonts w:hint="eastAsia" w:ascii="宋体" w:hAnsi="宋体"/>
                <w:color w:val="auto"/>
                <w:kern w:val="0"/>
                <w:sz w:val="20"/>
              </w:rPr>
              <w:t>支持</w:t>
            </w:r>
            <w:r>
              <w:rPr>
                <w:rFonts w:ascii="宋体" w:hAnsi="宋体"/>
                <w:color w:val="auto"/>
                <w:kern w:val="0"/>
                <w:sz w:val="20"/>
              </w:rPr>
              <w:t>PXE</w:t>
            </w:r>
            <w:r>
              <w:rPr>
                <w:rFonts w:hint="eastAsia" w:ascii="宋体" w:hAnsi="宋体"/>
                <w:color w:val="auto"/>
                <w:kern w:val="0"/>
                <w:sz w:val="20"/>
              </w:rPr>
              <w:t>，支持虚拟化应用。</w:t>
            </w:r>
          </w:p>
        </w:tc>
      </w:tr>
      <w:tr>
        <w:tblPrEx>
          <w:tblCellMar>
            <w:top w:w="0" w:type="dxa"/>
            <w:left w:w="0" w:type="dxa"/>
            <w:bottom w:w="0" w:type="dxa"/>
            <w:right w:w="0" w:type="dxa"/>
          </w:tblCellMar>
        </w:tblPrEx>
        <w:trPr>
          <w:trHeight w:val="575"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default" w:ascii="宋体" w:hAnsi="宋体" w:eastAsia="宋体"/>
                <w:kern w:val="0"/>
                <w:sz w:val="20"/>
                <w:lang w:val="en-US" w:eastAsia="zh-CN"/>
              </w:rPr>
            </w:pPr>
            <w:r>
              <w:rPr>
                <w:rFonts w:hint="eastAsia" w:ascii="宋体" w:hAnsi="宋体"/>
                <w:kern w:val="0"/>
                <w:sz w:val="20"/>
                <w:lang w:val="en-US" w:eastAsia="zh-CN"/>
              </w:rPr>
              <w:t>电源</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ind w:left="0" w:leftChars="0"/>
              <w:jc w:val="center"/>
              <w:rPr>
                <w:rFonts w:hint="eastAsia" w:ascii="宋体" w:hAnsi="宋体" w:eastAsia="宋体" w:cs="宋体"/>
                <w:i w:val="0"/>
                <w:color w:val="000000"/>
                <w:kern w:val="0"/>
                <w:sz w:val="20"/>
                <w:szCs w:val="20"/>
                <w:u w:val="none"/>
                <w:lang w:val="en-US" w:eastAsia="zh-CN" w:bidi="ar"/>
              </w:rPr>
            </w:pPr>
            <w:r>
              <w:rPr>
                <w:rFonts w:ascii="宋体" w:hAnsi="宋体"/>
                <w:kern w:val="0"/>
                <w:sz w:val="20"/>
              </w:rPr>
              <w:t>220VAC/240HVDC</w:t>
            </w:r>
            <w:r>
              <w:rPr>
                <w:rFonts w:hint="eastAsia" w:ascii="宋体" w:hAnsi="宋体"/>
                <w:kern w:val="0"/>
                <w:sz w:val="20"/>
              </w:rPr>
              <w:t>交直流兼容电源</w:t>
            </w:r>
            <w:r>
              <w:rPr>
                <w:rFonts w:ascii="宋体" w:hAnsi="宋体"/>
                <w:kern w:val="0"/>
                <w:sz w:val="20"/>
              </w:rPr>
              <w:t xml:space="preserve"> * 2 </w:t>
            </w:r>
            <w:r>
              <w:rPr>
                <w:rFonts w:hint="eastAsia" w:ascii="宋体" w:hAnsi="宋体"/>
                <w:kern w:val="0"/>
                <w:sz w:val="20"/>
              </w:rPr>
              <w:t>电源线根据机房环境来选择，如国标</w:t>
            </w:r>
            <w:r>
              <w:rPr>
                <w:rFonts w:ascii="宋体" w:hAnsi="宋体"/>
                <w:kern w:val="0"/>
                <w:sz w:val="20"/>
              </w:rPr>
              <w:t>/</w:t>
            </w:r>
            <w:r>
              <w:rPr>
                <w:rFonts w:hint="eastAsia" w:ascii="宋体" w:hAnsi="宋体"/>
                <w:kern w:val="0"/>
                <w:sz w:val="20"/>
              </w:rPr>
              <w:t>美标</w:t>
            </w:r>
            <w:r>
              <w:rPr>
                <w:rFonts w:ascii="宋体" w:hAnsi="宋体"/>
                <w:kern w:val="0"/>
                <w:sz w:val="20"/>
              </w:rPr>
              <w:t xml:space="preserve">/C14 </w:t>
            </w:r>
            <w:r>
              <w:rPr>
                <w:rFonts w:hint="eastAsia" w:ascii="宋体" w:hAnsi="宋体"/>
                <w:kern w:val="0"/>
                <w:sz w:val="20"/>
              </w:rPr>
              <w:t>电源效率</w:t>
            </w:r>
            <w:r>
              <w:rPr>
                <w:rFonts w:ascii="宋体" w:hAnsi="宋体"/>
                <w:kern w:val="0"/>
                <w:sz w:val="20"/>
              </w:rPr>
              <w:t xml:space="preserve"> </w:t>
            </w:r>
            <w:r>
              <w:rPr>
                <w:rFonts w:hint="eastAsia" w:ascii="宋体" w:hAnsi="宋体"/>
                <w:kern w:val="0"/>
                <w:sz w:val="20"/>
              </w:rPr>
              <w:t>主动式</w:t>
            </w:r>
            <w:r>
              <w:rPr>
                <w:rFonts w:ascii="宋体" w:hAnsi="宋体"/>
                <w:kern w:val="0"/>
                <w:sz w:val="20"/>
              </w:rPr>
              <w:t>PFC</w:t>
            </w:r>
            <w:r>
              <w:rPr>
                <w:rFonts w:hint="eastAsia" w:ascii="宋体" w:hAnsi="宋体"/>
                <w:kern w:val="0"/>
                <w:sz w:val="20"/>
                <w:lang w:eastAsia="zh-CN"/>
              </w:rPr>
              <w:t>，</w:t>
            </w:r>
            <w:r>
              <w:rPr>
                <w:rFonts w:hint="eastAsia" w:ascii="宋体" w:hAnsi="宋体"/>
                <w:kern w:val="0"/>
                <w:sz w:val="20"/>
              </w:rPr>
              <w:t>通过</w:t>
            </w:r>
            <w:r>
              <w:rPr>
                <w:rFonts w:ascii="宋体" w:hAnsi="宋体"/>
                <w:kern w:val="0"/>
                <w:sz w:val="20"/>
              </w:rPr>
              <w:t>80plus</w:t>
            </w:r>
            <w:r>
              <w:rPr>
                <w:rFonts w:hint="eastAsia" w:ascii="宋体" w:hAnsi="宋体"/>
                <w:kern w:val="0"/>
                <w:sz w:val="20"/>
              </w:rPr>
              <w:t>白金认证</w:t>
            </w:r>
          </w:p>
        </w:tc>
      </w:tr>
      <w:tr>
        <w:tblPrEx>
          <w:tblCellMar>
            <w:top w:w="0" w:type="dxa"/>
            <w:left w:w="0" w:type="dxa"/>
            <w:bottom w:w="0" w:type="dxa"/>
            <w:right w:w="0" w:type="dxa"/>
          </w:tblCellMar>
        </w:tblPrEx>
        <w:trPr>
          <w:trHeight w:val="401"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lang w:val="en-US" w:eastAsia="zh-CN"/>
              </w:rPr>
            </w:pPr>
            <w:r>
              <w:rPr>
                <w:rFonts w:ascii="宋体" w:hAnsi="宋体"/>
                <w:kern w:val="0"/>
                <w:sz w:val="20"/>
              </w:rPr>
              <w:t>IO</w:t>
            </w:r>
            <w:r>
              <w:rPr>
                <w:rFonts w:hint="eastAsia" w:ascii="宋体" w:hAnsi="宋体"/>
                <w:kern w:val="0"/>
                <w:sz w:val="20"/>
              </w:rPr>
              <w:t>接口</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ascii="宋体" w:hAnsi="宋体"/>
                <w:kern w:val="0"/>
                <w:sz w:val="20"/>
              </w:rPr>
              <w:t>IO</w:t>
            </w:r>
            <w:r>
              <w:rPr>
                <w:rFonts w:hint="eastAsia" w:ascii="宋体" w:hAnsi="宋体"/>
                <w:kern w:val="0"/>
                <w:sz w:val="20"/>
              </w:rPr>
              <w:t>接口</w:t>
            </w:r>
            <w:r>
              <w:rPr>
                <w:rFonts w:ascii="宋体" w:hAnsi="宋体"/>
                <w:kern w:val="0"/>
                <w:sz w:val="20"/>
              </w:rPr>
              <w:t xml:space="preserve"> </w:t>
            </w:r>
            <w:r>
              <w:rPr>
                <w:rFonts w:hint="eastAsia" w:ascii="宋体" w:hAnsi="宋体"/>
                <w:kern w:val="0"/>
                <w:sz w:val="20"/>
              </w:rPr>
              <w:t>不少于</w:t>
            </w:r>
            <w:r>
              <w:rPr>
                <w:rFonts w:ascii="宋体" w:hAnsi="宋体"/>
                <w:kern w:val="0"/>
                <w:sz w:val="20"/>
              </w:rPr>
              <w:t>2</w:t>
            </w:r>
            <w:r>
              <w:rPr>
                <w:rFonts w:hint="eastAsia" w:ascii="宋体" w:hAnsi="宋体"/>
                <w:kern w:val="0"/>
                <w:sz w:val="20"/>
              </w:rPr>
              <w:t>个</w:t>
            </w:r>
            <w:r>
              <w:rPr>
                <w:rFonts w:ascii="宋体" w:hAnsi="宋体"/>
                <w:kern w:val="0"/>
                <w:sz w:val="20"/>
              </w:rPr>
              <w:t>USB</w:t>
            </w:r>
            <w:r>
              <w:rPr>
                <w:rFonts w:hint="eastAsia" w:ascii="宋体" w:hAnsi="宋体"/>
                <w:kern w:val="0"/>
                <w:sz w:val="20"/>
              </w:rPr>
              <w:t>接口</w:t>
            </w:r>
            <w:r>
              <w:rPr>
                <w:rFonts w:ascii="宋体" w:hAnsi="宋体"/>
                <w:kern w:val="0"/>
                <w:sz w:val="20"/>
              </w:rPr>
              <w:t xml:space="preserve">, </w:t>
            </w:r>
            <w:r>
              <w:rPr>
                <w:rFonts w:hint="eastAsia" w:ascii="宋体" w:hAnsi="宋体"/>
                <w:kern w:val="0"/>
                <w:sz w:val="20"/>
              </w:rPr>
              <w:t>支持</w:t>
            </w:r>
            <w:r>
              <w:rPr>
                <w:rFonts w:ascii="宋体" w:hAnsi="宋体"/>
                <w:kern w:val="0"/>
                <w:sz w:val="20"/>
              </w:rPr>
              <w:t>VGA</w:t>
            </w:r>
            <w:r>
              <w:rPr>
                <w:rFonts w:hint="eastAsia" w:ascii="宋体" w:hAnsi="宋体"/>
                <w:kern w:val="0"/>
                <w:sz w:val="20"/>
              </w:rPr>
              <w:t>接口</w:t>
            </w:r>
          </w:p>
        </w:tc>
      </w:tr>
      <w:tr>
        <w:tblPrEx>
          <w:tblCellMar>
            <w:top w:w="0" w:type="dxa"/>
            <w:left w:w="0" w:type="dxa"/>
            <w:bottom w:w="0" w:type="dxa"/>
            <w:right w:w="0" w:type="dxa"/>
          </w:tblCellMar>
        </w:tblPrEx>
        <w:trPr>
          <w:trHeight w:val="341"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hAnsi="宋体"/>
                <w:kern w:val="0"/>
                <w:sz w:val="20"/>
              </w:rPr>
            </w:pPr>
            <w:r>
              <w:rPr>
                <w:rFonts w:hint="eastAsia" w:ascii="宋体" w:hAnsi="宋体"/>
                <w:kern w:val="0"/>
                <w:sz w:val="20"/>
              </w:rPr>
              <w:t>冗余组件</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hAnsi="宋体"/>
                <w:kern w:val="0"/>
                <w:sz w:val="20"/>
              </w:rPr>
            </w:pPr>
            <w:r>
              <w:rPr>
                <w:rFonts w:ascii="宋体" w:hAnsi="宋体"/>
                <w:kern w:val="0"/>
                <w:sz w:val="20"/>
              </w:rPr>
              <w:t>1+1</w:t>
            </w:r>
            <w:r>
              <w:rPr>
                <w:rFonts w:hint="eastAsia" w:ascii="宋体" w:hAnsi="宋体"/>
                <w:kern w:val="0"/>
                <w:sz w:val="20"/>
              </w:rPr>
              <w:t>冗余电源，支持热插拔；冗余系统风扇；</w:t>
            </w:r>
          </w:p>
        </w:tc>
      </w:tr>
      <w:tr>
        <w:tblPrEx>
          <w:tblCellMar>
            <w:top w:w="0" w:type="dxa"/>
            <w:left w:w="0" w:type="dxa"/>
            <w:bottom w:w="0" w:type="dxa"/>
            <w:right w:w="0" w:type="dxa"/>
          </w:tblCellMar>
        </w:tblPrEx>
        <w:trPr>
          <w:trHeight w:val="1089"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hint="eastAsia" w:ascii="宋体" w:hAnsi="宋体"/>
                <w:kern w:val="0"/>
                <w:sz w:val="20"/>
              </w:rPr>
              <w:t>硬件诊断功能</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hAnsi="宋体"/>
                <w:kern w:val="0"/>
                <w:sz w:val="20"/>
              </w:rPr>
            </w:pPr>
            <w:r>
              <w:rPr>
                <w:rFonts w:hint="eastAsia" w:ascii="宋体" w:hAnsi="宋体"/>
                <w:kern w:val="0"/>
                <w:sz w:val="20"/>
              </w:rPr>
              <w:t>提供主机前面板故障诊断面板，能够对主机</w:t>
            </w:r>
            <w:r>
              <w:rPr>
                <w:rFonts w:ascii="宋体" w:hAnsi="宋体"/>
                <w:kern w:val="0"/>
                <w:sz w:val="20"/>
              </w:rPr>
              <w:t>CPU/</w:t>
            </w:r>
            <w:r>
              <w:rPr>
                <w:rFonts w:hint="eastAsia" w:ascii="宋体" w:hAnsi="宋体"/>
                <w:kern w:val="0"/>
                <w:sz w:val="20"/>
              </w:rPr>
              <w:t>内存</w:t>
            </w:r>
            <w:r>
              <w:rPr>
                <w:rFonts w:ascii="宋体" w:hAnsi="宋体"/>
                <w:kern w:val="0"/>
                <w:sz w:val="20"/>
              </w:rPr>
              <w:t>/</w:t>
            </w:r>
            <w:r>
              <w:rPr>
                <w:rFonts w:hint="eastAsia" w:ascii="宋体" w:hAnsi="宋体"/>
                <w:kern w:val="0"/>
                <w:sz w:val="20"/>
              </w:rPr>
              <w:t>硬盘</w:t>
            </w:r>
            <w:r>
              <w:rPr>
                <w:rFonts w:ascii="宋体" w:hAnsi="宋体"/>
                <w:kern w:val="0"/>
                <w:sz w:val="20"/>
              </w:rPr>
              <w:t>/</w:t>
            </w:r>
            <w:r>
              <w:rPr>
                <w:rFonts w:hint="eastAsia" w:ascii="宋体" w:hAnsi="宋体"/>
                <w:kern w:val="0"/>
                <w:sz w:val="20"/>
              </w:rPr>
              <w:t>网卡</w:t>
            </w:r>
            <w:r>
              <w:rPr>
                <w:rFonts w:ascii="宋体" w:hAnsi="宋体"/>
                <w:kern w:val="0"/>
                <w:sz w:val="20"/>
              </w:rPr>
              <w:t>/</w:t>
            </w:r>
            <w:r>
              <w:rPr>
                <w:rFonts w:hint="eastAsia" w:ascii="宋体" w:hAnsi="宋体"/>
                <w:kern w:val="0"/>
                <w:sz w:val="20"/>
              </w:rPr>
              <w:t>风扇</w:t>
            </w:r>
            <w:r>
              <w:rPr>
                <w:rFonts w:ascii="宋体" w:hAnsi="宋体"/>
                <w:kern w:val="0"/>
                <w:sz w:val="20"/>
              </w:rPr>
              <w:t>/</w:t>
            </w:r>
            <w:r>
              <w:rPr>
                <w:rFonts w:hint="eastAsia" w:ascii="宋体" w:hAnsi="宋体"/>
                <w:kern w:val="0"/>
                <w:sz w:val="20"/>
              </w:rPr>
              <w:t>温度</w:t>
            </w:r>
            <w:r>
              <w:rPr>
                <w:rFonts w:ascii="宋体" w:hAnsi="宋体"/>
                <w:kern w:val="0"/>
                <w:sz w:val="20"/>
              </w:rPr>
              <w:t>/</w:t>
            </w:r>
            <w:r>
              <w:rPr>
                <w:rFonts w:hint="eastAsia" w:ascii="宋体" w:hAnsi="宋体"/>
                <w:kern w:val="0"/>
                <w:sz w:val="20"/>
              </w:rPr>
              <w:t>电源等关键部件的故障诊断报警功能；能够独立显示硬盘故障、系统运行故障、风扇及温度故障、网络故障。</w:t>
            </w:r>
          </w:p>
        </w:tc>
      </w:tr>
      <w:tr>
        <w:tblPrEx>
          <w:tblCellMar>
            <w:top w:w="0" w:type="dxa"/>
            <w:left w:w="0" w:type="dxa"/>
            <w:bottom w:w="0" w:type="dxa"/>
            <w:right w:w="0" w:type="dxa"/>
          </w:tblCellMar>
        </w:tblPrEx>
        <w:trPr>
          <w:trHeight w:val="1147"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hint="eastAsia" w:ascii="宋体" w:hAnsi="宋体"/>
                <w:kern w:val="0"/>
                <w:sz w:val="20"/>
              </w:rPr>
              <w:t>管理维护功能</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kern w:val="0"/>
                <w:sz w:val="20"/>
              </w:rPr>
            </w:pPr>
            <w:r>
              <w:rPr>
                <w:rFonts w:hint="eastAsia" w:ascii="宋体" w:hAnsi="宋体"/>
                <w:kern w:val="0"/>
                <w:sz w:val="20"/>
              </w:rPr>
              <w:t>提供基于</w:t>
            </w:r>
            <w:r>
              <w:rPr>
                <w:rFonts w:ascii="宋体" w:hAnsi="宋体"/>
                <w:kern w:val="0"/>
                <w:sz w:val="20"/>
              </w:rPr>
              <w:t>Web</w:t>
            </w:r>
            <w:r>
              <w:rPr>
                <w:rFonts w:hint="eastAsia" w:ascii="宋体" w:hAnsi="宋体"/>
                <w:kern w:val="0"/>
                <w:sz w:val="20"/>
              </w:rPr>
              <w:t>的远程管理控制、配备硬件监控、远程管理功能；支持</w:t>
            </w:r>
            <w:r>
              <w:rPr>
                <w:rFonts w:ascii="宋体" w:hAnsi="宋体"/>
                <w:kern w:val="0"/>
                <w:sz w:val="20"/>
              </w:rPr>
              <w:t>IPMI2.0</w:t>
            </w:r>
            <w:r>
              <w:rPr>
                <w:rFonts w:hint="eastAsia" w:ascii="宋体" w:hAnsi="宋体"/>
                <w:kern w:val="0"/>
                <w:sz w:val="20"/>
              </w:rPr>
              <w:t>标准。提供</w:t>
            </w:r>
            <w:r>
              <w:rPr>
                <w:rFonts w:ascii="宋体" w:hAnsi="宋体"/>
                <w:kern w:val="0"/>
                <w:sz w:val="20"/>
              </w:rPr>
              <w:t>IKVM</w:t>
            </w:r>
            <w:r>
              <w:rPr>
                <w:rFonts w:hint="eastAsia" w:ascii="宋体" w:hAnsi="宋体"/>
                <w:kern w:val="0"/>
                <w:sz w:val="20"/>
              </w:rPr>
              <w:t>功能，实现远程</w:t>
            </w:r>
            <w:r>
              <w:rPr>
                <w:rFonts w:ascii="宋体" w:hAnsi="宋体"/>
                <w:kern w:val="0"/>
                <w:sz w:val="20"/>
              </w:rPr>
              <w:t>KVM</w:t>
            </w:r>
            <w:r>
              <w:rPr>
                <w:rFonts w:hint="eastAsia" w:ascii="宋体" w:hAnsi="宋体"/>
                <w:kern w:val="0"/>
                <w:sz w:val="20"/>
              </w:rPr>
              <w:t>功能；</w:t>
            </w:r>
          </w:p>
          <w:p>
            <w:pPr>
              <w:widowControl/>
              <w:jc w:val="center"/>
              <w:rPr>
                <w:rFonts w:ascii="宋体" w:hAnsi="宋体"/>
                <w:kern w:val="0"/>
                <w:sz w:val="20"/>
              </w:rPr>
            </w:pPr>
            <w:r>
              <w:rPr>
                <w:rFonts w:hint="eastAsia" w:ascii="宋体" w:hAnsi="宋体"/>
                <w:kern w:val="0"/>
                <w:sz w:val="20"/>
              </w:rPr>
              <w:t>独立管理口</w:t>
            </w:r>
            <w:r>
              <w:rPr>
                <w:rFonts w:ascii="宋体" w:hAnsi="宋体"/>
                <w:kern w:val="0"/>
                <w:sz w:val="20"/>
              </w:rPr>
              <w:t>100%</w:t>
            </w:r>
            <w:r>
              <w:rPr>
                <w:rFonts w:hint="eastAsia" w:ascii="宋体" w:hAnsi="宋体"/>
                <w:kern w:val="0"/>
                <w:sz w:val="20"/>
              </w:rPr>
              <w:t>兼容千兆或百兆交换网络，通过管理口实现远程开关机、重启、网络安装操作系统等操作。</w:t>
            </w:r>
          </w:p>
        </w:tc>
      </w:tr>
      <w:tr>
        <w:tblPrEx>
          <w:tblCellMar>
            <w:top w:w="0" w:type="dxa"/>
            <w:left w:w="0" w:type="dxa"/>
            <w:bottom w:w="0" w:type="dxa"/>
            <w:right w:w="0" w:type="dxa"/>
          </w:tblCellMar>
        </w:tblPrEx>
        <w:trPr>
          <w:trHeight w:val="1147"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hint="eastAsia" w:ascii="宋体" w:hAnsi="宋体"/>
                <w:kern w:val="0"/>
                <w:sz w:val="20"/>
              </w:rPr>
              <w:t>保修服务</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kern w:val="0"/>
                <w:sz w:val="20"/>
              </w:rPr>
            </w:pPr>
            <w:r>
              <w:rPr>
                <w:rFonts w:hint="eastAsia" w:ascii="宋体" w:hAnsi="宋体"/>
                <w:kern w:val="0"/>
                <w:sz w:val="20"/>
              </w:rPr>
              <w:t>提供原厂商三年</w:t>
            </w:r>
            <w:r>
              <w:rPr>
                <w:rFonts w:ascii="宋体" w:hAnsi="宋体"/>
                <w:kern w:val="0"/>
                <w:sz w:val="20"/>
              </w:rPr>
              <w:t>7*24</w:t>
            </w:r>
            <w:r>
              <w:rPr>
                <w:rFonts w:hint="eastAsia" w:ascii="宋体" w:hAnsi="宋体"/>
                <w:kern w:val="0"/>
                <w:sz w:val="20"/>
              </w:rPr>
              <w:t>小时工程师带备件上门服务；</w:t>
            </w:r>
          </w:p>
          <w:p>
            <w:pPr>
              <w:widowControl/>
              <w:jc w:val="center"/>
              <w:rPr>
                <w:rFonts w:ascii="宋体"/>
                <w:kern w:val="0"/>
                <w:sz w:val="20"/>
              </w:rPr>
            </w:pPr>
            <w:r>
              <w:rPr>
                <w:rFonts w:hint="eastAsia" w:ascii="宋体" w:hAnsi="宋体"/>
                <w:kern w:val="0"/>
                <w:sz w:val="20"/>
              </w:rPr>
              <w:t>提供三年硬盘免回收</w:t>
            </w:r>
          </w:p>
          <w:p>
            <w:pPr>
              <w:widowControl/>
              <w:jc w:val="center"/>
              <w:rPr>
                <w:rFonts w:ascii="宋体"/>
                <w:kern w:val="0"/>
                <w:sz w:val="20"/>
              </w:rPr>
            </w:pPr>
            <w:r>
              <w:rPr>
                <w:rFonts w:hint="eastAsia" w:ascii="宋体" w:hAnsi="宋体"/>
                <w:kern w:val="0"/>
                <w:sz w:val="20"/>
              </w:rPr>
              <w:t>提供系统安装部署服务（主机机柜安装、操作系统及软件安装部署等）</w:t>
            </w:r>
          </w:p>
          <w:p>
            <w:pPr>
              <w:widowControl/>
              <w:jc w:val="center"/>
              <w:rPr>
                <w:rFonts w:ascii="宋体" w:hAnsi="宋体"/>
                <w:kern w:val="0"/>
                <w:sz w:val="20"/>
              </w:rPr>
            </w:pPr>
            <w:r>
              <w:rPr>
                <w:rFonts w:hint="eastAsia" w:ascii="宋体" w:hAnsi="宋体"/>
                <w:kern w:val="0"/>
                <w:sz w:val="20"/>
              </w:rPr>
              <w:t>提供原厂三年每年</w:t>
            </w:r>
            <w:r>
              <w:rPr>
                <w:rFonts w:ascii="宋体" w:hAnsi="宋体"/>
                <w:kern w:val="0"/>
                <w:sz w:val="20"/>
              </w:rPr>
              <w:t>2</w:t>
            </w:r>
            <w:r>
              <w:rPr>
                <w:rFonts w:hint="eastAsia" w:ascii="宋体" w:hAnsi="宋体"/>
                <w:kern w:val="0"/>
                <w:sz w:val="20"/>
              </w:rPr>
              <w:t>次服务器巡检服务</w:t>
            </w:r>
          </w:p>
        </w:tc>
      </w:tr>
      <w:tr>
        <w:tblPrEx>
          <w:tblCellMar>
            <w:top w:w="0" w:type="dxa"/>
            <w:left w:w="0" w:type="dxa"/>
            <w:bottom w:w="0" w:type="dxa"/>
            <w:right w:w="0" w:type="dxa"/>
          </w:tblCellMar>
        </w:tblPrEx>
        <w:trPr>
          <w:trHeight w:val="611"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hint="eastAsia" w:ascii="宋体" w:hAnsi="宋体"/>
                <w:kern w:val="0"/>
                <w:sz w:val="20"/>
              </w:rPr>
              <w:t>技术支持与质保服务</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hAnsi="宋体"/>
                <w:kern w:val="0"/>
                <w:sz w:val="20"/>
              </w:rPr>
            </w:pPr>
            <w:r>
              <w:rPr>
                <w:rFonts w:hint="eastAsia" w:ascii="宋体" w:hAnsi="宋体"/>
                <w:kern w:val="0"/>
                <w:sz w:val="20"/>
              </w:rPr>
              <w:t>提供</w:t>
            </w:r>
            <w:r>
              <w:rPr>
                <w:rFonts w:hint="eastAsia" w:ascii="宋体" w:hAnsi="宋体"/>
                <w:kern w:val="0"/>
                <w:sz w:val="20"/>
                <w:lang w:val="en-US" w:eastAsia="zh-CN"/>
              </w:rPr>
              <w:t>原厂</w:t>
            </w:r>
            <w:r>
              <w:rPr>
                <w:rFonts w:hint="eastAsia" w:ascii="宋体" w:hAnsi="宋体"/>
                <w:kern w:val="0"/>
                <w:sz w:val="20"/>
              </w:rPr>
              <w:t>三年免费（免上门费、备件费、人工费及相关费用）技术支持与保修服务；</w:t>
            </w:r>
          </w:p>
        </w:tc>
      </w:tr>
      <w:tr>
        <w:tblPrEx>
          <w:tblCellMar>
            <w:top w:w="0" w:type="dxa"/>
            <w:left w:w="0" w:type="dxa"/>
            <w:bottom w:w="0" w:type="dxa"/>
            <w:right w:w="0" w:type="dxa"/>
          </w:tblCellMar>
        </w:tblPrEx>
        <w:trPr>
          <w:trHeight w:val="924"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hint="eastAsia" w:ascii="宋体" w:hAnsi="宋体"/>
                <w:kern w:val="0"/>
                <w:sz w:val="20"/>
              </w:rPr>
            </w:pPr>
            <w:r>
              <w:rPr>
                <w:rFonts w:hint="eastAsia" w:ascii="宋体" w:hAnsi="宋体"/>
                <w:kern w:val="0"/>
                <w:sz w:val="20"/>
              </w:rPr>
              <w:t>机柜及操作系统兼容性</w:t>
            </w:r>
          </w:p>
        </w:tc>
        <w:tc>
          <w:tcPr>
            <w:tcW w:w="7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jc w:val="center"/>
              <w:rPr>
                <w:rFonts w:ascii="宋体"/>
                <w:kern w:val="0"/>
                <w:sz w:val="20"/>
              </w:rPr>
            </w:pPr>
            <w:r>
              <w:rPr>
                <w:rFonts w:hint="eastAsia" w:ascii="宋体" w:hAnsi="宋体"/>
                <w:kern w:val="0"/>
                <w:sz w:val="20"/>
              </w:rPr>
              <w:t>与现有主流品牌机柜兼容，保证可以上架到现有主流标准机柜；</w:t>
            </w:r>
          </w:p>
          <w:p>
            <w:pPr>
              <w:widowControl/>
              <w:jc w:val="center"/>
              <w:rPr>
                <w:rFonts w:ascii="宋体" w:hAnsi="宋体"/>
                <w:kern w:val="0"/>
                <w:sz w:val="20"/>
              </w:rPr>
            </w:pPr>
            <w:r>
              <w:rPr>
                <w:rFonts w:hint="eastAsia" w:ascii="宋体" w:hAnsi="宋体"/>
                <w:kern w:val="0"/>
                <w:sz w:val="20"/>
              </w:rPr>
              <w:t>支持主流</w:t>
            </w:r>
            <w:r>
              <w:rPr>
                <w:rFonts w:ascii="宋体" w:hAnsi="宋体"/>
                <w:kern w:val="0"/>
                <w:sz w:val="20"/>
              </w:rPr>
              <w:t>64</w:t>
            </w:r>
            <w:r>
              <w:rPr>
                <w:rFonts w:hint="eastAsia" w:ascii="宋体" w:hAnsi="宋体"/>
                <w:kern w:val="0"/>
                <w:sz w:val="20"/>
              </w:rPr>
              <w:t>位操作系统；</w:t>
            </w:r>
          </w:p>
        </w:tc>
      </w:tr>
    </w:tbl>
    <w:p>
      <w:pPr>
        <w:widowControl w:val="0"/>
        <w:numPr>
          <w:ilvl w:val="0"/>
          <w:numId w:val="0"/>
        </w:numPr>
        <w:spacing w:line="240" w:lineRule="auto"/>
        <w:jc w:val="both"/>
        <w:outlineLvl w:val="3"/>
        <w:rPr>
          <w:rFonts w:hint="eastAsia" w:ascii="宋体" w:hAnsi="宋体"/>
          <w:b/>
          <w:sz w:val="2"/>
          <w:szCs w:val="2"/>
        </w:rPr>
      </w:pPr>
    </w:p>
    <w:p>
      <w:pPr>
        <w:numPr>
          <w:ilvl w:val="3"/>
          <w:numId w:val="27"/>
        </w:numPr>
        <w:spacing w:before="240" w:after="240" w:line="360" w:lineRule="auto"/>
        <w:ind w:left="851" w:leftChars="0" w:hanging="851" w:firstLineChars="0"/>
        <w:outlineLvl w:val="3"/>
        <w:rPr>
          <w:rFonts w:hint="eastAsia" w:ascii="宋体" w:hAnsi="宋体"/>
          <w:b/>
          <w:sz w:val="28"/>
          <w:szCs w:val="21"/>
        </w:rPr>
      </w:pPr>
      <w:r>
        <w:rPr>
          <w:rFonts w:hint="eastAsia" w:ascii="宋体"/>
          <w:b/>
          <w:sz w:val="28"/>
          <w:szCs w:val="21"/>
          <w:lang w:val="en-US" w:eastAsia="zh-CN"/>
        </w:rPr>
        <w:t>网络设备要求</w:t>
      </w:r>
    </w:p>
    <w:tbl>
      <w:tblPr>
        <w:tblStyle w:val="73"/>
        <w:tblW w:w="8920" w:type="dxa"/>
        <w:tblInd w:w="0" w:type="dxa"/>
        <w:shd w:val="clear" w:color="auto" w:fill="auto"/>
        <w:tblLayout w:type="fixed"/>
        <w:tblCellMar>
          <w:top w:w="0" w:type="dxa"/>
          <w:left w:w="0" w:type="dxa"/>
          <w:bottom w:w="0" w:type="dxa"/>
          <w:right w:w="0" w:type="dxa"/>
        </w:tblCellMar>
      </w:tblPr>
      <w:tblGrid>
        <w:gridCol w:w="765"/>
        <w:gridCol w:w="1620"/>
        <w:gridCol w:w="5242"/>
        <w:gridCol w:w="1293"/>
      </w:tblGrid>
      <w:tr>
        <w:tblPrEx>
          <w:tblCellMar>
            <w:top w:w="0" w:type="dxa"/>
            <w:left w:w="0" w:type="dxa"/>
            <w:bottom w:w="0" w:type="dxa"/>
            <w:right w:w="0" w:type="dxa"/>
          </w:tblCellMar>
        </w:tblPrEx>
        <w:trPr>
          <w:trHeight w:val="349"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524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49"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52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24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核心交换机</w:t>
            </w:r>
          </w:p>
        </w:tc>
        <w:tc>
          <w:tcPr>
            <w:tcW w:w="52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29"/>
              </w:numPr>
              <w:suppressLineNumbers w:val="0"/>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整</w:t>
            </w:r>
            <w:r>
              <w:rPr>
                <w:rFonts w:hint="eastAsia" w:ascii="宋体" w:hAnsi="宋体" w:eastAsia="宋体" w:cs="宋体"/>
                <w:i w:val="0"/>
                <w:color w:val="auto"/>
                <w:kern w:val="0"/>
                <w:sz w:val="20"/>
                <w:szCs w:val="20"/>
                <w:u w:val="none"/>
                <w:lang w:val="en-US" w:eastAsia="zh-CN" w:bidi="ar"/>
              </w:rPr>
              <w:t>机交换容量</w:t>
            </w:r>
            <w:r>
              <w:rPr>
                <w:rFonts w:hint="eastAsia" w:ascii="宋体" w:hAnsi="宋体" w:cs="宋体"/>
                <w:i w:val="0"/>
                <w:color w:val="auto"/>
                <w:kern w:val="0"/>
                <w:sz w:val="20"/>
                <w:szCs w:val="20"/>
                <w:u w:val="none"/>
                <w:lang w:val="en-US" w:eastAsia="zh-CN" w:bidi="ar"/>
              </w:rPr>
              <w:t>≥204</w:t>
            </w:r>
            <w:r>
              <w:rPr>
                <w:rFonts w:hint="eastAsia" w:ascii="宋体" w:hAnsi="宋体" w:eastAsia="宋体" w:cs="宋体"/>
                <w:i w:val="0"/>
                <w:color w:val="auto"/>
                <w:kern w:val="0"/>
                <w:sz w:val="20"/>
                <w:szCs w:val="20"/>
                <w:u w:val="none"/>
                <w:lang w:val="en-US" w:eastAsia="zh-CN" w:bidi="ar"/>
              </w:rPr>
              <w:t>Tbps ，整机包转发率</w:t>
            </w:r>
            <w:r>
              <w:rPr>
                <w:rFonts w:hint="eastAsia" w:ascii="宋体" w:hAnsi="宋体" w:cs="宋体"/>
                <w:i w:val="0"/>
                <w:color w:val="auto"/>
                <w:kern w:val="0"/>
                <w:sz w:val="20"/>
                <w:szCs w:val="20"/>
                <w:u w:val="none"/>
                <w:lang w:val="en-US" w:eastAsia="zh-CN" w:bidi="ar"/>
              </w:rPr>
              <w:t>48000</w:t>
            </w:r>
            <w:r>
              <w:rPr>
                <w:rFonts w:hint="eastAsia" w:ascii="宋体" w:hAnsi="宋体" w:eastAsia="宋体" w:cs="宋体"/>
                <w:i w:val="0"/>
                <w:color w:val="auto"/>
                <w:kern w:val="0"/>
                <w:sz w:val="20"/>
                <w:szCs w:val="20"/>
                <w:u w:val="none"/>
                <w:lang w:val="en-US" w:eastAsia="zh-CN" w:bidi="ar"/>
              </w:rPr>
              <w:t>Mpps,业务板槽位数</w:t>
            </w:r>
            <w:r>
              <w:rPr>
                <w:rFonts w:hint="eastAsia" w:ascii="宋体" w:hAnsi="宋体"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个；</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实配≥</w:t>
            </w:r>
            <w:r>
              <w:rPr>
                <w:rFonts w:hint="eastAsia" w:ascii="宋体" w:hAnsi="宋体" w:eastAsia="宋体" w:cs="宋体"/>
                <w:i w:val="0"/>
                <w:color w:val="auto"/>
                <w:kern w:val="0"/>
                <w:sz w:val="20"/>
                <w:szCs w:val="20"/>
                <w:u w:val="none"/>
                <w:lang w:val="en-US" w:eastAsia="zh-CN" w:bidi="ar"/>
              </w:rPr>
              <w:t>4个100G端口(可兼容40G模块)，</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48个万兆光口，</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48个千兆电口。实配主控2个，</w:t>
            </w:r>
            <w:r>
              <w:rPr>
                <w:rFonts w:hint="eastAsia" w:ascii="宋体" w:hAnsi="宋体" w:cs="宋体"/>
                <w:i w:val="0"/>
                <w:color w:val="auto"/>
                <w:kern w:val="0"/>
                <w:sz w:val="20"/>
                <w:szCs w:val="20"/>
                <w:u w:val="none"/>
                <w:lang w:val="en-US" w:eastAsia="zh-CN" w:bidi="ar"/>
              </w:rPr>
              <w:t>独立</w:t>
            </w:r>
            <w:r>
              <w:rPr>
                <w:rFonts w:hint="eastAsia" w:ascii="宋体" w:hAnsi="宋体" w:eastAsia="宋体" w:cs="宋体"/>
                <w:i w:val="0"/>
                <w:color w:val="auto"/>
                <w:kern w:val="0"/>
                <w:sz w:val="20"/>
                <w:szCs w:val="20"/>
                <w:u w:val="none"/>
                <w:lang w:val="en-US" w:eastAsia="zh-CN" w:bidi="ar"/>
              </w:rPr>
              <w:t>交换网板</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个，配置横向虚拟化功能，设备主机间集群带宽40Gbps</w:t>
            </w:r>
            <w:r>
              <w:rPr>
                <w:rFonts w:hint="eastAsia" w:ascii="宋体" w:hAnsi="宋体" w:cs="宋体"/>
                <w:i w:val="0"/>
                <w:color w:val="auto"/>
                <w:kern w:val="0"/>
                <w:sz w:val="20"/>
                <w:szCs w:val="20"/>
                <w:u w:val="none"/>
                <w:lang w:val="en-US" w:eastAsia="zh-CN" w:bidi="ar"/>
              </w:rPr>
              <w:t>；</w:t>
            </w:r>
          </w:p>
          <w:p>
            <w:pPr>
              <w:keepNext w:val="0"/>
              <w:keepLines w:val="0"/>
              <w:widowControl/>
              <w:numPr>
                <w:ilvl w:val="0"/>
                <w:numId w:val="0"/>
              </w:numPr>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实配</w:t>
            </w:r>
            <w:r>
              <w:rPr>
                <w:rFonts w:hint="eastAsia" w:ascii="宋体" w:hAnsi="宋体" w:eastAsia="宋体" w:cs="宋体"/>
                <w:i w:val="0"/>
                <w:color w:val="auto"/>
                <w:kern w:val="0"/>
                <w:sz w:val="20"/>
                <w:szCs w:val="20"/>
                <w:u w:val="none"/>
                <w:lang w:val="en-US" w:eastAsia="zh-CN" w:bidi="ar"/>
              </w:rPr>
              <w:t>40GBase-SDLC光模块-QSFP+-40G-多模模块</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16个</w:t>
            </w:r>
            <w:r>
              <w:rPr>
                <w:rFonts w:hint="eastAsia" w:ascii="宋体" w:hAnsi="宋体" w:cs="宋体"/>
                <w:i w:val="0"/>
                <w:color w:val="auto"/>
                <w:kern w:val="0"/>
                <w:sz w:val="20"/>
                <w:szCs w:val="20"/>
                <w:u w:val="none"/>
                <w:lang w:val="en-US" w:eastAsia="zh-CN" w:bidi="ar"/>
              </w:rPr>
              <w:t>；</w:t>
            </w:r>
          </w:p>
          <w:p>
            <w:pPr>
              <w:keepNext w:val="0"/>
              <w:keepLines w:val="0"/>
              <w:widowControl/>
              <w:numPr>
                <w:ilvl w:val="0"/>
                <w:numId w:val="0"/>
              </w:numPr>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4.与主流云平台兼容，并经过原厂的兼容性验证测试，</w:t>
            </w:r>
            <w:r>
              <w:rPr>
                <w:rFonts w:hint="eastAsia" w:ascii="宋体" w:hAnsi="宋体"/>
                <w:color w:val="auto"/>
                <w:kern w:val="0"/>
                <w:sz w:val="20"/>
              </w:rPr>
              <w:t>并有相关的应用案例，要求提供云平台官网的兼容性验证通过的截图附带官网链接，加盖硬件原厂商的公章证明</w:t>
            </w:r>
          </w:p>
          <w:p>
            <w:pPr>
              <w:keepNext w:val="0"/>
              <w:keepLines w:val="0"/>
              <w:widowControl/>
              <w:numPr>
                <w:ilvl w:val="0"/>
                <w:numId w:val="0"/>
              </w:numPr>
              <w:suppressLineNumbers w:val="0"/>
              <w:jc w:val="left"/>
              <w:textAlignment w:val="center"/>
              <w:rPr>
                <w:rFonts w:hint="eastAsia" w:ascii="宋体" w:hAnsi="宋体" w:eastAsia="宋体"/>
                <w:kern w:val="0"/>
                <w:sz w:val="20"/>
                <w:lang w:eastAsia="zh-CN"/>
              </w:rPr>
            </w:pPr>
            <w:r>
              <w:rPr>
                <w:rFonts w:hint="eastAsia" w:ascii="宋体" w:hAnsi="宋体"/>
                <w:color w:val="auto"/>
                <w:kern w:val="0"/>
                <w:sz w:val="20"/>
                <w:lang w:val="en-US" w:eastAsia="zh-CN"/>
              </w:rPr>
              <w:t>5.</w:t>
            </w:r>
            <w:r>
              <w:rPr>
                <w:rFonts w:hint="eastAsia" w:ascii="宋体" w:hAnsi="宋体"/>
                <w:color w:val="auto"/>
                <w:kern w:val="0"/>
                <w:sz w:val="20"/>
              </w:rPr>
              <w:t>提供原厂商三年</w:t>
            </w:r>
            <w:r>
              <w:rPr>
                <w:rFonts w:ascii="宋体" w:hAnsi="宋体"/>
                <w:color w:val="auto"/>
                <w:kern w:val="0"/>
                <w:sz w:val="20"/>
              </w:rPr>
              <w:t>7</w:t>
            </w:r>
            <w:r>
              <w:rPr>
                <w:rFonts w:hint="eastAsia" w:ascii="宋体" w:hAnsi="宋体"/>
                <w:color w:val="auto"/>
                <w:kern w:val="0"/>
                <w:sz w:val="20"/>
              </w:rPr>
              <w:t>×</w:t>
            </w:r>
            <w:r>
              <w:rPr>
                <w:rFonts w:ascii="宋体" w:hAnsi="宋体"/>
                <w:color w:val="auto"/>
                <w:kern w:val="0"/>
                <w:sz w:val="20"/>
              </w:rPr>
              <w:t>24</w:t>
            </w:r>
            <w:r>
              <w:rPr>
                <w:rFonts w:hint="eastAsia" w:ascii="宋体" w:hAnsi="宋体"/>
                <w:color w:val="auto"/>
                <w:kern w:val="0"/>
                <w:sz w:val="20"/>
              </w:rPr>
              <w:t>小时工程师带备件上门服务</w:t>
            </w:r>
            <w:r>
              <w:rPr>
                <w:rFonts w:hint="eastAsia" w:ascii="宋体" w:hAnsi="宋体"/>
                <w:color w:val="auto"/>
                <w:kern w:val="0"/>
                <w:sz w:val="20"/>
                <w:lang w:eastAsia="zh-CN"/>
              </w:rPr>
              <w:t>。</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953"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万兆网络交换机</w:t>
            </w:r>
          </w:p>
        </w:tc>
        <w:tc>
          <w:tcPr>
            <w:tcW w:w="52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30"/>
              </w:numPr>
              <w:suppressLineNumbers w:val="0"/>
              <w:ind w:left="0" w:lef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交换容量</w:t>
            </w:r>
            <w:r>
              <w:rPr>
                <w:rFonts w:hint="eastAsia" w:ascii="宋体" w:hAnsi="宋体" w:cs="宋体"/>
                <w:i w:val="0"/>
                <w:color w:val="000000"/>
                <w:kern w:val="0"/>
                <w:sz w:val="20"/>
                <w:szCs w:val="20"/>
                <w:u w:val="none"/>
                <w:lang w:val="en-US" w:eastAsia="zh-CN" w:bidi="ar"/>
              </w:rPr>
              <w:t>≥3.99</w:t>
            </w:r>
            <w:r>
              <w:rPr>
                <w:rFonts w:hint="eastAsia" w:ascii="宋体" w:hAnsi="宋体" w:eastAsia="宋体" w:cs="宋体"/>
                <w:i w:val="0"/>
                <w:color w:val="000000"/>
                <w:kern w:val="0"/>
                <w:sz w:val="20"/>
                <w:szCs w:val="20"/>
                <w:u w:val="none"/>
                <w:lang w:val="en-US" w:eastAsia="zh-CN" w:bidi="ar"/>
              </w:rPr>
              <w:t>Tbps,包转发率</w:t>
            </w:r>
            <w:r>
              <w:rPr>
                <w:rFonts w:hint="eastAsia" w:ascii="宋体" w:hAnsi="宋体" w:cs="宋体"/>
                <w:i w:val="0"/>
                <w:color w:val="000000"/>
                <w:kern w:val="0"/>
                <w:sz w:val="20"/>
                <w:szCs w:val="20"/>
                <w:u w:val="none"/>
                <w:lang w:val="en-US" w:eastAsia="zh-CN" w:bidi="ar"/>
              </w:rPr>
              <w:t>≥1599</w:t>
            </w:r>
            <w:r>
              <w:rPr>
                <w:rFonts w:hint="eastAsia" w:ascii="宋体" w:hAnsi="宋体" w:eastAsia="宋体" w:cs="宋体"/>
                <w:i w:val="0"/>
                <w:color w:val="000000"/>
                <w:kern w:val="0"/>
                <w:sz w:val="20"/>
                <w:szCs w:val="20"/>
                <w:u w:val="none"/>
                <w:lang w:val="en-US" w:eastAsia="zh-CN" w:bidi="ar"/>
              </w:rPr>
              <w:t>Mpps；端口缓存21MB；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100 GE 光接口</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6个，1</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GE光端口数量</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48个，双电源，4个风扇模块</w:t>
            </w:r>
            <w:r>
              <w:rPr>
                <w:rFonts w:hint="eastAsia" w:ascii="宋体" w:hAnsi="宋体" w:cs="宋体"/>
                <w:i w:val="0"/>
                <w:color w:val="000000"/>
                <w:kern w:val="0"/>
                <w:sz w:val="20"/>
                <w:szCs w:val="20"/>
                <w:u w:val="none"/>
                <w:lang w:val="en-US" w:eastAsia="zh-CN" w:bidi="ar"/>
              </w:rPr>
              <w:t>，光模块满配。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3.实配主机间集群带宽40Gbps；</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r>
              <w:rPr>
                <w:rFonts w:hint="eastAsia" w:ascii="宋体" w:hAnsi="宋体"/>
                <w:kern w:val="0"/>
                <w:sz w:val="20"/>
              </w:rPr>
              <w:t>与主流云平台兼容，并经过原厂的兼容性验证测试，并有相关的应用案例，要求提供云平台官网的兼容性验证通过的截图附带官网链接，加盖硬件原厂商的公章证明</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r>
              <w:rPr>
                <w:rFonts w:hint="eastAsia" w:ascii="宋体" w:hAnsi="宋体"/>
                <w:kern w:val="0"/>
                <w:sz w:val="20"/>
              </w:rPr>
              <w:t>提供原厂商三年</w:t>
            </w:r>
            <w:r>
              <w:rPr>
                <w:rFonts w:ascii="宋体" w:hAnsi="宋体"/>
                <w:kern w:val="0"/>
                <w:sz w:val="20"/>
              </w:rPr>
              <w:t>7</w:t>
            </w:r>
            <w:r>
              <w:rPr>
                <w:rFonts w:hint="eastAsia" w:ascii="宋体" w:hAnsi="宋体"/>
                <w:kern w:val="0"/>
                <w:sz w:val="20"/>
              </w:rPr>
              <w:t>×</w:t>
            </w:r>
            <w:r>
              <w:rPr>
                <w:rFonts w:ascii="宋体" w:hAnsi="宋体"/>
                <w:kern w:val="0"/>
                <w:sz w:val="20"/>
              </w:rPr>
              <w:t>24</w:t>
            </w:r>
            <w:r>
              <w:rPr>
                <w:rFonts w:hint="eastAsia" w:ascii="宋体" w:hAnsi="宋体"/>
                <w:kern w:val="0"/>
                <w:sz w:val="20"/>
              </w:rPr>
              <w:t>小时工程师带备件上门服务</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953"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千兆网络交换机</w:t>
            </w:r>
          </w:p>
        </w:tc>
        <w:tc>
          <w:tcPr>
            <w:tcW w:w="52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3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交换容量≥1.27Tbps，包转发率≥25</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Mpps；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48个支持10/100/1000Base-T以太网端口，</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4个万兆SFP+</w:t>
            </w:r>
            <w:r>
              <w:rPr>
                <w:rFonts w:hint="eastAsia" w:ascii="宋体" w:hAnsi="宋体" w:cs="宋体"/>
                <w:i w:val="0"/>
                <w:color w:val="000000"/>
                <w:kern w:val="0"/>
                <w:sz w:val="20"/>
                <w:szCs w:val="20"/>
                <w:u w:val="none"/>
                <w:lang w:val="en-US" w:eastAsia="zh-CN" w:bidi="ar"/>
              </w:rPr>
              <w:t>,≥2个40GE QSFP+端口（光模块满配）</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3.实配双电源，单风扇，2端口QSFP+专用堆叠卡，一根40G QSFP+ 3m电缆；</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r>
              <w:rPr>
                <w:rFonts w:hint="eastAsia" w:ascii="宋体" w:hAnsi="宋体"/>
                <w:kern w:val="0"/>
                <w:sz w:val="20"/>
              </w:rPr>
              <w:t>与主流云平台兼容，并经过原厂的兼容性验证测试，并有相关的应用案例，要求提供云平台官网的兼容性验证通过的截图附带官网链接，加盖硬件原厂商的公章证明</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r>
              <w:rPr>
                <w:rFonts w:hint="eastAsia" w:ascii="宋体" w:hAnsi="宋体"/>
                <w:kern w:val="0"/>
                <w:sz w:val="20"/>
              </w:rPr>
              <w:t>提供原厂商三年</w:t>
            </w:r>
            <w:r>
              <w:rPr>
                <w:rFonts w:ascii="宋体" w:hAnsi="宋体"/>
                <w:kern w:val="0"/>
                <w:sz w:val="20"/>
              </w:rPr>
              <w:t>7</w:t>
            </w:r>
            <w:r>
              <w:rPr>
                <w:rFonts w:hint="eastAsia" w:ascii="宋体" w:hAnsi="宋体"/>
                <w:kern w:val="0"/>
                <w:sz w:val="20"/>
              </w:rPr>
              <w:t>×</w:t>
            </w:r>
            <w:r>
              <w:rPr>
                <w:rFonts w:ascii="宋体" w:hAnsi="宋体"/>
                <w:kern w:val="0"/>
                <w:sz w:val="20"/>
              </w:rPr>
              <w:t>24</w:t>
            </w:r>
            <w:r>
              <w:rPr>
                <w:rFonts w:hint="eastAsia" w:ascii="宋体" w:hAnsi="宋体"/>
                <w:kern w:val="0"/>
                <w:sz w:val="20"/>
              </w:rPr>
              <w:t>小时工程师带备件上门服务</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23"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光纤交换机</w:t>
            </w:r>
          </w:p>
        </w:tc>
        <w:tc>
          <w:tcPr>
            <w:tcW w:w="52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32"/>
              </w:numPr>
              <w:suppressLineNumbers w:val="0"/>
              <w:ind w:left="0" w:leftChars="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64端口光纤交换机，64端口激活，含64个16GB光模块，原厂安装服务</w:t>
            </w:r>
            <w:r>
              <w:rPr>
                <w:rFonts w:hint="eastAsia" w:ascii="宋体" w:hAnsi="宋体" w:cs="宋体"/>
                <w:i w:val="0"/>
                <w:color w:val="000000"/>
                <w:kern w:val="0"/>
                <w:sz w:val="20"/>
                <w:szCs w:val="20"/>
                <w:u w:val="none"/>
                <w:lang w:val="en-US" w:eastAsia="zh-CN" w:bidi="ar"/>
              </w:rPr>
              <w:t>；</w:t>
            </w:r>
          </w:p>
          <w:p>
            <w:pPr>
              <w:keepNext w:val="0"/>
              <w:keepLines w:val="0"/>
              <w:widowControl/>
              <w:numPr>
                <w:ilvl w:val="0"/>
                <w:numId w:val="31"/>
              </w:numPr>
              <w:suppressLineNumbers w:val="0"/>
              <w:ind w:left="0" w:leftChars="0" w:firstLine="0" w:firstLineChars="0"/>
              <w:jc w:val="left"/>
              <w:textAlignment w:val="center"/>
              <w:rPr>
                <w:rFonts w:hint="eastAsia" w:ascii="宋体" w:hAnsi="宋体"/>
                <w:kern w:val="0"/>
                <w:sz w:val="20"/>
              </w:rPr>
            </w:pPr>
            <w:r>
              <w:rPr>
                <w:rFonts w:hint="eastAsia" w:ascii="宋体" w:hAnsi="宋体"/>
                <w:kern w:val="0"/>
                <w:sz w:val="20"/>
              </w:rPr>
              <w:t>提供原厂商三年</w:t>
            </w:r>
            <w:r>
              <w:rPr>
                <w:rFonts w:ascii="宋体" w:hAnsi="宋体"/>
                <w:kern w:val="0"/>
                <w:sz w:val="20"/>
              </w:rPr>
              <w:t>7</w:t>
            </w:r>
            <w:r>
              <w:rPr>
                <w:rFonts w:hint="eastAsia" w:ascii="宋体" w:hAnsi="宋体"/>
                <w:kern w:val="0"/>
                <w:sz w:val="20"/>
              </w:rPr>
              <w:t>×</w:t>
            </w:r>
            <w:r>
              <w:rPr>
                <w:rFonts w:ascii="宋体" w:hAnsi="宋体"/>
                <w:kern w:val="0"/>
                <w:sz w:val="20"/>
              </w:rPr>
              <w:t>24</w:t>
            </w:r>
            <w:r>
              <w:rPr>
                <w:rFonts w:hint="eastAsia" w:ascii="宋体" w:hAnsi="宋体"/>
                <w:kern w:val="0"/>
                <w:sz w:val="20"/>
              </w:rPr>
              <w:t>小时工程师带备件上门服务</w:t>
            </w:r>
          </w:p>
          <w:p>
            <w:pPr>
              <w:keepNext w:val="0"/>
              <w:keepLines w:val="0"/>
              <w:widowControl/>
              <w:numPr>
                <w:ilvl w:val="0"/>
                <w:numId w:val="31"/>
              </w:numPr>
              <w:suppressLineNumbers w:val="0"/>
              <w:ind w:left="0" w:leftChars="0" w:firstLine="0" w:firstLineChars="0"/>
              <w:jc w:val="left"/>
              <w:textAlignment w:val="center"/>
              <w:rPr>
                <w:rFonts w:hint="eastAsia" w:ascii="宋体" w:hAnsi="宋体"/>
                <w:kern w:val="0"/>
                <w:sz w:val="20"/>
              </w:rPr>
            </w:pPr>
            <w:r>
              <w:rPr>
                <w:rFonts w:hint="eastAsia" w:ascii="宋体" w:hAnsi="宋体"/>
                <w:kern w:val="0"/>
                <w:sz w:val="20"/>
              </w:rPr>
              <w:t>支持FC 16Gb/s，10Gb/s， 8Gb/s和4Gb/s速率；</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bl>
    <w:p>
      <w:pPr>
        <w:numPr>
          <w:ilvl w:val="3"/>
          <w:numId w:val="27"/>
        </w:numPr>
        <w:spacing w:before="240" w:after="240" w:line="360" w:lineRule="auto"/>
        <w:ind w:left="851" w:leftChars="0" w:hanging="851" w:firstLineChars="0"/>
        <w:outlineLvl w:val="3"/>
        <w:rPr>
          <w:rFonts w:hint="eastAsia" w:ascii="宋体" w:hAnsi="宋体"/>
          <w:b/>
          <w:sz w:val="28"/>
          <w:szCs w:val="21"/>
        </w:rPr>
      </w:pPr>
      <w:r>
        <w:rPr>
          <w:rFonts w:hint="eastAsia" w:ascii="宋体"/>
          <w:b/>
          <w:sz w:val="28"/>
          <w:szCs w:val="21"/>
          <w:lang w:val="en-US" w:eastAsia="zh-CN"/>
        </w:rPr>
        <w:t>存储设备要求</w:t>
      </w:r>
    </w:p>
    <w:tbl>
      <w:tblPr>
        <w:tblStyle w:val="73"/>
        <w:tblW w:w="8982" w:type="dxa"/>
        <w:tblInd w:w="0" w:type="dxa"/>
        <w:shd w:val="clear" w:color="auto" w:fill="auto"/>
        <w:tblLayout w:type="fixed"/>
        <w:tblCellMar>
          <w:top w:w="0" w:type="dxa"/>
          <w:left w:w="0" w:type="dxa"/>
          <w:bottom w:w="0" w:type="dxa"/>
          <w:right w:w="0" w:type="dxa"/>
        </w:tblCellMar>
      </w:tblPr>
      <w:tblGrid>
        <w:gridCol w:w="596"/>
        <w:gridCol w:w="1620"/>
        <w:gridCol w:w="5444"/>
        <w:gridCol w:w="1322"/>
      </w:tblGrid>
      <w:tr>
        <w:tblPrEx>
          <w:tblCellMar>
            <w:top w:w="0" w:type="dxa"/>
            <w:left w:w="0" w:type="dxa"/>
            <w:bottom w:w="0" w:type="dxa"/>
            <w:right w:w="0" w:type="dxa"/>
          </w:tblCellMar>
        </w:tblPrEx>
        <w:trPr>
          <w:trHeight w:val="31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5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1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5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44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i w:val="0"/>
                <w:color w:val="000000"/>
                <w:sz w:val="20"/>
                <w:szCs w:val="20"/>
                <w:u w:val="none"/>
              </w:rPr>
            </w:pPr>
            <w:r>
              <w:rPr>
                <w:rFonts w:hint="eastAsia" w:ascii="Arial" w:hAnsi="Arial" w:cs="Arial"/>
                <w:i w:val="0"/>
                <w:color w:val="000000"/>
                <w:kern w:val="0"/>
                <w:sz w:val="20"/>
                <w:szCs w:val="20"/>
                <w:u w:val="none"/>
                <w:lang w:val="en-US" w:eastAsia="zh-CN" w:bidi="ar"/>
              </w:rPr>
              <w:t>Fcsan存储</w:t>
            </w:r>
          </w:p>
        </w:tc>
        <w:tc>
          <w:tcPr>
            <w:tcW w:w="54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实配</w:t>
            </w:r>
            <w:r>
              <w:rPr>
                <w:rFonts w:hint="eastAsia" w:ascii="宋体" w:hAnsi="宋体" w:eastAsia="宋体" w:cs="宋体"/>
                <w:i w:val="0"/>
                <w:color w:val="000000"/>
                <w:kern w:val="0"/>
                <w:sz w:val="20"/>
                <w:szCs w:val="20"/>
                <w:u w:val="none"/>
                <w:lang w:val="en-US" w:eastAsia="zh-CN" w:bidi="ar"/>
              </w:rPr>
              <w:t>存储控制器4个，每个控制器配置2颗存储处理器和4颗存储专用处理器，采用多控制器全活互联架构，配置SAN和NAS</w:t>
            </w:r>
            <w:r>
              <w:rPr>
                <w:rFonts w:hint="eastAsia" w:ascii="宋体" w:hAnsi="宋体" w:eastAsia="宋体" w:cs="宋体"/>
                <w:i w:val="0"/>
                <w:color w:val="auto"/>
                <w:kern w:val="0"/>
                <w:sz w:val="20"/>
                <w:szCs w:val="20"/>
                <w:u w:val="none"/>
                <w:lang w:val="en-US" w:eastAsia="zh-CN" w:bidi="ar"/>
              </w:rPr>
              <w:t>模块，存储缓存（每双控）512GB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cs="宋体"/>
                <w:i w:val="0"/>
                <w:color w:val="auto"/>
                <w:kern w:val="0"/>
                <w:sz w:val="20"/>
                <w:szCs w:val="20"/>
                <w:u w:val="none"/>
                <w:lang w:val="en-US" w:eastAsia="zh-CN" w:bidi="ar"/>
              </w:rPr>
              <w:t>可用不少于40T</w:t>
            </w:r>
            <w:r>
              <w:rPr>
                <w:rFonts w:hint="eastAsia" w:ascii="宋体" w:hAnsi="宋体" w:eastAsia="宋体" w:cs="宋体"/>
                <w:i w:val="0"/>
                <w:color w:val="auto"/>
                <w:kern w:val="0"/>
                <w:sz w:val="20"/>
                <w:szCs w:val="20"/>
                <w:u w:val="none"/>
                <w:lang w:val="en-US" w:eastAsia="zh-CN" w:bidi="ar"/>
              </w:rPr>
              <w:t xml:space="preserve"> SSD硬盘（SAS接口），</w:t>
            </w:r>
            <w:r>
              <w:rPr>
                <w:rFonts w:hint="eastAsia" w:ascii="宋体" w:hAnsi="宋体" w:cs="宋体"/>
                <w:i w:val="0"/>
                <w:color w:val="auto"/>
                <w:kern w:val="0"/>
                <w:sz w:val="20"/>
                <w:szCs w:val="20"/>
                <w:u w:val="none"/>
                <w:lang w:val="en-US" w:eastAsia="zh-CN" w:bidi="ar"/>
              </w:rPr>
              <w:t xml:space="preserve">可用不少于150T  </w:t>
            </w:r>
            <w:r>
              <w:rPr>
                <w:rFonts w:hint="eastAsia" w:ascii="宋体" w:hAnsi="宋体" w:eastAsia="宋体" w:cs="宋体"/>
                <w:i w:val="0"/>
                <w:color w:val="auto"/>
                <w:kern w:val="0"/>
                <w:sz w:val="20"/>
                <w:szCs w:val="20"/>
                <w:u w:val="none"/>
                <w:lang w:val="en-US" w:eastAsia="zh-CN" w:bidi="ar"/>
              </w:rPr>
              <w:t>7.2K NL-SAS硬盘，配置</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16*16GB FC端口（含光模块），支持16Gbps FC，10GbE/25GbE接口等</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原厂安装服务，三年原厂维保服务，三年硬盘介质保留服务</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lang w:val="en-US"/>
              </w:rPr>
            </w:pPr>
            <w:r>
              <w:rPr>
                <w:rFonts w:hint="default" w:ascii="Arial" w:hAnsi="Arial" w:eastAsia="宋体" w:cs="Arial"/>
                <w:i w:val="0"/>
                <w:color w:val="000000"/>
                <w:kern w:val="0"/>
                <w:sz w:val="20"/>
                <w:szCs w:val="20"/>
                <w:u w:val="none"/>
                <w:lang w:val="en-US" w:eastAsia="zh-CN" w:bidi="ar"/>
              </w:rPr>
              <w:t>1</w:t>
            </w:r>
          </w:p>
        </w:tc>
      </w:tr>
    </w:tbl>
    <w:p>
      <w:pPr>
        <w:rPr>
          <w:rFonts w:ascii="宋体"/>
        </w:rPr>
      </w:pPr>
    </w:p>
    <w:p>
      <w:pPr>
        <w:numPr>
          <w:ilvl w:val="3"/>
          <w:numId w:val="27"/>
        </w:numPr>
        <w:ind w:left="851" w:leftChars="0" w:hanging="851" w:firstLineChars="0"/>
        <w:rPr>
          <w:rFonts w:hint="default" w:ascii="宋体"/>
          <w:b/>
          <w:bCs/>
          <w:sz w:val="28"/>
          <w:szCs w:val="28"/>
          <w:lang w:val="en-US" w:eastAsia="zh-CN"/>
        </w:rPr>
      </w:pPr>
      <w:r>
        <w:rPr>
          <w:rFonts w:hint="eastAsia" w:ascii="宋体"/>
          <w:b/>
          <w:bCs/>
          <w:sz w:val="28"/>
          <w:szCs w:val="28"/>
          <w:lang w:val="en-US" w:eastAsia="zh-CN"/>
        </w:rPr>
        <w:t>内存条要求</w:t>
      </w:r>
    </w:p>
    <w:tbl>
      <w:tblPr>
        <w:tblStyle w:val="73"/>
        <w:tblW w:w="8982" w:type="dxa"/>
        <w:tblInd w:w="0" w:type="dxa"/>
        <w:shd w:val="clear" w:color="auto" w:fill="auto"/>
        <w:tblLayout w:type="fixed"/>
        <w:tblCellMar>
          <w:top w:w="0" w:type="dxa"/>
          <w:left w:w="0" w:type="dxa"/>
          <w:bottom w:w="0" w:type="dxa"/>
          <w:right w:w="0" w:type="dxa"/>
        </w:tblCellMar>
      </w:tblPr>
      <w:tblGrid>
        <w:gridCol w:w="596"/>
        <w:gridCol w:w="1620"/>
        <w:gridCol w:w="5444"/>
        <w:gridCol w:w="1322"/>
      </w:tblGrid>
      <w:tr>
        <w:tblPrEx>
          <w:tblCellMar>
            <w:top w:w="0" w:type="dxa"/>
            <w:left w:w="0" w:type="dxa"/>
            <w:bottom w:w="0" w:type="dxa"/>
            <w:right w:w="0" w:type="dxa"/>
          </w:tblCellMar>
        </w:tblPrEx>
        <w:trPr>
          <w:trHeight w:val="31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5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1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5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44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长城超云服务器内存条</w:t>
            </w:r>
          </w:p>
        </w:tc>
        <w:tc>
          <w:tcPr>
            <w:tcW w:w="54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DDR4 2400 32GB</w:t>
            </w:r>
          </w:p>
          <w:p>
            <w:pPr>
              <w:keepNext w:val="0"/>
              <w:keepLines w:val="0"/>
              <w:widowControl/>
              <w:suppressLineNumbers w:val="0"/>
              <w:ind w:left="0" w:leftChars="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2.用于早期云平台物理服务器内存扩容</w:t>
            </w:r>
          </w:p>
          <w:p>
            <w:pPr>
              <w:keepNext w:val="0"/>
              <w:keepLines w:val="0"/>
              <w:widowControl/>
              <w:suppressLineNumbers w:val="0"/>
              <w:ind w:left="0" w:leftChars="0"/>
              <w:jc w:val="lef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3.需协助安装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lang w:val="en-US"/>
              </w:rPr>
            </w:pPr>
            <w:r>
              <w:rPr>
                <w:rFonts w:hint="eastAsia" w:ascii="Arial" w:hAnsi="Arial" w:cs="Arial"/>
                <w:i w:val="0"/>
                <w:color w:val="000000"/>
                <w:kern w:val="0"/>
                <w:sz w:val="20"/>
                <w:szCs w:val="20"/>
                <w:u w:val="none"/>
                <w:lang w:val="en-US" w:eastAsia="zh-CN" w:bidi="ar"/>
              </w:rPr>
              <w:t>60</w:t>
            </w:r>
          </w:p>
        </w:tc>
      </w:tr>
    </w:tbl>
    <w:p>
      <w:pPr>
        <w:rPr>
          <w:rFonts w:ascii="宋体"/>
        </w:rPr>
      </w:pPr>
    </w:p>
    <w:p>
      <w:pPr>
        <w:rPr>
          <w:rFonts w:hint="default" w:asciiTheme="majorEastAsia" w:hAnsiTheme="majorEastAsia" w:eastAsiaTheme="majorEastAsia" w:cstheme="majorEastAsia"/>
          <w:b/>
          <w:kern w:val="2"/>
          <w:sz w:val="28"/>
          <w:szCs w:val="22"/>
          <w:lang w:val="en-US" w:eastAsia="zh-CN" w:bidi="ar-SA"/>
        </w:rPr>
      </w:pPr>
      <w:r>
        <w:rPr>
          <w:rFonts w:hint="eastAsia" w:asciiTheme="majorEastAsia" w:hAnsiTheme="majorEastAsia" w:eastAsiaTheme="majorEastAsia" w:cstheme="majorEastAsia"/>
          <w:b/>
          <w:kern w:val="2"/>
          <w:sz w:val="28"/>
          <w:szCs w:val="22"/>
          <w:lang w:val="en-US" w:eastAsia="zh-CN" w:bidi="ar-SA"/>
        </w:rPr>
        <w:t>1.2.2.6.负载均衡授权要求</w:t>
      </w:r>
    </w:p>
    <w:tbl>
      <w:tblPr>
        <w:tblStyle w:val="73"/>
        <w:tblW w:w="8982" w:type="dxa"/>
        <w:tblInd w:w="0" w:type="dxa"/>
        <w:shd w:val="clear" w:color="auto" w:fill="auto"/>
        <w:tblLayout w:type="fixed"/>
        <w:tblCellMar>
          <w:top w:w="0" w:type="dxa"/>
          <w:left w:w="0" w:type="dxa"/>
          <w:bottom w:w="0" w:type="dxa"/>
          <w:right w:w="0" w:type="dxa"/>
        </w:tblCellMar>
      </w:tblPr>
      <w:tblGrid>
        <w:gridCol w:w="596"/>
        <w:gridCol w:w="1620"/>
        <w:gridCol w:w="5444"/>
        <w:gridCol w:w="1322"/>
      </w:tblGrid>
      <w:tr>
        <w:tblPrEx>
          <w:tblCellMar>
            <w:top w:w="0" w:type="dxa"/>
            <w:left w:w="0" w:type="dxa"/>
            <w:bottom w:w="0" w:type="dxa"/>
            <w:right w:w="0" w:type="dxa"/>
          </w:tblCellMar>
        </w:tblPrEx>
        <w:trPr>
          <w:trHeight w:val="312"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5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12"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5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0" w:leftChars="0"/>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44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left="0" w:leftChars="0"/>
              <w:jc w:val="center"/>
              <w:textAlignment w:val="center"/>
              <w:rPr>
                <w:rFonts w:hint="default" w:ascii="Arial" w:hAnsi="Arial" w:eastAsia="宋体" w:cs="Arial"/>
                <w:i w:val="0"/>
                <w:color w:val="000000"/>
                <w:sz w:val="20"/>
                <w:szCs w:val="20"/>
                <w:u w:val="none"/>
              </w:rPr>
            </w:pPr>
            <w:r>
              <w:rPr>
                <w:rFonts w:hint="eastAsia" w:ascii="Arial" w:hAnsi="Arial"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负载均衡链路授权                （型号AD-7050)</w:t>
            </w:r>
          </w:p>
        </w:tc>
        <w:tc>
          <w:tcPr>
            <w:tcW w:w="54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原有主备两台深信服负载均衡设备各开通一条链路授权</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w:t>
            </w:r>
          </w:p>
        </w:tc>
      </w:tr>
    </w:tbl>
    <w:p>
      <w:pPr>
        <w:rPr>
          <w:rFonts w:hint="default" w:asciiTheme="majorEastAsia" w:hAnsiTheme="majorEastAsia" w:eastAsiaTheme="majorEastAsia" w:cstheme="majorEastAsia"/>
          <w:b/>
          <w:kern w:val="2"/>
          <w:sz w:val="28"/>
          <w:szCs w:val="22"/>
          <w:lang w:val="en-US" w:eastAsia="zh-CN" w:bidi="ar-SA"/>
        </w:rPr>
      </w:pPr>
    </w:p>
    <w:p>
      <w:pPr>
        <w:pStyle w:val="2"/>
        <w:numPr>
          <w:ilvl w:val="0"/>
          <w:numId w:val="0"/>
        </w:numPr>
        <w:ind w:leftChars="0"/>
        <w:jc w:val="both"/>
        <w:rPr>
          <w:rFonts w:hint="default" w:ascii="宋体" w:hAnsi="Times New Roman" w:eastAsia="宋体" w:cs="Times New Roman"/>
          <w:b/>
          <w:bCs/>
          <w:kern w:val="2"/>
          <w:sz w:val="28"/>
          <w:szCs w:val="28"/>
          <w:lang w:val="en-US" w:eastAsia="zh-CN" w:bidi="ar-SA"/>
        </w:rPr>
      </w:pPr>
      <w:bookmarkStart w:id="40" w:name="_Toc16243"/>
      <w:r>
        <w:rPr>
          <w:rFonts w:hint="eastAsia" w:ascii="宋体" w:hAnsi="Times New Roman" w:eastAsia="宋体" w:cs="Times New Roman"/>
          <w:b/>
          <w:bCs/>
          <w:kern w:val="2"/>
          <w:sz w:val="28"/>
          <w:szCs w:val="28"/>
          <w:lang w:val="en-US" w:eastAsia="zh-CN" w:bidi="ar-SA"/>
        </w:rPr>
        <w:t>1.2.2.7</w:t>
      </w:r>
      <w:r>
        <w:rPr>
          <w:rFonts w:hint="eastAsia" w:ascii="宋体" w:cs="Times New Roman"/>
          <w:b/>
          <w:bCs/>
          <w:kern w:val="2"/>
          <w:sz w:val="28"/>
          <w:szCs w:val="28"/>
          <w:lang w:val="en-US" w:eastAsia="zh-CN" w:bidi="ar-SA"/>
        </w:rPr>
        <w:t>.</w:t>
      </w:r>
      <w:r>
        <w:rPr>
          <w:rFonts w:hint="eastAsia" w:ascii="宋体" w:hAnsi="Times New Roman" w:eastAsia="宋体" w:cs="Times New Roman"/>
          <w:b/>
          <w:bCs/>
          <w:kern w:val="2"/>
          <w:sz w:val="28"/>
          <w:szCs w:val="28"/>
          <w:lang w:val="en-US" w:eastAsia="zh-CN" w:bidi="ar-SA"/>
        </w:rPr>
        <w:t>安全等级保护要求</w:t>
      </w:r>
      <w:bookmarkEnd w:id="40"/>
    </w:p>
    <w:p>
      <w:pPr>
        <w:ind w:firstLine="400" w:firstLineChars="200"/>
        <w:rPr>
          <w:rFonts w:hint="default" w:ascii="宋体" w:hAnsi="宋体" w:cs="宋体"/>
          <w:bCs/>
          <w:sz w:val="20"/>
          <w:szCs w:val="22"/>
          <w:lang w:val="en-US" w:eastAsia="zh-CN"/>
        </w:rPr>
      </w:pPr>
      <w:r>
        <w:rPr>
          <w:rFonts w:hint="eastAsia" w:ascii="宋体" w:hAnsi="宋体" w:cs="宋体"/>
          <w:bCs/>
          <w:sz w:val="20"/>
          <w:szCs w:val="22"/>
          <w:lang w:val="en-US" w:eastAsia="zh-CN"/>
        </w:rPr>
        <w:t>中标方须严格按照《信息安全技术网络等级保护基本要求》（GB/T 22239-2019）标准进行规划、建设，配合第三方等保测评机构完成三级等保测评，并承担等保三级测评相关费用。</w:t>
      </w:r>
    </w:p>
    <w:p>
      <w:pPr>
        <w:pStyle w:val="2"/>
        <w:numPr>
          <w:ilvl w:val="0"/>
          <w:numId w:val="0"/>
        </w:numPr>
        <w:jc w:val="center"/>
        <w:rPr>
          <w:sz w:val="28"/>
        </w:rPr>
      </w:pPr>
      <w:bookmarkStart w:id="41" w:name="_Toc29769"/>
      <w:r>
        <w:rPr>
          <w:rFonts w:hint="eastAsia"/>
          <w:sz w:val="28"/>
        </w:rPr>
        <w:t>第五部分 商务部分</w:t>
      </w:r>
      <w:bookmarkEnd w:id="41"/>
    </w:p>
    <w:p>
      <w:pPr>
        <w:pStyle w:val="3"/>
        <w:jc w:val="center"/>
        <w:rPr>
          <w:rFonts w:ascii="宋体" w:hAnsi="宋体" w:cs="宋体"/>
          <w:sz w:val="24"/>
          <w:szCs w:val="24"/>
        </w:rPr>
      </w:pPr>
      <w:bookmarkStart w:id="42" w:name="_Toc70"/>
      <w:r>
        <w:rPr>
          <w:rFonts w:hint="eastAsia" w:ascii="宋体" w:hAnsi="宋体" w:cs="宋体"/>
          <w:sz w:val="24"/>
          <w:szCs w:val="24"/>
        </w:rPr>
        <w:t>第一章</w:t>
      </w:r>
      <w:r>
        <w:rPr>
          <w:rFonts w:hint="eastAsia" w:ascii="宋体" w:hAnsi="宋体" w:cs="宋体"/>
          <w:sz w:val="24"/>
          <w:szCs w:val="24"/>
          <w:lang w:val="en-US" w:eastAsia="zh-CN"/>
        </w:rPr>
        <w:t xml:space="preserve"> </w:t>
      </w:r>
      <w:r>
        <w:rPr>
          <w:rFonts w:hint="eastAsia" w:ascii="宋体" w:hAnsi="宋体" w:cs="宋体"/>
          <w:sz w:val="24"/>
          <w:szCs w:val="24"/>
        </w:rPr>
        <w:t>合同一般条款</w:t>
      </w:r>
      <w:bookmarkEnd w:id="42"/>
    </w:p>
    <w:p>
      <w:pPr>
        <w:numPr>
          <w:ilvl w:val="0"/>
          <w:numId w:val="33"/>
        </w:numPr>
        <w:ind w:left="420" w:leftChars="0" w:hanging="20" w:firstLineChars="0"/>
        <w:rPr>
          <w:rFonts w:ascii="宋体" w:hAnsi="宋体" w:cs="宋体"/>
          <w:b/>
          <w:sz w:val="20"/>
        </w:rPr>
      </w:pPr>
      <w:r>
        <w:rPr>
          <w:rFonts w:hint="eastAsia" w:ascii="宋体" w:hAnsi="宋体" w:cs="宋体"/>
          <w:b/>
          <w:sz w:val="20"/>
        </w:rPr>
        <w:t>定义</w:t>
      </w:r>
    </w:p>
    <w:p>
      <w:pPr>
        <w:ind w:firstLine="400" w:firstLineChars="200"/>
        <w:rPr>
          <w:rFonts w:ascii="宋体" w:hAnsi="宋体" w:cs="宋体"/>
          <w:bCs/>
          <w:sz w:val="20"/>
        </w:rPr>
      </w:pPr>
      <w:r>
        <w:rPr>
          <w:rFonts w:hint="eastAsia" w:ascii="宋体" w:hAnsi="宋体" w:cs="宋体"/>
          <w:bCs/>
          <w:sz w:val="20"/>
        </w:rPr>
        <w:t>1.1 “合同”和卖方(以下简称合同双方)已达成的协议，即由双方签订的合同格式文件，包括所有的招标文件、投标文件、招标答疑纪系指买方录、澄清说明、附件、附录和组成合同的所有其他文件。</w:t>
      </w:r>
    </w:p>
    <w:p>
      <w:pPr>
        <w:ind w:firstLine="400" w:firstLineChars="200"/>
        <w:rPr>
          <w:rFonts w:ascii="宋体" w:hAnsi="宋体" w:cs="宋体"/>
          <w:bCs/>
          <w:sz w:val="20"/>
        </w:rPr>
      </w:pPr>
      <w:r>
        <w:rPr>
          <w:rFonts w:hint="eastAsia" w:ascii="宋体" w:hAnsi="宋体" w:cs="宋体"/>
          <w:bCs/>
          <w:sz w:val="20"/>
        </w:rPr>
        <w:t xml:space="preserve">1.2 </w:t>
      </w:r>
      <w:r>
        <w:rPr>
          <w:rFonts w:hint="eastAsia" w:ascii="宋体" w:hAnsi="宋体" w:cs="宋体"/>
          <w:bCs/>
          <w:spacing w:val="-6"/>
          <w:sz w:val="20"/>
        </w:rPr>
        <w:t>“合同价格”系指根据合同规定，在卖方全面正确地履行合同义务时，买方应支付给卖方的款项。</w:t>
      </w:r>
    </w:p>
    <w:p>
      <w:pPr>
        <w:ind w:firstLine="400" w:firstLineChars="200"/>
        <w:rPr>
          <w:rFonts w:ascii="宋体" w:hAnsi="宋体" w:cs="宋体"/>
          <w:bCs/>
          <w:sz w:val="20"/>
        </w:rPr>
      </w:pPr>
      <w:r>
        <w:rPr>
          <w:rFonts w:hint="eastAsia" w:ascii="宋体" w:hAnsi="宋体" w:cs="宋体"/>
          <w:bCs/>
          <w:sz w:val="20"/>
        </w:rPr>
        <w:t>1.3 “货物”系指卖方按合同要求，须向买方提供的一切设备、机械、仪器仪表、备品备件、工具、手册、其它技术资料和其它材料。</w:t>
      </w:r>
    </w:p>
    <w:p>
      <w:pPr>
        <w:ind w:firstLine="400" w:firstLineChars="200"/>
        <w:rPr>
          <w:rFonts w:ascii="宋体" w:hAnsi="宋体" w:cs="宋体"/>
          <w:bCs/>
          <w:spacing w:val="-6"/>
          <w:sz w:val="20"/>
        </w:rPr>
      </w:pPr>
      <w:r>
        <w:rPr>
          <w:rFonts w:hint="eastAsia" w:ascii="宋体" w:hAnsi="宋体" w:cs="宋体"/>
          <w:bCs/>
          <w:sz w:val="20"/>
        </w:rPr>
        <w:t>1.4 “</w:t>
      </w:r>
      <w:r>
        <w:rPr>
          <w:rFonts w:hint="eastAsia" w:ascii="宋体" w:hAnsi="宋体" w:cs="宋体"/>
          <w:bCs/>
          <w:spacing w:val="-6"/>
          <w:sz w:val="20"/>
        </w:rPr>
        <w:t>服务”系指合同规定卖方必须承担的安装、调试、技术协助、校准、培训以及其他类似义务。</w:t>
      </w:r>
    </w:p>
    <w:p>
      <w:pPr>
        <w:ind w:firstLine="400" w:firstLineChars="200"/>
        <w:rPr>
          <w:rFonts w:ascii="宋体" w:hAnsi="宋体" w:cs="宋体"/>
          <w:bCs/>
          <w:sz w:val="20"/>
        </w:rPr>
      </w:pPr>
      <w:r>
        <w:rPr>
          <w:rFonts w:hint="eastAsia" w:ascii="宋体" w:hAnsi="宋体" w:cs="宋体"/>
          <w:bCs/>
          <w:sz w:val="20"/>
        </w:rPr>
        <w:t>1.5 “甲方”、“买方”、“招标方”均系指通过招标采购，接受合同货物及服务的地区本级各行政事业单位、社会团体（采购单位）及</w:t>
      </w:r>
      <w:r>
        <w:rPr>
          <w:rFonts w:hint="eastAsia" w:ascii="宋体" w:hAnsi="宋体" w:cs="宋体"/>
          <w:bCs/>
          <w:spacing w:val="-6"/>
          <w:sz w:val="20"/>
          <w:szCs w:val="22"/>
        </w:rPr>
        <w:t>中共哈密市委员会网络安全和信息化委员会办公室。</w:t>
      </w:r>
    </w:p>
    <w:p>
      <w:pPr>
        <w:ind w:firstLine="400" w:firstLineChars="200"/>
        <w:rPr>
          <w:rFonts w:ascii="宋体" w:hAnsi="宋体" w:cs="宋体"/>
          <w:bCs/>
          <w:sz w:val="20"/>
        </w:rPr>
      </w:pPr>
      <w:r>
        <w:rPr>
          <w:rFonts w:hint="eastAsia" w:ascii="宋体" w:hAnsi="宋体" w:cs="宋体"/>
          <w:bCs/>
          <w:sz w:val="20"/>
        </w:rPr>
        <w:t>1.6 “乙方”、“卖方”系指中标后提供合同货物和服务的经济实体。</w:t>
      </w:r>
    </w:p>
    <w:p>
      <w:pPr>
        <w:ind w:firstLine="400" w:firstLineChars="200"/>
        <w:rPr>
          <w:rFonts w:ascii="宋体" w:hAnsi="宋体" w:cs="宋体"/>
          <w:bCs/>
          <w:sz w:val="20"/>
        </w:rPr>
      </w:pPr>
      <w:r>
        <w:rPr>
          <w:rFonts w:hint="eastAsia" w:ascii="宋体" w:hAnsi="宋体" w:cs="宋体"/>
          <w:bCs/>
          <w:sz w:val="20"/>
        </w:rPr>
        <w:t>1.7 “现场”系指将要进行货物安装和运转的地点。</w:t>
      </w:r>
    </w:p>
    <w:p>
      <w:pPr>
        <w:ind w:firstLine="400" w:firstLineChars="200"/>
        <w:rPr>
          <w:rFonts w:ascii="宋体" w:hAnsi="宋体" w:cs="宋体"/>
          <w:bCs/>
          <w:sz w:val="20"/>
        </w:rPr>
      </w:pPr>
      <w:r>
        <w:rPr>
          <w:rFonts w:hint="eastAsia" w:ascii="宋体" w:hAnsi="宋体" w:cs="宋体"/>
          <w:bCs/>
          <w:sz w:val="20"/>
        </w:rPr>
        <w:t>1.8 “验收”系指买方依据技术规格规定接受合同货物所依据的程序和条件。</w:t>
      </w:r>
    </w:p>
    <w:p>
      <w:pPr>
        <w:numPr>
          <w:ilvl w:val="0"/>
          <w:numId w:val="33"/>
        </w:numPr>
        <w:ind w:left="420" w:leftChars="0" w:hanging="20" w:firstLineChars="0"/>
        <w:rPr>
          <w:rFonts w:ascii="宋体" w:hAnsi="宋体" w:cs="宋体"/>
          <w:b/>
          <w:sz w:val="20"/>
        </w:rPr>
      </w:pPr>
      <w:r>
        <w:rPr>
          <w:rFonts w:hint="eastAsia" w:ascii="宋体" w:hAnsi="宋体" w:cs="宋体"/>
          <w:b/>
          <w:sz w:val="20"/>
        </w:rPr>
        <w:t>适用范围</w:t>
      </w:r>
    </w:p>
    <w:p>
      <w:pPr>
        <w:ind w:firstLine="400" w:firstLineChars="200"/>
        <w:rPr>
          <w:rFonts w:ascii="宋体" w:hAnsi="宋体" w:cs="宋体"/>
          <w:bCs/>
          <w:sz w:val="20"/>
        </w:rPr>
      </w:pPr>
      <w:r>
        <w:rPr>
          <w:rFonts w:hint="eastAsia" w:ascii="宋体" w:hAnsi="宋体" w:cs="宋体"/>
          <w:bCs/>
          <w:sz w:val="20"/>
        </w:rPr>
        <w:t>2.1 本合同条款仅适用于本次招标活动。</w:t>
      </w:r>
    </w:p>
    <w:p>
      <w:pPr>
        <w:numPr>
          <w:ilvl w:val="0"/>
          <w:numId w:val="33"/>
        </w:numPr>
        <w:ind w:left="420" w:leftChars="0" w:hanging="20" w:firstLineChars="0"/>
        <w:rPr>
          <w:rFonts w:ascii="宋体" w:hAnsi="宋体" w:cs="宋体"/>
          <w:b/>
          <w:sz w:val="20"/>
        </w:rPr>
      </w:pPr>
      <w:r>
        <w:rPr>
          <w:rFonts w:hint="eastAsia" w:ascii="宋体" w:hAnsi="宋体" w:cs="宋体"/>
          <w:b/>
          <w:sz w:val="20"/>
          <w:szCs w:val="22"/>
        </w:rPr>
        <w:t>原产地</w:t>
      </w:r>
    </w:p>
    <w:p>
      <w:pPr>
        <w:ind w:firstLine="400" w:firstLineChars="200"/>
        <w:rPr>
          <w:rFonts w:ascii="宋体" w:hAnsi="宋体" w:cs="宋体"/>
          <w:bCs/>
          <w:sz w:val="20"/>
        </w:rPr>
      </w:pPr>
      <w:r>
        <w:rPr>
          <w:rFonts w:hint="eastAsia" w:ascii="宋体" w:hAnsi="宋体" w:cs="宋体"/>
          <w:bCs/>
          <w:sz w:val="20"/>
        </w:rPr>
        <w:t>3.1 原产地系指货物的生产地，或提供辅助服务的来源地。</w:t>
      </w:r>
    </w:p>
    <w:p>
      <w:pPr>
        <w:numPr>
          <w:ilvl w:val="0"/>
          <w:numId w:val="33"/>
        </w:numPr>
        <w:ind w:left="420" w:leftChars="0" w:hanging="20" w:firstLineChars="0"/>
        <w:rPr>
          <w:rFonts w:ascii="宋体" w:hAnsi="宋体" w:cs="宋体"/>
          <w:b/>
          <w:sz w:val="20"/>
        </w:rPr>
      </w:pPr>
      <w:r>
        <w:rPr>
          <w:rFonts w:hint="eastAsia" w:ascii="宋体" w:hAnsi="宋体" w:cs="宋体"/>
          <w:b/>
          <w:sz w:val="20"/>
          <w:szCs w:val="22"/>
        </w:rPr>
        <w:t>技术</w:t>
      </w:r>
      <w:r>
        <w:rPr>
          <w:rFonts w:hint="eastAsia" w:ascii="宋体" w:hAnsi="宋体" w:cs="宋体"/>
          <w:b/>
          <w:sz w:val="20"/>
        </w:rPr>
        <w:t>规格和标准</w:t>
      </w:r>
    </w:p>
    <w:p>
      <w:pPr>
        <w:ind w:firstLine="400" w:firstLineChars="200"/>
        <w:rPr>
          <w:rFonts w:ascii="宋体" w:hAnsi="宋体" w:cs="宋体"/>
          <w:bCs/>
          <w:sz w:val="20"/>
        </w:rPr>
      </w:pPr>
      <w:r>
        <w:rPr>
          <w:rFonts w:hint="eastAsia" w:ascii="宋体" w:hAnsi="宋体" w:cs="宋体"/>
          <w:bCs/>
          <w:sz w:val="20"/>
        </w:rPr>
        <w:t>4.1</w:t>
      </w:r>
      <w:r>
        <w:rPr>
          <w:rFonts w:hint="eastAsia" w:ascii="宋体" w:hAnsi="宋体" w:cs="宋体"/>
          <w:bCs/>
          <w:sz w:val="20"/>
          <w:lang w:val="en-US" w:eastAsia="zh-CN"/>
        </w:rPr>
        <w:t xml:space="preserve"> </w:t>
      </w:r>
      <w:r>
        <w:rPr>
          <w:rFonts w:hint="eastAsia" w:ascii="宋体" w:hAnsi="宋体" w:cs="宋体"/>
          <w:bCs/>
          <w:sz w:val="20"/>
        </w:rPr>
        <w:t>本合同项下所供货物的技术规格应与本招标文件技术规格规定的标准相一致。若技术规格中无相应规定，货物则应符合相应的国家标准或有关权威部门最新颁布的相应的正式标准。</w:t>
      </w:r>
    </w:p>
    <w:p>
      <w:pPr>
        <w:numPr>
          <w:ilvl w:val="0"/>
          <w:numId w:val="33"/>
        </w:numPr>
        <w:ind w:left="420" w:leftChars="0" w:hanging="20" w:firstLineChars="0"/>
        <w:rPr>
          <w:rFonts w:ascii="宋体" w:hAnsi="宋体" w:cs="宋体"/>
          <w:b/>
          <w:sz w:val="20"/>
        </w:rPr>
      </w:pPr>
      <w:r>
        <w:rPr>
          <w:rFonts w:hint="eastAsia" w:ascii="宋体" w:hAnsi="宋体" w:cs="宋体"/>
          <w:b/>
          <w:sz w:val="20"/>
          <w:szCs w:val="22"/>
        </w:rPr>
        <w:t>专利权</w:t>
      </w:r>
    </w:p>
    <w:p>
      <w:pPr>
        <w:ind w:firstLine="400" w:firstLineChars="200"/>
        <w:rPr>
          <w:rFonts w:ascii="宋体" w:hAnsi="宋体" w:cs="宋体"/>
          <w:bCs/>
          <w:sz w:val="20"/>
        </w:rPr>
      </w:pPr>
      <w:r>
        <w:rPr>
          <w:rFonts w:hint="eastAsia" w:ascii="宋体" w:hAnsi="宋体" w:cs="宋体"/>
          <w:bCs/>
          <w:sz w:val="20"/>
        </w:rPr>
        <w:t>5.1 卖方须保障买方在使用其提供的货物、服务及其任何部分时不受到第三方关于侵犯专利权、商标权或工业设计权的指控。任何第三方如果提出侵权指控，卖方须与第三方交涉并承担由此而引起的一切法律责任和费用。</w:t>
      </w:r>
    </w:p>
    <w:p>
      <w:pPr>
        <w:numPr>
          <w:ilvl w:val="0"/>
          <w:numId w:val="33"/>
        </w:numPr>
        <w:ind w:left="420" w:leftChars="0" w:hanging="20" w:firstLineChars="0"/>
        <w:rPr>
          <w:rFonts w:ascii="宋体" w:hAnsi="宋体" w:cs="宋体"/>
          <w:b/>
          <w:sz w:val="20"/>
        </w:rPr>
      </w:pPr>
      <w:r>
        <w:rPr>
          <w:rFonts w:hint="eastAsia" w:ascii="宋体" w:hAnsi="宋体" w:cs="宋体"/>
          <w:b/>
          <w:sz w:val="20"/>
          <w:szCs w:val="22"/>
        </w:rPr>
        <w:t>包装</w:t>
      </w:r>
    </w:p>
    <w:p>
      <w:pPr>
        <w:ind w:firstLine="400" w:firstLineChars="200"/>
        <w:rPr>
          <w:rFonts w:ascii="宋体" w:hAnsi="宋体" w:cs="宋体"/>
          <w:bCs/>
          <w:sz w:val="20"/>
        </w:rPr>
      </w:pPr>
      <w:r>
        <w:rPr>
          <w:rFonts w:hint="eastAsia" w:ascii="宋体" w:hAnsi="宋体" w:cs="宋体"/>
          <w:bCs/>
          <w:sz w:val="20"/>
        </w:rPr>
        <w:t>6.1 除本合同另有规定之外，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造成的任何损失或费用。</w:t>
      </w:r>
    </w:p>
    <w:p>
      <w:pPr>
        <w:ind w:firstLine="400" w:firstLineChars="200"/>
        <w:rPr>
          <w:rFonts w:ascii="宋体" w:hAnsi="宋体" w:cs="宋体"/>
          <w:bCs/>
          <w:sz w:val="20"/>
        </w:rPr>
      </w:pPr>
      <w:r>
        <w:rPr>
          <w:rFonts w:hint="eastAsia" w:ascii="宋体" w:hAnsi="宋体" w:cs="宋体"/>
          <w:bCs/>
          <w:sz w:val="20"/>
        </w:rPr>
        <w:t>6.2 每件包装应附有详细装箱单和质量证书各两套，一套在包装箱里，一套在包装箱外。</w:t>
      </w:r>
    </w:p>
    <w:p>
      <w:pPr>
        <w:numPr>
          <w:ilvl w:val="0"/>
          <w:numId w:val="33"/>
        </w:numPr>
        <w:bidi w:val="0"/>
        <w:ind w:left="420" w:leftChars="0" w:hanging="20" w:firstLineChars="0"/>
        <w:rPr>
          <w:rFonts w:ascii="宋体" w:hAnsi="宋体" w:cs="宋体"/>
          <w:bCs/>
          <w:sz w:val="20"/>
        </w:rPr>
      </w:pPr>
      <w:r>
        <w:rPr>
          <w:rFonts w:hint="eastAsia" w:ascii="宋体" w:hAnsi="宋体" w:cs="宋体"/>
          <w:b/>
          <w:sz w:val="20"/>
        </w:rPr>
        <w:t>运输标记</w:t>
      </w:r>
      <w:r>
        <w:rPr>
          <w:rFonts w:hint="eastAsia" w:ascii="宋体" w:hAnsi="宋体" w:cs="宋体"/>
          <w:bCs/>
          <w:sz w:val="20"/>
        </w:rPr>
        <w:cr/>
      </w:r>
      <w:r>
        <w:rPr>
          <w:rFonts w:hint="eastAsia" w:ascii="宋体" w:hAnsi="宋体" w:cs="宋体"/>
          <w:bCs/>
          <w:sz w:val="20"/>
        </w:rPr>
        <w:t>7.1卖方应在每一包装箱邻接的四个侧面用不易褪色的油漆以醒目的中文印刷字体标明以下各项：</w:t>
      </w:r>
    </w:p>
    <w:p>
      <w:pPr>
        <w:numPr>
          <w:ilvl w:val="0"/>
          <w:numId w:val="34"/>
        </w:numPr>
        <w:tabs>
          <w:tab w:val="clear" w:pos="312"/>
        </w:tabs>
        <w:bidi w:val="0"/>
        <w:ind w:left="400" w:leftChars="0"/>
        <w:rPr>
          <w:rFonts w:hint="eastAsia" w:ascii="宋体" w:hAnsi="宋体" w:cs="宋体"/>
          <w:bCs/>
          <w:sz w:val="20"/>
        </w:rPr>
      </w:pPr>
      <w:r>
        <w:rPr>
          <w:rFonts w:hint="eastAsia" w:ascii="宋体" w:hAnsi="宋体" w:cs="宋体"/>
          <w:bCs/>
          <w:sz w:val="20"/>
        </w:rPr>
        <w:t>收货人</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合同号</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收货人代号</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目的地</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货物的名称、品目号、箱号</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毛重／净重(公斤)</w:t>
      </w:r>
    </w:p>
    <w:p>
      <w:pPr>
        <w:numPr>
          <w:ilvl w:val="0"/>
          <w:numId w:val="34"/>
        </w:numPr>
        <w:tabs>
          <w:tab w:val="clear" w:pos="312"/>
        </w:tabs>
        <w:bidi w:val="0"/>
        <w:ind w:left="400" w:leftChars="0"/>
        <w:rPr>
          <w:rFonts w:ascii="宋体" w:hAnsi="宋体" w:cs="宋体"/>
          <w:bCs/>
          <w:sz w:val="20"/>
        </w:rPr>
      </w:pPr>
      <w:r>
        <w:rPr>
          <w:rFonts w:hint="eastAsia" w:ascii="宋体" w:hAnsi="宋体" w:cs="宋体"/>
          <w:bCs/>
          <w:sz w:val="20"/>
        </w:rPr>
        <w:t>尺寸(长x宽x高，以厘米计)</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卖方的交货价</w:t>
      </w:r>
    </w:p>
    <w:p>
      <w:pPr>
        <w:ind w:firstLine="400" w:firstLineChars="200"/>
        <w:rPr>
          <w:rFonts w:ascii="宋体" w:hAnsi="宋体" w:cs="宋体"/>
          <w:bCs/>
          <w:sz w:val="20"/>
        </w:rPr>
      </w:pPr>
      <w:r>
        <w:rPr>
          <w:rFonts w:hint="eastAsia" w:ascii="宋体" w:hAnsi="宋体" w:cs="宋体"/>
          <w:bCs/>
          <w:sz w:val="20"/>
        </w:rPr>
        <w:t>8.1 卖方应在合同规定的交货期前10天以电报、传真或电传等方式通知买方合同号、货物名称、数量、包装件数、总毛重、总体积(立方米)和备妥待运日期。同时，卖方应以挂号信寄给买方详细交货清单一式五份，包括合同号、货物名称、规格、数量、总重、总体积(立方米)和每一包装箱的尺寸(长x宽x  高)、单价和总价、备妥待运日期，以及货物在运输和仓储中的特殊要求和注意事项。</w:t>
      </w:r>
    </w:p>
    <w:p>
      <w:pPr>
        <w:ind w:firstLine="400" w:firstLineChars="200"/>
        <w:rPr>
          <w:rFonts w:ascii="宋体" w:hAnsi="宋体" w:cs="宋体"/>
          <w:bCs/>
          <w:sz w:val="20"/>
        </w:rPr>
      </w:pPr>
      <w:r>
        <w:rPr>
          <w:rFonts w:hint="eastAsia" w:ascii="宋体" w:hAnsi="宋体" w:cs="宋体"/>
          <w:bCs/>
          <w:sz w:val="20"/>
        </w:rPr>
        <w:t>8.2 卖方负责安排自发运地至买方现场的运输，费用包含在合同总价中。</w:t>
      </w:r>
    </w:p>
    <w:p>
      <w:pPr>
        <w:ind w:firstLine="400" w:firstLineChars="200"/>
        <w:rPr>
          <w:rFonts w:ascii="宋体" w:hAnsi="宋体" w:cs="宋体"/>
          <w:bCs/>
          <w:sz w:val="20"/>
        </w:rPr>
      </w:pPr>
      <w:r>
        <w:rPr>
          <w:rFonts w:hint="eastAsia" w:ascii="宋体" w:hAnsi="宋体" w:cs="宋体"/>
          <w:bCs/>
          <w:sz w:val="20"/>
        </w:rPr>
        <w:t>8.3 交货日期以货物到达买方现场为准。</w:t>
      </w:r>
    </w:p>
    <w:p>
      <w:pPr>
        <w:ind w:firstLine="400" w:firstLineChars="200"/>
        <w:rPr>
          <w:rFonts w:ascii="宋体" w:hAnsi="宋体" w:cs="宋体"/>
          <w:bCs/>
          <w:sz w:val="20"/>
        </w:rPr>
      </w:pPr>
      <w:r>
        <w:rPr>
          <w:rFonts w:hint="eastAsia" w:ascii="宋体" w:hAnsi="宋体" w:cs="宋体"/>
          <w:bCs/>
          <w:sz w:val="20"/>
        </w:rPr>
        <w:t>8.4 卖方装运的货物必须符合合同规定的货物名称、型号规格、数量或重量，否则，一切后果均由卖方承担。</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装运</w:t>
      </w:r>
      <w:r>
        <w:rPr>
          <w:rFonts w:hint="eastAsia" w:ascii="宋体" w:hAnsi="宋体" w:cs="宋体"/>
          <w:b/>
          <w:sz w:val="20"/>
        </w:rPr>
        <w:t>通知</w:t>
      </w:r>
    </w:p>
    <w:p>
      <w:pPr>
        <w:ind w:firstLine="400" w:firstLineChars="200"/>
        <w:rPr>
          <w:rFonts w:ascii="宋体" w:hAnsi="宋体" w:cs="宋体"/>
          <w:bCs/>
          <w:sz w:val="20"/>
        </w:rPr>
      </w:pPr>
      <w:r>
        <w:rPr>
          <w:rFonts w:hint="eastAsia" w:ascii="宋体" w:hAnsi="宋体" w:cs="宋体"/>
          <w:bCs/>
          <w:sz w:val="20"/>
        </w:rPr>
        <w:t>9.1 卖方应在货物装运完成24小时内以电报、传真或电传通知买方合同号、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保险</w:t>
      </w:r>
    </w:p>
    <w:p>
      <w:pPr>
        <w:ind w:firstLine="400" w:firstLineChars="200"/>
        <w:rPr>
          <w:rFonts w:ascii="宋体" w:hAnsi="宋体" w:cs="宋体"/>
          <w:bCs/>
          <w:sz w:val="20"/>
        </w:rPr>
      </w:pPr>
      <w:r>
        <w:rPr>
          <w:rFonts w:hint="eastAsia" w:ascii="宋体" w:hAnsi="宋体" w:cs="宋体"/>
          <w:bCs/>
          <w:sz w:val="20"/>
        </w:rPr>
        <w:t>10.1</w:t>
      </w:r>
      <w:r>
        <w:rPr>
          <w:rFonts w:hint="eastAsia" w:ascii="宋体" w:hAnsi="宋体" w:cs="宋体"/>
          <w:bCs/>
          <w:sz w:val="20"/>
          <w:lang w:val="en-US" w:eastAsia="zh-CN"/>
        </w:rPr>
        <w:t xml:space="preserve"> </w:t>
      </w:r>
      <w:r>
        <w:rPr>
          <w:rFonts w:hint="eastAsia" w:ascii="宋体" w:hAnsi="宋体" w:cs="宋体"/>
          <w:bCs/>
          <w:sz w:val="20"/>
        </w:rPr>
        <w:t>在合同价条件下，由卖方负责办理保险。</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合同</w:t>
      </w:r>
      <w:r>
        <w:rPr>
          <w:rFonts w:hint="eastAsia" w:ascii="宋体" w:hAnsi="宋体" w:cs="宋体"/>
          <w:b/>
          <w:sz w:val="20"/>
        </w:rPr>
        <w:t>价款的支付方式</w:t>
      </w:r>
    </w:p>
    <w:p>
      <w:pPr>
        <w:ind w:firstLine="400" w:firstLineChars="200"/>
        <w:rPr>
          <w:rFonts w:ascii="宋体" w:hAnsi="宋体" w:cs="宋体"/>
          <w:bCs/>
          <w:sz w:val="20"/>
        </w:rPr>
      </w:pPr>
      <w:r>
        <w:rPr>
          <w:rFonts w:hint="eastAsia" w:ascii="宋体" w:hAnsi="宋体" w:cs="宋体"/>
          <w:bCs/>
          <w:sz w:val="20"/>
        </w:rPr>
        <w:t>11.1 除另有规定者外，本合同价款将由</w:t>
      </w:r>
      <w:r>
        <w:rPr>
          <w:rFonts w:hint="eastAsia" w:ascii="宋体" w:hAnsi="宋体" w:cs="宋体"/>
          <w:bCs/>
          <w:sz w:val="20"/>
          <w:lang w:eastAsia="zh-CN"/>
        </w:rPr>
        <w:t>采购单位</w:t>
      </w:r>
      <w:r>
        <w:rPr>
          <w:rFonts w:hint="eastAsia" w:ascii="宋体" w:hAnsi="宋体" w:cs="宋体"/>
          <w:bCs/>
          <w:sz w:val="20"/>
        </w:rPr>
        <w:t>直接向卖方支付。</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技术</w:t>
      </w:r>
      <w:r>
        <w:rPr>
          <w:rFonts w:hint="eastAsia" w:ascii="宋体" w:hAnsi="宋体" w:cs="宋体"/>
          <w:b/>
          <w:sz w:val="20"/>
        </w:rPr>
        <w:t>资料</w:t>
      </w:r>
    </w:p>
    <w:p>
      <w:pPr>
        <w:ind w:firstLine="400" w:firstLineChars="200"/>
        <w:rPr>
          <w:rFonts w:ascii="宋体" w:hAnsi="宋体" w:cs="宋体"/>
          <w:bCs/>
          <w:sz w:val="20"/>
        </w:rPr>
      </w:pPr>
      <w:r>
        <w:rPr>
          <w:rFonts w:hint="eastAsia" w:ascii="宋体" w:hAnsi="宋体" w:cs="宋体"/>
          <w:bCs/>
          <w:sz w:val="20"/>
        </w:rPr>
        <w:t>12.1</w:t>
      </w:r>
      <w:r>
        <w:rPr>
          <w:rFonts w:hint="eastAsia" w:ascii="宋体" w:hAnsi="宋体" w:cs="宋体"/>
          <w:bCs/>
          <w:sz w:val="20"/>
          <w:lang w:val="en-US" w:eastAsia="zh-CN"/>
        </w:rPr>
        <w:t xml:space="preserve"> </w:t>
      </w:r>
      <w:r>
        <w:rPr>
          <w:rFonts w:hint="eastAsia" w:ascii="宋体" w:hAnsi="宋体" w:cs="宋体"/>
          <w:bCs/>
          <w:sz w:val="20"/>
        </w:rPr>
        <w:t>除招标文件的技术规范书中另有规定的外，卖方应准备与合同设备或仪器相符的中文技术资料，并于合同生效后15天内寄送到买方，如样本、图纸、操作手册、使用说明、维修指南或服务手册等。如本条款所述资料寄送不完整或丢失，卖方应在收到买方通知后立即免费另寄。</w:t>
      </w:r>
    </w:p>
    <w:p>
      <w:pPr>
        <w:ind w:firstLine="400" w:firstLineChars="200"/>
        <w:rPr>
          <w:rFonts w:ascii="宋体" w:hAnsi="宋体" w:cs="宋体"/>
          <w:bCs/>
          <w:sz w:val="20"/>
        </w:rPr>
      </w:pPr>
      <w:r>
        <w:rPr>
          <w:rFonts w:hint="eastAsia" w:ascii="宋体" w:hAnsi="宋体" w:cs="宋体"/>
          <w:bCs/>
          <w:sz w:val="20"/>
        </w:rPr>
        <w:t>12.2</w:t>
      </w:r>
      <w:r>
        <w:rPr>
          <w:rFonts w:hint="eastAsia" w:ascii="宋体" w:hAnsi="宋体" w:cs="宋体"/>
          <w:bCs/>
          <w:sz w:val="20"/>
          <w:lang w:val="en-US" w:eastAsia="zh-CN"/>
        </w:rPr>
        <w:t xml:space="preserve"> </w:t>
      </w:r>
      <w:r>
        <w:rPr>
          <w:rFonts w:hint="eastAsia" w:ascii="宋体" w:hAnsi="宋体" w:cs="宋体"/>
          <w:bCs/>
          <w:sz w:val="20"/>
        </w:rPr>
        <w:t>上述一套完整的资料应包装好随每批货物一起发运。</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价格</w:t>
      </w:r>
    </w:p>
    <w:p>
      <w:pPr>
        <w:ind w:firstLine="400" w:firstLineChars="200"/>
        <w:rPr>
          <w:rFonts w:ascii="宋体" w:hAnsi="宋体" w:cs="宋体"/>
          <w:bCs/>
          <w:spacing w:val="-6"/>
          <w:sz w:val="20"/>
        </w:rPr>
      </w:pPr>
      <w:r>
        <w:rPr>
          <w:rFonts w:hint="eastAsia" w:ascii="宋体" w:hAnsi="宋体" w:cs="宋体"/>
          <w:bCs/>
          <w:sz w:val="20"/>
        </w:rPr>
        <w:t>13.1</w:t>
      </w:r>
      <w:r>
        <w:rPr>
          <w:rFonts w:hint="eastAsia" w:ascii="宋体" w:hAnsi="宋体" w:cs="宋体"/>
          <w:bCs/>
          <w:sz w:val="20"/>
          <w:lang w:val="en-US" w:eastAsia="zh-CN"/>
        </w:rPr>
        <w:t xml:space="preserve"> </w:t>
      </w:r>
      <w:r>
        <w:rPr>
          <w:rFonts w:hint="eastAsia" w:ascii="宋体" w:hAnsi="宋体" w:cs="宋体"/>
          <w:bCs/>
          <w:spacing w:val="-6"/>
          <w:sz w:val="20"/>
        </w:rPr>
        <w:t>除合同中另有规定者外，卖方为其所供货物和服务而要求买方支付的金额应与其投标报价一致。</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质量</w:t>
      </w:r>
      <w:r>
        <w:rPr>
          <w:rFonts w:hint="eastAsia" w:ascii="宋体" w:hAnsi="宋体" w:cs="宋体"/>
          <w:b/>
          <w:sz w:val="20"/>
        </w:rPr>
        <w:t>保证</w:t>
      </w:r>
    </w:p>
    <w:p>
      <w:pPr>
        <w:ind w:firstLine="400" w:firstLineChars="200"/>
        <w:rPr>
          <w:rFonts w:ascii="宋体" w:hAnsi="宋体" w:cs="宋体"/>
          <w:bCs/>
          <w:sz w:val="20"/>
        </w:rPr>
      </w:pPr>
      <w:r>
        <w:rPr>
          <w:rFonts w:hint="eastAsia" w:ascii="宋体" w:hAnsi="宋体" w:cs="宋体"/>
          <w:bCs/>
          <w:sz w:val="20"/>
        </w:rPr>
        <w:t>14.1</w:t>
      </w:r>
      <w:r>
        <w:rPr>
          <w:rFonts w:hint="eastAsia" w:ascii="宋体" w:hAnsi="宋体" w:cs="宋体"/>
          <w:bCs/>
          <w:sz w:val="20"/>
          <w:lang w:val="en-US" w:eastAsia="zh-CN"/>
        </w:rPr>
        <w:t xml:space="preserve"> </w:t>
      </w:r>
      <w:r>
        <w:rPr>
          <w:rFonts w:hint="eastAsia" w:ascii="宋体" w:hAnsi="宋体" w:cs="宋体"/>
          <w:bCs/>
          <w:sz w:val="20"/>
        </w:rPr>
        <w:t>卖方应保证其提供的货物是全新的、未使用过的，采用的是最佳材料和一流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者外，出现上述情况，卖方应在收到买方通知后30天内，免费负责修理或更换有缺陷的零部件或整机。对造成的损失买方保留索赔的权利。</w:t>
      </w:r>
    </w:p>
    <w:p>
      <w:pPr>
        <w:ind w:firstLine="400" w:firstLineChars="200"/>
        <w:rPr>
          <w:rFonts w:ascii="宋体" w:hAnsi="宋体" w:cs="宋体"/>
          <w:bCs/>
          <w:sz w:val="20"/>
        </w:rPr>
      </w:pPr>
      <w:r>
        <w:rPr>
          <w:rFonts w:hint="eastAsia" w:ascii="宋体" w:hAnsi="宋体" w:cs="宋体"/>
          <w:bCs/>
          <w:sz w:val="20"/>
        </w:rPr>
        <w:t>14.2 除合同中另有规定者外，合同项下货物的质量保证期为货物正式验收合格后12个月。</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检验</w:t>
      </w:r>
    </w:p>
    <w:p>
      <w:pPr>
        <w:ind w:firstLine="400" w:firstLineChars="200"/>
        <w:rPr>
          <w:rFonts w:ascii="宋体" w:hAnsi="宋体" w:cs="宋体"/>
          <w:bCs/>
          <w:spacing w:val="-6"/>
          <w:sz w:val="20"/>
        </w:rPr>
      </w:pPr>
      <w:r>
        <w:rPr>
          <w:rFonts w:hint="eastAsia" w:ascii="宋体" w:hAnsi="宋体" w:cs="宋体"/>
          <w:bCs/>
          <w:sz w:val="20"/>
        </w:rPr>
        <w:t>15.1 卖方应在发货之前，对货物的有关内在和外观质量、规格、性能、数量和重量进行准确和全面的检验，并出具其货物符合合同规定的质量证书。该证书将作为提交付款单据的组成部分，但不应视为是对质</w:t>
      </w:r>
      <w:r>
        <w:rPr>
          <w:rFonts w:hint="eastAsia" w:ascii="宋体" w:hAnsi="宋体" w:cs="宋体"/>
          <w:bCs/>
          <w:spacing w:val="-6"/>
          <w:sz w:val="20"/>
        </w:rPr>
        <w:t>量、规格、性能、数量或重量的最终定论。质量证书应附有写明制造商检验的细节和结果的说明。</w:t>
      </w:r>
    </w:p>
    <w:p>
      <w:pPr>
        <w:ind w:firstLine="400" w:firstLineChars="200"/>
        <w:rPr>
          <w:rFonts w:ascii="宋体" w:hAnsi="宋体" w:cs="宋体"/>
          <w:bCs/>
          <w:sz w:val="20"/>
        </w:rPr>
      </w:pPr>
      <w:r>
        <w:rPr>
          <w:rFonts w:hint="eastAsia" w:ascii="宋体" w:hAnsi="宋体" w:cs="宋体"/>
          <w:bCs/>
          <w:sz w:val="20"/>
        </w:rPr>
        <w:t>15.2 在合同规定的质量保证期内，如果发现货物的质量或规格与合同规定不符，或证明货物有缺陷，包括潜在的缺陷或使用不合适的原材料等，买方应申请质检部门进行检验，并有权根据检验证书及质量保证条款立即向卖方提出索赔。</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索赔</w:t>
      </w:r>
    </w:p>
    <w:p>
      <w:pPr>
        <w:ind w:firstLine="400" w:firstLineChars="200"/>
        <w:rPr>
          <w:rFonts w:ascii="宋体" w:hAnsi="宋体" w:cs="宋体"/>
          <w:bCs/>
          <w:sz w:val="20"/>
        </w:rPr>
      </w:pPr>
      <w:r>
        <w:rPr>
          <w:rFonts w:hint="eastAsia" w:ascii="宋体" w:hAnsi="宋体" w:cs="宋体"/>
          <w:bCs/>
          <w:sz w:val="20"/>
        </w:rPr>
        <w:t>16.1 卖方对所供货物与合同约定相一致负完全责任。在买方已于规定的检验、安装、调试和验收测试期限内和质量保证期内提出索赔时，卖方应按买方同意的下述一种或多种方法解决索赔事宜。</w:t>
      </w:r>
    </w:p>
    <w:p>
      <w:pPr>
        <w:ind w:firstLine="400" w:firstLineChars="200"/>
        <w:rPr>
          <w:rFonts w:ascii="宋体" w:hAnsi="宋体" w:cs="宋体"/>
          <w:bCs/>
          <w:sz w:val="20"/>
        </w:rPr>
      </w:pPr>
      <w:r>
        <w:rPr>
          <w:rFonts w:hint="eastAsia" w:ascii="宋体" w:hAnsi="宋体" w:cs="宋体"/>
          <w:bCs/>
          <w:sz w:val="20"/>
        </w:rPr>
        <w:t>(1) 卖方同意买方拒收货物并把被拒收货物的金额以合同规定的同类货币还付给买方，卖方负担发生的一切损失和费用，包括利息、银行费用、运输和保险费、检验费、仓储和装卸费以及为保管和保护被拒绝货物所需的其它必要费用。</w:t>
      </w:r>
    </w:p>
    <w:p>
      <w:pPr>
        <w:ind w:firstLine="400" w:firstLineChars="200"/>
        <w:rPr>
          <w:rFonts w:ascii="宋体" w:hAnsi="宋体" w:cs="宋体"/>
          <w:bCs/>
          <w:sz w:val="20"/>
        </w:rPr>
      </w:pPr>
      <w:r>
        <w:rPr>
          <w:rFonts w:hint="eastAsia" w:ascii="宋体" w:hAnsi="宋体" w:cs="宋体"/>
          <w:bCs/>
          <w:sz w:val="20"/>
        </w:rPr>
        <w:t>(2) 根据货物的疵劣和受损程度以及买方遭受损失的金额，经双方同意降低货价。</w:t>
      </w:r>
    </w:p>
    <w:p>
      <w:pPr>
        <w:ind w:firstLine="400" w:firstLineChars="200"/>
        <w:rPr>
          <w:rFonts w:ascii="宋体" w:hAnsi="宋体" w:cs="宋体"/>
          <w:bCs/>
          <w:sz w:val="20"/>
        </w:rPr>
      </w:pPr>
      <w:r>
        <w:rPr>
          <w:rFonts w:hint="eastAsia" w:ascii="宋体" w:hAnsi="宋体" w:cs="宋体"/>
          <w:bCs/>
          <w:sz w:val="20"/>
        </w:rPr>
        <w:t>(3) 更换有缺陷的零件、部件和设备，或修理缺陷部分，以达到合同规定的规格、质量和性能，卖方承担一切费用和风险并负担买方遭受的一切直接费用。同时卖方应相应延长被更换货物的质量保证期。</w:t>
      </w:r>
    </w:p>
    <w:p>
      <w:pPr>
        <w:ind w:firstLine="400" w:firstLineChars="200"/>
        <w:rPr>
          <w:rFonts w:ascii="宋体" w:hAnsi="宋体" w:cs="宋体"/>
          <w:bCs/>
          <w:sz w:val="20"/>
        </w:rPr>
      </w:pPr>
      <w:r>
        <w:rPr>
          <w:rFonts w:hint="eastAsia" w:ascii="宋体" w:hAnsi="宋体" w:cs="宋体"/>
          <w:bCs/>
          <w:sz w:val="20"/>
        </w:rPr>
        <w:t>16.2</w:t>
      </w:r>
      <w:r>
        <w:rPr>
          <w:rFonts w:hint="eastAsia" w:ascii="宋体" w:hAnsi="宋体" w:cs="宋体"/>
          <w:bCs/>
          <w:sz w:val="20"/>
          <w:lang w:val="en-US" w:eastAsia="zh-CN"/>
        </w:rPr>
        <w:t xml:space="preserve"> </w:t>
      </w:r>
      <w:r>
        <w:rPr>
          <w:rFonts w:hint="eastAsia" w:ascii="宋体" w:hAnsi="宋体" w:cs="宋体"/>
          <w:bCs/>
          <w:sz w:val="20"/>
        </w:rPr>
        <w:t>如果买方提出索赔通知后30天内卖方未能予以答复，该索赔应视为已被卖方接受。若卖方未能在买方提出索赔通知的30天内或买方同意的更长时间内，按买方同意的上述任何一种方式处理索赔事宜，买方将从未付款或卖方提供的履约保证金中扣回索赔金额，同时保留进一步要求赔偿的权利。</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延期交货与核定损失额</w:t>
      </w:r>
    </w:p>
    <w:p>
      <w:pPr>
        <w:ind w:firstLine="400" w:firstLineChars="200"/>
        <w:rPr>
          <w:rFonts w:ascii="宋体" w:hAnsi="宋体" w:cs="宋体"/>
          <w:bCs/>
          <w:sz w:val="20"/>
        </w:rPr>
      </w:pPr>
      <w:r>
        <w:rPr>
          <w:rFonts w:hint="eastAsia" w:ascii="宋体" w:hAnsi="宋体" w:cs="宋体"/>
          <w:bCs/>
          <w:sz w:val="20"/>
        </w:rPr>
        <w:t>17.1</w:t>
      </w:r>
      <w:r>
        <w:rPr>
          <w:rFonts w:hint="eastAsia" w:ascii="宋体" w:hAnsi="宋体" w:cs="宋体"/>
          <w:bCs/>
          <w:sz w:val="20"/>
          <w:lang w:val="en-US" w:eastAsia="zh-CN"/>
        </w:rPr>
        <w:t xml:space="preserve"> </w:t>
      </w:r>
      <w:r>
        <w:rPr>
          <w:rFonts w:hint="eastAsia" w:ascii="宋体" w:hAnsi="宋体" w:cs="宋体"/>
          <w:bCs/>
          <w:sz w:val="20"/>
        </w:rPr>
        <w:t>如果卖方未能按合同规定的时间按期交货(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不可抗力</w:t>
      </w:r>
    </w:p>
    <w:p>
      <w:pPr>
        <w:ind w:firstLine="400" w:firstLineChars="200"/>
        <w:rPr>
          <w:rFonts w:ascii="宋体" w:hAnsi="宋体" w:cs="宋体"/>
          <w:bCs/>
          <w:sz w:val="20"/>
        </w:rPr>
      </w:pPr>
      <w:r>
        <w:rPr>
          <w:rFonts w:hint="eastAsia" w:ascii="宋体" w:hAnsi="宋体" w:cs="宋体"/>
          <w:bCs/>
          <w:sz w:val="20"/>
        </w:rPr>
        <w:t>18.1</w:t>
      </w:r>
      <w:r>
        <w:rPr>
          <w:rFonts w:hint="eastAsia" w:ascii="宋体" w:hAnsi="宋体" w:cs="宋体"/>
          <w:bCs/>
          <w:sz w:val="20"/>
          <w:lang w:val="en-US" w:eastAsia="zh-CN"/>
        </w:rPr>
        <w:t xml:space="preserve"> </w:t>
      </w:r>
      <w:r>
        <w:rPr>
          <w:rFonts w:hint="eastAsia" w:ascii="宋体" w:hAnsi="宋体" w:cs="宋体"/>
          <w:bCs/>
          <w:sz w:val="20"/>
        </w:rPr>
        <w:t>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ind w:firstLine="400" w:firstLineChars="200"/>
        <w:rPr>
          <w:rFonts w:ascii="宋体" w:hAnsi="宋体" w:cs="宋体"/>
          <w:bCs/>
          <w:sz w:val="20"/>
        </w:rPr>
      </w:pPr>
      <w:r>
        <w:rPr>
          <w:rFonts w:hint="eastAsia" w:ascii="宋体" w:hAnsi="宋体" w:cs="宋体"/>
          <w:bCs/>
          <w:sz w:val="20"/>
        </w:rPr>
        <w:t>18.2 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仲裁</w:t>
      </w:r>
    </w:p>
    <w:p>
      <w:pPr>
        <w:ind w:firstLine="400" w:firstLineChars="200"/>
        <w:rPr>
          <w:rFonts w:ascii="宋体" w:hAnsi="宋体" w:cs="宋体"/>
          <w:bCs/>
          <w:sz w:val="20"/>
        </w:rPr>
      </w:pPr>
      <w:r>
        <w:rPr>
          <w:rFonts w:hint="eastAsia" w:ascii="宋体" w:hAnsi="宋体" w:cs="宋体"/>
          <w:bCs/>
          <w:sz w:val="20"/>
        </w:rPr>
        <w:t>19.1</w:t>
      </w:r>
      <w:r>
        <w:rPr>
          <w:rFonts w:hint="eastAsia" w:ascii="宋体" w:hAnsi="宋体" w:cs="宋体"/>
          <w:bCs/>
          <w:sz w:val="20"/>
          <w:lang w:val="en-US" w:eastAsia="zh-CN"/>
        </w:rPr>
        <w:t xml:space="preserve"> </w:t>
      </w:r>
      <w:r>
        <w:rPr>
          <w:rFonts w:hint="eastAsia" w:ascii="宋体" w:hAnsi="宋体" w:cs="宋体"/>
          <w:bCs/>
          <w:sz w:val="20"/>
        </w:rPr>
        <w:t>在执行本合同中发生的或与本合同有关的争端，双方应通过友好协商解决，经协商在30天内不能达成协议时，应提交仲裁。</w:t>
      </w:r>
    </w:p>
    <w:p>
      <w:pPr>
        <w:ind w:firstLine="400" w:firstLineChars="200"/>
        <w:rPr>
          <w:rFonts w:ascii="宋体" w:hAnsi="宋体" w:cs="宋体"/>
          <w:bCs/>
          <w:sz w:val="20"/>
        </w:rPr>
      </w:pPr>
      <w:r>
        <w:rPr>
          <w:rFonts w:hint="eastAsia" w:ascii="宋体" w:hAnsi="宋体" w:cs="宋体"/>
          <w:bCs/>
          <w:sz w:val="20"/>
        </w:rPr>
        <w:t>19.2</w:t>
      </w:r>
      <w:r>
        <w:rPr>
          <w:rFonts w:hint="eastAsia" w:ascii="宋体" w:hAnsi="宋体" w:cs="宋体"/>
          <w:bCs/>
          <w:sz w:val="20"/>
          <w:lang w:val="en-US" w:eastAsia="zh-CN"/>
        </w:rPr>
        <w:t xml:space="preserve"> </w:t>
      </w:r>
      <w:r>
        <w:rPr>
          <w:rFonts w:hint="eastAsia" w:ascii="宋体" w:hAnsi="宋体" w:cs="宋体"/>
          <w:bCs/>
          <w:sz w:val="20"/>
        </w:rPr>
        <w:t>仲裁应由买方所在地仲裁机构，根据其仲裁程序和规则进行。</w:t>
      </w:r>
    </w:p>
    <w:p>
      <w:pPr>
        <w:ind w:firstLine="400" w:firstLineChars="200"/>
        <w:rPr>
          <w:rFonts w:ascii="宋体" w:hAnsi="宋体" w:cs="宋体"/>
          <w:bCs/>
          <w:sz w:val="20"/>
        </w:rPr>
      </w:pPr>
      <w:r>
        <w:rPr>
          <w:rFonts w:hint="eastAsia" w:ascii="宋体" w:hAnsi="宋体" w:cs="宋体"/>
          <w:bCs/>
          <w:sz w:val="20"/>
        </w:rPr>
        <w:t>19.3</w:t>
      </w:r>
      <w:r>
        <w:rPr>
          <w:rFonts w:hint="eastAsia" w:ascii="宋体" w:hAnsi="宋体" w:cs="宋体"/>
          <w:bCs/>
          <w:sz w:val="20"/>
          <w:lang w:val="en-US" w:eastAsia="zh-CN"/>
        </w:rPr>
        <w:t xml:space="preserve"> </w:t>
      </w:r>
      <w:r>
        <w:rPr>
          <w:rFonts w:hint="eastAsia" w:ascii="宋体" w:hAnsi="宋体" w:cs="宋体"/>
          <w:bCs/>
          <w:sz w:val="20"/>
        </w:rPr>
        <w:t>仲裁裁决为最终决定，并对双方具有约束力。</w:t>
      </w:r>
    </w:p>
    <w:p>
      <w:pPr>
        <w:ind w:firstLine="400" w:firstLineChars="200"/>
        <w:rPr>
          <w:rFonts w:ascii="宋体" w:hAnsi="宋体" w:cs="宋体"/>
          <w:bCs/>
          <w:sz w:val="20"/>
        </w:rPr>
      </w:pPr>
      <w:r>
        <w:rPr>
          <w:rFonts w:hint="eastAsia" w:ascii="宋体" w:hAnsi="宋体" w:cs="宋体"/>
          <w:bCs/>
          <w:sz w:val="20"/>
        </w:rPr>
        <w:t>19.4</w:t>
      </w:r>
      <w:r>
        <w:rPr>
          <w:rFonts w:hint="eastAsia" w:ascii="宋体" w:hAnsi="宋体" w:cs="宋体"/>
          <w:bCs/>
          <w:sz w:val="20"/>
          <w:lang w:val="en-US" w:eastAsia="zh-CN"/>
        </w:rPr>
        <w:t xml:space="preserve"> </w:t>
      </w:r>
      <w:r>
        <w:rPr>
          <w:rFonts w:hint="eastAsia" w:ascii="宋体" w:hAnsi="宋体" w:cs="宋体"/>
          <w:bCs/>
          <w:sz w:val="20"/>
        </w:rPr>
        <w:t>除另有裁决外，仲裁费应由败诉方负担。</w:t>
      </w:r>
    </w:p>
    <w:p>
      <w:pPr>
        <w:ind w:firstLine="400" w:firstLineChars="200"/>
        <w:rPr>
          <w:rFonts w:ascii="宋体" w:hAnsi="宋体" w:cs="宋体"/>
          <w:bCs/>
          <w:sz w:val="20"/>
        </w:rPr>
      </w:pPr>
      <w:r>
        <w:rPr>
          <w:rFonts w:hint="eastAsia" w:ascii="宋体" w:hAnsi="宋体" w:cs="宋体"/>
          <w:bCs/>
          <w:sz w:val="20"/>
        </w:rPr>
        <w:t>19.5</w:t>
      </w:r>
      <w:r>
        <w:rPr>
          <w:rFonts w:hint="eastAsia" w:ascii="宋体" w:hAnsi="宋体" w:cs="宋体"/>
          <w:bCs/>
          <w:sz w:val="20"/>
          <w:lang w:val="en-US" w:eastAsia="zh-CN"/>
        </w:rPr>
        <w:t xml:space="preserve"> </w:t>
      </w:r>
      <w:r>
        <w:rPr>
          <w:rFonts w:hint="eastAsia" w:ascii="宋体" w:hAnsi="宋体" w:cs="宋体"/>
          <w:bCs/>
          <w:sz w:val="20"/>
        </w:rPr>
        <w:t>在仲裁期间，除正在进行的仲裁部分外，合同其它部分继续执行。</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违约</w:t>
      </w:r>
      <w:r>
        <w:rPr>
          <w:rFonts w:hint="eastAsia" w:ascii="宋体" w:hAnsi="宋体" w:cs="宋体"/>
          <w:b/>
          <w:sz w:val="20"/>
          <w:szCs w:val="22"/>
        </w:rPr>
        <w:t>终止</w:t>
      </w:r>
      <w:r>
        <w:rPr>
          <w:rFonts w:hint="eastAsia" w:ascii="宋体" w:hAnsi="宋体" w:cs="宋体"/>
          <w:b/>
          <w:sz w:val="20"/>
        </w:rPr>
        <w:t>合同</w:t>
      </w:r>
    </w:p>
    <w:p>
      <w:pPr>
        <w:ind w:firstLine="400" w:firstLineChars="200"/>
        <w:rPr>
          <w:rFonts w:ascii="宋体" w:hAnsi="宋体" w:cs="宋体"/>
          <w:bCs/>
          <w:sz w:val="20"/>
        </w:rPr>
      </w:pPr>
      <w:r>
        <w:rPr>
          <w:rFonts w:hint="eastAsia" w:ascii="宋体" w:hAnsi="宋体" w:cs="宋体"/>
          <w:bCs/>
          <w:sz w:val="20"/>
        </w:rPr>
        <w:t>20.1</w:t>
      </w:r>
      <w:r>
        <w:rPr>
          <w:rFonts w:hint="eastAsia" w:ascii="宋体" w:hAnsi="宋体" w:cs="宋体"/>
          <w:bCs/>
          <w:sz w:val="20"/>
          <w:lang w:val="en-US" w:eastAsia="zh-CN"/>
        </w:rPr>
        <w:t xml:space="preserve"> </w:t>
      </w:r>
      <w:r>
        <w:rPr>
          <w:rFonts w:hint="eastAsia" w:ascii="宋体" w:hAnsi="宋体" w:cs="宋体"/>
          <w:bCs/>
          <w:sz w:val="20"/>
        </w:rPr>
        <w:t>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pPr>
        <w:ind w:firstLine="400" w:firstLineChars="200"/>
        <w:rPr>
          <w:rFonts w:ascii="宋体" w:hAnsi="宋体" w:cs="宋体"/>
          <w:bCs/>
          <w:sz w:val="20"/>
        </w:rPr>
      </w:pPr>
      <w:r>
        <w:rPr>
          <w:rFonts w:hint="eastAsia" w:ascii="宋体" w:hAnsi="宋体" w:cs="宋体"/>
          <w:bCs/>
          <w:sz w:val="20"/>
        </w:rPr>
        <w:t>(1)如果卖方未能在合同规定的期限内或买方准许的任何延期内交付部分或全部货物。</w:t>
      </w:r>
    </w:p>
    <w:p>
      <w:pPr>
        <w:ind w:firstLine="400" w:firstLineChars="200"/>
        <w:rPr>
          <w:rFonts w:ascii="宋体" w:hAnsi="宋体" w:cs="宋体"/>
          <w:bCs/>
          <w:sz w:val="20"/>
        </w:rPr>
      </w:pPr>
      <w:r>
        <w:rPr>
          <w:rFonts w:hint="eastAsia" w:ascii="宋体" w:hAnsi="宋体" w:cs="宋体"/>
          <w:bCs/>
          <w:sz w:val="20"/>
        </w:rPr>
        <w:t>(2)卖方未能履行合同项下的其它义务。</w:t>
      </w:r>
    </w:p>
    <w:p>
      <w:pPr>
        <w:ind w:firstLine="400" w:firstLineChars="200"/>
        <w:rPr>
          <w:rFonts w:ascii="宋体" w:hAnsi="宋体" w:cs="宋体"/>
          <w:bCs/>
          <w:sz w:val="20"/>
        </w:rPr>
      </w:pPr>
      <w:r>
        <w:rPr>
          <w:rFonts w:hint="eastAsia" w:ascii="宋体" w:hAnsi="宋体" w:cs="宋体"/>
          <w:bCs/>
          <w:sz w:val="20"/>
        </w:rPr>
        <w:t>20.2 一旦买方根据第21.1款终止部分或全部合同，买方可以按其认为适当的条件和方式采购类似未交付部分的货物。卖方应承担买方购买类似货物的额外费用。但是，卖方应继续履行合同中未终止的部分。</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变更</w:t>
      </w:r>
      <w:r>
        <w:rPr>
          <w:rFonts w:hint="eastAsia" w:ascii="宋体" w:hAnsi="宋体" w:cs="宋体"/>
          <w:b/>
          <w:sz w:val="20"/>
          <w:szCs w:val="22"/>
        </w:rPr>
        <w:t>指示</w:t>
      </w:r>
    </w:p>
    <w:p>
      <w:pPr>
        <w:ind w:firstLine="400" w:firstLineChars="200"/>
        <w:rPr>
          <w:rFonts w:ascii="宋体" w:hAnsi="宋体" w:cs="宋体"/>
          <w:bCs/>
          <w:sz w:val="20"/>
        </w:rPr>
      </w:pPr>
      <w:r>
        <w:rPr>
          <w:rFonts w:hint="eastAsia" w:ascii="宋体" w:hAnsi="宋体" w:cs="宋体"/>
          <w:bCs/>
          <w:sz w:val="20"/>
        </w:rPr>
        <w:t>21.1</w:t>
      </w:r>
      <w:r>
        <w:rPr>
          <w:rFonts w:hint="eastAsia" w:ascii="宋体" w:hAnsi="宋体" w:cs="宋体"/>
          <w:bCs/>
          <w:sz w:val="20"/>
          <w:lang w:val="en-US" w:eastAsia="zh-CN"/>
        </w:rPr>
        <w:t xml:space="preserve"> </w:t>
      </w:r>
      <w:r>
        <w:rPr>
          <w:rFonts w:hint="eastAsia" w:ascii="宋体" w:hAnsi="宋体" w:cs="宋体"/>
          <w:bCs/>
          <w:sz w:val="20"/>
        </w:rPr>
        <w:t>买方可以随时向卖方发出书面指示，在合同总体范围内对如下一点或几点提出变更：</w:t>
      </w:r>
    </w:p>
    <w:p>
      <w:pPr>
        <w:ind w:firstLine="400" w:firstLineChars="200"/>
        <w:rPr>
          <w:rFonts w:ascii="宋体" w:hAnsi="宋体" w:cs="宋体"/>
          <w:bCs/>
          <w:sz w:val="20"/>
        </w:rPr>
      </w:pPr>
      <w:r>
        <w:rPr>
          <w:rFonts w:hint="eastAsia" w:ascii="宋体" w:hAnsi="宋体" w:cs="宋体"/>
          <w:bCs/>
          <w:sz w:val="20"/>
        </w:rPr>
        <w:t>(1)合同项下需为买方特殊制造货物的图纸、设计或规格；</w:t>
      </w:r>
    </w:p>
    <w:p>
      <w:pPr>
        <w:ind w:firstLine="400" w:firstLineChars="200"/>
        <w:rPr>
          <w:rFonts w:ascii="宋体" w:hAnsi="宋体" w:cs="宋体"/>
          <w:bCs/>
          <w:sz w:val="20"/>
        </w:rPr>
      </w:pPr>
      <w:r>
        <w:rPr>
          <w:rFonts w:hint="eastAsia" w:ascii="宋体" w:hAnsi="宋体" w:cs="宋体"/>
          <w:bCs/>
          <w:sz w:val="20"/>
        </w:rPr>
        <w:t>(2)装运方式和包装方式；</w:t>
      </w:r>
    </w:p>
    <w:p>
      <w:pPr>
        <w:ind w:firstLine="400" w:firstLineChars="200"/>
        <w:rPr>
          <w:rFonts w:ascii="宋体" w:hAnsi="宋体" w:cs="宋体"/>
          <w:bCs/>
          <w:sz w:val="20"/>
        </w:rPr>
      </w:pPr>
      <w:r>
        <w:rPr>
          <w:rFonts w:hint="eastAsia" w:ascii="宋体" w:hAnsi="宋体" w:cs="宋体"/>
          <w:bCs/>
          <w:sz w:val="20"/>
        </w:rPr>
        <w:t>(3)交货地点；</w:t>
      </w:r>
    </w:p>
    <w:p>
      <w:pPr>
        <w:ind w:firstLine="400" w:firstLineChars="200"/>
        <w:rPr>
          <w:rFonts w:ascii="宋体" w:hAnsi="宋体" w:cs="宋体"/>
          <w:bCs/>
          <w:sz w:val="20"/>
        </w:rPr>
      </w:pPr>
      <w:r>
        <w:rPr>
          <w:rFonts w:hint="eastAsia" w:ascii="宋体" w:hAnsi="宋体" w:cs="宋体"/>
          <w:bCs/>
          <w:sz w:val="20"/>
        </w:rPr>
        <w:t>(4)卖方须提供的服务。</w:t>
      </w:r>
    </w:p>
    <w:p>
      <w:pPr>
        <w:ind w:firstLine="400" w:firstLineChars="200"/>
        <w:rPr>
          <w:rFonts w:ascii="宋体" w:hAnsi="宋体" w:cs="宋体"/>
          <w:bCs/>
          <w:sz w:val="20"/>
        </w:rPr>
      </w:pPr>
      <w:r>
        <w:rPr>
          <w:rFonts w:hint="eastAsia" w:ascii="宋体" w:hAnsi="宋体" w:cs="宋体"/>
          <w:bCs/>
          <w:sz w:val="20"/>
        </w:rPr>
        <w:t>21.2</w:t>
      </w:r>
      <w:r>
        <w:rPr>
          <w:rFonts w:hint="eastAsia" w:ascii="宋体" w:hAnsi="宋体" w:cs="宋体"/>
          <w:bCs/>
          <w:sz w:val="20"/>
          <w:lang w:val="en-US" w:eastAsia="zh-CN"/>
        </w:rPr>
        <w:t xml:space="preserve"> </w:t>
      </w:r>
      <w:r>
        <w:rPr>
          <w:rFonts w:hint="eastAsia" w:ascii="宋体" w:hAnsi="宋体" w:cs="宋体"/>
          <w:bCs/>
          <w:sz w:val="20"/>
        </w:rPr>
        <w:t>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合同</w:t>
      </w:r>
      <w:r>
        <w:rPr>
          <w:rFonts w:hint="eastAsia" w:ascii="宋体" w:hAnsi="宋体" w:cs="宋体"/>
          <w:b/>
          <w:sz w:val="20"/>
        </w:rPr>
        <w:t>修改</w:t>
      </w:r>
    </w:p>
    <w:p>
      <w:pPr>
        <w:ind w:firstLine="400" w:firstLineChars="200"/>
        <w:rPr>
          <w:rFonts w:ascii="宋体" w:hAnsi="宋体" w:cs="宋体"/>
          <w:bCs/>
          <w:sz w:val="20"/>
        </w:rPr>
      </w:pPr>
      <w:r>
        <w:rPr>
          <w:rFonts w:hint="eastAsia" w:ascii="宋体" w:hAnsi="宋体" w:cs="宋体"/>
          <w:bCs/>
          <w:sz w:val="20"/>
        </w:rPr>
        <w:t>22.1</w:t>
      </w:r>
      <w:r>
        <w:rPr>
          <w:rFonts w:hint="eastAsia" w:ascii="宋体" w:hAnsi="宋体" w:cs="宋体"/>
          <w:bCs/>
          <w:sz w:val="20"/>
          <w:lang w:val="en-US" w:eastAsia="zh-CN"/>
        </w:rPr>
        <w:t xml:space="preserve"> </w:t>
      </w:r>
      <w:r>
        <w:rPr>
          <w:rFonts w:hint="eastAsia" w:ascii="宋体" w:hAnsi="宋体" w:cs="宋体"/>
          <w:bCs/>
          <w:sz w:val="20"/>
        </w:rPr>
        <w:t>欲对合同条款做出任何改动或偏离，均须由买卖双方签署书面的合同修改书。</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转让与分包</w:t>
      </w:r>
    </w:p>
    <w:p>
      <w:pPr>
        <w:ind w:firstLine="400" w:firstLineChars="200"/>
        <w:rPr>
          <w:rFonts w:ascii="宋体" w:hAnsi="宋体" w:cs="宋体"/>
          <w:bCs/>
          <w:sz w:val="20"/>
        </w:rPr>
      </w:pPr>
      <w:r>
        <w:rPr>
          <w:rFonts w:hint="eastAsia" w:ascii="宋体" w:hAnsi="宋体" w:cs="宋体"/>
          <w:bCs/>
          <w:sz w:val="20"/>
        </w:rPr>
        <w:t>23.1</w:t>
      </w:r>
      <w:r>
        <w:rPr>
          <w:rFonts w:hint="eastAsia" w:ascii="宋体" w:hAnsi="宋体" w:cs="宋体"/>
          <w:bCs/>
          <w:sz w:val="20"/>
          <w:lang w:val="en-US" w:eastAsia="zh-CN"/>
        </w:rPr>
        <w:t xml:space="preserve"> </w:t>
      </w:r>
      <w:r>
        <w:rPr>
          <w:rFonts w:hint="eastAsia" w:ascii="宋体" w:hAnsi="宋体" w:cs="宋体"/>
          <w:bCs/>
          <w:sz w:val="20"/>
        </w:rPr>
        <w:t>除买方事先同意外，卖方不得部分转让或全部转让其应履行的合同项下的义务。</w:t>
      </w:r>
    </w:p>
    <w:p>
      <w:pPr>
        <w:ind w:firstLine="400" w:firstLineChars="200"/>
        <w:rPr>
          <w:rFonts w:ascii="宋体" w:hAnsi="宋体" w:cs="宋体"/>
          <w:bCs/>
          <w:sz w:val="20"/>
        </w:rPr>
      </w:pPr>
      <w:r>
        <w:rPr>
          <w:rFonts w:hint="eastAsia" w:ascii="宋体" w:hAnsi="宋体" w:cs="宋体"/>
          <w:bCs/>
          <w:sz w:val="20"/>
        </w:rPr>
        <w:t>23.2</w:t>
      </w:r>
      <w:r>
        <w:rPr>
          <w:rFonts w:hint="eastAsia" w:ascii="宋体" w:hAnsi="宋体" w:cs="宋体"/>
          <w:bCs/>
          <w:sz w:val="20"/>
          <w:lang w:val="en-US" w:eastAsia="zh-CN"/>
        </w:rPr>
        <w:t xml:space="preserve"> </w:t>
      </w:r>
      <w:r>
        <w:rPr>
          <w:rFonts w:hint="eastAsia" w:ascii="宋体" w:hAnsi="宋体" w:cs="宋体"/>
          <w:bCs/>
          <w:sz w:val="20"/>
        </w:rPr>
        <w:t>卖方应书面通知买方本合同项下所授予的所有分包合同。但该通知不解除卖方承担的本合同项下的任何责任或义务。</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适用</w:t>
      </w:r>
      <w:r>
        <w:rPr>
          <w:rFonts w:hint="eastAsia" w:ascii="宋体" w:hAnsi="宋体" w:cs="宋体"/>
          <w:b/>
          <w:sz w:val="20"/>
        </w:rPr>
        <w:t>法律</w:t>
      </w:r>
    </w:p>
    <w:p>
      <w:pPr>
        <w:ind w:firstLine="400" w:firstLineChars="200"/>
        <w:rPr>
          <w:rFonts w:ascii="宋体" w:hAnsi="宋体" w:cs="宋体"/>
          <w:bCs/>
          <w:sz w:val="20"/>
        </w:rPr>
      </w:pPr>
      <w:r>
        <w:rPr>
          <w:rFonts w:hint="eastAsia" w:ascii="宋体" w:hAnsi="宋体" w:cs="宋体"/>
          <w:bCs/>
          <w:sz w:val="20"/>
        </w:rPr>
        <w:t>24.1</w:t>
      </w:r>
      <w:r>
        <w:rPr>
          <w:rFonts w:hint="eastAsia" w:ascii="宋体" w:hAnsi="宋体" w:cs="宋体"/>
          <w:bCs/>
          <w:sz w:val="20"/>
          <w:lang w:val="en-US" w:eastAsia="zh-CN"/>
        </w:rPr>
        <w:t xml:space="preserve"> </w:t>
      </w:r>
      <w:r>
        <w:rPr>
          <w:rFonts w:hint="eastAsia" w:ascii="宋体" w:hAnsi="宋体" w:cs="宋体"/>
          <w:bCs/>
          <w:sz w:val="20"/>
        </w:rPr>
        <w:t>本合同应按中华人民共和国的相关法律解释。</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通知</w:t>
      </w:r>
    </w:p>
    <w:p>
      <w:pPr>
        <w:ind w:firstLine="400" w:firstLineChars="200"/>
        <w:rPr>
          <w:rFonts w:ascii="宋体" w:hAnsi="宋体" w:cs="宋体"/>
          <w:bCs/>
          <w:sz w:val="20"/>
        </w:rPr>
      </w:pPr>
      <w:r>
        <w:rPr>
          <w:rFonts w:hint="eastAsia" w:ascii="宋体" w:hAnsi="宋体" w:cs="宋体"/>
          <w:bCs/>
          <w:sz w:val="20"/>
        </w:rPr>
        <w:t>25.1</w:t>
      </w:r>
      <w:r>
        <w:rPr>
          <w:rFonts w:hint="eastAsia" w:ascii="宋体" w:hAnsi="宋体" w:cs="宋体"/>
          <w:bCs/>
          <w:sz w:val="20"/>
          <w:lang w:val="en-US" w:eastAsia="zh-CN"/>
        </w:rPr>
        <w:t xml:space="preserve"> </w:t>
      </w:r>
      <w:r>
        <w:rPr>
          <w:rFonts w:hint="eastAsia" w:ascii="宋体" w:hAnsi="宋体" w:cs="宋体"/>
          <w:bCs/>
          <w:sz w:val="20"/>
        </w:rPr>
        <w:t>本合同任何一方给另一方的通知都应以书面或电传、电报、传真的形式发送，而另一方应以书面形式确认并发送到对方明确的地址。</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合同文件及资料的使用</w:t>
      </w:r>
    </w:p>
    <w:p>
      <w:pPr>
        <w:ind w:firstLine="400" w:firstLineChars="200"/>
        <w:rPr>
          <w:rFonts w:ascii="宋体" w:hAnsi="宋体" w:cs="宋体"/>
          <w:bCs/>
          <w:sz w:val="20"/>
        </w:rPr>
      </w:pPr>
      <w:r>
        <w:rPr>
          <w:rFonts w:hint="eastAsia" w:ascii="宋体" w:hAnsi="宋体" w:cs="宋体"/>
          <w:bCs/>
          <w:sz w:val="20"/>
        </w:rPr>
        <w:t>26.1</w:t>
      </w:r>
      <w:r>
        <w:rPr>
          <w:rFonts w:hint="eastAsia" w:ascii="宋体" w:hAnsi="宋体" w:cs="宋体"/>
          <w:bCs/>
          <w:sz w:val="20"/>
          <w:lang w:val="en-US" w:eastAsia="zh-CN"/>
        </w:rPr>
        <w:t xml:space="preserve"> </w:t>
      </w:r>
      <w:r>
        <w:rPr>
          <w:rFonts w:hint="eastAsia" w:ascii="宋体" w:hAnsi="宋体" w:cs="宋体"/>
          <w:bCs/>
          <w:sz w:val="20"/>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本合同必不可少的范围内。</w:t>
      </w:r>
    </w:p>
    <w:p>
      <w:pPr>
        <w:ind w:firstLine="400" w:firstLineChars="200"/>
        <w:rPr>
          <w:rFonts w:ascii="宋体" w:hAnsi="宋体" w:cs="宋体"/>
          <w:bCs/>
          <w:sz w:val="20"/>
        </w:rPr>
      </w:pPr>
      <w:r>
        <w:rPr>
          <w:rFonts w:hint="eastAsia" w:ascii="宋体" w:hAnsi="宋体" w:cs="宋体"/>
          <w:bCs/>
          <w:sz w:val="20"/>
        </w:rPr>
        <w:t>26.2</w:t>
      </w:r>
      <w:r>
        <w:rPr>
          <w:rFonts w:hint="eastAsia" w:ascii="宋体" w:hAnsi="宋体" w:cs="宋体"/>
          <w:bCs/>
          <w:sz w:val="20"/>
          <w:lang w:val="en-US" w:eastAsia="zh-CN"/>
        </w:rPr>
        <w:t xml:space="preserve"> </w:t>
      </w:r>
      <w:r>
        <w:rPr>
          <w:rFonts w:hint="eastAsia" w:ascii="宋体" w:hAnsi="宋体" w:cs="宋体"/>
          <w:bCs/>
          <w:sz w:val="20"/>
        </w:rPr>
        <w:t>除非执行合同需要，在事先末得到买方同意的情况下，卖方不得将与本合同有关的任何文件和资料给第三方使用。</w:t>
      </w:r>
    </w:p>
    <w:p>
      <w:pPr>
        <w:ind w:firstLine="400" w:firstLineChars="200"/>
        <w:rPr>
          <w:rFonts w:ascii="宋体" w:hAnsi="宋体" w:cs="宋体"/>
          <w:bCs/>
          <w:sz w:val="20"/>
        </w:rPr>
      </w:pPr>
      <w:r>
        <w:rPr>
          <w:rFonts w:hint="eastAsia" w:ascii="宋体" w:hAnsi="宋体" w:cs="宋体"/>
          <w:bCs/>
          <w:sz w:val="20"/>
        </w:rPr>
        <w:t>26.3</w:t>
      </w:r>
      <w:r>
        <w:rPr>
          <w:rFonts w:hint="eastAsia" w:ascii="宋体" w:hAnsi="宋体" w:cs="宋体"/>
          <w:bCs/>
          <w:sz w:val="20"/>
          <w:lang w:val="en-US" w:eastAsia="zh-CN"/>
        </w:rPr>
        <w:t xml:space="preserve"> </w:t>
      </w:r>
      <w:r>
        <w:rPr>
          <w:rFonts w:hint="eastAsia" w:ascii="宋体" w:hAnsi="宋体" w:cs="宋体"/>
          <w:bCs/>
          <w:sz w:val="20"/>
        </w:rPr>
        <w:t>除合同本身以外，若买方要求，卖方应于其合同义务履行完毕以后将这些资料(包括所有副本)退还买方。</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合同</w:t>
      </w:r>
      <w:r>
        <w:rPr>
          <w:rFonts w:hint="eastAsia" w:ascii="宋体" w:hAnsi="宋体" w:cs="宋体"/>
          <w:b/>
          <w:sz w:val="20"/>
          <w:szCs w:val="22"/>
        </w:rPr>
        <w:t>生效</w:t>
      </w:r>
      <w:r>
        <w:rPr>
          <w:rFonts w:hint="eastAsia" w:ascii="宋体" w:hAnsi="宋体" w:cs="宋体"/>
          <w:b/>
          <w:sz w:val="20"/>
        </w:rPr>
        <w:t>及其他</w:t>
      </w:r>
    </w:p>
    <w:p>
      <w:pPr>
        <w:ind w:firstLine="400" w:firstLineChars="200"/>
        <w:rPr>
          <w:rFonts w:ascii="宋体" w:hAnsi="宋体" w:cs="宋体"/>
          <w:bCs/>
          <w:sz w:val="20"/>
        </w:rPr>
      </w:pPr>
      <w:r>
        <w:rPr>
          <w:rFonts w:hint="eastAsia" w:ascii="宋体" w:hAnsi="宋体" w:cs="宋体"/>
          <w:bCs/>
          <w:sz w:val="20"/>
        </w:rPr>
        <w:t>27.1</w:t>
      </w:r>
      <w:r>
        <w:rPr>
          <w:rFonts w:hint="eastAsia" w:ascii="宋体" w:hAnsi="宋体" w:cs="宋体"/>
          <w:bCs/>
          <w:sz w:val="20"/>
          <w:lang w:val="en-US" w:eastAsia="zh-CN"/>
        </w:rPr>
        <w:t xml:space="preserve"> </w:t>
      </w:r>
      <w:r>
        <w:rPr>
          <w:rFonts w:hint="eastAsia" w:ascii="宋体" w:hAnsi="宋体" w:cs="宋体"/>
          <w:bCs/>
          <w:sz w:val="20"/>
        </w:rPr>
        <w:t>本合同应在买方（采购单位）和卖方签字后，招标方收到卖方的履约保证金并加盖鉴证章后生效。</w:t>
      </w:r>
    </w:p>
    <w:p>
      <w:pPr>
        <w:ind w:firstLine="400" w:firstLineChars="200"/>
        <w:rPr>
          <w:rFonts w:ascii="宋体" w:hAnsi="宋体" w:cs="宋体"/>
          <w:bCs/>
          <w:sz w:val="20"/>
        </w:rPr>
      </w:pPr>
      <w:r>
        <w:rPr>
          <w:rFonts w:hint="eastAsia" w:ascii="宋体" w:hAnsi="宋体" w:cs="宋体"/>
          <w:bCs/>
          <w:sz w:val="20"/>
        </w:rPr>
        <w:t>27.2</w:t>
      </w:r>
      <w:r>
        <w:rPr>
          <w:rFonts w:hint="eastAsia" w:ascii="宋体" w:hAnsi="宋体" w:cs="宋体"/>
          <w:bCs/>
          <w:sz w:val="20"/>
          <w:lang w:val="en-US" w:eastAsia="zh-CN"/>
        </w:rPr>
        <w:t xml:space="preserve"> </w:t>
      </w:r>
      <w:r>
        <w:rPr>
          <w:rFonts w:hint="eastAsia" w:ascii="宋体" w:hAnsi="宋体" w:cs="宋体"/>
          <w:bCs/>
          <w:sz w:val="20"/>
        </w:rPr>
        <w:t>卖方须按技术规格中的规定，向买方提供与合同项下货物有关的现场安装调试、技术服务、培训等其他相关服务。</w:t>
      </w:r>
    </w:p>
    <w:p>
      <w:pPr>
        <w:ind w:firstLine="400" w:firstLineChars="200"/>
        <w:rPr>
          <w:rFonts w:ascii="宋体" w:hAnsi="宋体" w:cs="宋体"/>
          <w:bCs/>
          <w:sz w:val="20"/>
        </w:rPr>
      </w:pPr>
      <w:r>
        <w:rPr>
          <w:rFonts w:hint="eastAsia" w:ascii="宋体" w:hAnsi="宋体" w:cs="宋体"/>
          <w:bCs/>
          <w:sz w:val="20"/>
        </w:rPr>
        <w:t>27.3 商务合同应包括买方最后确认的价格条款和付款方式。</w:t>
      </w:r>
    </w:p>
    <w:p>
      <w:pPr>
        <w:ind w:firstLine="400" w:firstLineChars="200"/>
        <w:rPr>
          <w:rFonts w:ascii="宋体" w:hAnsi="宋体" w:cs="宋体"/>
          <w:bCs/>
          <w:sz w:val="20"/>
        </w:rPr>
      </w:pPr>
      <w:r>
        <w:rPr>
          <w:rFonts w:hint="eastAsia" w:ascii="宋体" w:hAnsi="宋体" w:cs="宋体"/>
          <w:bCs/>
          <w:sz w:val="20"/>
        </w:rPr>
        <w:t>27.4</w:t>
      </w:r>
      <w:r>
        <w:rPr>
          <w:rFonts w:hint="eastAsia" w:ascii="宋体" w:hAnsi="宋体" w:cs="宋体"/>
          <w:bCs/>
          <w:sz w:val="20"/>
          <w:lang w:val="en-US" w:eastAsia="zh-CN"/>
        </w:rPr>
        <w:t xml:space="preserve"> </w:t>
      </w:r>
      <w:r>
        <w:rPr>
          <w:rFonts w:hint="eastAsia" w:ascii="宋体" w:hAnsi="宋体" w:cs="宋体"/>
          <w:bCs/>
          <w:sz w:val="20"/>
        </w:rPr>
        <w:t>下述文件将作为合同附件，为本合同不可分割的组成部分，并与本合具有同等效力；</w:t>
      </w:r>
    </w:p>
    <w:p>
      <w:pPr>
        <w:ind w:firstLine="400" w:firstLineChars="200"/>
        <w:rPr>
          <w:rFonts w:ascii="宋体" w:hAnsi="宋体" w:cs="宋体"/>
          <w:bCs/>
          <w:sz w:val="20"/>
        </w:rPr>
      </w:pPr>
      <w:r>
        <w:rPr>
          <w:rFonts w:hint="eastAsia" w:ascii="宋体" w:hAnsi="宋体" w:cs="宋体"/>
          <w:bCs/>
          <w:sz w:val="20"/>
        </w:rPr>
        <w:t>（1）招标文件</w:t>
      </w:r>
    </w:p>
    <w:p>
      <w:pPr>
        <w:ind w:firstLine="400" w:firstLineChars="200"/>
        <w:rPr>
          <w:rFonts w:ascii="宋体" w:hAnsi="宋体" w:cs="宋体"/>
          <w:bCs/>
          <w:sz w:val="20"/>
        </w:rPr>
      </w:pPr>
      <w:r>
        <w:rPr>
          <w:rFonts w:hint="eastAsia" w:ascii="宋体" w:hAnsi="宋体" w:cs="宋体"/>
          <w:bCs/>
          <w:sz w:val="20"/>
        </w:rPr>
        <w:t>（2）中标通知书</w:t>
      </w:r>
    </w:p>
    <w:p>
      <w:pPr>
        <w:ind w:firstLine="400" w:firstLineChars="200"/>
        <w:rPr>
          <w:rFonts w:ascii="宋体" w:hAnsi="宋体" w:cs="宋体"/>
          <w:bCs/>
          <w:sz w:val="20"/>
        </w:rPr>
      </w:pPr>
      <w:r>
        <w:rPr>
          <w:rFonts w:hint="eastAsia" w:ascii="宋体" w:hAnsi="宋体" w:cs="宋体"/>
          <w:bCs/>
          <w:sz w:val="20"/>
        </w:rPr>
        <w:t>（3）中标方的投标文件及询标过程中的书面答疑记录</w:t>
      </w:r>
    </w:p>
    <w:p>
      <w:pPr>
        <w:pStyle w:val="3"/>
        <w:jc w:val="center"/>
        <w:rPr>
          <w:rFonts w:ascii="宋体" w:hAnsi="宋体" w:cs="宋体"/>
          <w:sz w:val="20"/>
          <w:szCs w:val="20"/>
        </w:rPr>
      </w:pPr>
      <w:bookmarkStart w:id="43" w:name="_Toc28420"/>
      <w:r>
        <w:rPr>
          <w:rFonts w:hint="eastAsia" w:ascii="宋体" w:hAnsi="宋体" w:cs="宋体"/>
          <w:sz w:val="24"/>
          <w:szCs w:val="24"/>
        </w:rPr>
        <w:t>第二章</w:t>
      </w:r>
      <w:r>
        <w:rPr>
          <w:rFonts w:hint="eastAsia" w:ascii="宋体" w:hAnsi="宋体" w:cs="宋体"/>
          <w:sz w:val="24"/>
          <w:szCs w:val="24"/>
          <w:lang w:val="en-US" w:eastAsia="zh-CN"/>
        </w:rPr>
        <w:t xml:space="preserve"> </w:t>
      </w:r>
      <w:r>
        <w:rPr>
          <w:rFonts w:hint="eastAsia" w:ascii="宋体" w:hAnsi="宋体" w:cs="宋体"/>
          <w:sz w:val="24"/>
          <w:szCs w:val="24"/>
        </w:rPr>
        <w:t>合同特殊条款</w:t>
      </w:r>
      <w:bookmarkEnd w:id="43"/>
    </w:p>
    <w:p>
      <w:pPr>
        <w:ind w:firstLine="400" w:firstLineChars="200"/>
        <w:rPr>
          <w:rFonts w:ascii="宋体" w:hAnsi="宋体" w:cs="宋体"/>
          <w:bCs/>
          <w:sz w:val="20"/>
        </w:rPr>
      </w:pPr>
      <w:r>
        <w:rPr>
          <w:rFonts w:hint="eastAsia" w:ascii="宋体" w:hAnsi="宋体" w:cs="宋体"/>
          <w:bCs/>
          <w:sz w:val="20"/>
        </w:rPr>
        <w:t>合同特殊条款是对合同一般条款的补充和修改，如果两者之间有不一致之处时，应以特殊条款为准。</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培训</w:t>
      </w:r>
      <w:r>
        <w:rPr>
          <w:rFonts w:hint="eastAsia" w:ascii="宋体" w:hAnsi="宋体" w:cs="宋体"/>
          <w:b/>
          <w:sz w:val="20"/>
        </w:rPr>
        <w:t>：</w:t>
      </w:r>
    </w:p>
    <w:p>
      <w:pPr>
        <w:ind w:firstLine="400" w:firstLineChars="200"/>
        <w:rPr>
          <w:rFonts w:ascii="宋体" w:hAnsi="宋体" w:cs="宋体"/>
          <w:bCs/>
          <w:sz w:val="20"/>
        </w:rPr>
      </w:pPr>
      <w:r>
        <w:rPr>
          <w:rFonts w:hint="eastAsia" w:ascii="宋体" w:hAnsi="宋体" w:cs="宋体"/>
          <w:bCs/>
          <w:sz w:val="20"/>
          <w:lang w:val="en-US" w:eastAsia="zh-CN"/>
        </w:rPr>
        <w:t>28</w:t>
      </w:r>
      <w:r>
        <w:rPr>
          <w:rFonts w:hint="eastAsia" w:ascii="宋体" w:hAnsi="宋体" w:cs="宋体"/>
          <w:bCs/>
          <w:sz w:val="20"/>
        </w:rPr>
        <w:t>.1 卖方的安装调试人员有义务对买方的设备维修人员及使用人员进行培训，使维修人员能对设备进行日常维护和一般性故障的查找及故障的排除，使用人员能够熟练掌握设备的各项功能和操作；</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检验</w:t>
      </w:r>
    </w:p>
    <w:p>
      <w:pPr>
        <w:ind w:firstLine="400" w:firstLineChars="200"/>
        <w:rPr>
          <w:rFonts w:ascii="宋体" w:hAnsi="宋体" w:cs="宋体"/>
          <w:bCs/>
          <w:sz w:val="20"/>
        </w:rPr>
      </w:pPr>
      <w:r>
        <w:rPr>
          <w:rFonts w:hint="eastAsia" w:ascii="宋体" w:hAnsi="宋体" w:cs="宋体"/>
          <w:bCs/>
          <w:sz w:val="20"/>
        </w:rPr>
        <w:t>2</w:t>
      </w:r>
      <w:r>
        <w:rPr>
          <w:rFonts w:hint="eastAsia" w:ascii="宋体" w:hAnsi="宋体" w:cs="宋体"/>
          <w:bCs/>
          <w:sz w:val="20"/>
          <w:lang w:val="en-US" w:eastAsia="zh-CN"/>
        </w:rPr>
        <w:t>9</w:t>
      </w:r>
      <w:r>
        <w:rPr>
          <w:rFonts w:hint="eastAsia" w:ascii="宋体" w:hAnsi="宋体" w:cs="宋体"/>
          <w:bCs/>
          <w:sz w:val="20"/>
        </w:rPr>
        <w:t>.1 卖方提供的所有货物应符合国际及国内通行的标准，并应附有相应的测试报告和合同证书；</w:t>
      </w:r>
    </w:p>
    <w:p>
      <w:pPr>
        <w:ind w:firstLine="400" w:firstLineChars="200"/>
        <w:rPr>
          <w:rFonts w:ascii="宋体" w:hAnsi="宋体" w:cs="宋体"/>
          <w:bCs/>
          <w:sz w:val="20"/>
        </w:rPr>
      </w:pPr>
      <w:r>
        <w:rPr>
          <w:rFonts w:hint="eastAsia" w:ascii="宋体" w:hAnsi="宋体" w:cs="宋体"/>
          <w:bCs/>
          <w:sz w:val="20"/>
        </w:rPr>
        <w:t>2</w:t>
      </w:r>
      <w:r>
        <w:rPr>
          <w:rFonts w:hint="eastAsia" w:ascii="宋体" w:hAnsi="宋体" w:cs="宋体"/>
          <w:bCs/>
          <w:sz w:val="20"/>
          <w:lang w:val="en-US" w:eastAsia="zh-CN"/>
        </w:rPr>
        <w:t>9</w:t>
      </w:r>
      <w:r>
        <w:rPr>
          <w:rFonts w:hint="eastAsia" w:ascii="宋体" w:hAnsi="宋体" w:cs="宋体"/>
          <w:bCs/>
          <w:sz w:val="20"/>
        </w:rPr>
        <w:t>.2 对于卖方提供的所有货物, 买方可按货物的一定比例委托自治区质量监督部门进行抽检，验收会格后，所产生的费用由买方承担，经检验不合格时，所产生的费用由卖方承担。</w:t>
      </w:r>
    </w:p>
    <w:p>
      <w:pPr>
        <w:ind w:firstLine="400" w:firstLineChars="200"/>
        <w:rPr>
          <w:rFonts w:ascii="宋体" w:hAnsi="宋体" w:cs="宋体"/>
          <w:bCs/>
          <w:sz w:val="20"/>
        </w:rPr>
      </w:pPr>
      <w:r>
        <w:rPr>
          <w:rFonts w:hint="eastAsia" w:ascii="宋体" w:hAnsi="宋体" w:cs="宋体"/>
          <w:bCs/>
          <w:sz w:val="20"/>
        </w:rPr>
        <w:t>2</w:t>
      </w:r>
      <w:r>
        <w:rPr>
          <w:rFonts w:hint="eastAsia" w:ascii="宋体" w:hAnsi="宋体" w:cs="宋体"/>
          <w:bCs/>
          <w:sz w:val="20"/>
          <w:lang w:val="en-US" w:eastAsia="zh-CN"/>
        </w:rPr>
        <w:t>9</w:t>
      </w:r>
      <w:r>
        <w:rPr>
          <w:rFonts w:hint="eastAsia" w:ascii="宋体" w:hAnsi="宋体" w:cs="宋体"/>
          <w:bCs/>
          <w:sz w:val="20"/>
        </w:rPr>
        <w:t>.3 具体的国际或国内检验标准按卖方在投标文件中承诺的并经买方确认的规定执行。</w:t>
      </w:r>
    </w:p>
    <w:p>
      <w:pPr>
        <w:numPr>
          <w:ilvl w:val="0"/>
          <w:numId w:val="33"/>
        </w:numPr>
        <w:bidi w:val="0"/>
        <w:ind w:left="420" w:leftChars="0" w:hanging="20" w:firstLineChars="0"/>
        <w:rPr>
          <w:rFonts w:ascii="宋体" w:hAnsi="宋体" w:cs="宋体"/>
          <w:b/>
          <w:sz w:val="20"/>
        </w:rPr>
      </w:pPr>
      <w:r>
        <w:rPr>
          <w:rFonts w:hint="eastAsia" w:ascii="宋体" w:hAnsi="宋体" w:cs="宋体"/>
          <w:b/>
          <w:sz w:val="20"/>
        </w:rPr>
        <w:t>安装调试</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.1</w:t>
      </w:r>
      <w:r>
        <w:rPr>
          <w:rFonts w:hint="eastAsia" w:ascii="宋体" w:hAnsi="宋体" w:cs="宋体"/>
          <w:bCs/>
          <w:sz w:val="20"/>
          <w:lang w:val="en-US" w:eastAsia="zh-CN"/>
        </w:rPr>
        <w:t xml:space="preserve"> </w:t>
      </w:r>
      <w:r>
        <w:rPr>
          <w:rFonts w:hint="eastAsia" w:ascii="宋体" w:hAnsi="宋体" w:cs="宋体"/>
          <w:bCs/>
          <w:sz w:val="20"/>
        </w:rPr>
        <w:t>卖方必须在合同签订后将所有的安装调试条件、需买方配合的事项以书面方式通知用户；</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.2 卖方免费负责设备在买方的安装、调试，买方协助开展工作；</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.3 卖方安装调试专家人员应及时到达买方现场，直至安装调试结束、通过验收；</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.4 卖方负责安装调试期间（包括错发或运输中）可能损坏的元器件、测试材料的准备，如因时间关系，买方可以考虑使用随机的易损件进行更换，但卖方应及时给买方补齐（中间产生的任何费用，均由卖方承担）；</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.5</w:t>
      </w:r>
      <w:r>
        <w:rPr>
          <w:rFonts w:hint="eastAsia" w:ascii="宋体" w:hAnsi="宋体" w:cs="宋体"/>
          <w:bCs/>
          <w:sz w:val="20"/>
          <w:lang w:val="en-US" w:eastAsia="zh-CN"/>
        </w:rPr>
        <w:t xml:space="preserve"> </w:t>
      </w:r>
      <w:r>
        <w:rPr>
          <w:rFonts w:hint="eastAsia" w:ascii="宋体" w:hAnsi="宋体" w:cs="宋体"/>
          <w:bCs/>
          <w:sz w:val="20"/>
        </w:rPr>
        <w:t>上述安装调试完成后，买方按相应的卖方在投标文件中所提供的技术指标进行验收；</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.6 卖方如不能按时完成安装、调试工作，应赔偿由此买方造成的所有损失；</w:t>
      </w:r>
    </w:p>
    <w:p>
      <w:pPr>
        <w:ind w:firstLine="400" w:firstLineChars="200"/>
        <w:rPr>
          <w:rFonts w:ascii="宋体" w:hAnsi="宋体" w:cs="宋体"/>
          <w:bCs/>
          <w:sz w:val="20"/>
        </w:rPr>
      </w:pPr>
      <w:r>
        <w:rPr>
          <w:rFonts w:hint="eastAsia" w:ascii="宋体" w:hAnsi="宋体" w:cs="宋体"/>
          <w:bCs/>
          <w:sz w:val="20"/>
        </w:rPr>
        <w:t>3</w:t>
      </w:r>
      <w:r>
        <w:rPr>
          <w:rFonts w:hint="eastAsia" w:ascii="宋体" w:hAnsi="宋体" w:cs="宋体"/>
          <w:bCs/>
          <w:sz w:val="20"/>
          <w:lang w:val="en-US" w:eastAsia="zh-CN"/>
        </w:rPr>
        <w:t>0</w:t>
      </w:r>
      <w:r>
        <w:rPr>
          <w:rFonts w:hint="eastAsia" w:ascii="宋体" w:hAnsi="宋体" w:cs="宋体"/>
          <w:bCs/>
          <w:sz w:val="20"/>
        </w:rPr>
        <w:t>.7 最终的测试验收报告由买卖双方代表签字认可后生效。</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质量</w:t>
      </w:r>
      <w:r>
        <w:rPr>
          <w:rFonts w:hint="eastAsia" w:ascii="宋体" w:hAnsi="宋体" w:cs="宋体"/>
          <w:b/>
          <w:sz w:val="20"/>
        </w:rPr>
        <w:t>保证</w:t>
      </w:r>
    </w:p>
    <w:p>
      <w:pPr>
        <w:ind w:firstLine="400" w:firstLineChars="200"/>
        <w:rPr>
          <w:rFonts w:ascii="宋体" w:hAnsi="宋体" w:cs="宋体"/>
          <w:bCs/>
          <w:sz w:val="20"/>
        </w:rPr>
      </w:pPr>
      <w:r>
        <w:rPr>
          <w:rFonts w:hint="eastAsia" w:ascii="宋体" w:hAnsi="宋体" w:cs="宋体"/>
          <w:bCs/>
          <w:sz w:val="20"/>
          <w:lang w:val="en-US" w:eastAsia="zh-CN"/>
        </w:rPr>
        <w:t>31</w:t>
      </w:r>
      <w:r>
        <w:rPr>
          <w:rFonts w:hint="eastAsia" w:ascii="宋体" w:hAnsi="宋体" w:cs="宋体"/>
          <w:bCs/>
          <w:sz w:val="20"/>
        </w:rPr>
        <w:t>.1</w:t>
      </w:r>
      <w:r>
        <w:rPr>
          <w:rFonts w:hint="eastAsia" w:ascii="宋体" w:hAnsi="宋体" w:cs="宋体"/>
          <w:bCs/>
          <w:sz w:val="20"/>
          <w:lang w:val="en-US" w:eastAsia="zh-CN"/>
        </w:rPr>
        <w:t xml:space="preserve"> </w:t>
      </w:r>
      <w:r>
        <w:rPr>
          <w:rFonts w:hint="eastAsia" w:ascii="宋体" w:hAnsi="宋体" w:cs="宋体"/>
          <w:bCs/>
          <w:sz w:val="20"/>
        </w:rPr>
        <w:t>因卖方原因造成买方不能按时使用（根据合同有关条款）所购买货物（设备）时，卖方应根据合同规定向买方做出赔偿；</w:t>
      </w:r>
    </w:p>
    <w:p>
      <w:pPr>
        <w:ind w:firstLine="400" w:firstLineChars="200"/>
        <w:rPr>
          <w:rFonts w:ascii="宋体" w:hAnsi="宋体" w:cs="宋体"/>
          <w:bCs/>
          <w:sz w:val="20"/>
        </w:rPr>
      </w:pPr>
      <w:r>
        <w:rPr>
          <w:rFonts w:hint="eastAsia" w:ascii="宋体" w:hAnsi="宋体" w:cs="宋体"/>
          <w:bCs/>
          <w:sz w:val="20"/>
          <w:lang w:val="en-US" w:eastAsia="zh-CN"/>
        </w:rPr>
        <w:t>31</w:t>
      </w:r>
      <w:r>
        <w:rPr>
          <w:rFonts w:hint="eastAsia" w:ascii="宋体" w:hAnsi="宋体" w:cs="宋体"/>
          <w:bCs/>
          <w:sz w:val="20"/>
        </w:rPr>
        <w:t>.2 卖方对合同项下设备提供为期五年的保修服务，保修期自验收合格双方签字时算起，在保修期内，卖方需提供免费的维修零配件。</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售后服务</w:t>
      </w:r>
    </w:p>
    <w:p>
      <w:pPr>
        <w:ind w:firstLine="400" w:firstLineChars="200"/>
        <w:rPr>
          <w:rFonts w:ascii="宋体" w:hAnsi="宋体" w:cs="宋体"/>
          <w:bCs/>
          <w:sz w:val="20"/>
        </w:rPr>
      </w:pPr>
      <w:r>
        <w:rPr>
          <w:rFonts w:hint="eastAsia" w:ascii="宋体" w:hAnsi="宋体" w:cs="宋体"/>
          <w:bCs/>
          <w:sz w:val="20"/>
          <w:lang w:val="en-US" w:eastAsia="zh-CN"/>
        </w:rPr>
        <w:t>32</w:t>
      </w:r>
      <w:r>
        <w:rPr>
          <w:rFonts w:hint="eastAsia" w:ascii="宋体" w:hAnsi="宋体" w:cs="宋体"/>
          <w:bCs/>
          <w:sz w:val="20"/>
        </w:rPr>
        <w:t>.1 提供给买方详细的设备清单及相应的使用、维修、故障查询手册及电器、电路图；</w:t>
      </w:r>
    </w:p>
    <w:p>
      <w:pPr>
        <w:ind w:firstLine="400" w:firstLineChars="200"/>
        <w:rPr>
          <w:rFonts w:ascii="宋体" w:hAnsi="宋体" w:cs="宋体"/>
          <w:bCs/>
          <w:sz w:val="20"/>
        </w:rPr>
      </w:pPr>
      <w:r>
        <w:rPr>
          <w:rFonts w:hint="eastAsia" w:ascii="宋体" w:hAnsi="宋体" w:cs="宋体"/>
          <w:bCs/>
          <w:sz w:val="20"/>
          <w:lang w:val="en-US" w:eastAsia="zh-CN"/>
        </w:rPr>
        <w:t>32</w:t>
      </w:r>
      <w:r>
        <w:rPr>
          <w:rFonts w:hint="eastAsia" w:ascii="宋体" w:hAnsi="宋体" w:cs="宋体"/>
          <w:bCs/>
          <w:sz w:val="20"/>
        </w:rPr>
        <w:t>.2 在买方发出要求服务通知的24小时内，卖方指派的服务人员必须到达买方现场，对设备出现的较大问题，解决时间不应超过5个日历日；</w:t>
      </w:r>
    </w:p>
    <w:p>
      <w:pPr>
        <w:ind w:firstLine="400" w:firstLineChars="200"/>
        <w:rPr>
          <w:rFonts w:ascii="宋体" w:hAnsi="宋体" w:cs="宋体"/>
          <w:bCs/>
          <w:sz w:val="20"/>
        </w:rPr>
      </w:pPr>
      <w:r>
        <w:rPr>
          <w:rFonts w:hint="eastAsia" w:ascii="宋体" w:hAnsi="宋体" w:cs="宋体"/>
          <w:bCs/>
          <w:sz w:val="20"/>
          <w:lang w:val="en-US" w:eastAsia="zh-CN"/>
        </w:rPr>
        <w:t>32</w:t>
      </w:r>
      <w:r>
        <w:rPr>
          <w:rFonts w:hint="eastAsia" w:ascii="宋体" w:hAnsi="宋体" w:cs="宋体"/>
          <w:bCs/>
          <w:sz w:val="20"/>
        </w:rPr>
        <w:t>.3 在保修期内，如设备出现故障，必须在3个日历日内完成维修工作，否则更换新机；</w:t>
      </w:r>
    </w:p>
    <w:p>
      <w:pPr>
        <w:ind w:firstLine="400" w:firstLineChars="200"/>
        <w:rPr>
          <w:rFonts w:ascii="宋体" w:hAnsi="宋体" w:cs="宋体"/>
          <w:bCs/>
          <w:sz w:val="20"/>
        </w:rPr>
      </w:pPr>
      <w:r>
        <w:rPr>
          <w:rFonts w:hint="eastAsia" w:ascii="宋体" w:hAnsi="宋体" w:cs="宋体"/>
          <w:bCs/>
          <w:sz w:val="20"/>
          <w:lang w:val="en-US" w:eastAsia="zh-CN"/>
        </w:rPr>
        <w:t>32</w:t>
      </w:r>
      <w:r>
        <w:rPr>
          <w:rFonts w:hint="eastAsia" w:ascii="宋体" w:hAnsi="宋体" w:cs="宋体"/>
          <w:bCs/>
          <w:sz w:val="20"/>
        </w:rPr>
        <w:t>.4 提供相应的售后服务承诺（需要设备生产企业协助的部分，须由该生产企业做出相应的服务承诺），并附在投标文件中。</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其他</w:t>
      </w:r>
    </w:p>
    <w:p>
      <w:pPr>
        <w:ind w:firstLine="400" w:firstLineChars="200"/>
        <w:rPr>
          <w:rFonts w:ascii="宋体" w:hAnsi="宋体" w:cs="宋体"/>
          <w:bCs/>
          <w:sz w:val="20"/>
        </w:rPr>
      </w:pPr>
      <w:r>
        <w:rPr>
          <w:rFonts w:hint="eastAsia" w:ascii="宋体" w:hAnsi="宋体" w:cs="宋体"/>
          <w:bCs/>
          <w:sz w:val="20"/>
          <w:lang w:val="en-US" w:eastAsia="zh-CN"/>
        </w:rPr>
        <w:t>33</w:t>
      </w:r>
      <w:r>
        <w:rPr>
          <w:rFonts w:hint="eastAsia" w:ascii="宋体" w:hAnsi="宋体" w:cs="宋体"/>
          <w:bCs/>
          <w:sz w:val="20"/>
        </w:rPr>
        <w:t>.1 投标报价：设备使用地安装调试完成、且验收合格后的交货价</w:t>
      </w:r>
    </w:p>
    <w:p>
      <w:pPr>
        <w:ind w:firstLine="400" w:firstLineChars="200"/>
        <w:rPr>
          <w:rFonts w:ascii="宋体" w:hAnsi="宋体" w:cs="宋体"/>
          <w:bCs/>
          <w:sz w:val="20"/>
        </w:rPr>
      </w:pPr>
      <w:r>
        <w:rPr>
          <w:rFonts w:hint="eastAsia" w:ascii="宋体" w:hAnsi="宋体" w:cs="宋体"/>
          <w:bCs/>
          <w:sz w:val="20"/>
          <w:lang w:val="en-US" w:eastAsia="zh-CN"/>
        </w:rPr>
        <w:t>33</w:t>
      </w:r>
      <w:r>
        <w:rPr>
          <w:rFonts w:hint="eastAsia" w:ascii="宋体" w:hAnsi="宋体" w:cs="宋体"/>
          <w:bCs/>
          <w:sz w:val="20"/>
        </w:rPr>
        <w:t>.2 投标货币：人民币</w:t>
      </w:r>
    </w:p>
    <w:p>
      <w:pPr>
        <w:ind w:firstLine="400" w:firstLineChars="200"/>
        <w:rPr>
          <w:rFonts w:ascii="宋体" w:hAnsi="宋体" w:cs="宋体"/>
          <w:bCs/>
          <w:sz w:val="20"/>
        </w:rPr>
      </w:pPr>
      <w:r>
        <w:rPr>
          <w:rFonts w:hint="eastAsia" w:ascii="宋体" w:hAnsi="宋体" w:cs="宋体"/>
          <w:bCs/>
          <w:sz w:val="20"/>
          <w:lang w:val="en-US" w:eastAsia="zh-CN"/>
        </w:rPr>
        <w:t>33</w:t>
      </w:r>
      <w:r>
        <w:rPr>
          <w:rFonts w:hint="eastAsia" w:ascii="宋体" w:hAnsi="宋体" w:cs="宋体"/>
          <w:bCs/>
          <w:sz w:val="20"/>
        </w:rPr>
        <w:t>.3 列出详细的易损件、专用工具的清单，并分项报价（应包括在总价内）。清单内容应包括：名称、数量、单价、总价</w:t>
      </w:r>
    </w:p>
    <w:p>
      <w:pPr>
        <w:ind w:firstLine="400" w:firstLineChars="200"/>
        <w:rPr>
          <w:rFonts w:ascii="宋体" w:hAnsi="宋体" w:cs="宋体"/>
          <w:bCs/>
          <w:sz w:val="20"/>
        </w:rPr>
      </w:pPr>
      <w:r>
        <w:rPr>
          <w:rFonts w:hint="eastAsia" w:ascii="宋体" w:hAnsi="宋体" w:cs="宋体"/>
          <w:bCs/>
          <w:sz w:val="20"/>
          <w:lang w:val="en-US" w:eastAsia="zh-CN"/>
        </w:rPr>
        <w:t>33</w:t>
      </w:r>
      <w:r>
        <w:rPr>
          <w:rFonts w:hint="eastAsia" w:ascii="宋体" w:hAnsi="宋体" w:cs="宋体"/>
          <w:bCs/>
          <w:sz w:val="20"/>
        </w:rPr>
        <w:t>.4 付款币种及方式（见第三章）</w:t>
      </w:r>
    </w:p>
    <w:p>
      <w:pPr>
        <w:ind w:firstLine="400" w:firstLineChars="200"/>
        <w:rPr>
          <w:rFonts w:ascii="宋体" w:hAnsi="宋体" w:cs="宋体"/>
          <w:bCs/>
          <w:sz w:val="20"/>
          <w:u w:val="single"/>
        </w:rPr>
      </w:pPr>
      <w:r>
        <w:rPr>
          <w:rFonts w:hint="eastAsia" w:ascii="宋体" w:hAnsi="宋体" w:cs="宋体"/>
          <w:bCs/>
          <w:sz w:val="20"/>
          <w:lang w:val="en-US" w:eastAsia="zh-CN"/>
        </w:rPr>
        <w:t>33</w:t>
      </w:r>
      <w:r>
        <w:rPr>
          <w:rFonts w:hint="eastAsia" w:ascii="宋体" w:hAnsi="宋体" w:cs="宋体"/>
          <w:bCs/>
          <w:sz w:val="20"/>
        </w:rPr>
        <w:t>.5 交货地点：</w:t>
      </w:r>
    </w:p>
    <w:p>
      <w:pPr>
        <w:rPr>
          <w:rFonts w:ascii="宋体" w:hAnsi="宋体" w:cs="宋体"/>
          <w:bCs/>
          <w:sz w:val="20"/>
        </w:rPr>
      </w:pPr>
    </w:p>
    <w:p>
      <w:pPr>
        <w:pStyle w:val="3"/>
        <w:jc w:val="center"/>
        <w:rPr>
          <w:rFonts w:ascii="宋体" w:hAnsi="宋体" w:cs="宋体"/>
          <w:sz w:val="24"/>
          <w:szCs w:val="24"/>
        </w:rPr>
      </w:pPr>
      <w:bookmarkStart w:id="44" w:name="_Toc29727"/>
      <w:r>
        <w:rPr>
          <w:rFonts w:hint="eastAsia" w:ascii="宋体" w:hAnsi="宋体" w:cs="宋体"/>
          <w:sz w:val="24"/>
          <w:szCs w:val="24"/>
        </w:rPr>
        <w:t>第三章</w:t>
      </w:r>
      <w:r>
        <w:rPr>
          <w:rFonts w:hint="eastAsia" w:ascii="宋体" w:hAnsi="宋体" w:cs="宋体"/>
          <w:sz w:val="24"/>
          <w:szCs w:val="24"/>
          <w:lang w:val="en-US" w:eastAsia="zh-CN"/>
        </w:rPr>
        <w:t xml:space="preserve"> </w:t>
      </w:r>
      <w:r>
        <w:rPr>
          <w:rFonts w:hint="eastAsia" w:ascii="宋体" w:hAnsi="宋体" w:cs="宋体"/>
          <w:sz w:val="24"/>
          <w:szCs w:val="24"/>
        </w:rPr>
        <w:t>付款币种及方式</w:t>
      </w:r>
      <w:bookmarkEnd w:id="44"/>
    </w:p>
    <w:p>
      <w:pPr>
        <w:numPr>
          <w:ilvl w:val="0"/>
          <w:numId w:val="33"/>
        </w:numPr>
        <w:bidi w:val="0"/>
        <w:ind w:left="420" w:leftChars="0" w:hanging="20" w:firstLineChars="0"/>
        <w:rPr>
          <w:rFonts w:ascii="宋体" w:hAnsi="宋体" w:cs="宋体"/>
          <w:b/>
          <w:bCs/>
          <w:sz w:val="20"/>
        </w:rPr>
      </w:pPr>
      <w:r>
        <w:rPr>
          <w:rFonts w:hint="eastAsia" w:ascii="宋体" w:hAnsi="宋体" w:cs="宋体"/>
          <w:b/>
          <w:bCs/>
          <w:sz w:val="20"/>
        </w:rPr>
        <w:t>付款币种</w:t>
      </w:r>
    </w:p>
    <w:p>
      <w:pPr>
        <w:ind w:firstLine="400" w:firstLineChars="200"/>
        <w:rPr>
          <w:rFonts w:ascii="宋体" w:hAnsi="宋体" w:cs="宋体"/>
          <w:sz w:val="20"/>
        </w:rPr>
      </w:pPr>
      <w:r>
        <w:rPr>
          <w:rFonts w:hint="eastAsia" w:ascii="宋体" w:hAnsi="宋体" w:cs="宋体"/>
          <w:sz w:val="20"/>
        </w:rPr>
        <w:t>本次招标所述的项目资金均以人民币支付</w:t>
      </w:r>
    </w:p>
    <w:p>
      <w:pPr>
        <w:numPr>
          <w:ilvl w:val="0"/>
          <w:numId w:val="33"/>
        </w:numPr>
        <w:bidi w:val="0"/>
        <w:ind w:left="420" w:leftChars="0" w:hanging="20" w:firstLineChars="0"/>
        <w:rPr>
          <w:rFonts w:ascii="宋体" w:hAnsi="宋体" w:cs="宋体"/>
          <w:b/>
          <w:sz w:val="20"/>
        </w:rPr>
      </w:pPr>
      <w:r>
        <w:rPr>
          <w:rFonts w:hint="eastAsia" w:ascii="宋体" w:hAnsi="宋体" w:cs="宋体"/>
          <w:b/>
          <w:sz w:val="20"/>
          <w:szCs w:val="22"/>
        </w:rPr>
        <w:t>付款</w:t>
      </w:r>
      <w:r>
        <w:rPr>
          <w:rFonts w:hint="eastAsia" w:ascii="宋体" w:hAnsi="宋体" w:cs="宋体"/>
          <w:b/>
          <w:sz w:val="20"/>
        </w:rPr>
        <w:t>方式：</w:t>
      </w:r>
    </w:p>
    <w:p>
      <w:pPr>
        <w:ind w:firstLine="200" w:firstLineChars="100"/>
        <w:rPr>
          <w:rFonts w:ascii="宋体" w:hAnsi="宋体" w:cs="宋体"/>
          <w:sz w:val="20"/>
        </w:rPr>
      </w:pPr>
      <w:r>
        <w:rPr>
          <w:rFonts w:hint="eastAsia" w:ascii="宋体" w:hAnsi="宋体" w:cs="宋体"/>
          <w:sz w:val="20"/>
        </w:rPr>
        <w:t>（1）中标方与签订合同，并由采购单位办理资金支付手续。</w:t>
      </w:r>
    </w:p>
    <w:p>
      <w:pPr>
        <w:ind w:firstLine="200" w:firstLineChars="100"/>
        <w:rPr>
          <w:rFonts w:ascii="宋体" w:hAnsi="宋体" w:cs="宋体"/>
          <w:spacing w:val="-6"/>
          <w:sz w:val="20"/>
        </w:rPr>
      </w:pPr>
      <w:r>
        <w:rPr>
          <w:rFonts w:hint="eastAsia" w:ascii="宋体" w:hAnsi="宋体" w:cs="宋体"/>
          <w:sz w:val="20"/>
        </w:rPr>
        <w:t>（2）</w:t>
      </w:r>
      <w:r>
        <w:rPr>
          <w:rFonts w:hint="eastAsia" w:ascii="宋体" w:hAnsi="宋体" w:cs="宋体"/>
          <w:spacing w:val="-6"/>
          <w:sz w:val="20"/>
        </w:rPr>
        <w:t>签订合同后，采购单位办理资金拨付手续，由</w:t>
      </w:r>
      <w:r>
        <w:rPr>
          <w:rFonts w:hint="eastAsia" w:ascii="宋体" w:hAnsi="宋体" w:cs="宋体"/>
          <w:spacing w:val="-6"/>
          <w:sz w:val="20"/>
          <w:lang w:eastAsia="zh-CN"/>
        </w:rPr>
        <w:t>采购单位</w:t>
      </w:r>
      <w:r>
        <w:rPr>
          <w:rFonts w:hint="eastAsia" w:ascii="宋体" w:hAnsi="宋体" w:cs="宋体"/>
          <w:spacing w:val="-6"/>
          <w:sz w:val="20"/>
        </w:rPr>
        <w:t>支付给乙方合同总价的货款；</w:t>
      </w:r>
    </w:p>
    <w:p>
      <w:pPr>
        <w:ind w:firstLine="200" w:firstLineChars="100"/>
        <w:rPr>
          <w:rFonts w:ascii="宋体" w:hAnsi="宋体" w:cs="宋体"/>
          <w:sz w:val="20"/>
        </w:rPr>
      </w:pPr>
      <w:r>
        <w:rPr>
          <w:rFonts w:hint="eastAsia" w:ascii="宋体" w:hAnsi="宋体" w:cs="宋体"/>
          <w:sz w:val="20"/>
        </w:rPr>
        <w:t>（3）交货完毕，经采购单位验收合格且办理完毕资金拨付手续后，由</w:t>
      </w:r>
      <w:r>
        <w:rPr>
          <w:rFonts w:hint="eastAsia" w:ascii="宋体" w:hAnsi="宋体" w:cs="宋体"/>
          <w:sz w:val="20"/>
          <w:lang w:eastAsia="zh-CN"/>
        </w:rPr>
        <w:t>采购单位</w:t>
      </w:r>
      <w:r>
        <w:rPr>
          <w:rFonts w:hint="eastAsia" w:ascii="宋体" w:hAnsi="宋体" w:cs="宋体"/>
          <w:sz w:val="20"/>
        </w:rPr>
        <w:t>支付给乙方合同总价 的货款；</w:t>
      </w:r>
    </w:p>
    <w:p>
      <w:pPr>
        <w:ind w:firstLine="200" w:firstLineChars="100"/>
        <w:rPr>
          <w:rFonts w:ascii="宋体" w:hAnsi="宋体" w:cs="宋体"/>
          <w:sz w:val="20"/>
        </w:rPr>
      </w:pPr>
      <w:r>
        <w:rPr>
          <w:rFonts w:hint="eastAsia" w:ascii="宋体" w:hAnsi="宋体" w:cs="宋体"/>
          <w:sz w:val="20"/>
        </w:rPr>
        <w:t>（4）留5%的质量保证金，在使用一年、无质量问题且经再次验收合格、由采购单位办理资金拨付手续后，七日内由</w:t>
      </w:r>
      <w:r>
        <w:rPr>
          <w:rFonts w:hint="eastAsia" w:ascii="宋体" w:hAnsi="宋体" w:cs="宋体"/>
          <w:sz w:val="20"/>
          <w:lang w:eastAsia="zh-CN"/>
        </w:rPr>
        <w:t>采购单位</w:t>
      </w:r>
      <w:r>
        <w:rPr>
          <w:rFonts w:hint="eastAsia" w:ascii="宋体" w:hAnsi="宋体" w:cs="宋体"/>
          <w:sz w:val="20"/>
        </w:rPr>
        <w:t xml:space="preserve">支付； </w:t>
      </w:r>
    </w:p>
    <w:p>
      <w:pPr>
        <w:pStyle w:val="3"/>
        <w:jc w:val="center"/>
        <w:rPr>
          <w:rFonts w:ascii="宋体" w:hAnsi="宋体" w:cs="宋体"/>
          <w:sz w:val="24"/>
          <w:szCs w:val="24"/>
        </w:rPr>
      </w:pPr>
      <w:bookmarkStart w:id="45" w:name="_Toc5246"/>
      <w:r>
        <w:rPr>
          <w:rFonts w:hint="eastAsia" w:ascii="宋体" w:hAnsi="宋体" w:cs="宋体"/>
          <w:sz w:val="24"/>
          <w:szCs w:val="24"/>
        </w:rPr>
        <w:t>第四章</w:t>
      </w:r>
      <w:r>
        <w:rPr>
          <w:rFonts w:hint="eastAsia" w:ascii="宋体" w:hAnsi="宋体" w:cs="宋体"/>
          <w:sz w:val="24"/>
          <w:szCs w:val="24"/>
          <w:lang w:val="en-US" w:eastAsia="zh-CN"/>
        </w:rPr>
        <w:t xml:space="preserve"> </w:t>
      </w:r>
      <w:r>
        <w:rPr>
          <w:rFonts w:hint="eastAsia" w:ascii="宋体" w:hAnsi="宋体" w:cs="宋体"/>
          <w:sz w:val="24"/>
          <w:szCs w:val="24"/>
        </w:rPr>
        <w:t>售后服务承诺</w:t>
      </w:r>
      <w:bookmarkEnd w:id="45"/>
    </w:p>
    <w:p>
      <w:pPr>
        <w:ind w:firstLine="400" w:firstLineChars="200"/>
        <w:rPr>
          <w:rFonts w:ascii="宋体" w:hAnsi="宋体" w:cs="宋体"/>
          <w:bCs/>
          <w:sz w:val="20"/>
        </w:rPr>
      </w:pPr>
      <w:r>
        <w:rPr>
          <w:rFonts w:hint="eastAsia" w:ascii="宋体" w:hAnsi="宋体" w:cs="宋体"/>
          <w:bCs/>
          <w:sz w:val="20"/>
        </w:rPr>
        <w:t>在交付使用后，卖方应对保修期及其以后的服务做出承诺，并具有切实可行的服务措施。不能及时兑现服务承诺内容而影响买方使用时，卖方应给予补偿的承诺，在投标书中均应明确说明。卖方在新疆范围内应有常设或指派的法定售后服务机构，售后服务人员应是卖方派出的具有一定专业技术和服务水平的人员，并具有卖方的法人授权委托和有关主管部门的资质证书。</w:t>
      </w:r>
    </w:p>
    <w:p>
      <w:pPr>
        <w:spacing w:line="500" w:lineRule="exact"/>
        <w:rPr>
          <w:rFonts w:ascii="宋体" w:hAnsi="宋体" w:cs="宋体"/>
          <w:b/>
          <w:sz w:val="20"/>
        </w:rPr>
      </w:pPr>
    </w:p>
    <w:p>
      <w:pPr>
        <w:pStyle w:val="2"/>
        <w:numPr>
          <w:ilvl w:val="0"/>
          <w:numId w:val="0"/>
        </w:numPr>
        <w:jc w:val="center"/>
        <w:rPr>
          <w:rFonts w:hint="eastAsia"/>
          <w:sz w:val="28"/>
        </w:rPr>
      </w:pPr>
      <w:bookmarkStart w:id="46" w:name="_Toc31037"/>
    </w:p>
    <w:p>
      <w:pPr>
        <w:pStyle w:val="2"/>
        <w:numPr>
          <w:ilvl w:val="0"/>
          <w:numId w:val="0"/>
        </w:numPr>
        <w:jc w:val="center"/>
        <w:rPr>
          <w:rFonts w:hint="eastAsia"/>
          <w:sz w:val="28"/>
        </w:rPr>
      </w:pPr>
    </w:p>
    <w:p>
      <w:pPr>
        <w:rPr>
          <w:rFonts w:hint="eastAsia"/>
          <w:sz w:val="28"/>
        </w:rPr>
      </w:pPr>
    </w:p>
    <w:p>
      <w:pPr>
        <w:rPr>
          <w:rFonts w:hint="eastAsia"/>
          <w:sz w:val="28"/>
        </w:rPr>
      </w:pPr>
    </w:p>
    <w:p>
      <w:pPr>
        <w:rPr>
          <w:rFonts w:hint="eastAsia"/>
          <w:sz w:val="28"/>
        </w:rPr>
      </w:pPr>
    </w:p>
    <w:p>
      <w:pPr>
        <w:pStyle w:val="2"/>
        <w:numPr>
          <w:ilvl w:val="0"/>
          <w:numId w:val="0"/>
        </w:numPr>
        <w:jc w:val="center"/>
        <w:rPr>
          <w:sz w:val="20"/>
        </w:rPr>
      </w:pPr>
      <w:r>
        <w:rPr>
          <w:rFonts w:hint="eastAsia"/>
          <w:sz w:val="28"/>
        </w:rPr>
        <w:t>第六部分   附</w:t>
      </w:r>
      <w:r>
        <w:rPr>
          <w:rFonts w:hint="eastAsia"/>
          <w:sz w:val="28"/>
          <w:lang w:val="en-US" w:eastAsia="zh-CN"/>
        </w:rPr>
        <w:t xml:space="preserve">  </w:t>
      </w:r>
      <w:r>
        <w:rPr>
          <w:rFonts w:hint="eastAsia"/>
          <w:sz w:val="28"/>
        </w:rPr>
        <w:t>件</w:t>
      </w:r>
      <w:bookmarkEnd w:id="46"/>
    </w:p>
    <w:p>
      <w:pPr>
        <w:spacing w:line="520" w:lineRule="exact"/>
        <w:outlineLvl w:val="0"/>
        <w:rPr>
          <w:rFonts w:ascii="宋体" w:hAnsi="宋体" w:cs="宋体"/>
          <w:b/>
          <w:sz w:val="20"/>
        </w:rPr>
      </w:pPr>
      <w:bookmarkStart w:id="47" w:name="_Toc14997"/>
      <w:r>
        <w:rPr>
          <w:rFonts w:hint="eastAsia" w:ascii="宋体" w:hAnsi="宋体" w:cs="宋体"/>
          <w:b/>
          <w:sz w:val="24"/>
        </w:rPr>
        <w:t>一、投标书编制顺序</w:t>
      </w:r>
      <w:bookmarkEnd w:id="47"/>
    </w:p>
    <w:p>
      <w:pPr>
        <w:spacing w:line="300" w:lineRule="exact"/>
        <w:jc w:val="center"/>
        <w:rPr>
          <w:rFonts w:ascii="宋体" w:hAnsi="宋体" w:cs="宋体"/>
          <w:b/>
          <w:sz w:val="20"/>
        </w:rPr>
      </w:pPr>
    </w:p>
    <w:p>
      <w:pPr>
        <w:ind w:firstLine="400" w:firstLineChars="200"/>
        <w:rPr>
          <w:rFonts w:ascii="宋体" w:hAnsi="宋体" w:cs="宋体"/>
          <w:bCs/>
          <w:sz w:val="20"/>
        </w:rPr>
      </w:pPr>
      <w:r>
        <w:rPr>
          <w:rFonts w:hint="eastAsia" w:ascii="宋体" w:hAnsi="宋体" w:cs="宋体"/>
          <w:bCs/>
          <w:sz w:val="20"/>
        </w:rPr>
        <w:t>投标人应按下列顺序排列和装订投标文件：</w:t>
      </w:r>
    </w:p>
    <w:p>
      <w:pPr>
        <w:ind w:firstLine="400" w:firstLineChars="200"/>
        <w:rPr>
          <w:rFonts w:ascii="宋体" w:hAnsi="宋体" w:cs="宋体"/>
          <w:bCs/>
          <w:sz w:val="20"/>
        </w:rPr>
      </w:pPr>
      <w:r>
        <w:rPr>
          <w:rFonts w:hint="eastAsia" w:ascii="宋体" w:hAnsi="宋体" w:cs="宋体"/>
          <w:bCs/>
          <w:sz w:val="20"/>
        </w:rPr>
        <w:t>一、投标函</w:t>
      </w:r>
    </w:p>
    <w:p>
      <w:pPr>
        <w:ind w:firstLine="400" w:firstLineChars="200"/>
        <w:rPr>
          <w:rFonts w:ascii="宋体" w:hAnsi="宋体" w:cs="宋体"/>
          <w:bCs/>
          <w:sz w:val="20"/>
        </w:rPr>
      </w:pPr>
      <w:r>
        <w:rPr>
          <w:rFonts w:hint="eastAsia" w:ascii="宋体" w:hAnsi="宋体" w:cs="宋体"/>
          <w:bCs/>
          <w:sz w:val="20"/>
        </w:rPr>
        <w:t>二、法人代表授权委托书原件及授权代表身份证明原件</w:t>
      </w:r>
    </w:p>
    <w:p>
      <w:pPr>
        <w:ind w:firstLine="400" w:firstLineChars="200"/>
        <w:rPr>
          <w:rFonts w:ascii="宋体" w:hAnsi="宋体" w:cs="宋体"/>
          <w:bCs/>
          <w:sz w:val="20"/>
        </w:rPr>
      </w:pPr>
      <w:r>
        <w:rPr>
          <w:rFonts w:hint="eastAsia" w:ascii="宋体" w:hAnsi="宋体" w:cs="宋体"/>
          <w:bCs/>
          <w:sz w:val="20"/>
        </w:rPr>
        <w:t>三、开标一览表</w:t>
      </w:r>
    </w:p>
    <w:p>
      <w:pPr>
        <w:ind w:firstLine="400" w:firstLineChars="200"/>
        <w:rPr>
          <w:rFonts w:ascii="宋体" w:hAnsi="宋体" w:cs="宋体"/>
          <w:bCs/>
          <w:sz w:val="20"/>
        </w:rPr>
      </w:pPr>
      <w:r>
        <w:rPr>
          <w:rFonts w:hint="eastAsia" w:ascii="宋体" w:hAnsi="宋体" w:cs="宋体"/>
          <w:bCs/>
          <w:sz w:val="20"/>
        </w:rPr>
        <w:t>四、投标方资质证明文件，包括：</w:t>
      </w:r>
    </w:p>
    <w:p>
      <w:pPr>
        <w:ind w:firstLine="400" w:firstLineChars="200"/>
        <w:rPr>
          <w:rFonts w:ascii="宋体" w:hAnsi="宋体" w:cs="宋体"/>
          <w:bCs/>
          <w:sz w:val="20"/>
        </w:rPr>
      </w:pPr>
      <w:r>
        <w:rPr>
          <w:rFonts w:hint="eastAsia" w:ascii="宋体" w:hAnsi="宋体" w:cs="宋体"/>
          <w:bCs/>
          <w:sz w:val="20"/>
        </w:rPr>
        <w:t>1、投标人营业执照复印件</w:t>
      </w:r>
    </w:p>
    <w:p>
      <w:pPr>
        <w:ind w:firstLine="400" w:firstLineChars="200"/>
        <w:rPr>
          <w:rFonts w:ascii="宋体" w:hAnsi="宋体" w:cs="宋体"/>
          <w:bCs/>
          <w:sz w:val="20"/>
        </w:rPr>
      </w:pPr>
      <w:r>
        <w:rPr>
          <w:rFonts w:hint="eastAsia" w:ascii="宋体" w:hAnsi="宋体" w:cs="宋体"/>
          <w:bCs/>
          <w:sz w:val="20"/>
        </w:rPr>
        <w:t>2、关于资格的声明函</w:t>
      </w:r>
    </w:p>
    <w:p>
      <w:pPr>
        <w:ind w:firstLine="400" w:firstLineChars="200"/>
        <w:rPr>
          <w:rFonts w:ascii="宋体" w:hAnsi="宋体" w:cs="宋体"/>
          <w:bCs/>
          <w:sz w:val="20"/>
        </w:rPr>
      </w:pPr>
      <w:r>
        <w:rPr>
          <w:rFonts w:hint="eastAsia" w:ascii="宋体" w:hAnsi="宋体" w:cs="宋体"/>
          <w:bCs/>
          <w:sz w:val="20"/>
        </w:rPr>
        <w:t>3、资格证明文件</w:t>
      </w:r>
    </w:p>
    <w:p>
      <w:pPr>
        <w:ind w:firstLine="400" w:firstLineChars="200"/>
        <w:rPr>
          <w:rFonts w:ascii="宋体" w:hAnsi="宋体" w:cs="宋体"/>
          <w:bCs/>
          <w:sz w:val="20"/>
        </w:rPr>
      </w:pPr>
      <w:r>
        <w:rPr>
          <w:rFonts w:hint="eastAsia" w:ascii="宋体" w:hAnsi="宋体" w:cs="宋体"/>
          <w:bCs/>
          <w:sz w:val="20"/>
        </w:rPr>
        <w:t>五、设备分项明细报价表</w:t>
      </w:r>
    </w:p>
    <w:p>
      <w:pPr>
        <w:ind w:firstLine="400" w:firstLineChars="200"/>
        <w:rPr>
          <w:rFonts w:ascii="宋体" w:hAnsi="宋体" w:cs="宋体"/>
          <w:bCs/>
          <w:sz w:val="20"/>
        </w:rPr>
      </w:pPr>
      <w:r>
        <w:rPr>
          <w:rFonts w:hint="eastAsia" w:ascii="宋体" w:hAnsi="宋体" w:cs="宋体"/>
          <w:bCs/>
          <w:sz w:val="20"/>
        </w:rPr>
        <w:t>六、投标产品技术规格及要求详述</w:t>
      </w:r>
    </w:p>
    <w:p>
      <w:pPr>
        <w:ind w:firstLine="400" w:firstLineChars="200"/>
        <w:rPr>
          <w:rFonts w:ascii="宋体" w:hAnsi="宋体" w:cs="宋体"/>
          <w:bCs/>
          <w:sz w:val="20"/>
        </w:rPr>
      </w:pPr>
      <w:r>
        <w:rPr>
          <w:rFonts w:hint="eastAsia" w:ascii="宋体" w:hAnsi="宋体" w:cs="宋体"/>
          <w:bCs/>
          <w:sz w:val="20"/>
        </w:rPr>
        <w:t>七、施工组织方案和进度计划</w:t>
      </w:r>
    </w:p>
    <w:p>
      <w:pPr>
        <w:ind w:firstLine="400" w:firstLineChars="200"/>
        <w:rPr>
          <w:rFonts w:ascii="宋体" w:hAnsi="宋体" w:cs="宋体"/>
          <w:bCs/>
          <w:sz w:val="20"/>
        </w:rPr>
      </w:pPr>
      <w:r>
        <w:rPr>
          <w:rFonts w:hint="eastAsia" w:ascii="宋体" w:hAnsi="宋体" w:cs="宋体"/>
          <w:bCs/>
          <w:sz w:val="20"/>
        </w:rPr>
        <w:t>八、售后服务承诺详述、维修、培训等计划</w:t>
      </w:r>
    </w:p>
    <w:p>
      <w:pPr>
        <w:ind w:firstLine="400" w:firstLineChars="200"/>
        <w:rPr>
          <w:rFonts w:ascii="宋体" w:hAnsi="宋体" w:cs="宋体"/>
          <w:bCs/>
          <w:sz w:val="20"/>
        </w:rPr>
      </w:pPr>
      <w:r>
        <w:rPr>
          <w:rFonts w:hint="eastAsia" w:ascii="宋体" w:hAnsi="宋体" w:cs="宋体"/>
          <w:bCs/>
          <w:sz w:val="20"/>
        </w:rPr>
        <w:t>九、技术参数、功能偏离表</w:t>
      </w:r>
    </w:p>
    <w:p>
      <w:pPr>
        <w:ind w:firstLine="400" w:firstLineChars="200"/>
        <w:rPr>
          <w:rFonts w:ascii="宋体" w:hAnsi="宋体" w:cs="宋体"/>
          <w:bCs/>
          <w:sz w:val="20"/>
        </w:rPr>
      </w:pPr>
      <w:r>
        <w:rPr>
          <w:rFonts w:hint="eastAsia" w:ascii="宋体" w:hAnsi="宋体" w:cs="宋体"/>
          <w:bCs/>
          <w:sz w:val="20"/>
        </w:rPr>
        <w:t>十、投标单位（供应商）反商业贿赂承诺书</w:t>
      </w:r>
      <w:r>
        <w:rPr>
          <w:rFonts w:hint="eastAsia" w:ascii="宋体" w:hAnsi="宋体" w:cs="宋体"/>
          <w:b/>
          <w:sz w:val="20"/>
        </w:rPr>
        <w:t> </w:t>
      </w:r>
    </w:p>
    <w:p>
      <w:pPr>
        <w:ind w:firstLine="400" w:firstLineChars="200"/>
        <w:rPr>
          <w:rFonts w:hint="eastAsia" w:ascii="宋体" w:hAnsi="宋体" w:cs="宋体"/>
          <w:bCs/>
          <w:sz w:val="20"/>
        </w:rPr>
      </w:pPr>
      <w:r>
        <w:rPr>
          <w:rFonts w:hint="eastAsia" w:ascii="宋体" w:hAnsi="宋体" w:cs="宋体"/>
          <w:bCs/>
          <w:sz w:val="20"/>
        </w:rPr>
        <w:t>十一、提供其它有利于投标的资料</w:t>
      </w: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ind w:firstLine="400" w:firstLineChars="200"/>
        <w:rPr>
          <w:rFonts w:hint="eastAsia" w:ascii="宋体" w:hAnsi="宋体" w:cs="宋体"/>
          <w:bCs/>
          <w:sz w:val="20"/>
        </w:rPr>
      </w:pPr>
    </w:p>
    <w:p>
      <w:pPr>
        <w:spacing w:line="520" w:lineRule="exact"/>
        <w:outlineLvl w:val="0"/>
        <w:rPr>
          <w:rFonts w:ascii="宋体" w:hAnsi="宋体" w:cs="宋体"/>
          <w:b/>
          <w:sz w:val="24"/>
        </w:rPr>
      </w:pPr>
      <w:bookmarkStart w:id="48" w:name="_Toc9280"/>
      <w:r>
        <w:rPr>
          <w:rFonts w:hint="eastAsia" w:ascii="宋体" w:hAnsi="宋体" w:cs="宋体"/>
          <w:b/>
          <w:sz w:val="24"/>
        </w:rPr>
        <w:t>二、其它有关附件格式范本</w:t>
      </w:r>
      <w:bookmarkEnd w:id="48"/>
    </w:p>
    <w:p>
      <w:pPr>
        <w:spacing w:line="400" w:lineRule="exact"/>
        <w:ind w:firstLine="2917" w:firstLineChars="1453"/>
        <w:outlineLvl w:val="0"/>
        <w:rPr>
          <w:rFonts w:ascii="宋体" w:hAnsi="宋体" w:cs="宋体"/>
          <w:b/>
          <w:sz w:val="20"/>
        </w:rPr>
      </w:pPr>
      <w:bookmarkStart w:id="49" w:name="_Toc10455"/>
      <w:r>
        <w:rPr>
          <w:rFonts w:hint="eastAsia" w:ascii="宋体" w:hAnsi="宋体" w:cs="宋体"/>
          <w:b/>
          <w:sz w:val="20"/>
        </w:rPr>
        <w:t>（一）投 标 函</w:t>
      </w:r>
      <w:bookmarkEnd w:id="49"/>
    </w:p>
    <w:p>
      <w:pPr>
        <w:ind w:firstLine="400" w:firstLineChars="200"/>
        <w:rPr>
          <w:rFonts w:ascii="宋体" w:hAnsi="宋体" w:cs="宋体"/>
          <w:bCs/>
          <w:sz w:val="20"/>
        </w:rPr>
      </w:pPr>
      <w:r>
        <w:rPr>
          <w:rFonts w:hint="eastAsia" w:ascii="宋体" w:hAnsi="宋体" w:cs="宋体"/>
          <w:bCs/>
          <w:sz w:val="20"/>
        </w:rPr>
        <w:t>致：</w:t>
      </w:r>
      <w:r>
        <w:rPr>
          <w:rFonts w:hint="eastAsia" w:ascii="宋体" w:hAnsi="宋体" w:cs="宋体"/>
          <w:bCs/>
          <w:sz w:val="20"/>
          <w:szCs w:val="22"/>
        </w:rPr>
        <w:t>中共哈密市委员会网络安全和信息化委员会办公室</w:t>
      </w:r>
      <w:r>
        <w:rPr>
          <w:rFonts w:hint="eastAsia" w:ascii="宋体" w:hAnsi="宋体" w:cs="宋体"/>
          <w:bCs/>
          <w:sz w:val="20"/>
        </w:rPr>
        <w:t>:</w:t>
      </w:r>
    </w:p>
    <w:p>
      <w:pPr>
        <w:ind w:firstLine="400" w:firstLineChars="200"/>
        <w:rPr>
          <w:rFonts w:ascii="宋体" w:hAnsi="宋体" w:cs="宋体"/>
          <w:bCs/>
          <w:sz w:val="20"/>
        </w:rPr>
      </w:pPr>
    </w:p>
    <w:p>
      <w:pPr>
        <w:ind w:firstLine="400" w:firstLineChars="200"/>
        <w:rPr>
          <w:rFonts w:ascii="宋体" w:hAnsi="宋体" w:cs="宋体"/>
          <w:bCs/>
          <w:sz w:val="20"/>
        </w:rPr>
      </w:pPr>
      <w:r>
        <w:rPr>
          <w:rFonts w:hint="eastAsia" w:ascii="宋体" w:hAnsi="宋体" w:cs="宋体"/>
          <w:bCs/>
          <w:sz w:val="20"/>
        </w:rPr>
        <w:t>根据贵方为　　　（项目名称）    项目招标的投标邀请（招标编号） ，签字代表（姓名、职务）经正式授权并代表投标人（投标人名称、地址）提交下述文件正本一份和副本</w:t>
      </w:r>
      <w:r>
        <w:rPr>
          <w:rFonts w:hint="eastAsia" w:ascii="宋体" w:hAnsi="宋体" w:cs="宋体"/>
          <w:bCs/>
          <w:sz w:val="20"/>
          <w:lang w:val="en-US" w:eastAsia="zh-CN"/>
        </w:rPr>
        <w:t>四</w:t>
      </w:r>
      <w:r>
        <w:rPr>
          <w:rFonts w:hint="eastAsia" w:ascii="宋体" w:hAnsi="宋体" w:cs="宋体"/>
          <w:bCs/>
          <w:sz w:val="20"/>
        </w:rPr>
        <w:t>份。</w:t>
      </w:r>
    </w:p>
    <w:p>
      <w:pPr>
        <w:ind w:firstLine="400" w:firstLineChars="200"/>
        <w:rPr>
          <w:rFonts w:ascii="宋体" w:hAnsi="宋体" w:cs="宋体"/>
          <w:bCs/>
          <w:sz w:val="20"/>
        </w:rPr>
      </w:pPr>
      <w:r>
        <w:rPr>
          <w:rFonts w:hint="eastAsia" w:ascii="宋体" w:hAnsi="宋体" w:cs="宋体"/>
          <w:bCs/>
          <w:sz w:val="20"/>
        </w:rPr>
        <w:t>开标一览表</w:t>
      </w:r>
    </w:p>
    <w:p>
      <w:pPr>
        <w:ind w:firstLine="400" w:firstLineChars="200"/>
        <w:rPr>
          <w:rFonts w:ascii="宋体" w:hAnsi="宋体" w:cs="宋体"/>
          <w:bCs/>
          <w:sz w:val="20"/>
        </w:rPr>
      </w:pPr>
      <w:r>
        <w:rPr>
          <w:rFonts w:hint="eastAsia" w:ascii="宋体" w:hAnsi="宋体" w:cs="宋体"/>
          <w:bCs/>
          <w:sz w:val="20"/>
        </w:rPr>
        <w:t>投标分项报价表</w:t>
      </w:r>
    </w:p>
    <w:p>
      <w:pPr>
        <w:ind w:firstLine="400" w:firstLineChars="200"/>
        <w:rPr>
          <w:rFonts w:ascii="宋体" w:hAnsi="宋体" w:cs="宋体"/>
          <w:bCs/>
          <w:sz w:val="20"/>
        </w:rPr>
      </w:pPr>
      <w:r>
        <w:rPr>
          <w:rFonts w:hint="eastAsia" w:ascii="宋体" w:hAnsi="宋体" w:cs="宋体"/>
          <w:bCs/>
          <w:sz w:val="20"/>
        </w:rPr>
        <w:t>规格、技术参数、功能偏离表</w:t>
      </w:r>
    </w:p>
    <w:p>
      <w:pPr>
        <w:ind w:firstLine="400" w:firstLineChars="200"/>
        <w:rPr>
          <w:rFonts w:ascii="宋体" w:hAnsi="宋体" w:cs="宋体"/>
          <w:bCs/>
          <w:sz w:val="20"/>
        </w:rPr>
      </w:pPr>
      <w:r>
        <w:rPr>
          <w:rFonts w:hint="eastAsia" w:ascii="宋体" w:hAnsi="宋体" w:cs="宋体"/>
          <w:bCs/>
          <w:sz w:val="20"/>
        </w:rPr>
        <w:t>商务条款偏离表</w:t>
      </w:r>
    </w:p>
    <w:p>
      <w:pPr>
        <w:ind w:firstLine="400" w:firstLineChars="200"/>
        <w:rPr>
          <w:rFonts w:ascii="宋体" w:hAnsi="宋体" w:cs="宋体"/>
          <w:bCs/>
          <w:sz w:val="20"/>
        </w:rPr>
      </w:pPr>
      <w:r>
        <w:rPr>
          <w:rFonts w:hint="eastAsia" w:ascii="宋体" w:hAnsi="宋体" w:cs="宋体"/>
          <w:bCs/>
          <w:sz w:val="20"/>
        </w:rPr>
        <w:t>按招标文件投标人须知、技术规格要求及其他要求提供有关文件</w:t>
      </w:r>
    </w:p>
    <w:p>
      <w:pPr>
        <w:ind w:firstLine="400" w:firstLineChars="200"/>
        <w:rPr>
          <w:rFonts w:ascii="宋体" w:hAnsi="宋体" w:cs="宋体"/>
          <w:bCs/>
          <w:sz w:val="20"/>
        </w:rPr>
      </w:pPr>
      <w:r>
        <w:rPr>
          <w:rFonts w:hint="eastAsia" w:ascii="宋体" w:hAnsi="宋体" w:cs="宋体"/>
          <w:bCs/>
          <w:sz w:val="20"/>
        </w:rPr>
        <w:t>资格证明文件</w:t>
      </w:r>
    </w:p>
    <w:p>
      <w:pPr>
        <w:ind w:firstLine="400" w:firstLineChars="200"/>
        <w:rPr>
          <w:rFonts w:ascii="宋体" w:hAnsi="宋体" w:cs="宋体"/>
          <w:bCs/>
          <w:sz w:val="20"/>
        </w:rPr>
      </w:pPr>
      <w:r>
        <w:rPr>
          <w:rFonts w:hint="eastAsia" w:ascii="宋体" w:hAnsi="宋体" w:cs="宋体"/>
          <w:bCs/>
          <w:sz w:val="20"/>
        </w:rPr>
        <w:t>投标保证金，形式（电汇、支票、汇票或现金），金额为　　　　元。</w:t>
      </w:r>
    </w:p>
    <w:p>
      <w:pPr>
        <w:ind w:firstLine="400" w:firstLineChars="200"/>
        <w:rPr>
          <w:rFonts w:ascii="宋体" w:hAnsi="宋体" w:cs="宋体"/>
          <w:bCs/>
          <w:sz w:val="20"/>
        </w:rPr>
      </w:pPr>
      <w:r>
        <w:rPr>
          <w:rFonts w:hint="eastAsia" w:ascii="宋体" w:hAnsi="宋体" w:cs="宋体"/>
          <w:bCs/>
          <w:sz w:val="20"/>
        </w:rPr>
        <w:t>据此函，签字代表宣布并同意如下：</w:t>
      </w:r>
    </w:p>
    <w:p>
      <w:pPr>
        <w:ind w:firstLine="400" w:firstLineChars="200"/>
        <w:rPr>
          <w:rFonts w:ascii="宋体" w:hAnsi="宋体" w:cs="宋体"/>
          <w:bCs/>
          <w:sz w:val="20"/>
        </w:rPr>
      </w:pPr>
      <w:r>
        <w:rPr>
          <w:rFonts w:hint="eastAsia" w:ascii="宋体" w:hAnsi="宋体" w:cs="宋体"/>
          <w:bCs/>
          <w:sz w:val="20"/>
        </w:rPr>
        <w:t>1、所附投标报价表中规定的应提交和交付的货物和服务投标总价为（注明币种，  并用文字和数字表示的投标总价）。</w:t>
      </w:r>
    </w:p>
    <w:p>
      <w:pPr>
        <w:ind w:firstLine="400" w:firstLineChars="200"/>
        <w:rPr>
          <w:rFonts w:ascii="宋体" w:hAnsi="宋体" w:cs="宋体"/>
          <w:bCs/>
          <w:sz w:val="20"/>
        </w:rPr>
      </w:pPr>
      <w:r>
        <w:rPr>
          <w:rFonts w:hint="eastAsia" w:ascii="宋体" w:hAnsi="宋体" w:cs="宋体"/>
          <w:bCs/>
          <w:sz w:val="20"/>
        </w:rPr>
        <w:t>2、投标方将按招标文件的规定履行合同责任和义务；</w:t>
      </w:r>
    </w:p>
    <w:p>
      <w:pPr>
        <w:ind w:firstLine="400" w:firstLineChars="200"/>
        <w:rPr>
          <w:rFonts w:ascii="宋体" w:hAnsi="宋体" w:cs="宋体"/>
          <w:bCs/>
          <w:sz w:val="20"/>
        </w:rPr>
      </w:pPr>
      <w:r>
        <w:rPr>
          <w:rFonts w:hint="eastAsia" w:ascii="宋体" w:hAnsi="宋体" w:cs="宋体"/>
          <w:bCs/>
          <w:sz w:val="20"/>
        </w:rPr>
        <w:t>3、投标方已详细阅读并理解了招标文件的全部，包括修改文件（如有的话）。我们完全理解并同意放弃对这方面有不明及误解的权利。</w:t>
      </w:r>
    </w:p>
    <w:p>
      <w:pPr>
        <w:ind w:firstLine="400" w:firstLineChars="200"/>
        <w:rPr>
          <w:rFonts w:ascii="宋体" w:hAnsi="宋体" w:cs="宋体"/>
          <w:bCs/>
          <w:sz w:val="20"/>
        </w:rPr>
      </w:pPr>
      <w:r>
        <w:rPr>
          <w:rFonts w:hint="eastAsia" w:ascii="宋体" w:hAnsi="宋体" w:cs="宋体"/>
          <w:bCs/>
          <w:sz w:val="20"/>
        </w:rPr>
        <w:t>4、本投标有效期自开标之日起　　　个日历日。</w:t>
      </w:r>
    </w:p>
    <w:p>
      <w:pPr>
        <w:ind w:firstLine="400" w:firstLineChars="200"/>
        <w:rPr>
          <w:rFonts w:ascii="宋体" w:hAnsi="宋体" w:cs="宋体"/>
          <w:bCs/>
          <w:sz w:val="20"/>
        </w:rPr>
      </w:pPr>
      <w:r>
        <w:rPr>
          <w:rFonts w:hint="eastAsia" w:ascii="宋体" w:hAnsi="宋体" w:cs="宋体"/>
          <w:bCs/>
          <w:sz w:val="20"/>
        </w:rPr>
        <w:t>5、在规定的开标时间后，如果在投标有效期内撤回投标，同意投标保证金将被贵方没收。</w:t>
      </w:r>
    </w:p>
    <w:p>
      <w:pPr>
        <w:ind w:firstLine="400" w:firstLineChars="200"/>
        <w:rPr>
          <w:rFonts w:ascii="宋体" w:hAnsi="宋体" w:cs="宋体"/>
          <w:bCs/>
          <w:sz w:val="20"/>
        </w:rPr>
      </w:pPr>
      <w:r>
        <w:rPr>
          <w:rFonts w:hint="eastAsia" w:ascii="宋体" w:hAnsi="宋体" w:cs="宋体"/>
          <w:bCs/>
          <w:sz w:val="20"/>
        </w:rPr>
        <w:t>6、投标人同意提供按照贵方可能要求的与其投标有关的一切数据或资料，完全理解贵方不一定接受最低价的投标或收到的任何投标的约定。</w:t>
      </w:r>
    </w:p>
    <w:p>
      <w:pPr>
        <w:ind w:firstLine="400" w:firstLineChars="200"/>
        <w:rPr>
          <w:rFonts w:ascii="宋体" w:hAnsi="宋体" w:cs="宋体"/>
          <w:bCs/>
          <w:sz w:val="20"/>
        </w:rPr>
      </w:pPr>
      <w:r>
        <w:rPr>
          <w:rFonts w:hint="eastAsia" w:ascii="宋体" w:hAnsi="宋体" w:cs="宋体"/>
          <w:bCs/>
          <w:sz w:val="20"/>
        </w:rPr>
        <w:t>7、与本投标有关的一切正式往来信函请寄：</w:t>
      </w:r>
    </w:p>
    <w:p>
      <w:pPr>
        <w:ind w:firstLine="600" w:firstLineChars="300"/>
        <w:rPr>
          <w:rFonts w:ascii="宋体" w:hAnsi="宋体" w:cs="宋体"/>
          <w:bCs/>
          <w:sz w:val="20"/>
        </w:rPr>
      </w:pPr>
      <w:r>
        <w:rPr>
          <w:rFonts w:hint="eastAsia" w:ascii="宋体" w:hAnsi="宋体" w:cs="宋体"/>
          <w:bCs/>
          <w:sz w:val="20"/>
        </w:rPr>
        <w:t>地　　　　　 址：　　　　　　　　    　　邮编：　　　　   　　　　　</w:t>
      </w:r>
    </w:p>
    <w:p>
      <w:pPr>
        <w:ind w:firstLine="400" w:firstLineChars="200"/>
        <w:rPr>
          <w:rFonts w:ascii="宋体" w:hAnsi="宋体" w:cs="宋体"/>
          <w:bCs/>
          <w:sz w:val="20"/>
        </w:rPr>
      </w:pPr>
      <w:r>
        <w:rPr>
          <w:rFonts w:hint="eastAsia" w:ascii="宋体" w:hAnsi="宋体" w:cs="宋体"/>
          <w:bCs/>
          <w:sz w:val="20"/>
        </w:rPr>
        <w:t>　电　　　　　 话：　　　　　　　　　　    传真：　   　　　　　　　　</w:t>
      </w:r>
    </w:p>
    <w:p>
      <w:pPr>
        <w:ind w:firstLine="400" w:firstLineChars="200"/>
        <w:rPr>
          <w:rFonts w:ascii="宋体" w:hAnsi="宋体" w:cs="宋体"/>
          <w:bCs/>
          <w:sz w:val="20"/>
        </w:rPr>
      </w:pPr>
      <w:r>
        <w:rPr>
          <w:rFonts w:hint="eastAsia" w:ascii="宋体" w:hAnsi="宋体" w:cs="宋体"/>
          <w:bCs/>
          <w:sz w:val="20"/>
        </w:rPr>
        <w:t>　投标人代表签字：　　　　　　　　　　　　　</w:t>
      </w:r>
    </w:p>
    <w:p>
      <w:pPr>
        <w:ind w:firstLine="400" w:firstLineChars="200"/>
        <w:rPr>
          <w:rFonts w:ascii="宋体" w:hAnsi="宋体" w:cs="宋体"/>
          <w:bCs/>
          <w:sz w:val="20"/>
        </w:rPr>
      </w:pPr>
      <w:r>
        <w:rPr>
          <w:rFonts w:hint="eastAsia" w:ascii="宋体" w:hAnsi="宋体" w:cs="宋体"/>
          <w:bCs/>
          <w:sz w:val="20"/>
        </w:rPr>
        <w:t>　投 标 人 名 称：　      　　　　　　　　　</w:t>
      </w:r>
    </w:p>
    <w:p>
      <w:pPr>
        <w:ind w:firstLine="400" w:firstLineChars="200"/>
        <w:rPr>
          <w:rFonts w:ascii="宋体" w:hAnsi="宋体" w:cs="宋体"/>
          <w:bCs/>
          <w:sz w:val="20"/>
        </w:rPr>
      </w:pPr>
      <w:r>
        <w:rPr>
          <w:rFonts w:hint="eastAsia" w:ascii="宋体" w:hAnsi="宋体" w:cs="宋体"/>
          <w:bCs/>
          <w:sz w:val="20"/>
        </w:rPr>
        <w:t>　公          章：　　　　　　　　　　　　　</w:t>
      </w:r>
    </w:p>
    <w:p>
      <w:pPr>
        <w:ind w:firstLine="400" w:firstLineChars="200"/>
        <w:rPr>
          <w:rFonts w:ascii="宋体" w:hAnsi="宋体" w:cs="宋体"/>
          <w:bCs/>
          <w:sz w:val="20"/>
        </w:rPr>
      </w:pPr>
      <w:r>
        <w:rPr>
          <w:rFonts w:hint="eastAsia" w:ascii="宋体" w:hAnsi="宋体" w:cs="宋体"/>
          <w:bCs/>
          <w:sz w:val="20"/>
        </w:rPr>
        <w:t>　　　　　　　　　　　　　　　　　　　　 20 　年　 月   日</w:t>
      </w:r>
    </w:p>
    <w:p>
      <w:pPr>
        <w:rPr>
          <w:rFonts w:ascii="宋体" w:hAnsi="宋体" w:cs="宋体"/>
          <w:b/>
          <w:sz w:val="20"/>
        </w:rPr>
      </w:pPr>
    </w:p>
    <w:p>
      <w:pPr>
        <w:jc w:val="center"/>
        <w:rPr>
          <w:rFonts w:ascii="宋体" w:hAnsi="宋体" w:cs="宋体"/>
          <w:b/>
          <w:sz w:val="20"/>
        </w:rPr>
      </w:pPr>
    </w:p>
    <w:p>
      <w:pPr>
        <w:jc w:val="center"/>
        <w:outlineLvl w:val="0"/>
        <w:rPr>
          <w:rFonts w:hint="eastAsia" w:ascii="宋体" w:hAnsi="宋体" w:cs="宋体"/>
          <w:b/>
          <w:sz w:val="20"/>
        </w:rPr>
      </w:pPr>
      <w:bookmarkStart w:id="50" w:name="_Toc13884"/>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ascii="宋体" w:hAnsi="宋体" w:cs="宋体"/>
          <w:b/>
          <w:sz w:val="20"/>
        </w:rPr>
      </w:pPr>
      <w:r>
        <w:rPr>
          <w:rFonts w:hint="eastAsia" w:ascii="宋体" w:hAnsi="宋体" w:cs="宋体"/>
          <w:b/>
          <w:sz w:val="20"/>
        </w:rPr>
        <w:t>（二）法人代表授权书格式</w:t>
      </w:r>
      <w:bookmarkEnd w:id="50"/>
    </w:p>
    <w:p>
      <w:pPr>
        <w:ind w:firstLine="400" w:firstLineChars="200"/>
        <w:rPr>
          <w:rFonts w:ascii="宋体" w:hAnsi="宋体" w:cs="宋体"/>
          <w:bCs/>
          <w:sz w:val="20"/>
        </w:rPr>
      </w:pPr>
    </w:p>
    <w:p>
      <w:pPr>
        <w:ind w:firstLine="400" w:firstLineChars="200"/>
        <w:rPr>
          <w:rFonts w:ascii="宋体" w:hAnsi="宋体" w:cs="宋体"/>
          <w:bCs/>
          <w:sz w:val="20"/>
        </w:rPr>
      </w:pPr>
      <w:r>
        <w:rPr>
          <w:rFonts w:hint="eastAsia" w:ascii="宋体" w:hAnsi="宋体" w:cs="宋体"/>
          <w:bCs/>
          <w:sz w:val="20"/>
        </w:rPr>
        <w:t>本授权书声明：注册于（地区的名称）的（公司名称），在下面签字的法人代表（姓名、职务），代表本公司授权在下面签字的（被授权人的姓名、职务）为本公司的合法代理人，就　（项目名称）　的投标，以本公司的名义处理一切与之有关的事务。</w:t>
      </w:r>
    </w:p>
    <w:p>
      <w:pPr>
        <w:ind w:firstLine="400" w:firstLineChars="200"/>
        <w:rPr>
          <w:rFonts w:ascii="宋体" w:hAnsi="宋体" w:cs="宋体"/>
          <w:bCs/>
          <w:sz w:val="20"/>
        </w:rPr>
      </w:pPr>
      <w:r>
        <w:rPr>
          <w:rFonts w:hint="eastAsia" w:ascii="宋体" w:hAnsi="宋体" w:cs="宋体"/>
          <w:bCs/>
          <w:sz w:val="20"/>
        </w:rPr>
        <w:t>本授权书于20　 年　月　日签字生效，特此声明。</w:t>
      </w:r>
    </w:p>
    <w:p>
      <w:pPr>
        <w:ind w:firstLine="400" w:firstLineChars="200"/>
        <w:rPr>
          <w:rFonts w:ascii="宋体" w:hAnsi="宋体" w:cs="宋体"/>
          <w:bCs/>
          <w:sz w:val="20"/>
        </w:rPr>
      </w:pPr>
    </w:p>
    <w:p>
      <w:pPr>
        <w:ind w:firstLine="400" w:firstLineChars="200"/>
        <w:rPr>
          <w:rFonts w:ascii="宋体" w:hAnsi="宋体" w:cs="宋体"/>
          <w:bCs/>
          <w:sz w:val="20"/>
        </w:rPr>
      </w:pPr>
      <w:r>
        <w:rPr>
          <w:rFonts w:hint="eastAsia" w:ascii="宋体" w:hAnsi="宋体" w:cs="宋体"/>
          <w:bCs/>
          <w:sz w:val="20"/>
        </w:rPr>
        <w:t>法人代表签字　　　　　　　　　　　　　　　　　</w:t>
      </w:r>
    </w:p>
    <w:p>
      <w:pPr>
        <w:ind w:firstLine="400" w:firstLineChars="200"/>
        <w:rPr>
          <w:rFonts w:ascii="宋体" w:hAnsi="宋体" w:cs="宋体"/>
          <w:bCs/>
          <w:sz w:val="20"/>
        </w:rPr>
      </w:pPr>
      <w:r>
        <w:rPr>
          <w:rFonts w:hint="eastAsia" w:ascii="宋体" w:hAnsi="宋体" w:cs="宋体"/>
          <w:bCs/>
          <w:sz w:val="20"/>
        </w:rPr>
        <w:t>被授权人签字　　　　　　　　　　　　　　　　　</w:t>
      </w:r>
    </w:p>
    <w:p>
      <w:pPr>
        <w:ind w:firstLine="400" w:firstLineChars="200"/>
        <w:rPr>
          <w:rFonts w:ascii="宋体" w:hAnsi="宋体" w:cs="宋体"/>
          <w:bCs/>
          <w:sz w:val="20"/>
        </w:rPr>
      </w:pPr>
      <w:r>
        <w:rPr>
          <w:rFonts w:hint="eastAsia" w:ascii="宋体" w:hAnsi="宋体" w:cs="宋体"/>
          <w:bCs/>
          <w:sz w:val="20"/>
        </w:rPr>
        <w:t xml:space="preserve">公      章：                         </w:t>
      </w:r>
    </w:p>
    <w:p>
      <w:pPr>
        <w:ind w:firstLine="400" w:firstLineChars="200"/>
        <w:rPr>
          <w:rFonts w:ascii="宋体" w:hAnsi="宋体" w:cs="宋体"/>
          <w:bCs/>
          <w:sz w:val="20"/>
        </w:rPr>
      </w:pPr>
      <w:r>
        <w:rPr>
          <w:rFonts w:hint="eastAsia" w:ascii="宋体" w:hAnsi="宋体" w:cs="宋体"/>
          <w:bCs/>
          <w:sz w:val="20"/>
        </w:rPr>
        <w:t>　　　　　　　　　　　　　　授权日期：20　　年　　月　　日</w:t>
      </w:r>
    </w:p>
    <w:p>
      <w:pPr>
        <w:rPr>
          <w:rFonts w:ascii="宋体" w:hAnsi="宋体" w:cs="宋体"/>
          <w:sz w:val="20"/>
        </w:rPr>
      </w:pPr>
    </w:p>
    <w:p>
      <w:pPr>
        <w:ind w:firstLine="402" w:firstLineChars="200"/>
        <w:rPr>
          <w:rFonts w:ascii="宋体" w:hAnsi="宋体" w:cs="宋体"/>
          <w:b/>
          <w:sz w:val="20"/>
        </w:rPr>
      </w:pPr>
      <w:r>
        <w:rPr>
          <w:rFonts w:hint="eastAsia" w:ascii="宋体" w:hAnsi="宋体" w:cs="宋体"/>
          <w:b/>
          <w:sz w:val="20"/>
        </w:rPr>
        <w:t>注：法人代表本人作为公司代理人前来参加投标的投标方，可不提供此项证明文件。</w:t>
      </w:r>
    </w:p>
    <w:p>
      <w:pPr>
        <w:spacing w:line="440" w:lineRule="exact"/>
        <w:jc w:val="center"/>
        <w:outlineLvl w:val="0"/>
        <w:rPr>
          <w:rFonts w:ascii="宋体" w:hAnsi="宋体" w:cs="宋体"/>
          <w:b/>
          <w:sz w:val="20"/>
        </w:rPr>
      </w:pPr>
      <w:bookmarkStart w:id="51" w:name="_Toc23744"/>
      <w:r>
        <w:rPr>
          <w:rFonts w:hint="eastAsia" w:ascii="宋体" w:hAnsi="宋体" w:cs="宋体"/>
          <w:b/>
          <w:sz w:val="20"/>
        </w:rPr>
        <w:t>（三）开标一览表</w:t>
      </w:r>
      <w:bookmarkEnd w:id="51"/>
    </w:p>
    <w:p>
      <w:pPr>
        <w:pStyle w:val="385"/>
        <w:spacing w:line="360" w:lineRule="auto"/>
        <w:ind w:left="145" w:leftChars="-86" w:hanging="326" w:hangingChars="163"/>
        <w:jc w:val="both"/>
        <w:rPr>
          <w:rFonts w:ascii="宋体" w:hAnsi="宋体" w:cs="宋体"/>
          <w:color w:val="auto"/>
          <w:sz w:val="20"/>
          <w:szCs w:val="20"/>
        </w:rPr>
      </w:pPr>
      <w:r>
        <w:rPr>
          <w:rFonts w:hint="eastAsia" w:ascii="宋体" w:hAnsi="宋体" w:cs="宋体"/>
          <w:color w:val="auto"/>
          <w:sz w:val="20"/>
          <w:szCs w:val="20"/>
        </w:rPr>
        <w:t>投标人名称：                      招标项目名称：</w:t>
      </w:r>
    </w:p>
    <w:p>
      <w:pPr>
        <w:pStyle w:val="385"/>
        <w:spacing w:line="360" w:lineRule="auto"/>
        <w:ind w:left="145" w:leftChars="-86" w:hanging="326" w:hangingChars="163"/>
        <w:jc w:val="both"/>
        <w:rPr>
          <w:rFonts w:ascii="宋体" w:hAnsi="宋体" w:cs="宋体"/>
          <w:color w:val="auto"/>
          <w:sz w:val="20"/>
          <w:szCs w:val="20"/>
        </w:rPr>
      </w:pPr>
      <w:r>
        <w:rPr>
          <w:rFonts w:hint="eastAsia" w:ascii="宋体" w:hAnsi="宋体" w:cs="宋体"/>
          <w:color w:val="auto"/>
          <w:sz w:val="20"/>
          <w:szCs w:val="20"/>
        </w:rPr>
        <w:t>招标文件编号：</w:t>
      </w:r>
    </w:p>
    <w:tbl>
      <w:tblPr>
        <w:tblStyle w:val="7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900"/>
        <w:gridCol w:w="1260"/>
        <w:gridCol w:w="180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center"/>
          </w:tcPr>
          <w:p>
            <w:pPr>
              <w:pStyle w:val="385"/>
              <w:ind w:left="-206" w:leftChars="-342" w:right="-743" w:rightChars="-354" w:hanging="512" w:hangingChars="256"/>
              <w:jc w:val="center"/>
              <w:rPr>
                <w:rFonts w:ascii="宋体" w:hAnsi="宋体" w:cs="宋体"/>
                <w:color w:val="auto"/>
                <w:sz w:val="20"/>
                <w:szCs w:val="20"/>
              </w:rPr>
            </w:pPr>
            <w:r>
              <w:rPr>
                <w:rFonts w:hint="eastAsia" w:ascii="宋体" w:hAnsi="宋体" w:cs="宋体"/>
                <w:color w:val="auto"/>
                <w:sz w:val="20"/>
                <w:szCs w:val="20"/>
              </w:rPr>
              <w:t>序号</w:t>
            </w:r>
          </w:p>
        </w:tc>
        <w:tc>
          <w:tcPr>
            <w:tcW w:w="900" w:type="dxa"/>
            <w:vAlign w:val="center"/>
          </w:tcPr>
          <w:p>
            <w:pPr>
              <w:pStyle w:val="385"/>
              <w:ind w:left="-254" w:leftChars="-422" w:right="-743" w:rightChars="-354" w:hanging="632" w:hangingChars="316"/>
              <w:jc w:val="center"/>
              <w:rPr>
                <w:rFonts w:ascii="宋体" w:hAnsi="宋体" w:cs="宋体"/>
                <w:color w:val="auto"/>
                <w:sz w:val="20"/>
                <w:szCs w:val="20"/>
              </w:rPr>
            </w:pPr>
            <w:r>
              <w:rPr>
                <w:rFonts w:hint="eastAsia" w:ascii="宋体" w:hAnsi="宋体" w:cs="宋体"/>
                <w:color w:val="auto"/>
                <w:sz w:val="20"/>
                <w:szCs w:val="20"/>
              </w:rPr>
              <w:t>名称</w:t>
            </w:r>
          </w:p>
        </w:tc>
        <w:tc>
          <w:tcPr>
            <w:tcW w:w="900" w:type="dxa"/>
            <w:vAlign w:val="center"/>
          </w:tcPr>
          <w:p>
            <w:pPr>
              <w:pStyle w:val="385"/>
              <w:ind w:right="-743" w:rightChars="-354"/>
              <w:rPr>
                <w:rFonts w:ascii="宋体" w:hAnsi="宋体" w:cs="宋体"/>
                <w:color w:val="auto"/>
                <w:sz w:val="20"/>
                <w:szCs w:val="20"/>
              </w:rPr>
            </w:pPr>
            <w:r>
              <w:rPr>
                <w:rFonts w:hint="eastAsia" w:ascii="宋体" w:hAnsi="宋体" w:cs="宋体"/>
                <w:color w:val="auto"/>
                <w:sz w:val="20"/>
                <w:szCs w:val="20"/>
              </w:rPr>
              <w:t>产地</w:t>
            </w:r>
          </w:p>
        </w:tc>
        <w:tc>
          <w:tcPr>
            <w:tcW w:w="1260" w:type="dxa"/>
            <w:vAlign w:val="center"/>
          </w:tcPr>
          <w:p>
            <w:pPr>
              <w:pStyle w:val="385"/>
              <w:ind w:right="-743" w:rightChars="-354"/>
              <w:rPr>
                <w:rFonts w:ascii="宋体" w:hAnsi="宋体" w:cs="宋体"/>
                <w:color w:val="auto"/>
                <w:sz w:val="20"/>
                <w:szCs w:val="20"/>
              </w:rPr>
            </w:pPr>
            <w:r>
              <w:rPr>
                <w:rFonts w:hint="eastAsia" w:ascii="宋体" w:hAnsi="宋体" w:cs="宋体"/>
                <w:color w:val="auto"/>
                <w:sz w:val="20"/>
                <w:szCs w:val="20"/>
              </w:rPr>
              <w:t>品牌及型号</w:t>
            </w:r>
          </w:p>
        </w:tc>
        <w:tc>
          <w:tcPr>
            <w:tcW w:w="1800" w:type="dxa"/>
            <w:vAlign w:val="center"/>
          </w:tcPr>
          <w:p>
            <w:pPr>
              <w:pStyle w:val="385"/>
              <w:ind w:left="-342" w:right="-354"/>
              <w:jc w:val="center"/>
              <w:rPr>
                <w:rFonts w:ascii="宋体" w:hAnsi="宋体" w:cs="宋体"/>
                <w:color w:val="auto"/>
                <w:sz w:val="20"/>
                <w:szCs w:val="20"/>
              </w:rPr>
            </w:pPr>
            <w:r>
              <w:rPr>
                <w:rFonts w:hint="eastAsia" w:ascii="宋体" w:hAnsi="宋体" w:cs="宋体"/>
                <w:color w:val="auto"/>
                <w:sz w:val="20"/>
                <w:szCs w:val="20"/>
              </w:rPr>
              <w:t>投标报价（万元）</w:t>
            </w:r>
          </w:p>
        </w:tc>
        <w:tc>
          <w:tcPr>
            <w:tcW w:w="1260" w:type="dxa"/>
            <w:vAlign w:val="center"/>
          </w:tcPr>
          <w:p>
            <w:pPr>
              <w:pStyle w:val="385"/>
              <w:ind w:left="-342" w:right="-354"/>
              <w:jc w:val="center"/>
              <w:rPr>
                <w:rFonts w:ascii="宋体" w:hAnsi="宋体" w:cs="宋体"/>
                <w:color w:val="auto"/>
                <w:sz w:val="20"/>
                <w:szCs w:val="20"/>
              </w:rPr>
            </w:pPr>
            <w:r>
              <w:rPr>
                <w:rFonts w:hint="eastAsia" w:ascii="宋体" w:hAnsi="宋体" w:cs="宋体"/>
                <w:color w:val="auto"/>
                <w:sz w:val="20"/>
                <w:szCs w:val="20"/>
              </w:rPr>
              <w:t>交货日期</w:t>
            </w:r>
          </w:p>
        </w:tc>
        <w:tc>
          <w:tcPr>
            <w:tcW w:w="1620" w:type="dxa"/>
            <w:vAlign w:val="center"/>
          </w:tcPr>
          <w:p>
            <w:pPr>
              <w:pStyle w:val="385"/>
              <w:ind w:left="-342" w:right="-354"/>
              <w:jc w:val="center"/>
              <w:rPr>
                <w:rFonts w:ascii="宋体" w:hAnsi="宋体" w:cs="宋体"/>
                <w:color w:val="auto"/>
                <w:sz w:val="20"/>
                <w:szCs w:val="20"/>
              </w:rPr>
            </w:pPr>
            <w:r>
              <w:rPr>
                <w:rFonts w:hint="eastAsia" w:ascii="宋体" w:hAnsi="宋体" w:cs="宋体"/>
                <w:color w:val="auto"/>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center"/>
          </w:tcPr>
          <w:p>
            <w:pPr>
              <w:pStyle w:val="385"/>
              <w:ind w:left="-342" w:right="-354"/>
              <w:jc w:val="center"/>
              <w:rPr>
                <w:rFonts w:ascii="宋体" w:hAnsi="宋体" w:cs="宋体"/>
                <w:color w:val="auto"/>
                <w:sz w:val="20"/>
                <w:szCs w:val="20"/>
              </w:rPr>
            </w:pPr>
          </w:p>
        </w:tc>
        <w:tc>
          <w:tcPr>
            <w:tcW w:w="900" w:type="dxa"/>
            <w:vAlign w:val="center"/>
          </w:tcPr>
          <w:p>
            <w:pPr>
              <w:pStyle w:val="385"/>
              <w:ind w:left="-342" w:right="-354"/>
              <w:jc w:val="center"/>
              <w:rPr>
                <w:rFonts w:ascii="宋体" w:hAnsi="宋体" w:cs="宋体"/>
                <w:color w:val="auto"/>
                <w:sz w:val="20"/>
                <w:szCs w:val="20"/>
              </w:rPr>
            </w:pPr>
          </w:p>
        </w:tc>
        <w:tc>
          <w:tcPr>
            <w:tcW w:w="900" w:type="dxa"/>
            <w:vAlign w:val="center"/>
          </w:tcPr>
          <w:p>
            <w:pPr>
              <w:pStyle w:val="385"/>
              <w:ind w:left="-342" w:right="-354"/>
              <w:jc w:val="center"/>
              <w:rPr>
                <w:rFonts w:ascii="宋体" w:hAnsi="宋体" w:cs="宋体"/>
                <w:color w:val="auto"/>
                <w:sz w:val="20"/>
                <w:szCs w:val="20"/>
              </w:rPr>
            </w:pPr>
          </w:p>
        </w:tc>
        <w:tc>
          <w:tcPr>
            <w:tcW w:w="1260" w:type="dxa"/>
            <w:vAlign w:val="center"/>
          </w:tcPr>
          <w:p>
            <w:pPr>
              <w:pStyle w:val="385"/>
              <w:ind w:left="-342" w:right="-354"/>
              <w:jc w:val="center"/>
              <w:rPr>
                <w:rFonts w:ascii="宋体" w:hAnsi="宋体" w:cs="宋体"/>
                <w:color w:val="auto"/>
                <w:sz w:val="20"/>
                <w:szCs w:val="20"/>
              </w:rPr>
            </w:pPr>
          </w:p>
        </w:tc>
        <w:tc>
          <w:tcPr>
            <w:tcW w:w="1800" w:type="dxa"/>
            <w:vAlign w:val="center"/>
          </w:tcPr>
          <w:p>
            <w:pPr>
              <w:pStyle w:val="385"/>
              <w:ind w:left="-342" w:right="-354"/>
              <w:jc w:val="center"/>
              <w:rPr>
                <w:rFonts w:ascii="宋体" w:hAnsi="宋体" w:cs="宋体"/>
                <w:color w:val="auto"/>
                <w:sz w:val="20"/>
                <w:szCs w:val="20"/>
              </w:rPr>
            </w:pPr>
          </w:p>
        </w:tc>
        <w:tc>
          <w:tcPr>
            <w:tcW w:w="1260" w:type="dxa"/>
            <w:vAlign w:val="center"/>
          </w:tcPr>
          <w:p>
            <w:pPr>
              <w:pStyle w:val="385"/>
              <w:ind w:left="-342" w:right="-354"/>
              <w:jc w:val="center"/>
              <w:rPr>
                <w:rFonts w:ascii="宋体" w:hAnsi="宋体" w:cs="宋体"/>
                <w:color w:val="auto"/>
                <w:sz w:val="20"/>
                <w:szCs w:val="20"/>
              </w:rPr>
            </w:pPr>
          </w:p>
        </w:tc>
        <w:tc>
          <w:tcPr>
            <w:tcW w:w="1620" w:type="dxa"/>
            <w:vAlign w:val="center"/>
          </w:tcPr>
          <w:p>
            <w:pPr>
              <w:pStyle w:val="385"/>
              <w:ind w:left="-342" w:right="-354"/>
              <w:jc w:val="cente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gridSpan w:val="7"/>
            <w:vAlign w:val="center"/>
          </w:tcPr>
          <w:p>
            <w:pPr>
              <w:pStyle w:val="385"/>
              <w:ind w:right="-354"/>
              <w:jc w:val="both"/>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vAlign w:val="center"/>
          </w:tcPr>
          <w:p>
            <w:pPr>
              <w:pStyle w:val="385"/>
              <w:ind w:left="-342" w:right="-354"/>
              <w:jc w:val="center"/>
              <w:rPr>
                <w:rFonts w:ascii="宋体" w:hAnsi="宋体" w:cs="宋体"/>
                <w:color w:val="auto"/>
                <w:sz w:val="20"/>
                <w:szCs w:val="20"/>
              </w:rPr>
            </w:pPr>
          </w:p>
        </w:tc>
        <w:tc>
          <w:tcPr>
            <w:tcW w:w="900" w:type="dxa"/>
            <w:vAlign w:val="center"/>
          </w:tcPr>
          <w:p>
            <w:pPr>
              <w:pStyle w:val="385"/>
              <w:ind w:left="-342" w:right="69" w:firstLine="222" w:firstLineChars="111"/>
              <w:jc w:val="center"/>
              <w:rPr>
                <w:rFonts w:ascii="宋体" w:hAnsi="宋体" w:cs="宋体"/>
                <w:color w:val="auto"/>
                <w:sz w:val="20"/>
                <w:szCs w:val="20"/>
              </w:rPr>
            </w:pPr>
          </w:p>
        </w:tc>
        <w:tc>
          <w:tcPr>
            <w:tcW w:w="900" w:type="dxa"/>
            <w:vAlign w:val="center"/>
          </w:tcPr>
          <w:p>
            <w:pPr>
              <w:pStyle w:val="385"/>
              <w:ind w:left="-342" w:right="69" w:firstLine="222" w:firstLineChars="111"/>
              <w:jc w:val="center"/>
              <w:rPr>
                <w:rFonts w:ascii="宋体" w:hAnsi="宋体" w:cs="宋体"/>
                <w:color w:val="auto"/>
                <w:sz w:val="20"/>
                <w:szCs w:val="20"/>
              </w:rPr>
            </w:pPr>
          </w:p>
        </w:tc>
        <w:tc>
          <w:tcPr>
            <w:tcW w:w="1260" w:type="dxa"/>
            <w:vAlign w:val="center"/>
          </w:tcPr>
          <w:p>
            <w:pPr>
              <w:pStyle w:val="385"/>
              <w:ind w:left="-342" w:right="69" w:firstLine="222" w:firstLineChars="111"/>
              <w:jc w:val="center"/>
              <w:rPr>
                <w:rFonts w:ascii="宋体" w:hAnsi="宋体" w:cs="宋体"/>
                <w:color w:val="auto"/>
                <w:sz w:val="20"/>
                <w:szCs w:val="20"/>
              </w:rPr>
            </w:pPr>
          </w:p>
        </w:tc>
        <w:tc>
          <w:tcPr>
            <w:tcW w:w="1800" w:type="dxa"/>
            <w:vAlign w:val="center"/>
          </w:tcPr>
          <w:p>
            <w:pPr>
              <w:pStyle w:val="385"/>
              <w:ind w:left="-342" w:right="-354"/>
              <w:jc w:val="center"/>
              <w:rPr>
                <w:rFonts w:ascii="宋体" w:hAnsi="宋体" w:cs="宋体"/>
                <w:color w:val="auto"/>
                <w:sz w:val="20"/>
                <w:szCs w:val="20"/>
              </w:rPr>
            </w:pPr>
          </w:p>
        </w:tc>
        <w:tc>
          <w:tcPr>
            <w:tcW w:w="1260" w:type="dxa"/>
            <w:vAlign w:val="center"/>
          </w:tcPr>
          <w:p>
            <w:pPr>
              <w:pStyle w:val="385"/>
              <w:ind w:left="-342" w:right="-354"/>
              <w:jc w:val="center"/>
              <w:rPr>
                <w:rFonts w:ascii="宋体" w:hAnsi="宋体" w:cs="宋体"/>
                <w:color w:val="auto"/>
                <w:sz w:val="20"/>
                <w:szCs w:val="20"/>
              </w:rPr>
            </w:pPr>
          </w:p>
        </w:tc>
        <w:tc>
          <w:tcPr>
            <w:tcW w:w="1620" w:type="dxa"/>
            <w:vAlign w:val="center"/>
          </w:tcPr>
          <w:p>
            <w:pPr>
              <w:pStyle w:val="385"/>
              <w:ind w:left="-342" w:right="-354"/>
              <w:jc w:val="center"/>
              <w:rPr>
                <w:rFonts w:ascii="宋体" w:hAnsi="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gridSpan w:val="7"/>
            <w:vAlign w:val="center"/>
          </w:tcPr>
          <w:p>
            <w:pPr>
              <w:pStyle w:val="385"/>
              <w:ind w:left="-342" w:right="-354" w:firstLine="324" w:firstLineChars="162"/>
              <w:jc w:val="both"/>
              <w:rPr>
                <w:rFonts w:ascii="宋体" w:hAnsi="宋体" w:cs="宋体"/>
                <w:color w:val="auto"/>
                <w:sz w:val="20"/>
                <w:szCs w:val="20"/>
              </w:rPr>
            </w:pPr>
            <w:r>
              <w:rPr>
                <w:rFonts w:hint="eastAsia" w:ascii="宋体" w:hAnsi="宋体" w:cs="宋体"/>
                <w:color w:val="auto"/>
                <w:sz w:val="20"/>
                <w:szCs w:val="20"/>
              </w:rPr>
              <w:t>人民币大写：</w:t>
            </w:r>
          </w:p>
        </w:tc>
      </w:tr>
    </w:tbl>
    <w:p>
      <w:pPr>
        <w:pStyle w:val="385"/>
        <w:spacing w:line="360" w:lineRule="auto"/>
        <w:rPr>
          <w:rFonts w:ascii="宋体" w:hAnsi="宋体" w:cs="宋体"/>
          <w:color w:val="auto"/>
          <w:sz w:val="20"/>
          <w:szCs w:val="20"/>
        </w:rPr>
      </w:pPr>
      <w:r>
        <w:rPr>
          <w:rFonts w:hint="eastAsia" w:ascii="宋体" w:hAnsi="宋体" w:cs="宋体"/>
          <w:color w:val="auto"/>
          <w:sz w:val="20"/>
          <w:szCs w:val="20"/>
        </w:rPr>
        <w:t>投标单位法人授权代表签字（盖章）：</w:t>
      </w:r>
    </w:p>
    <w:p>
      <w:pPr>
        <w:pStyle w:val="385"/>
        <w:spacing w:line="360" w:lineRule="auto"/>
        <w:rPr>
          <w:rFonts w:ascii="宋体" w:hAnsi="宋体" w:cs="宋体"/>
          <w:b/>
          <w:color w:val="auto"/>
          <w:sz w:val="20"/>
          <w:szCs w:val="20"/>
        </w:rPr>
      </w:pPr>
      <w:r>
        <w:rPr>
          <w:rFonts w:hint="eastAsia" w:ascii="宋体" w:hAnsi="宋体" w:cs="宋体"/>
          <w:b/>
          <w:color w:val="auto"/>
          <w:sz w:val="20"/>
          <w:szCs w:val="20"/>
        </w:rPr>
        <w:t>注：1、投标报价既要报总价，还要标明单一产品价格；</w:t>
      </w:r>
    </w:p>
    <w:p>
      <w:pPr>
        <w:pStyle w:val="385"/>
        <w:spacing w:line="360" w:lineRule="auto"/>
        <w:ind w:firstLine="402" w:firstLineChars="200"/>
        <w:rPr>
          <w:rFonts w:ascii="宋体" w:hAnsi="宋体" w:cs="宋体"/>
          <w:sz w:val="20"/>
          <w:szCs w:val="20"/>
        </w:rPr>
      </w:pPr>
      <w:r>
        <w:rPr>
          <w:rFonts w:hint="eastAsia" w:ascii="宋体" w:hAnsi="宋体" w:cs="宋体"/>
          <w:b/>
          <w:color w:val="auto"/>
          <w:sz w:val="20"/>
          <w:szCs w:val="20"/>
        </w:rPr>
        <w:t>2、此表与投标函一起单独密封信封、并在信封上标明“开表一览表”字样</w:t>
      </w:r>
    </w:p>
    <w:p>
      <w:pPr>
        <w:spacing w:line="440" w:lineRule="exact"/>
        <w:jc w:val="center"/>
        <w:outlineLvl w:val="0"/>
        <w:rPr>
          <w:rFonts w:hint="eastAsia" w:ascii="宋体" w:hAnsi="宋体" w:cs="宋体"/>
          <w:b/>
          <w:sz w:val="20"/>
        </w:rPr>
      </w:pPr>
      <w:bookmarkStart w:id="52" w:name="_Toc23696"/>
    </w:p>
    <w:p>
      <w:pPr>
        <w:spacing w:line="440" w:lineRule="exact"/>
        <w:jc w:val="center"/>
        <w:outlineLvl w:val="0"/>
        <w:rPr>
          <w:rFonts w:ascii="宋体" w:hAnsi="宋体" w:cs="宋体"/>
          <w:b/>
          <w:sz w:val="20"/>
        </w:rPr>
      </w:pPr>
      <w:r>
        <w:rPr>
          <w:rFonts w:hint="eastAsia" w:ascii="宋体" w:hAnsi="宋体" w:cs="宋体"/>
          <w:b/>
          <w:sz w:val="20"/>
        </w:rPr>
        <w:t>（四）投标方资质证明文件</w:t>
      </w:r>
      <w:bookmarkEnd w:id="52"/>
    </w:p>
    <w:p>
      <w:pPr>
        <w:jc w:val="center"/>
        <w:rPr>
          <w:rFonts w:ascii="宋体" w:hAnsi="宋体" w:cs="宋体"/>
          <w:b/>
          <w:sz w:val="20"/>
        </w:rPr>
      </w:pPr>
    </w:p>
    <w:p>
      <w:pPr>
        <w:jc w:val="center"/>
        <w:outlineLvl w:val="0"/>
        <w:rPr>
          <w:rFonts w:hint="eastAsia" w:ascii="宋体" w:hAnsi="宋体" w:cs="宋体"/>
          <w:b/>
          <w:sz w:val="20"/>
        </w:rPr>
      </w:pPr>
      <w:bookmarkStart w:id="53" w:name="_Toc9400"/>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hint="eastAsia" w:ascii="宋体" w:hAnsi="宋体" w:cs="宋体"/>
          <w:b/>
          <w:sz w:val="20"/>
        </w:rPr>
      </w:pPr>
    </w:p>
    <w:p>
      <w:pPr>
        <w:jc w:val="center"/>
        <w:outlineLvl w:val="0"/>
        <w:rPr>
          <w:rFonts w:ascii="宋体" w:hAnsi="宋体" w:cs="宋体"/>
          <w:b/>
          <w:sz w:val="20"/>
        </w:rPr>
      </w:pPr>
      <w:r>
        <w:rPr>
          <w:rFonts w:hint="eastAsia" w:ascii="宋体" w:hAnsi="宋体" w:cs="宋体"/>
          <w:b/>
          <w:sz w:val="20"/>
        </w:rPr>
        <w:t>（五）设备分项报价表</w:t>
      </w:r>
      <w:bookmarkEnd w:id="53"/>
    </w:p>
    <w:p>
      <w:pPr>
        <w:rPr>
          <w:rFonts w:ascii="宋体" w:hAnsi="宋体" w:cs="宋体"/>
          <w:sz w:val="20"/>
          <w:u w:val="single"/>
        </w:rPr>
      </w:pPr>
      <w:r>
        <w:rPr>
          <w:rFonts w:hint="eastAsia" w:ascii="宋体" w:hAnsi="宋体" w:cs="宋体"/>
          <w:sz w:val="20"/>
        </w:rPr>
        <w:t>投标人名称（公章）：</w:t>
      </w:r>
      <w:r>
        <w:rPr>
          <w:rFonts w:hint="eastAsia" w:ascii="宋体" w:hAnsi="宋体" w:cs="宋体"/>
          <w:sz w:val="20"/>
          <w:u w:val="single"/>
        </w:rPr>
        <w:t xml:space="preserve">         　　　　　  </w:t>
      </w:r>
      <w:r>
        <w:rPr>
          <w:rFonts w:hint="eastAsia" w:ascii="宋体" w:hAnsi="宋体" w:cs="宋体"/>
          <w:sz w:val="20"/>
        </w:rPr>
        <w:t>招标编号：</w:t>
      </w:r>
      <w:r>
        <w:rPr>
          <w:rFonts w:hint="eastAsia" w:ascii="宋体" w:hAnsi="宋体" w:cs="宋体"/>
          <w:sz w:val="20"/>
          <w:u w:val="single"/>
        </w:rPr>
        <w:t>　　　　　　　　　　　</w:t>
      </w:r>
    </w:p>
    <w:p>
      <w:pPr>
        <w:rPr>
          <w:rFonts w:ascii="宋体" w:hAnsi="宋体" w:cs="宋体"/>
          <w:sz w:val="20"/>
          <w:u w:val="single"/>
        </w:rPr>
      </w:pPr>
    </w:p>
    <w:tbl>
      <w:tblPr>
        <w:tblStyle w:val="7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15"/>
        <w:gridCol w:w="1680"/>
        <w:gridCol w:w="1470"/>
        <w:gridCol w:w="840"/>
        <w:gridCol w:w="106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jc w:val="center"/>
              <w:rPr>
                <w:rFonts w:ascii="宋体" w:hAnsi="宋体" w:cs="宋体"/>
                <w:sz w:val="20"/>
              </w:rPr>
            </w:pPr>
            <w:r>
              <w:rPr>
                <w:rFonts w:hint="eastAsia" w:ascii="宋体" w:hAnsi="宋体" w:cs="宋体"/>
                <w:sz w:val="20"/>
              </w:rPr>
              <w:t>序号</w:t>
            </w:r>
          </w:p>
        </w:tc>
        <w:tc>
          <w:tcPr>
            <w:tcW w:w="2115" w:type="dxa"/>
            <w:vAlign w:val="center"/>
          </w:tcPr>
          <w:p>
            <w:pPr>
              <w:jc w:val="center"/>
              <w:rPr>
                <w:rFonts w:ascii="宋体" w:hAnsi="宋体" w:cs="宋体"/>
                <w:sz w:val="20"/>
              </w:rPr>
            </w:pPr>
            <w:r>
              <w:rPr>
                <w:rFonts w:hint="eastAsia" w:ascii="宋体" w:hAnsi="宋体" w:cs="宋体"/>
                <w:sz w:val="20"/>
              </w:rPr>
              <w:t>设备名称</w:t>
            </w:r>
          </w:p>
        </w:tc>
        <w:tc>
          <w:tcPr>
            <w:tcW w:w="1680" w:type="dxa"/>
            <w:vAlign w:val="center"/>
          </w:tcPr>
          <w:p>
            <w:pPr>
              <w:jc w:val="center"/>
              <w:rPr>
                <w:rFonts w:ascii="宋体" w:hAnsi="宋体" w:cs="宋体"/>
                <w:sz w:val="20"/>
              </w:rPr>
            </w:pPr>
            <w:r>
              <w:rPr>
                <w:rFonts w:hint="eastAsia" w:ascii="宋体" w:hAnsi="宋体" w:cs="宋体"/>
                <w:sz w:val="20"/>
              </w:rPr>
              <w:t>规格型号</w:t>
            </w:r>
          </w:p>
        </w:tc>
        <w:tc>
          <w:tcPr>
            <w:tcW w:w="1470" w:type="dxa"/>
            <w:vAlign w:val="center"/>
          </w:tcPr>
          <w:p>
            <w:pPr>
              <w:jc w:val="center"/>
              <w:rPr>
                <w:rFonts w:ascii="宋体" w:hAnsi="宋体" w:cs="宋体"/>
                <w:sz w:val="20"/>
              </w:rPr>
            </w:pPr>
            <w:r>
              <w:rPr>
                <w:rFonts w:hint="eastAsia" w:ascii="宋体" w:hAnsi="宋体" w:cs="宋体"/>
                <w:sz w:val="20"/>
              </w:rPr>
              <w:t>品牌</w:t>
            </w:r>
          </w:p>
        </w:tc>
        <w:tc>
          <w:tcPr>
            <w:tcW w:w="840" w:type="dxa"/>
            <w:vAlign w:val="center"/>
          </w:tcPr>
          <w:p>
            <w:pPr>
              <w:jc w:val="center"/>
              <w:rPr>
                <w:rFonts w:ascii="宋体" w:hAnsi="宋体" w:cs="宋体"/>
                <w:sz w:val="20"/>
              </w:rPr>
            </w:pPr>
            <w:r>
              <w:rPr>
                <w:rFonts w:hint="eastAsia" w:ascii="宋体" w:hAnsi="宋体" w:cs="宋体"/>
                <w:sz w:val="20"/>
              </w:rPr>
              <w:t>数量</w:t>
            </w:r>
          </w:p>
        </w:tc>
        <w:tc>
          <w:tcPr>
            <w:tcW w:w="1068" w:type="dxa"/>
            <w:vAlign w:val="center"/>
          </w:tcPr>
          <w:p>
            <w:pPr>
              <w:jc w:val="center"/>
              <w:rPr>
                <w:rFonts w:ascii="宋体" w:hAnsi="宋体" w:cs="宋体"/>
                <w:sz w:val="20"/>
              </w:rPr>
            </w:pPr>
            <w:r>
              <w:rPr>
                <w:rFonts w:hint="eastAsia" w:ascii="宋体" w:hAnsi="宋体" w:cs="宋体"/>
                <w:sz w:val="20"/>
              </w:rPr>
              <w:t>单价</w:t>
            </w:r>
          </w:p>
        </w:tc>
        <w:tc>
          <w:tcPr>
            <w:tcW w:w="1260" w:type="dxa"/>
            <w:vAlign w:val="center"/>
          </w:tcPr>
          <w:p>
            <w:pPr>
              <w:jc w:val="center"/>
              <w:rPr>
                <w:rFonts w:ascii="宋体" w:hAnsi="宋体" w:cs="宋体"/>
                <w:sz w:val="20"/>
              </w:rPr>
            </w:pPr>
            <w:r>
              <w:rPr>
                <w:rFonts w:hint="eastAsia" w:ascii="宋体" w:hAnsi="宋体" w:cs="宋体"/>
                <w:sz w:val="2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75" w:type="dxa"/>
            <w:vAlign w:val="center"/>
          </w:tcPr>
          <w:p>
            <w:pPr>
              <w:jc w:val="center"/>
              <w:rPr>
                <w:rFonts w:ascii="宋体" w:hAnsi="宋体" w:cs="宋体"/>
                <w:sz w:val="20"/>
              </w:rPr>
            </w:pPr>
            <w:r>
              <w:rPr>
                <w:rFonts w:hint="eastAsia" w:ascii="宋体" w:hAnsi="宋体" w:cs="宋体"/>
                <w:sz w:val="20"/>
              </w:rPr>
              <w:t>1</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vAlign w:val="center"/>
          </w:tcPr>
          <w:p>
            <w:pPr>
              <w:jc w:val="center"/>
              <w:rPr>
                <w:rFonts w:ascii="宋体" w:hAnsi="宋体" w:cs="宋体"/>
                <w:sz w:val="20"/>
              </w:rPr>
            </w:pPr>
            <w:r>
              <w:rPr>
                <w:rFonts w:hint="eastAsia" w:ascii="宋体" w:hAnsi="宋体" w:cs="宋体"/>
                <w:sz w:val="20"/>
              </w:rPr>
              <w:t>2</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hAnsi="宋体" w:cs="宋体"/>
                <w:sz w:val="20"/>
              </w:rPr>
            </w:pPr>
            <w:r>
              <w:rPr>
                <w:rFonts w:hint="eastAsia" w:ascii="宋体" w:hAnsi="宋体" w:cs="宋体"/>
                <w:sz w:val="20"/>
              </w:rPr>
              <w:t>3</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hAnsi="宋体" w:cs="宋体"/>
                <w:sz w:val="20"/>
              </w:rPr>
            </w:pPr>
            <w:r>
              <w:rPr>
                <w:rFonts w:hint="eastAsia" w:ascii="宋体" w:hAnsi="宋体" w:cs="宋体"/>
                <w:sz w:val="20"/>
              </w:rPr>
              <w:t>4</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hAnsi="宋体" w:cs="宋体"/>
                <w:sz w:val="20"/>
              </w:rPr>
            </w:pPr>
            <w:r>
              <w:rPr>
                <w:rFonts w:hint="eastAsia" w:ascii="宋体" w:hAnsi="宋体" w:cs="宋体"/>
                <w:sz w:val="20"/>
              </w:rPr>
              <w:t>5</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hAnsi="宋体" w:cs="宋体"/>
                <w:sz w:val="20"/>
              </w:rPr>
            </w:pPr>
            <w:r>
              <w:rPr>
                <w:rFonts w:hint="eastAsia" w:ascii="宋体" w:hAnsi="宋体" w:cs="宋体"/>
                <w:sz w:val="20"/>
              </w:rPr>
              <w:t>…</w:t>
            </w:r>
          </w:p>
        </w:tc>
        <w:tc>
          <w:tcPr>
            <w:tcW w:w="2115" w:type="dxa"/>
            <w:vAlign w:val="center"/>
          </w:tcPr>
          <w:p>
            <w:pPr>
              <w:jc w:val="center"/>
              <w:rPr>
                <w:rFonts w:ascii="宋体" w:hAnsi="宋体" w:cs="宋体"/>
                <w:sz w:val="20"/>
              </w:rPr>
            </w:pPr>
          </w:p>
        </w:tc>
        <w:tc>
          <w:tcPr>
            <w:tcW w:w="1680" w:type="dxa"/>
            <w:vAlign w:val="center"/>
          </w:tcPr>
          <w:p>
            <w:pPr>
              <w:jc w:val="center"/>
              <w:rPr>
                <w:rFonts w:ascii="宋体" w:hAnsi="宋体" w:cs="宋体"/>
                <w:sz w:val="20"/>
              </w:rPr>
            </w:pPr>
          </w:p>
        </w:tc>
        <w:tc>
          <w:tcPr>
            <w:tcW w:w="1470" w:type="dxa"/>
            <w:vAlign w:val="center"/>
          </w:tcPr>
          <w:p>
            <w:pPr>
              <w:jc w:val="center"/>
              <w:rPr>
                <w:rFonts w:ascii="宋体" w:hAnsi="宋体" w:cs="宋体"/>
                <w:sz w:val="20"/>
              </w:rPr>
            </w:pPr>
          </w:p>
        </w:tc>
        <w:tc>
          <w:tcPr>
            <w:tcW w:w="840" w:type="dxa"/>
            <w:vAlign w:val="center"/>
          </w:tcPr>
          <w:p>
            <w:pPr>
              <w:jc w:val="center"/>
              <w:rPr>
                <w:rFonts w:ascii="宋体" w:hAnsi="宋体" w:cs="宋体"/>
                <w:sz w:val="20"/>
              </w:rPr>
            </w:pPr>
          </w:p>
        </w:tc>
        <w:tc>
          <w:tcPr>
            <w:tcW w:w="1068" w:type="dxa"/>
            <w:vAlign w:val="center"/>
          </w:tcPr>
          <w:p>
            <w:pPr>
              <w:jc w:val="center"/>
              <w:rPr>
                <w:rFonts w:ascii="宋体" w:hAnsi="宋体" w:cs="宋体"/>
                <w:sz w:val="20"/>
              </w:rPr>
            </w:pPr>
          </w:p>
        </w:tc>
        <w:tc>
          <w:tcPr>
            <w:tcW w:w="1260" w:type="dxa"/>
            <w:vAlign w:val="center"/>
          </w:tcPr>
          <w:p>
            <w:pPr>
              <w:jc w:val="center"/>
              <w:rPr>
                <w:rFonts w:ascii="宋体" w:hAnsi="宋体" w:cs="宋体"/>
                <w:sz w:val="20"/>
              </w:rPr>
            </w:pPr>
          </w:p>
        </w:tc>
      </w:tr>
    </w:tbl>
    <w:p>
      <w:pPr>
        <w:rPr>
          <w:rFonts w:ascii="宋体" w:hAnsi="宋体" w:cs="宋体"/>
          <w:sz w:val="20"/>
        </w:rPr>
      </w:pPr>
    </w:p>
    <w:p>
      <w:pPr>
        <w:rPr>
          <w:rFonts w:ascii="宋体" w:hAnsi="宋体" w:cs="宋体"/>
          <w:sz w:val="20"/>
        </w:rPr>
      </w:pPr>
      <w:r>
        <w:rPr>
          <w:rFonts w:hint="eastAsia" w:ascii="宋体" w:hAnsi="宋体" w:cs="宋体"/>
          <w:sz w:val="20"/>
        </w:rPr>
        <w:t>注：此表需详列投标的每种设备。</w:t>
      </w:r>
    </w:p>
    <w:p>
      <w:pPr>
        <w:rPr>
          <w:rFonts w:ascii="宋体" w:hAnsi="宋体" w:cs="宋体"/>
          <w:sz w:val="20"/>
        </w:rPr>
      </w:pPr>
    </w:p>
    <w:p>
      <w:pPr>
        <w:ind w:left="2880" w:hanging="2880"/>
        <w:rPr>
          <w:rFonts w:ascii="宋体" w:hAnsi="宋体" w:cs="宋体"/>
          <w:sz w:val="20"/>
          <w:u w:val="single"/>
        </w:rPr>
      </w:pPr>
      <w:r>
        <w:rPr>
          <w:rFonts w:hint="eastAsia" w:ascii="宋体" w:hAnsi="宋体" w:cs="宋体"/>
          <w:sz w:val="20"/>
        </w:rPr>
        <w:t>投标人代表签字：</w:t>
      </w:r>
      <w:r>
        <w:rPr>
          <w:rFonts w:hint="eastAsia" w:ascii="宋体" w:hAnsi="宋体" w:cs="宋体"/>
          <w:sz w:val="20"/>
          <w:u w:val="single"/>
        </w:rPr>
        <w:t>　　　　　　　　　　　　　　　</w:t>
      </w:r>
    </w:p>
    <w:p>
      <w:pPr>
        <w:ind w:left="2880" w:hanging="2880"/>
        <w:jc w:val="center"/>
        <w:rPr>
          <w:rFonts w:ascii="宋体" w:hAnsi="宋体" w:cs="宋体"/>
          <w:b/>
          <w:sz w:val="20"/>
        </w:rPr>
      </w:pPr>
    </w:p>
    <w:p>
      <w:pPr>
        <w:rPr>
          <w:rFonts w:ascii="仿宋_GB2312" w:hAnsi="Arial" w:eastAsia="仿宋_GB2312"/>
          <w:b/>
          <w:color w:val="000000"/>
          <w:sz w:val="24"/>
        </w:rPr>
      </w:pPr>
    </w:p>
    <w:p>
      <w:pPr>
        <w:jc w:val="center"/>
        <w:outlineLvl w:val="0"/>
        <w:rPr>
          <w:rFonts w:ascii="仿宋_GB2312" w:hAnsi="Arial" w:eastAsia="仿宋_GB2312"/>
          <w:b/>
          <w:color w:val="000000"/>
          <w:sz w:val="24"/>
        </w:rPr>
      </w:pPr>
    </w:p>
    <w:p>
      <w:pPr>
        <w:jc w:val="center"/>
        <w:outlineLvl w:val="0"/>
        <w:rPr>
          <w:rFonts w:ascii="仿宋_GB2312" w:hAnsi="Arial" w:eastAsia="仿宋_GB2312"/>
          <w:b/>
          <w:color w:val="000000"/>
          <w:sz w:val="24"/>
        </w:rPr>
      </w:pPr>
      <w:bookmarkStart w:id="54" w:name="_Toc20579"/>
      <w:r>
        <w:rPr>
          <w:rFonts w:hint="eastAsia" w:ascii="仿宋_GB2312" w:hAnsi="Arial" w:eastAsia="仿宋_GB2312"/>
          <w:b/>
          <w:color w:val="000000"/>
          <w:sz w:val="24"/>
        </w:rPr>
        <w:t>（六）设备分项报价表</w:t>
      </w:r>
      <w:bookmarkEnd w:id="54"/>
    </w:p>
    <w:p>
      <w:pPr>
        <w:rPr>
          <w:rFonts w:ascii="仿宋_GB2312" w:hAnsi="Arial" w:eastAsia="仿宋_GB2312"/>
          <w:color w:val="000000"/>
          <w:sz w:val="24"/>
          <w:u w:val="single"/>
        </w:rPr>
      </w:pPr>
      <w:r>
        <w:rPr>
          <w:rFonts w:hint="eastAsia" w:ascii="仿宋_GB2312" w:hAnsi="Arial" w:eastAsia="仿宋_GB2312"/>
          <w:color w:val="000000"/>
          <w:sz w:val="24"/>
        </w:rPr>
        <w:t>投标人名称（公章）：</w:t>
      </w:r>
      <w:r>
        <w:rPr>
          <w:rFonts w:hint="eastAsia" w:ascii="仿宋_GB2312" w:hAnsi="Arial" w:eastAsia="仿宋_GB2312"/>
          <w:color w:val="000000"/>
          <w:sz w:val="24"/>
          <w:u w:val="single"/>
        </w:rPr>
        <w:t>　　　　　</w:t>
      </w:r>
      <w:r>
        <w:rPr>
          <w:rFonts w:hint="eastAsia" w:ascii="仿宋_GB2312" w:hAnsi="Arial" w:eastAsia="仿宋_GB2312"/>
          <w:color w:val="000000"/>
          <w:sz w:val="24"/>
        </w:rPr>
        <w:t>招标编号/标段号：</w:t>
      </w:r>
      <w:r>
        <w:rPr>
          <w:rFonts w:hint="eastAsia" w:ascii="仿宋_GB2312" w:hAnsi="Arial" w:eastAsia="仿宋_GB2312"/>
          <w:color w:val="000000"/>
          <w:sz w:val="24"/>
          <w:u w:val="single"/>
        </w:rPr>
        <w:t>　　　　　　　　　　　</w:t>
      </w:r>
    </w:p>
    <w:p>
      <w:pPr>
        <w:rPr>
          <w:rFonts w:ascii="仿宋_GB2312" w:hAnsi="Arial" w:eastAsia="仿宋_GB2312"/>
          <w:color w:val="000000"/>
          <w:sz w:val="24"/>
          <w:u w:val="single"/>
        </w:rPr>
      </w:pPr>
    </w:p>
    <w:tbl>
      <w:tblPr>
        <w:tblStyle w:val="7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15"/>
        <w:gridCol w:w="1680"/>
        <w:gridCol w:w="1470"/>
        <w:gridCol w:w="840"/>
        <w:gridCol w:w="106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序号</w:t>
            </w:r>
          </w:p>
        </w:tc>
        <w:tc>
          <w:tcPr>
            <w:tcW w:w="2115"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设备名称</w:t>
            </w:r>
          </w:p>
        </w:tc>
        <w:tc>
          <w:tcPr>
            <w:tcW w:w="168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规格型号</w:t>
            </w:r>
          </w:p>
        </w:tc>
        <w:tc>
          <w:tcPr>
            <w:tcW w:w="147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制造商</w:t>
            </w:r>
          </w:p>
        </w:tc>
        <w:tc>
          <w:tcPr>
            <w:tcW w:w="84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数量</w:t>
            </w:r>
          </w:p>
        </w:tc>
        <w:tc>
          <w:tcPr>
            <w:tcW w:w="1068"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单价</w:t>
            </w:r>
          </w:p>
        </w:tc>
        <w:tc>
          <w:tcPr>
            <w:tcW w:w="126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1</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2</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3</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4</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5</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w:t>
            </w:r>
          </w:p>
        </w:tc>
        <w:tc>
          <w:tcPr>
            <w:tcW w:w="2115" w:type="dxa"/>
            <w:vAlign w:val="center"/>
          </w:tcPr>
          <w:p>
            <w:pPr>
              <w:jc w:val="center"/>
              <w:rPr>
                <w:rFonts w:ascii="仿宋_GB2312" w:hAnsi="Arial" w:eastAsia="仿宋_GB2312"/>
                <w:color w:val="000000"/>
                <w:sz w:val="24"/>
              </w:rPr>
            </w:pPr>
          </w:p>
        </w:tc>
        <w:tc>
          <w:tcPr>
            <w:tcW w:w="1680" w:type="dxa"/>
            <w:vAlign w:val="center"/>
          </w:tcPr>
          <w:p>
            <w:pPr>
              <w:jc w:val="center"/>
              <w:rPr>
                <w:rFonts w:ascii="仿宋_GB2312" w:hAnsi="Arial" w:eastAsia="仿宋_GB2312"/>
                <w:color w:val="000000"/>
                <w:sz w:val="24"/>
              </w:rPr>
            </w:pPr>
          </w:p>
        </w:tc>
        <w:tc>
          <w:tcPr>
            <w:tcW w:w="1470" w:type="dxa"/>
            <w:vAlign w:val="center"/>
          </w:tcPr>
          <w:p>
            <w:pPr>
              <w:jc w:val="center"/>
              <w:rPr>
                <w:rFonts w:ascii="仿宋_GB2312" w:hAnsi="Arial" w:eastAsia="仿宋_GB2312"/>
                <w:color w:val="000000"/>
                <w:sz w:val="24"/>
              </w:rPr>
            </w:pPr>
          </w:p>
        </w:tc>
        <w:tc>
          <w:tcPr>
            <w:tcW w:w="840" w:type="dxa"/>
            <w:vAlign w:val="center"/>
          </w:tcPr>
          <w:p>
            <w:pPr>
              <w:jc w:val="center"/>
              <w:rPr>
                <w:rFonts w:ascii="仿宋_GB2312" w:hAnsi="Arial" w:eastAsia="仿宋_GB2312"/>
                <w:color w:val="000000"/>
                <w:sz w:val="24"/>
              </w:rPr>
            </w:pPr>
          </w:p>
        </w:tc>
        <w:tc>
          <w:tcPr>
            <w:tcW w:w="1068" w:type="dxa"/>
            <w:vAlign w:val="center"/>
          </w:tcPr>
          <w:p>
            <w:pPr>
              <w:jc w:val="center"/>
              <w:rPr>
                <w:rFonts w:ascii="仿宋_GB2312" w:hAnsi="Arial" w:eastAsia="仿宋_GB2312"/>
                <w:color w:val="000000"/>
                <w:sz w:val="24"/>
              </w:rPr>
            </w:pPr>
          </w:p>
        </w:tc>
        <w:tc>
          <w:tcPr>
            <w:tcW w:w="1260" w:type="dxa"/>
            <w:vAlign w:val="center"/>
          </w:tcPr>
          <w:p>
            <w:pPr>
              <w:jc w:val="center"/>
              <w:rPr>
                <w:rFonts w:ascii="仿宋_GB2312" w:hAnsi="Arial" w:eastAsia="仿宋_GB2312"/>
                <w:color w:val="000000"/>
                <w:sz w:val="24"/>
              </w:rPr>
            </w:pPr>
          </w:p>
        </w:tc>
      </w:tr>
    </w:tbl>
    <w:p>
      <w:pPr>
        <w:rPr>
          <w:rFonts w:ascii="仿宋_GB2312" w:hAnsi="Arial" w:eastAsia="仿宋_GB2312"/>
          <w:color w:val="000000"/>
          <w:sz w:val="24"/>
        </w:rPr>
      </w:pPr>
    </w:p>
    <w:p>
      <w:pPr>
        <w:rPr>
          <w:rFonts w:ascii="仿宋_GB2312" w:hAnsi="Arial" w:eastAsia="仿宋_GB2312"/>
          <w:color w:val="000000"/>
          <w:sz w:val="24"/>
        </w:rPr>
      </w:pPr>
      <w:r>
        <w:rPr>
          <w:rFonts w:hint="eastAsia" w:ascii="仿宋_GB2312" w:hAnsi="Arial" w:eastAsia="仿宋_GB2312"/>
          <w:color w:val="000000"/>
          <w:sz w:val="24"/>
        </w:rPr>
        <w:t>注：此表需详列投标的每种设备。</w:t>
      </w:r>
    </w:p>
    <w:p>
      <w:pPr>
        <w:rPr>
          <w:rFonts w:ascii="仿宋_GB2312" w:hAnsi="Arial" w:eastAsia="仿宋_GB2312"/>
          <w:color w:val="000000"/>
          <w:sz w:val="24"/>
        </w:rPr>
      </w:pPr>
    </w:p>
    <w:p>
      <w:pPr>
        <w:ind w:left="2880" w:hanging="2880"/>
        <w:rPr>
          <w:rFonts w:ascii="仿宋_GB2312" w:hAnsi="Arial" w:eastAsia="仿宋_GB2312"/>
          <w:color w:val="000000"/>
          <w:sz w:val="24"/>
          <w:u w:val="single"/>
        </w:rPr>
      </w:pPr>
      <w:r>
        <w:rPr>
          <w:rFonts w:hint="eastAsia" w:ascii="仿宋_GB2312" w:hAnsi="Arial" w:eastAsia="仿宋_GB2312"/>
          <w:color w:val="000000"/>
          <w:sz w:val="24"/>
        </w:rPr>
        <w:t>投标人代表签字：</w:t>
      </w:r>
      <w:r>
        <w:rPr>
          <w:rFonts w:hint="eastAsia" w:ascii="仿宋_GB2312" w:hAnsi="Arial" w:eastAsia="仿宋_GB2312"/>
          <w:color w:val="000000"/>
          <w:sz w:val="24"/>
          <w:u w:val="single"/>
        </w:rPr>
        <w:t>　　　　　　　　　　　　　　　</w:t>
      </w:r>
    </w:p>
    <w:p>
      <w:pPr>
        <w:outlineLvl w:val="0"/>
        <w:rPr>
          <w:rFonts w:ascii="仿宋_GB2312" w:hAnsi="Arial" w:eastAsia="仿宋_GB2312"/>
          <w:color w:val="000000"/>
          <w:sz w:val="24"/>
          <w:u w:val="single"/>
        </w:rPr>
      </w:pPr>
    </w:p>
    <w:p>
      <w:pPr>
        <w:jc w:val="center"/>
        <w:outlineLvl w:val="0"/>
        <w:rPr>
          <w:rFonts w:hint="eastAsia" w:ascii="仿宋_GB2312" w:hAnsi="Arial" w:eastAsia="仿宋_GB2312"/>
          <w:b/>
          <w:color w:val="000000"/>
          <w:sz w:val="24"/>
        </w:rPr>
      </w:pPr>
      <w:bookmarkStart w:id="55" w:name="_Toc28716"/>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ascii="仿宋_GB2312" w:hAnsi="Arial" w:eastAsia="仿宋_GB2312"/>
          <w:b/>
          <w:color w:val="000000"/>
          <w:sz w:val="24"/>
        </w:rPr>
      </w:pPr>
      <w:r>
        <w:rPr>
          <w:rFonts w:hint="eastAsia" w:ascii="仿宋_GB2312" w:hAnsi="Arial" w:eastAsia="仿宋_GB2312"/>
          <w:b/>
          <w:color w:val="000000"/>
          <w:sz w:val="24"/>
        </w:rPr>
        <w:t>（七）有关投标产品的检测报告</w:t>
      </w:r>
      <w:bookmarkEnd w:id="55"/>
    </w:p>
    <w:p>
      <w:pPr>
        <w:outlineLvl w:val="0"/>
        <w:rPr>
          <w:rFonts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bookmarkStart w:id="56" w:name="_Toc23268"/>
    </w:p>
    <w:p>
      <w:pPr>
        <w:jc w:val="center"/>
        <w:outlineLvl w:val="0"/>
        <w:rPr>
          <w:rFonts w:hint="eastAsia"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p>
    <w:p>
      <w:pPr>
        <w:jc w:val="center"/>
        <w:outlineLvl w:val="0"/>
        <w:rPr>
          <w:rFonts w:hint="eastAsia" w:ascii="仿宋_GB2312" w:hAnsi="Arial" w:eastAsia="仿宋_GB2312"/>
          <w:b/>
          <w:color w:val="000000"/>
          <w:sz w:val="28"/>
          <w:szCs w:val="28"/>
        </w:rPr>
      </w:pPr>
    </w:p>
    <w:p>
      <w:pPr>
        <w:jc w:val="center"/>
        <w:outlineLvl w:val="0"/>
        <w:rPr>
          <w:rFonts w:ascii="仿宋_GB2312" w:hAnsi="Arial" w:eastAsia="仿宋_GB2312"/>
          <w:b/>
          <w:color w:val="000000"/>
          <w:sz w:val="28"/>
          <w:szCs w:val="28"/>
        </w:rPr>
      </w:pPr>
      <w:r>
        <w:rPr>
          <w:rFonts w:hint="eastAsia" w:ascii="仿宋_GB2312" w:hAnsi="Arial" w:eastAsia="仿宋_GB2312"/>
          <w:b/>
          <w:color w:val="000000"/>
          <w:sz w:val="28"/>
          <w:szCs w:val="28"/>
        </w:rPr>
        <w:t>（八）设备简要说明一览表</w:t>
      </w:r>
      <w:bookmarkEnd w:id="56"/>
    </w:p>
    <w:p>
      <w:pPr>
        <w:rPr>
          <w:rFonts w:ascii="仿宋_GB2312" w:hAnsi="Arial" w:eastAsia="仿宋_GB2312"/>
          <w:b/>
          <w:color w:val="000000"/>
          <w:sz w:val="28"/>
          <w:szCs w:val="28"/>
        </w:rPr>
      </w:pPr>
    </w:p>
    <w:p>
      <w:pPr>
        <w:rPr>
          <w:rFonts w:ascii="仿宋_GB2312" w:hAnsi="Arial" w:eastAsia="仿宋_GB2312"/>
          <w:color w:val="000000"/>
          <w:sz w:val="24"/>
          <w:u w:val="single"/>
        </w:rPr>
      </w:pPr>
      <w:r>
        <w:rPr>
          <w:rFonts w:hint="eastAsia" w:ascii="仿宋_GB2312" w:hAnsi="Arial" w:eastAsia="仿宋_GB2312"/>
          <w:color w:val="000000"/>
          <w:sz w:val="24"/>
        </w:rPr>
        <w:t>投标人名称（公章）：</w:t>
      </w:r>
      <w:r>
        <w:rPr>
          <w:rFonts w:hint="eastAsia" w:ascii="仿宋_GB2312" w:hAnsi="Arial" w:eastAsia="仿宋_GB2312"/>
          <w:color w:val="000000"/>
          <w:sz w:val="24"/>
          <w:u w:val="single"/>
        </w:rPr>
        <w:t>　　　　　</w:t>
      </w:r>
      <w:r>
        <w:rPr>
          <w:rFonts w:hint="eastAsia" w:ascii="仿宋_GB2312" w:hAnsi="Arial" w:eastAsia="仿宋_GB2312"/>
          <w:color w:val="000000"/>
          <w:sz w:val="24"/>
        </w:rPr>
        <w:t>招标编号/标段号：</w:t>
      </w:r>
      <w:r>
        <w:rPr>
          <w:rFonts w:hint="eastAsia" w:ascii="仿宋_GB2312" w:hAnsi="Arial" w:eastAsia="仿宋_GB2312"/>
          <w:color w:val="000000"/>
          <w:sz w:val="24"/>
          <w:u w:val="single"/>
        </w:rPr>
        <w:t>　　　　　　　　　　　</w:t>
      </w:r>
    </w:p>
    <w:p>
      <w:pPr>
        <w:rPr>
          <w:rFonts w:ascii="仿宋_GB2312" w:hAnsi="Arial" w:eastAsia="仿宋_GB2312"/>
          <w:color w:val="000000"/>
          <w:sz w:val="24"/>
          <w:u w:val="single"/>
        </w:rPr>
      </w:pPr>
    </w:p>
    <w:tbl>
      <w:tblPr>
        <w:tblStyle w:val="7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73"/>
        <w:gridCol w:w="1800"/>
        <w:gridCol w:w="1620"/>
        <w:gridCol w:w="54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序号</w:t>
            </w:r>
          </w:p>
        </w:tc>
        <w:tc>
          <w:tcPr>
            <w:tcW w:w="1773"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设备名称</w:t>
            </w:r>
          </w:p>
        </w:tc>
        <w:tc>
          <w:tcPr>
            <w:tcW w:w="180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规格型号及主要技术参数</w:t>
            </w:r>
          </w:p>
        </w:tc>
        <w:tc>
          <w:tcPr>
            <w:tcW w:w="162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性能说明</w:t>
            </w:r>
          </w:p>
        </w:tc>
        <w:tc>
          <w:tcPr>
            <w:tcW w:w="54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数量</w:t>
            </w:r>
          </w:p>
        </w:tc>
        <w:tc>
          <w:tcPr>
            <w:tcW w:w="1440" w:type="dxa"/>
            <w:vAlign w:val="center"/>
          </w:tcPr>
          <w:p>
            <w:pPr>
              <w:rPr>
                <w:rFonts w:ascii="仿宋_GB2312" w:hAnsi="Arial" w:eastAsia="仿宋_GB2312"/>
                <w:color w:val="000000"/>
                <w:sz w:val="24"/>
              </w:rPr>
            </w:pPr>
            <w:r>
              <w:rPr>
                <w:rFonts w:hint="eastAsia" w:ascii="仿宋_GB2312" w:hAnsi="Arial" w:eastAsia="仿宋_GB2312"/>
                <w:color w:val="000000"/>
                <w:sz w:val="24"/>
              </w:rPr>
              <w:t>单价/总价</w:t>
            </w:r>
          </w:p>
        </w:tc>
        <w:tc>
          <w:tcPr>
            <w:tcW w:w="1080"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1</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2</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3</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4</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5</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6</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仿宋_GB2312" w:hAnsi="Arial" w:eastAsia="仿宋_GB2312"/>
                <w:color w:val="000000"/>
                <w:sz w:val="24"/>
              </w:rPr>
            </w:pPr>
            <w:r>
              <w:rPr>
                <w:rFonts w:ascii="仿宋_GB2312" w:hAnsi="Arial" w:eastAsia="仿宋_GB2312"/>
                <w:color w:val="000000"/>
                <w:sz w:val="24"/>
              </w:rPr>
              <w:t>…</w:t>
            </w:r>
          </w:p>
        </w:tc>
        <w:tc>
          <w:tcPr>
            <w:tcW w:w="1773" w:type="dxa"/>
            <w:vAlign w:val="center"/>
          </w:tcPr>
          <w:p>
            <w:pPr>
              <w:jc w:val="center"/>
              <w:rPr>
                <w:rFonts w:ascii="仿宋_GB2312" w:hAnsi="Arial" w:eastAsia="仿宋_GB2312"/>
                <w:color w:val="000000"/>
                <w:sz w:val="24"/>
              </w:rPr>
            </w:pPr>
          </w:p>
        </w:tc>
        <w:tc>
          <w:tcPr>
            <w:tcW w:w="1800" w:type="dxa"/>
            <w:vAlign w:val="center"/>
          </w:tcPr>
          <w:p>
            <w:pPr>
              <w:jc w:val="center"/>
              <w:rPr>
                <w:rFonts w:ascii="仿宋_GB2312" w:hAnsi="Arial" w:eastAsia="仿宋_GB2312"/>
                <w:color w:val="000000"/>
                <w:sz w:val="24"/>
              </w:rPr>
            </w:pPr>
          </w:p>
        </w:tc>
        <w:tc>
          <w:tcPr>
            <w:tcW w:w="1620" w:type="dxa"/>
            <w:vAlign w:val="center"/>
          </w:tcPr>
          <w:p>
            <w:pPr>
              <w:jc w:val="center"/>
              <w:rPr>
                <w:rFonts w:ascii="仿宋_GB2312" w:hAnsi="Arial" w:eastAsia="仿宋_GB2312"/>
                <w:color w:val="000000"/>
                <w:sz w:val="24"/>
              </w:rPr>
            </w:pPr>
          </w:p>
        </w:tc>
        <w:tc>
          <w:tcPr>
            <w:tcW w:w="540" w:type="dxa"/>
            <w:vAlign w:val="center"/>
          </w:tcPr>
          <w:p>
            <w:pPr>
              <w:jc w:val="center"/>
              <w:rPr>
                <w:rFonts w:ascii="仿宋_GB2312" w:hAnsi="Arial" w:eastAsia="仿宋_GB2312"/>
                <w:color w:val="000000"/>
                <w:sz w:val="24"/>
              </w:rPr>
            </w:pPr>
          </w:p>
        </w:tc>
        <w:tc>
          <w:tcPr>
            <w:tcW w:w="1440" w:type="dxa"/>
            <w:vAlign w:val="center"/>
          </w:tcPr>
          <w:p>
            <w:pPr>
              <w:jc w:val="center"/>
              <w:rPr>
                <w:rFonts w:ascii="仿宋_GB2312" w:hAnsi="Arial" w:eastAsia="仿宋_GB2312"/>
                <w:color w:val="000000"/>
                <w:sz w:val="24"/>
              </w:rPr>
            </w:pPr>
          </w:p>
        </w:tc>
        <w:tc>
          <w:tcPr>
            <w:tcW w:w="1080" w:type="dxa"/>
            <w:vAlign w:val="center"/>
          </w:tcPr>
          <w:p>
            <w:pPr>
              <w:jc w:val="center"/>
              <w:rPr>
                <w:rFonts w:ascii="仿宋_GB2312" w:hAnsi="Arial" w:eastAsia="仿宋_GB2312"/>
                <w:color w:val="000000"/>
                <w:sz w:val="24"/>
              </w:rPr>
            </w:pPr>
          </w:p>
        </w:tc>
      </w:tr>
    </w:tbl>
    <w:p>
      <w:pPr>
        <w:rPr>
          <w:rFonts w:ascii="仿宋_GB2312" w:hAnsi="Arial" w:eastAsia="仿宋_GB2312"/>
          <w:color w:val="000000"/>
          <w:sz w:val="24"/>
        </w:rPr>
      </w:pPr>
    </w:p>
    <w:p>
      <w:pPr>
        <w:rPr>
          <w:rFonts w:ascii="仿宋_GB2312" w:hAnsi="Arial" w:eastAsia="仿宋_GB2312"/>
          <w:color w:val="000000"/>
          <w:sz w:val="24"/>
        </w:rPr>
      </w:pPr>
      <w:r>
        <w:rPr>
          <w:rFonts w:hint="eastAsia" w:ascii="仿宋_GB2312" w:hAnsi="Arial" w:eastAsia="仿宋_GB2312"/>
          <w:color w:val="000000"/>
          <w:sz w:val="24"/>
        </w:rPr>
        <w:t>注：此表需详列投标的每种设备。</w:t>
      </w:r>
    </w:p>
    <w:p>
      <w:pPr>
        <w:rPr>
          <w:rFonts w:ascii="仿宋_GB2312" w:hAnsi="Arial" w:eastAsia="仿宋_GB2312"/>
          <w:color w:val="000000"/>
          <w:sz w:val="24"/>
        </w:rPr>
      </w:pPr>
    </w:p>
    <w:p>
      <w:pPr>
        <w:ind w:left="2880" w:hanging="2880"/>
        <w:rPr>
          <w:rFonts w:ascii="仿宋_GB2312" w:hAnsi="Arial" w:eastAsia="仿宋_GB2312"/>
          <w:b/>
          <w:color w:val="000000"/>
          <w:sz w:val="24"/>
        </w:rPr>
      </w:pPr>
      <w:r>
        <w:rPr>
          <w:rFonts w:hint="eastAsia" w:ascii="仿宋_GB2312" w:hAnsi="Arial" w:eastAsia="仿宋_GB2312"/>
          <w:color w:val="000000"/>
          <w:sz w:val="24"/>
        </w:rPr>
        <w:t>投标人代表签字：</w:t>
      </w:r>
      <w:r>
        <w:rPr>
          <w:rFonts w:hint="eastAsia" w:ascii="仿宋_GB2312" w:hAnsi="Arial" w:eastAsia="仿宋_GB2312"/>
          <w:color w:val="000000"/>
          <w:sz w:val="24"/>
          <w:u w:val="single"/>
        </w:rPr>
        <w:t>　　　　　　　　　　　　　　　</w:t>
      </w:r>
    </w:p>
    <w:p>
      <w:pPr>
        <w:ind w:left="2880" w:hanging="2880"/>
        <w:rPr>
          <w:rFonts w:ascii="仿宋_GB2312" w:hAnsi="Arial" w:eastAsia="仿宋_GB2312"/>
          <w:b/>
          <w:color w:val="000000"/>
          <w:sz w:val="24"/>
        </w:rPr>
      </w:pPr>
    </w:p>
    <w:p>
      <w:pPr>
        <w:ind w:left="2331" w:leftChars="20" w:hanging="2289" w:hangingChars="950"/>
        <w:jc w:val="center"/>
        <w:rPr>
          <w:rFonts w:hint="eastAsia" w:ascii="仿宋_GB2312" w:hAnsi="Arial" w:eastAsia="仿宋_GB2312"/>
          <w:b/>
          <w:color w:val="000000"/>
          <w:sz w:val="24"/>
        </w:rPr>
      </w:pPr>
    </w:p>
    <w:p>
      <w:pPr>
        <w:ind w:left="2331" w:leftChars="20" w:hanging="2289" w:hangingChars="950"/>
        <w:jc w:val="center"/>
        <w:rPr>
          <w:rFonts w:ascii="仿宋_GB2312" w:hAnsi="Arial" w:eastAsia="仿宋_GB2312"/>
          <w:b/>
          <w:color w:val="000000"/>
          <w:sz w:val="24"/>
        </w:rPr>
      </w:pPr>
      <w:r>
        <w:rPr>
          <w:rFonts w:hint="eastAsia" w:ascii="仿宋_GB2312" w:hAnsi="Arial" w:eastAsia="仿宋_GB2312"/>
          <w:b/>
          <w:color w:val="000000"/>
          <w:sz w:val="24"/>
        </w:rPr>
        <w:t>（九）有关投标产品的制造、验收标准</w:t>
      </w:r>
    </w:p>
    <w:p>
      <w:pPr>
        <w:jc w:val="center"/>
        <w:outlineLvl w:val="0"/>
        <w:rPr>
          <w:rFonts w:ascii="仿宋_GB2312" w:hAnsi="Arial" w:eastAsia="仿宋_GB2312"/>
          <w:b/>
          <w:color w:val="000000"/>
          <w:sz w:val="24"/>
        </w:rPr>
      </w:pPr>
    </w:p>
    <w:p>
      <w:pPr>
        <w:jc w:val="center"/>
        <w:outlineLvl w:val="0"/>
        <w:rPr>
          <w:rFonts w:hint="eastAsia" w:ascii="仿宋_GB2312" w:hAnsi="Arial" w:eastAsia="仿宋_GB2312"/>
          <w:b/>
          <w:color w:val="000000"/>
          <w:sz w:val="24"/>
        </w:rPr>
      </w:pPr>
      <w:bookmarkStart w:id="57" w:name="_Toc25908"/>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ascii="仿宋_GB2312" w:hAnsi="Arial" w:eastAsia="仿宋_GB2312"/>
          <w:b/>
          <w:color w:val="000000"/>
          <w:sz w:val="24"/>
        </w:rPr>
      </w:pPr>
      <w:r>
        <w:rPr>
          <w:rFonts w:hint="eastAsia" w:ascii="仿宋_GB2312" w:hAnsi="Arial" w:eastAsia="仿宋_GB2312"/>
          <w:b/>
          <w:color w:val="000000"/>
          <w:sz w:val="24"/>
        </w:rPr>
        <w:t>（十）售后服务承诺详述、维修、培训等计划详述</w:t>
      </w:r>
      <w:bookmarkEnd w:id="57"/>
    </w:p>
    <w:p>
      <w:pPr>
        <w:jc w:val="center"/>
        <w:outlineLvl w:val="0"/>
        <w:rPr>
          <w:rFonts w:ascii="仿宋_GB2312" w:hAnsi="Arial" w:eastAsia="仿宋_GB2312"/>
          <w:b/>
          <w:color w:val="000000"/>
          <w:sz w:val="24"/>
        </w:rPr>
      </w:pPr>
    </w:p>
    <w:p>
      <w:pPr>
        <w:jc w:val="center"/>
        <w:outlineLvl w:val="0"/>
        <w:rPr>
          <w:rFonts w:hint="eastAsia" w:ascii="仿宋_GB2312" w:hAnsi="Arial" w:eastAsia="仿宋_GB2312"/>
          <w:b/>
          <w:color w:val="000000"/>
          <w:sz w:val="24"/>
        </w:rPr>
      </w:pPr>
      <w:bookmarkStart w:id="58" w:name="_Toc11467"/>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both"/>
        <w:outlineLvl w:val="0"/>
        <w:rPr>
          <w:rFonts w:hint="eastAsia" w:ascii="仿宋_GB2312" w:hAnsi="Arial" w:eastAsia="仿宋_GB2312"/>
          <w:b/>
          <w:color w:val="000000"/>
          <w:sz w:val="24"/>
        </w:rPr>
      </w:pPr>
    </w:p>
    <w:p>
      <w:pPr>
        <w:jc w:val="center"/>
        <w:outlineLvl w:val="0"/>
        <w:rPr>
          <w:rFonts w:hint="eastAsia" w:ascii="仿宋_GB2312" w:hAnsi="Arial" w:eastAsia="仿宋_GB2312"/>
          <w:b/>
          <w:color w:val="000000"/>
          <w:sz w:val="24"/>
        </w:rPr>
      </w:pPr>
    </w:p>
    <w:p>
      <w:pPr>
        <w:jc w:val="center"/>
        <w:outlineLvl w:val="0"/>
        <w:rPr>
          <w:rFonts w:ascii="仿宋_GB2312" w:hAnsi="Arial" w:eastAsia="仿宋_GB2312"/>
          <w:b/>
          <w:color w:val="000000"/>
          <w:sz w:val="24"/>
        </w:rPr>
      </w:pPr>
      <w:r>
        <w:rPr>
          <w:rFonts w:hint="eastAsia" w:ascii="仿宋_GB2312" w:hAnsi="Arial" w:eastAsia="仿宋_GB2312"/>
          <w:b/>
          <w:color w:val="000000"/>
          <w:sz w:val="24"/>
        </w:rPr>
        <w:t>（十一）备品、备件清单</w:t>
      </w:r>
      <w:bookmarkEnd w:id="58"/>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outlineLvl w:val="0"/>
        <w:rPr>
          <w:rFonts w:ascii="仿宋_GB2312" w:hAnsi="Arial" w:eastAsia="仿宋_GB2312"/>
          <w:b/>
          <w:color w:val="000000"/>
          <w:sz w:val="28"/>
          <w:szCs w:val="28"/>
        </w:rPr>
      </w:pPr>
    </w:p>
    <w:p>
      <w:pPr>
        <w:jc w:val="center"/>
        <w:outlineLvl w:val="0"/>
        <w:rPr>
          <w:rFonts w:ascii="仿宋_GB2312" w:hAnsi="Arial" w:eastAsia="仿宋_GB2312"/>
          <w:b/>
          <w:color w:val="000000"/>
          <w:sz w:val="24"/>
        </w:rPr>
      </w:pPr>
      <w:bookmarkStart w:id="59" w:name="_Toc4259"/>
      <w:r>
        <w:rPr>
          <w:rFonts w:hint="eastAsia" w:ascii="仿宋_GB2312" w:hAnsi="Arial" w:eastAsia="仿宋_GB2312"/>
          <w:b/>
          <w:color w:val="000000"/>
          <w:sz w:val="24"/>
        </w:rPr>
        <w:t>（十二）技术参数、功能偏离表</w:t>
      </w:r>
      <w:bookmarkEnd w:id="59"/>
    </w:p>
    <w:p>
      <w:pPr>
        <w:ind w:left="2880" w:hanging="2880"/>
        <w:jc w:val="center"/>
        <w:rPr>
          <w:rFonts w:ascii="仿宋_GB2312" w:hAnsi="Arial" w:eastAsia="仿宋_GB2312"/>
          <w:b/>
          <w:color w:val="000000"/>
          <w:sz w:val="28"/>
          <w:szCs w:val="28"/>
        </w:rPr>
      </w:pPr>
    </w:p>
    <w:p>
      <w:pPr>
        <w:rPr>
          <w:rFonts w:ascii="仿宋_GB2312" w:hAnsi="Arial" w:eastAsia="仿宋_GB2312"/>
          <w:color w:val="000000"/>
          <w:sz w:val="24"/>
          <w:u w:val="single"/>
        </w:rPr>
      </w:pPr>
      <w:r>
        <w:rPr>
          <w:rFonts w:hint="eastAsia" w:ascii="仿宋_GB2312" w:hAnsi="Arial" w:eastAsia="仿宋_GB2312"/>
          <w:color w:val="000000"/>
          <w:sz w:val="24"/>
        </w:rPr>
        <w:t>投标人名称（公章）：</w:t>
      </w:r>
      <w:r>
        <w:rPr>
          <w:rFonts w:hint="eastAsia" w:ascii="仿宋_GB2312" w:hAnsi="Arial" w:eastAsia="仿宋_GB2312"/>
          <w:color w:val="000000"/>
          <w:sz w:val="24"/>
          <w:u w:val="single"/>
        </w:rPr>
        <w:t>　　　　　</w:t>
      </w:r>
      <w:r>
        <w:rPr>
          <w:rFonts w:hint="eastAsia" w:ascii="仿宋_GB2312" w:hAnsi="Arial" w:eastAsia="仿宋_GB2312"/>
          <w:color w:val="000000"/>
          <w:sz w:val="24"/>
        </w:rPr>
        <w:t>招标编号：</w:t>
      </w:r>
      <w:r>
        <w:rPr>
          <w:rFonts w:hint="eastAsia" w:ascii="仿宋_GB2312" w:hAnsi="Arial" w:eastAsia="仿宋_GB2312"/>
          <w:color w:val="000000"/>
          <w:sz w:val="24"/>
          <w:u w:val="single"/>
        </w:rPr>
        <w:t>　　　　　　　　　　　</w:t>
      </w:r>
    </w:p>
    <w:p>
      <w:pPr>
        <w:rPr>
          <w:rFonts w:ascii="仿宋_GB2312" w:hAnsi="Arial" w:eastAsia="仿宋_GB2312"/>
          <w:color w:val="000000"/>
          <w:sz w:val="24"/>
          <w:u w:val="single"/>
        </w:rPr>
      </w:pPr>
    </w:p>
    <w:tbl>
      <w:tblPr>
        <w:tblStyle w:val="73"/>
        <w:tblW w:w="920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1443"/>
        <w:gridCol w:w="2419"/>
        <w:gridCol w:w="2234"/>
        <w:gridCol w:w="160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361"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序号</w:t>
            </w:r>
          </w:p>
        </w:tc>
        <w:tc>
          <w:tcPr>
            <w:tcW w:w="1443"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招标文件规格条目号</w:t>
            </w:r>
          </w:p>
        </w:tc>
        <w:tc>
          <w:tcPr>
            <w:tcW w:w="2419"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招标规格</w:t>
            </w:r>
          </w:p>
        </w:tc>
        <w:tc>
          <w:tcPr>
            <w:tcW w:w="2234"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投标规格</w:t>
            </w:r>
          </w:p>
        </w:tc>
        <w:tc>
          <w:tcPr>
            <w:tcW w:w="1607"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偏离</w:t>
            </w:r>
          </w:p>
        </w:tc>
        <w:tc>
          <w:tcPr>
            <w:tcW w:w="1136"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361" w:type="dxa"/>
          </w:tcPr>
          <w:p>
            <w:pPr>
              <w:rPr>
                <w:rFonts w:ascii="仿宋_GB2312" w:hAnsi="Arial" w:eastAsia="仿宋_GB2312"/>
                <w:color w:val="000000"/>
                <w:sz w:val="24"/>
              </w:rPr>
            </w:pPr>
          </w:p>
          <w:p>
            <w:pPr>
              <w:rPr>
                <w:rFonts w:ascii="仿宋_GB2312" w:hAnsi="Arial" w:eastAsia="仿宋_GB2312"/>
                <w:color w:val="000000"/>
                <w:sz w:val="24"/>
              </w:rPr>
            </w:pPr>
          </w:p>
        </w:tc>
        <w:tc>
          <w:tcPr>
            <w:tcW w:w="1443"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419" w:type="dxa"/>
          </w:tcPr>
          <w:p>
            <w:pPr>
              <w:rPr>
                <w:rFonts w:ascii="仿宋_GB2312" w:hAnsi="Arial" w:eastAsia="仿宋_GB2312"/>
                <w:color w:val="000000"/>
                <w:sz w:val="24"/>
              </w:rPr>
            </w:pPr>
          </w:p>
        </w:tc>
        <w:tc>
          <w:tcPr>
            <w:tcW w:w="2234" w:type="dxa"/>
          </w:tcPr>
          <w:p>
            <w:pPr>
              <w:rPr>
                <w:rFonts w:ascii="仿宋_GB2312" w:hAnsi="Arial" w:eastAsia="仿宋_GB2312"/>
                <w:color w:val="000000"/>
                <w:sz w:val="24"/>
              </w:rPr>
            </w:pPr>
          </w:p>
        </w:tc>
        <w:tc>
          <w:tcPr>
            <w:tcW w:w="1607" w:type="dxa"/>
          </w:tcPr>
          <w:p>
            <w:pPr>
              <w:rPr>
                <w:rFonts w:ascii="仿宋_GB2312" w:hAnsi="Arial" w:eastAsia="仿宋_GB2312"/>
                <w:color w:val="000000"/>
                <w:sz w:val="24"/>
              </w:rPr>
            </w:pPr>
          </w:p>
        </w:tc>
        <w:tc>
          <w:tcPr>
            <w:tcW w:w="1136"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61" w:type="dxa"/>
          </w:tcPr>
          <w:p>
            <w:pPr>
              <w:rPr>
                <w:rFonts w:ascii="仿宋_GB2312" w:hAnsi="Arial" w:eastAsia="仿宋_GB2312"/>
                <w:color w:val="000000"/>
                <w:sz w:val="24"/>
              </w:rPr>
            </w:pPr>
          </w:p>
          <w:p>
            <w:pPr>
              <w:rPr>
                <w:rFonts w:ascii="仿宋_GB2312" w:hAnsi="Arial" w:eastAsia="仿宋_GB2312"/>
                <w:color w:val="000000"/>
                <w:sz w:val="24"/>
              </w:rPr>
            </w:pPr>
          </w:p>
        </w:tc>
        <w:tc>
          <w:tcPr>
            <w:tcW w:w="1443"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419" w:type="dxa"/>
          </w:tcPr>
          <w:p>
            <w:pPr>
              <w:rPr>
                <w:rFonts w:ascii="仿宋_GB2312" w:hAnsi="Arial" w:eastAsia="仿宋_GB2312"/>
                <w:color w:val="000000"/>
                <w:sz w:val="24"/>
              </w:rPr>
            </w:pPr>
          </w:p>
        </w:tc>
        <w:tc>
          <w:tcPr>
            <w:tcW w:w="2234" w:type="dxa"/>
          </w:tcPr>
          <w:p>
            <w:pPr>
              <w:rPr>
                <w:rFonts w:ascii="仿宋_GB2312" w:hAnsi="Arial" w:eastAsia="仿宋_GB2312"/>
                <w:color w:val="000000"/>
                <w:sz w:val="24"/>
              </w:rPr>
            </w:pPr>
          </w:p>
        </w:tc>
        <w:tc>
          <w:tcPr>
            <w:tcW w:w="1607" w:type="dxa"/>
          </w:tcPr>
          <w:p>
            <w:pPr>
              <w:rPr>
                <w:rFonts w:ascii="仿宋_GB2312" w:hAnsi="Arial" w:eastAsia="仿宋_GB2312"/>
                <w:color w:val="000000"/>
                <w:sz w:val="24"/>
              </w:rPr>
            </w:pPr>
          </w:p>
        </w:tc>
        <w:tc>
          <w:tcPr>
            <w:tcW w:w="1136"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61" w:type="dxa"/>
          </w:tcPr>
          <w:p>
            <w:pPr>
              <w:rPr>
                <w:rFonts w:ascii="仿宋_GB2312" w:hAnsi="Arial" w:eastAsia="仿宋_GB2312"/>
                <w:color w:val="000000"/>
                <w:sz w:val="24"/>
              </w:rPr>
            </w:pPr>
          </w:p>
          <w:p>
            <w:pPr>
              <w:rPr>
                <w:rFonts w:ascii="仿宋_GB2312" w:hAnsi="Arial" w:eastAsia="仿宋_GB2312"/>
                <w:color w:val="000000"/>
                <w:sz w:val="24"/>
              </w:rPr>
            </w:pPr>
          </w:p>
        </w:tc>
        <w:tc>
          <w:tcPr>
            <w:tcW w:w="1443"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419" w:type="dxa"/>
          </w:tcPr>
          <w:p>
            <w:pPr>
              <w:rPr>
                <w:rFonts w:ascii="仿宋_GB2312" w:hAnsi="Arial" w:eastAsia="仿宋_GB2312"/>
                <w:color w:val="000000"/>
                <w:sz w:val="24"/>
              </w:rPr>
            </w:pPr>
          </w:p>
        </w:tc>
        <w:tc>
          <w:tcPr>
            <w:tcW w:w="2234" w:type="dxa"/>
          </w:tcPr>
          <w:p>
            <w:pPr>
              <w:rPr>
                <w:rFonts w:ascii="仿宋_GB2312" w:hAnsi="Arial" w:eastAsia="仿宋_GB2312"/>
                <w:color w:val="000000"/>
                <w:sz w:val="24"/>
              </w:rPr>
            </w:pPr>
          </w:p>
        </w:tc>
        <w:tc>
          <w:tcPr>
            <w:tcW w:w="1607" w:type="dxa"/>
          </w:tcPr>
          <w:p>
            <w:pPr>
              <w:rPr>
                <w:rFonts w:ascii="仿宋_GB2312" w:hAnsi="Arial" w:eastAsia="仿宋_GB2312"/>
                <w:color w:val="000000"/>
                <w:sz w:val="24"/>
              </w:rPr>
            </w:pPr>
          </w:p>
        </w:tc>
        <w:tc>
          <w:tcPr>
            <w:tcW w:w="1136"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61" w:type="dxa"/>
          </w:tcPr>
          <w:p>
            <w:pPr>
              <w:rPr>
                <w:rFonts w:ascii="仿宋_GB2312" w:hAnsi="Arial" w:eastAsia="仿宋_GB2312"/>
                <w:color w:val="000000"/>
                <w:sz w:val="24"/>
              </w:rPr>
            </w:pPr>
          </w:p>
          <w:p>
            <w:pPr>
              <w:rPr>
                <w:rFonts w:ascii="仿宋_GB2312" w:hAnsi="Arial" w:eastAsia="仿宋_GB2312"/>
                <w:color w:val="000000"/>
                <w:sz w:val="24"/>
              </w:rPr>
            </w:pPr>
          </w:p>
        </w:tc>
        <w:tc>
          <w:tcPr>
            <w:tcW w:w="1443"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419" w:type="dxa"/>
          </w:tcPr>
          <w:p>
            <w:pPr>
              <w:rPr>
                <w:rFonts w:ascii="仿宋_GB2312" w:hAnsi="Arial" w:eastAsia="仿宋_GB2312"/>
                <w:color w:val="000000"/>
                <w:sz w:val="24"/>
              </w:rPr>
            </w:pPr>
          </w:p>
        </w:tc>
        <w:tc>
          <w:tcPr>
            <w:tcW w:w="2234" w:type="dxa"/>
          </w:tcPr>
          <w:p>
            <w:pPr>
              <w:rPr>
                <w:rFonts w:ascii="仿宋_GB2312" w:hAnsi="Arial" w:eastAsia="仿宋_GB2312"/>
                <w:color w:val="000000"/>
                <w:sz w:val="24"/>
              </w:rPr>
            </w:pPr>
          </w:p>
        </w:tc>
        <w:tc>
          <w:tcPr>
            <w:tcW w:w="1607" w:type="dxa"/>
          </w:tcPr>
          <w:p>
            <w:pPr>
              <w:rPr>
                <w:rFonts w:ascii="仿宋_GB2312" w:hAnsi="Arial" w:eastAsia="仿宋_GB2312"/>
                <w:color w:val="000000"/>
                <w:sz w:val="24"/>
              </w:rPr>
            </w:pPr>
          </w:p>
        </w:tc>
        <w:tc>
          <w:tcPr>
            <w:tcW w:w="1136" w:type="dxa"/>
          </w:tcPr>
          <w:p>
            <w:pPr>
              <w:rPr>
                <w:rFonts w:ascii="仿宋_GB2312" w:hAnsi="Arial" w:eastAsia="仿宋_GB2312"/>
                <w:color w:val="000000"/>
                <w:sz w:val="24"/>
              </w:rPr>
            </w:pPr>
          </w:p>
        </w:tc>
      </w:tr>
    </w:tbl>
    <w:p>
      <w:pPr>
        <w:rPr>
          <w:rFonts w:ascii="仿宋_GB2312" w:hAnsi="Arial" w:eastAsia="仿宋_GB2312"/>
          <w:color w:val="000000"/>
          <w:sz w:val="24"/>
        </w:rPr>
      </w:pPr>
      <w:r>
        <w:rPr>
          <w:rFonts w:hint="eastAsia" w:ascii="仿宋_GB2312" w:hAnsi="Arial" w:eastAsia="仿宋_GB2312"/>
          <w:color w:val="000000"/>
          <w:sz w:val="24"/>
        </w:rPr>
        <w:t>注：与招标文件要求逐条对应填写。</w:t>
      </w:r>
    </w:p>
    <w:p>
      <w:pPr>
        <w:rPr>
          <w:rFonts w:ascii="仿宋_GB2312" w:hAnsi="Arial" w:eastAsia="仿宋_GB2312"/>
          <w:color w:val="000000"/>
          <w:sz w:val="24"/>
        </w:rPr>
      </w:pPr>
    </w:p>
    <w:p>
      <w:pPr>
        <w:rPr>
          <w:rFonts w:ascii="仿宋_GB2312" w:hAnsi="Arial" w:eastAsia="仿宋_GB2312"/>
          <w:b/>
          <w:color w:val="000000"/>
          <w:sz w:val="28"/>
          <w:szCs w:val="28"/>
        </w:rPr>
      </w:pPr>
      <w:r>
        <w:rPr>
          <w:rFonts w:hint="eastAsia" w:ascii="仿宋_GB2312" w:hAnsi="Arial" w:eastAsia="仿宋_GB2312"/>
          <w:color w:val="000000"/>
          <w:sz w:val="24"/>
        </w:rPr>
        <w:t>投标人代表签字：</w:t>
      </w:r>
      <w:r>
        <w:rPr>
          <w:rFonts w:hint="eastAsia" w:ascii="仿宋_GB2312" w:hAnsi="Arial" w:eastAsia="仿宋_GB2312"/>
          <w:color w:val="000000"/>
          <w:sz w:val="24"/>
          <w:u w:val="single"/>
        </w:rPr>
        <w:t>　　　　　　　　　　　　　　　</w:t>
      </w:r>
    </w:p>
    <w:p>
      <w:pPr>
        <w:jc w:val="center"/>
        <w:outlineLvl w:val="0"/>
        <w:rPr>
          <w:rFonts w:ascii="仿宋_GB2312" w:hAnsi="Arial" w:eastAsia="仿宋_GB2312"/>
          <w:b/>
          <w:color w:val="000000"/>
          <w:sz w:val="28"/>
          <w:szCs w:val="28"/>
        </w:rPr>
      </w:pPr>
      <w:bookmarkStart w:id="60" w:name="_Toc10927"/>
      <w:r>
        <w:rPr>
          <w:rFonts w:hint="eastAsia" w:ascii="仿宋_GB2312" w:hAnsi="Arial" w:eastAsia="仿宋_GB2312"/>
          <w:b/>
          <w:color w:val="000000"/>
          <w:sz w:val="28"/>
          <w:szCs w:val="28"/>
        </w:rPr>
        <w:t>（十三）商务条款偏离表</w:t>
      </w:r>
      <w:bookmarkEnd w:id="60"/>
    </w:p>
    <w:p>
      <w:pPr>
        <w:rPr>
          <w:rFonts w:ascii="仿宋_GB2312" w:hAnsi="Arial" w:eastAsia="仿宋_GB2312"/>
          <w:color w:val="000000"/>
          <w:sz w:val="24"/>
          <w:u w:val="single"/>
        </w:rPr>
      </w:pPr>
      <w:r>
        <w:rPr>
          <w:rFonts w:hint="eastAsia" w:ascii="仿宋_GB2312" w:hAnsi="Arial" w:eastAsia="仿宋_GB2312"/>
          <w:color w:val="000000"/>
          <w:sz w:val="24"/>
        </w:rPr>
        <w:t>投标人名称（公章）：</w:t>
      </w:r>
      <w:r>
        <w:rPr>
          <w:rFonts w:hint="eastAsia" w:ascii="仿宋_GB2312" w:hAnsi="Arial" w:eastAsia="仿宋_GB2312"/>
          <w:color w:val="000000"/>
          <w:sz w:val="24"/>
          <w:u w:val="single"/>
        </w:rPr>
        <w:t>　　　　　</w:t>
      </w:r>
      <w:r>
        <w:rPr>
          <w:rFonts w:hint="eastAsia" w:ascii="仿宋_GB2312" w:hAnsi="Arial" w:eastAsia="仿宋_GB2312"/>
          <w:color w:val="000000"/>
          <w:sz w:val="24"/>
        </w:rPr>
        <w:t>项目编号：</w:t>
      </w:r>
      <w:r>
        <w:rPr>
          <w:rFonts w:hint="eastAsia" w:ascii="仿宋_GB2312" w:hAnsi="Arial" w:eastAsia="仿宋_GB2312"/>
          <w:color w:val="000000"/>
          <w:sz w:val="24"/>
          <w:u w:val="single"/>
        </w:rPr>
        <w:t>　　　　　　　　　　　</w:t>
      </w:r>
    </w:p>
    <w:tbl>
      <w:tblPr>
        <w:tblStyle w:val="73"/>
        <w:tblW w:w="924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388"/>
        <w:gridCol w:w="2572"/>
        <w:gridCol w:w="2857"/>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序号</w:t>
            </w:r>
          </w:p>
        </w:tc>
        <w:tc>
          <w:tcPr>
            <w:tcW w:w="1388"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招标文件</w:t>
            </w:r>
          </w:p>
          <w:p>
            <w:pPr>
              <w:jc w:val="center"/>
              <w:rPr>
                <w:rFonts w:ascii="仿宋_GB2312" w:hAnsi="Arial" w:eastAsia="仿宋_GB2312"/>
                <w:color w:val="000000"/>
                <w:sz w:val="24"/>
              </w:rPr>
            </w:pPr>
            <w:r>
              <w:rPr>
                <w:rFonts w:hint="eastAsia" w:ascii="仿宋_GB2312" w:hAnsi="Arial" w:eastAsia="仿宋_GB2312"/>
                <w:color w:val="000000"/>
                <w:sz w:val="24"/>
              </w:rPr>
              <w:t>条目号</w:t>
            </w:r>
          </w:p>
        </w:tc>
        <w:tc>
          <w:tcPr>
            <w:tcW w:w="2572"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招标文件的商务条款</w:t>
            </w:r>
          </w:p>
        </w:tc>
        <w:tc>
          <w:tcPr>
            <w:tcW w:w="2857"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投标文件的商务条款</w:t>
            </w:r>
          </w:p>
        </w:tc>
        <w:tc>
          <w:tcPr>
            <w:tcW w:w="1999" w:type="dxa"/>
            <w:vAlign w:val="center"/>
          </w:tcPr>
          <w:p>
            <w:pPr>
              <w:jc w:val="center"/>
              <w:rPr>
                <w:rFonts w:ascii="仿宋_GB2312" w:hAnsi="Arial" w:eastAsia="仿宋_GB2312"/>
                <w:color w:val="000000"/>
                <w:sz w:val="24"/>
              </w:rPr>
            </w:pPr>
            <w:r>
              <w:rPr>
                <w:rFonts w:hint="eastAsia" w:ascii="仿宋_GB2312" w:hAnsi="Arial" w:eastAsia="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p>
            <w:pPr>
              <w:rPr>
                <w:rFonts w:ascii="仿宋_GB2312" w:hAnsi="Arial" w:eastAsia="仿宋_GB2312"/>
                <w:color w:val="000000"/>
                <w:sz w:val="24"/>
              </w:rPr>
            </w:pPr>
          </w:p>
        </w:tc>
        <w:tc>
          <w:tcPr>
            <w:tcW w:w="1388"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tcPr>
          <w:p>
            <w:pPr>
              <w:rPr>
                <w:rFonts w:ascii="仿宋_GB2312" w:hAnsi="Arial" w:eastAsia="仿宋_GB2312"/>
                <w:color w:val="000000"/>
                <w:sz w:val="24"/>
              </w:rPr>
            </w:pPr>
          </w:p>
        </w:tc>
        <w:tc>
          <w:tcPr>
            <w:tcW w:w="1388" w:type="dxa"/>
          </w:tcPr>
          <w:p>
            <w:pPr>
              <w:rPr>
                <w:rFonts w:ascii="仿宋_GB2312" w:hAnsi="Arial" w:eastAsia="仿宋_GB2312"/>
                <w:color w:val="000000"/>
                <w:sz w:val="24"/>
              </w:rPr>
            </w:pPr>
          </w:p>
        </w:tc>
        <w:tc>
          <w:tcPr>
            <w:tcW w:w="2572" w:type="dxa"/>
          </w:tcPr>
          <w:p>
            <w:pPr>
              <w:rPr>
                <w:rFonts w:ascii="仿宋_GB2312" w:hAnsi="Arial" w:eastAsia="仿宋_GB2312"/>
                <w:color w:val="000000"/>
                <w:sz w:val="24"/>
              </w:rPr>
            </w:pPr>
          </w:p>
          <w:p>
            <w:pPr>
              <w:rPr>
                <w:rFonts w:ascii="仿宋_GB2312" w:hAnsi="Arial" w:eastAsia="仿宋_GB2312"/>
                <w:color w:val="000000"/>
                <w:sz w:val="24"/>
              </w:rPr>
            </w:pPr>
          </w:p>
        </w:tc>
        <w:tc>
          <w:tcPr>
            <w:tcW w:w="2857" w:type="dxa"/>
          </w:tcPr>
          <w:p>
            <w:pPr>
              <w:widowControl/>
              <w:jc w:val="left"/>
              <w:rPr>
                <w:rFonts w:ascii="仿宋_GB2312" w:hAnsi="Arial" w:eastAsia="仿宋_GB2312"/>
                <w:color w:val="000000"/>
                <w:sz w:val="24"/>
              </w:rPr>
            </w:pPr>
          </w:p>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4" w:type="dxa"/>
            <w:vAlign w:val="center"/>
          </w:tcPr>
          <w:p>
            <w:pPr>
              <w:jc w:val="center"/>
              <w:rPr>
                <w:rFonts w:ascii="仿宋_GB2312" w:hAnsi="Arial" w:eastAsia="仿宋_GB2312"/>
                <w:color w:val="000000"/>
                <w:sz w:val="24"/>
              </w:rPr>
            </w:pPr>
          </w:p>
        </w:tc>
        <w:tc>
          <w:tcPr>
            <w:tcW w:w="1388" w:type="dxa"/>
            <w:vAlign w:val="center"/>
          </w:tcPr>
          <w:p>
            <w:pPr>
              <w:jc w:val="center"/>
              <w:rPr>
                <w:rFonts w:ascii="仿宋_GB2312" w:hAnsi="Arial" w:eastAsia="仿宋_GB2312"/>
                <w:color w:val="000000"/>
                <w:sz w:val="24"/>
              </w:rPr>
            </w:pPr>
          </w:p>
        </w:tc>
        <w:tc>
          <w:tcPr>
            <w:tcW w:w="2572" w:type="dxa"/>
          </w:tcPr>
          <w:p>
            <w:pPr>
              <w:rPr>
                <w:rFonts w:ascii="仿宋_GB2312" w:hAnsi="Arial" w:eastAsia="仿宋_GB2312"/>
                <w:color w:val="000000"/>
                <w:sz w:val="24"/>
              </w:rPr>
            </w:pPr>
          </w:p>
        </w:tc>
        <w:tc>
          <w:tcPr>
            <w:tcW w:w="2857" w:type="dxa"/>
          </w:tcPr>
          <w:p>
            <w:pPr>
              <w:rPr>
                <w:rFonts w:ascii="仿宋_GB2312" w:hAnsi="Arial" w:eastAsia="仿宋_GB2312"/>
                <w:color w:val="000000"/>
                <w:sz w:val="24"/>
              </w:rPr>
            </w:pPr>
          </w:p>
        </w:tc>
        <w:tc>
          <w:tcPr>
            <w:tcW w:w="1999" w:type="dxa"/>
          </w:tcPr>
          <w:p>
            <w:pPr>
              <w:rPr>
                <w:rFonts w:ascii="仿宋_GB2312" w:hAnsi="Arial" w:eastAsia="仿宋_GB2312"/>
                <w:color w:val="000000"/>
                <w:sz w:val="24"/>
              </w:rPr>
            </w:pPr>
          </w:p>
        </w:tc>
      </w:tr>
    </w:tbl>
    <w:p>
      <w:pPr>
        <w:rPr>
          <w:rFonts w:ascii="仿宋_GB2312" w:hAnsi="Arial" w:eastAsia="仿宋_GB2312"/>
          <w:color w:val="000000"/>
          <w:sz w:val="24"/>
        </w:rPr>
      </w:pPr>
      <w:r>
        <w:rPr>
          <w:rFonts w:hint="eastAsia" w:ascii="仿宋_GB2312" w:hAnsi="Arial" w:eastAsia="仿宋_GB2312"/>
          <w:color w:val="000000"/>
          <w:sz w:val="24"/>
        </w:rPr>
        <w:t>　</w:t>
      </w:r>
    </w:p>
    <w:p>
      <w:pPr>
        <w:rPr>
          <w:rFonts w:ascii="仿宋_GB2312" w:hAnsi="Arial" w:eastAsia="仿宋_GB2312"/>
          <w:color w:val="000000"/>
          <w:sz w:val="24"/>
        </w:rPr>
      </w:pPr>
      <w:r>
        <w:rPr>
          <w:rFonts w:hint="eastAsia" w:ascii="仿宋_GB2312" w:hAnsi="Arial" w:eastAsia="仿宋_GB2312"/>
          <w:color w:val="000000"/>
          <w:sz w:val="24"/>
        </w:rPr>
        <w:t>投标人代表签字：</w:t>
      </w:r>
      <w:r>
        <w:rPr>
          <w:rFonts w:hint="eastAsia" w:ascii="仿宋_GB2312" w:hAnsi="Arial" w:eastAsia="仿宋_GB2312"/>
          <w:color w:val="000000"/>
          <w:sz w:val="24"/>
          <w:u w:val="single"/>
        </w:rPr>
        <w:t>　　　　　　　　　　　　　　　</w:t>
      </w:r>
      <w:r>
        <w:rPr>
          <w:rFonts w:hint="eastAsia" w:ascii="仿宋_GB2312" w:hAnsi="Arial" w:eastAsia="仿宋_GB2312"/>
          <w:color w:val="000000"/>
          <w:sz w:val="24"/>
        </w:rPr>
        <w:t>　</w:t>
      </w:r>
    </w:p>
    <w:p>
      <w:pPr>
        <w:widowControl/>
        <w:spacing w:before="100" w:beforeAutospacing="1" w:after="100" w:afterAutospacing="1" w:line="360" w:lineRule="auto"/>
        <w:jc w:val="center"/>
        <w:outlineLvl w:val="0"/>
        <w:rPr>
          <w:rFonts w:ascii="仿宋_GB2312" w:hAnsi="Arial" w:eastAsia="仿宋_GB2312"/>
          <w:b/>
          <w:color w:val="000000"/>
          <w:sz w:val="28"/>
          <w:szCs w:val="28"/>
        </w:rPr>
      </w:pPr>
      <w:bookmarkStart w:id="61" w:name="_Toc27519"/>
      <w:r>
        <w:rPr>
          <w:rFonts w:hint="eastAsia" w:ascii="仿宋_GB2312" w:hAnsi="Arial" w:eastAsia="仿宋_GB2312"/>
          <w:b/>
          <w:color w:val="000000"/>
          <w:sz w:val="28"/>
          <w:szCs w:val="28"/>
        </w:rPr>
        <w:t>（十四）投标单位（供应商）反商业贿赂承诺书 </w:t>
      </w:r>
      <w:bookmarkEnd w:id="61"/>
    </w:p>
    <w:p>
      <w:pPr>
        <w:widowControl/>
        <w:spacing w:before="100" w:beforeAutospacing="1" w:after="100" w:afterAutospacing="1" w:line="360" w:lineRule="auto"/>
        <w:ind w:firstLine="480" w:firstLineChars="200"/>
        <w:jc w:val="left"/>
        <w:rPr>
          <w:rFonts w:ascii="仿宋_GB2312" w:hAnsi="Arial" w:eastAsia="仿宋_GB2312"/>
          <w:color w:val="000000"/>
          <w:sz w:val="24"/>
        </w:rPr>
      </w:pPr>
      <w:r>
        <w:rPr>
          <w:rFonts w:hint="eastAsia" w:ascii="仿宋_GB2312" w:hAnsi="Arial" w:eastAsia="仿宋_GB2312"/>
          <w:color w:val="000000"/>
          <w:sz w:val="24"/>
        </w:rPr>
        <w:t>我公司承诺在</w:t>
      </w:r>
      <w:r>
        <w:rPr>
          <w:rFonts w:hint="eastAsia" w:ascii="仿宋_GB2312" w:hAnsi="Arial" w:eastAsia="仿宋_GB2312"/>
          <w:color w:val="000000"/>
          <w:sz w:val="24"/>
          <w:u w:val="single"/>
        </w:rPr>
        <w:t>（项目编号、项目名称）</w:t>
      </w:r>
      <w:r>
        <w:rPr>
          <w:rFonts w:hint="eastAsia" w:ascii="仿宋_GB2312" w:hAnsi="Arial" w:eastAsia="仿宋_GB2312"/>
          <w:color w:val="000000"/>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before="100" w:beforeAutospacing="1" w:after="100" w:afterAutospacing="1" w:line="360" w:lineRule="auto"/>
        <w:ind w:firstLine="899"/>
        <w:jc w:val="left"/>
        <w:rPr>
          <w:rFonts w:ascii="仿宋_GB2312" w:hAnsi="Arial" w:eastAsia="仿宋_GB2312"/>
          <w:color w:val="000000"/>
          <w:sz w:val="24"/>
        </w:rPr>
      </w:pPr>
      <w:r>
        <w:rPr>
          <w:rFonts w:hint="eastAsia" w:ascii="仿宋_GB2312" w:hAnsi="Arial" w:eastAsia="仿宋_GB2312"/>
          <w:color w:val="000000"/>
          <w:sz w:val="24"/>
        </w:rPr>
        <w:t>公司法人代表：</w:t>
      </w:r>
    </w:p>
    <w:p>
      <w:pPr>
        <w:widowControl/>
        <w:spacing w:before="100" w:beforeAutospacing="1" w:after="100" w:afterAutospacing="1" w:line="360" w:lineRule="auto"/>
        <w:ind w:firstLine="899"/>
        <w:jc w:val="left"/>
        <w:rPr>
          <w:rFonts w:ascii="仿宋_GB2312" w:hAnsi="Arial" w:eastAsia="仿宋_GB2312"/>
          <w:color w:val="000000"/>
          <w:sz w:val="24"/>
        </w:rPr>
      </w:pPr>
      <w:r>
        <w:rPr>
          <w:rFonts w:hint="eastAsia" w:ascii="仿宋_GB2312" w:hAnsi="Arial" w:eastAsia="仿宋_GB2312"/>
          <w:color w:val="000000"/>
          <w:sz w:val="24"/>
        </w:rPr>
        <w:t>法人授权代表：</w:t>
      </w:r>
    </w:p>
    <w:p>
      <w:pPr>
        <w:widowControl/>
        <w:spacing w:before="100" w:beforeAutospacing="1" w:after="100" w:afterAutospacing="1" w:line="360" w:lineRule="auto"/>
        <w:ind w:firstLine="897"/>
        <w:jc w:val="left"/>
        <w:rPr>
          <w:rFonts w:ascii="仿宋_GB2312" w:hAnsi="Arial" w:eastAsia="仿宋_GB2312"/>
          <w:color w:val="000000"/>
          <w:sz w:val="24"/>
        </w:rPr>
      </w:pPr>
      <w:r>
        <w:rPr>
          <w:rFonts w:hint="eastAsia" w:ascii="仿宋_GB2312" w:hAnsi="Arial" w:eastAsia="仿宋_GB2312"/>
          <w:color w:val="000000"/>
          <w:sz w:val="24"/>
        </w:rPr>
        <w:t>项目经办人：</w:t>
      </w:r>
    </w:p>
    <w:p>
      <w:pPr>
        <w:spacing w:line="480" w:lineRule="exact"/>
        <w:rPr>
          <w:rFonts w:ascii="仿宋_GB2312" w:hAnsi="Arial" w:eastAsia="仿宋_GB2312"/>
          <w:color w:val="000000"/>
          <w:sz w:val="24"/>
        </w:rPr>
      </w:pPr>
      <w:r>
        <w:rPr>
          <w:rFonts w:hint="eastAsia" w:ascii="仿宋_GB2312" w:hAnsi="Arial" w:eastAsia="仿宋_GB2312"/>
          <w:color w:val="000000"/>
          <w:sz w:val="24"/>
        </w:rPr>
        <w:t xml:space="preserve">                                                     日期：</w:t>
      </w:r>
    </w:p>
    <w:p>
      <w:pPr>
        <w:spacing w:line="480" w:lineRule="exact"/>
        <w:rPr>
          <w:rFonts w:ascii="宋体" w:hAnsi="宋体" w:cs="宋体"/>
          <w:sz w:val="28"/>
          <w:szCs w:val="28"/>
        </w:rPr>
      </w:pPr>
    </w:p>
    <w:p>
      <w:pPr>
        <w:spacing w:line="480" w:lineRule="exact"/>
        <w:rPr>
          <w:rFonts w:ascii="宋体" w:cs="宋体"/>
          <w:sz w:val="28"/>
          <w:szCs w:val="28"/>
        </w:rPr>
      </w:pPr>
    </w:p>
    <w:sectPr>
      <w:headerReference r:id="rId9" w:type="default"/>
      <w:footerReference r:id="rId10"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文鼎粗黑">
    <w:altName w:val="Microsoft JhengHei"/>
    <w:panose1 w:val="00000000000000000000"/>
    <w:charset w:val="88"/>
    <w:family w:val="modern"/>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华文行楷">
    <w:altName w:val="微软雅黑"/>
    <w:panose1 w:val="02010800040101010101"/>
    <w:charset w:val="86"/>
    <w:family w:val="auto"/>
    <w:pitch w:val="default"/>
    <w:sig w:usb0="00000000" w:usb1="00000000" w:usb2="0000000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Frutiger 55 Roman">
    <w:altName w:val="Courier New"/>
    <w:panose1 w:val="00000000000000000000"/>
    <w:charset w:val="00"/>
    <w:family w:val="auto"/>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4485"/>
        <w:tab w:val="center" w:pos="4734"/>
      </w:tabs>
    </w:pPr>
    <w:r>
      <w:tab/>
    </w:r>
    <w:r>
      <w:tab/>
    </w:r>
    <w:r>
      <w:tab/>
    </w:r>
    <w:r>
      <w:fldChar w:fldCharType="begin"/>
    </w:r>
    <w:r>
      <w:instrText xml:space="preserve"> PAGE   \* MERGEFORMAT </w:instrText>
    </w:r>
    <w:r>
      <w:fldChar w:fldCharType="separate"/>
    </w:r>
    <w:r>
      <w:rPr>
        <w:rFonts w:hint="eastAsia" w:ascii="Batang" w:hAnsi="Batang" w:eastAsia="Batang" w:cs="Batang"/>
        <w:lang w:val="zh-CN"/>
      </w:rPr>
      <w:t>이</w:t>
    </w:r>
    <w:r>
      <w:rPr>
        <w:rFonts w:ascii="Batang" w:hAnsi="Batang" w:eastAsia="Batang" w:cs="Batang"/>
        <w:lang w:val="zh-CN"/>
      </w:rPr>
      <w:fldChar w:fldCharType="end"/>
    </w:r>
  </w:p>
  <w:p>
    <w:pPr>
      <w:pStyle w:val="4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right" w:y="1"/>
      <w:rPr>
        <w:rStyle w:val="77"/>
      </w:rPr>
    </w:pPr>
    <w:r>
      <w:rPr>
        <w:rStyle w:val="77"/>
      </w:rPr>
      <w:fldChar w:fldCharType="begin"/>
    </w:r>
    <w:r>
      <w:rPr>
        <w:rStyle w:val="77"/>
      </w:rPr>
      <w:instrText xml:space="preserve">PAGE  </w:instrText>
    </w:r>
    <w:r>
      <w:rPr>
        <w:rStyle w:val="77"/>
      </w:rPr>
      <w:fldChar w:fldCharType="separate"/>
    </w:r>
    <w:r>
      <w:rPr>
        <w:rStyle w:val="77"/>
      </w:rPr>
      <w:t>1</w:t>
    </w:r>
    <w:r>
      <w:rPr>
        <w:rStyle w:val="77"/>
      </w:rPr>
      <w:fldChar w:fldCharType="end"/>
    </w: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4485"/>
        <w:tab w:val="center" w:pos="4734"/>
      </w:tabs>
    </w:pPr>
    <w:r>
      <w:tab/>
    </w:r>
    <w:r>
      <w:tab/>
    </w:r>
    <w:r>
      <w:tab/>
    </w:r>
    <w:r>
      <w:fldChar w:fldCharType="begin"/>
    </w:r>
    <w:r>
      <w:instrText xml:space="preserve"> PAGE   \* MERGEFORMAT </w:instrText>
    </w:r>
    <w:r>
      <w:fldChar w:fldCharType="separate"/>
    </w:r>
    <w:r>
      <w:rPr>
        <w:lang w:val="zh-CN"/>
      </w:rPr>
      <w:t>77</w:t>
    </w:r>
    <w:r>
      <w:rPr>
        <w:lang w:val="zh-CN"/>
      </w:rPr>
      <w:fldChar w:fldCharType="end"/>
    </w:r>
  </w:p>
  <w:p>
    <w:pPr>
      <w:pStyle w:val="46"/>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DC2DF"/>
    <w:multiLevelType w:val="singleLevel"/>
    <w:tmpl w:val="8DADC2DF"/>
    <w:lvl w:ilvl="0" w:tentative="0">
      <w:start w:val="1"/>
      <w:numFmt w:val="decimal"/>
      <w:suff w:val="nothing"/>
      <w:lvlText w:val="（%1）"/>
      <w:lvlJc w:val="left"/>
    </w:lvl>
  </w:abstractNum>
  <w:abstractNum w:abstractNumId="1">
    <w:nsid w:val="AA260625"/>
    <w:multiLevelType w:val="singleLevel"/>
    <w:tmpl w:val="AA260625"/>
    <w:lvl w:ilvl="0" w:tentative="0">
      <w:start w:val="1"/>
      <w:numFmt w:val="decimal"/>
      <w:suff w:val="space"/>
      <w:lvlText w:val="%1."/>
      <w:lvlJc w:val="left"/>
      <w:pPr>
        <w:ind w:left="840" w:leftChars="0" w:hanging="420" w:firstLineChars="0"/>
      </w:pPr>
      <w:rPr>
        <w:rFonts w:hint="default"/>
        <w:color w:val="auto"/>
      </w:rPr>
    </w:lvl>
  </w:abstractNum>
  <w:abstractNum w:abstractNumId="2">
    <w:nsid w:val="C121C4C5"/>
    <w:multiLevelType w:val="multilevel"/>
    <w:tmpl w:val="C121C4C5"/>
    <w:lvl w:ilvl="0" w:tentative="0">
      <w:start w:val="1"/>
      <w:numFmt w:val="decimal"/>
      <w:suff w:val="nothing"/>
      <w:lvlText w:val="%1　"/>
      <w:lvlJc w:val="left"/>
      <w:pPr>
        <w:ind w:left="0" w:leftChars="0" w:firstLine="0" w:firstLineChars="0"/>
      </w:pPr>
      <w:rPr>
        <w:rFonts w:hint="default"/>
      </w:rPr>
    </w:lvl>
    <w:lvl w:ilvl="1" w:tentative="0">
      <w:start w:val="1"/>
      <w:numFmt w:val="decimal"/>
      <w:suff w:val="nothing"/>
      <w:lvlText w:val="%1.%2　"/>
      <w:lvlJc w:val="left"/>
      <w:pPr>
        <w:ind w:left="0" w:leftChars="0" w:firstLine="0" w:firstLineChars="0"/>
      </w:pPr>
      <w:rPr>
        <w:rFonts w:hint="default"/>
      </w:rPr>
    </w:lvl>
    <w:lvl w:ilvl="2" w:tentative="0">
      <w:start w:val="1"/>
      <w:numFmt w:val="decimal"/>
      <w:suff w:val="nothing"/>
      <w:lvlText w:val="%1.%2.%3　"/>
      <w:lvlJc w:val="left"/>
      <w:pPr>
        <w:ind w:left="0" w:leftChars="0" w:firstLine="0" w:firstLineChars="0"/>
      </w:pPr>
      <w:rPr>
        <w:rFonts w:hint="default"/>
      </w:rPr>
    </w:lvl>
    <w:lvl w:ilvl="3" w:tentative="0">
      <w:start w:val="1"/>
      <w:numFmt w:val="decimal"/>
      <w:suff w:val="nothing"/>
      <w:lvlText w:val="%1.%2.%3.%4　"/>
      <w:lvlJc w:val="left"/>
      <w:pPr>
        <w:ind w:left="0" w:leftChars="0" w:firstLine="0" w:firstLineChars="0"/>
      </w:pPr>
      <w:rPr>
        <w:rFonts w:hint="default"/>
      </w:rPr>
    </w:lvl>
    <w:lvl w:ilvl="4" w:tentative="0">
      <w:start w:val="1"/>
      <w:numFmt w:val="decimal"/>
      <w:suff w:val="nothing"/>
      <w:lvlText w:val="%1.%2.%3.%4.%5　"/>
      <w:lvlJc w:val="left"/>
      <w:pPr>
        <w:ind w:left="0" w:leftChars="0" w:firstLine="0" w:firstLineChars="0"/>
      </w:pPr>
      <w:rPr>
        <w:rFonts w:hint="default"/>
      </w:rPr>
    </w:lvl>
    <w:lvl w:ilvl="5" w:tentative="0">
      <w:start w:val="1"/>
      <w:numFmt w:val="decimal"/>
      <w:suff w:val="nothing"/>
      <w:lvlText w:val="%1.%2.%3.%4.%5.%6　"/>
      <w:lvlJc w:val="left"/>
      <w:pPr>
        <w:ind w:left="0" w:leftChars="0" w:firstLine="0" w:firstLineChars="0"/>
      </w:pPr>
      <w:rPr>
        <w:rFonts w:hint="default"/>
      </w:rPr>
    </w:lvl>
    <w:lvl w:ilvl="6" w:tentative="0">
      <w:start w:val="1"/>
      <w:numFmt w:val="decimal"/>
      <w:suff w:val="nothing"/>
      <w:lvlText w:val="%1.%2.%3.%4.%5.%6.%7　"/>
      <w:lvlJc w:val="left"/>
      <w:pPr>
        <w:ind w:left="0" w:leftChars="0" w:firstLine="0" w:firstLineChars="0"/>
      </w:pPr>
      <w:rPr>
        <w:rFonts w:hint="default"/>
      </w:rPr>
    </w:lvl>
    <w:lvl w:ilvl="7" w:tentative="0">
      <w:start w:val="1"/>
      <w:numFmt w:val="decimal"/>
      <w:suff w:val="nothing"/>
      <w:lvlText w:val="%1.%2.%3.%4.%5.%6.%7.%8　"/>
      <w:lvlJc w:val="left"/>
      <w:pPr>
        <w:ind w:left="0" w:leftChars="0" w:firstLine="0" w:firstLineChars="0"/>
      </w:pPr>
      <w:rPr>
        <w:rFonts w:hint="default"/>
      </w:rPr>
    </w:lvl>
    <w:lvl w:ilvl="8" w:tentative="0">
      <w:start w:val="1"/>
      <w:numFmt w:val="decimal"/>
      <w:suff w:val="nothing"/>
      <w:lvlText w:val="%1.%2.%3.%4.%5.%6.%7.%8.%9　"/>
      <w:lvlJc w:val="left"/>
      <w:pPr>
        <w:ind w:left="0" w:leftChars="0" w:firstLine="0" w:firstLineChars="0"/>
      </w:pPr>
      <w:rPr>
        <w:rFonts w:hint="default"/>
      </w:rPr>
    </w:lvl>
  </w:abstractNum>
  <w:abstractNum w:abstractNumId="3">
    <w:nsid w:val="CD167794"/>
    <w:multiLevelType w:val="singleLevel"/>
    <w:tmpl w:val="CD167794"/>
    <w:lvl w:ilvl="0" w:tentative="0">
      <w:start w:val="1"/>
      <w:numFmt w:val="decimal"/>
      <w:lvlText w:val="(%1)"/>
      <w:lvlJc w:val="left"/>
      <w:pPr>
        <w:tabs>
          <w:tab w:val="left" w:pos="420"/>
        </w:tabs>
        <w:ind w:left="845" w:hanging="425"/>
      </w:pPr>
      <w:rPr>
        <w:rFonts w:hint="default"/>
      </w:rPr>
    </w:lvl>
  </w:abstractNum>
  <w:abstractNum w:abstractNumId="4">
    <w:nsid w:val="D7550174"/>
    <w:multiLevelType w:val="singleLevel"/>
    <w:tmpl w:val="D7550174"/>
    <w:lvl w:ilvl="0" w:tentative="0">
      <w:start w:val="1"/>
      <w:numFmt w:val="decimal"/>
      <w:lvlText w:val="%1."/>
      <w:lvlJc w:val="left"/>
      <w:pPr>
        <w:tabs>
          <w:tab w:val="left" w:pos="312"/>
        </w:tabs>
      </w:pPr>
    </w:lvl>
  </w:abstractNum>
  <w:abstractNum w:abstractNumId="5">
    <w:nsid w:val="DC8AF917"/>
    <w:multiLevelType w:val="singleLevel"/>
    <w:tmpl w:val="DC8AF917"/>
    <w:lvl w:ilvl="0" w:tentative="0">
      <w:start w:val="1"/>
      <w:numFmt w:val="decimal"/>
      <w:suff w:val="space"/>
      <w:lvlText w:val="(%1)"/>
      <w:lvlJc w:val="left"/>
      <w:pPr>
        <w:ind w:left="0" w:leftChars="0" w:firstLine="420" w:firstLineChars="0"/>
      </w:pPr>
      <w:rPr>
        <w:rFonts w:hint="default"/>
      </w:rPr>
    </w:lvl>
  </w:abstractNum>
  <w:abstractNum w:abstractNumId="6">
    <w:nsid w:val="00000001"/>
    <w:multiLevelType w:val="multilevel"/>
    <w:tmpl w:val="00000001"/>
    <w:lvl w:ilvl="0" w:tentative="0">
      <w:start w:val="1"/>
      <w:numFmt w:val="bullet"/>
      <w:pStyle w:val="27"/>
      <w:lvlText w:val=""/>
      <w:lvlJc w:val="left"/>
      <w:pPr>
        <w:tabs>
          <w:tab w:val="left" w:pos="1200"/>
        </w:tabs>
        <w:ind w:left="1200" w:hanging="36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03"/>
    <w:multiLevelType w:val="singleLevel"/>
    <w:tmpl w:val="00000003"/>
    <w:lvl w:ilvl="0" w:tentative="0">
      <w:start w:val="1"/>
      <w:numFmt w:val="bullet"/>
      <w:pStyle w:val="532"/>
      <w:lvlText w:val=""/>
      <w:lvlJc w:val="left"/>
      <w:pPr>
        <w:tabs>
          <w:tab w:val="left" w:pos="425"/>
        </w:tabs>
        <w:ind w:left="425" w:hanging="425"/>
      </w:pPr>
      <w:rPr>
        <w:rFonts w:hint="default" w:ascii="Symbol" w:hAnsi="Symbol"/>
        <w:color w:val="auto"/>
      </w:rPr>
    </w:lvl>
  </w:abstractNum>
  <w:abstractNum w:abstractNumId="8">
    <w:nsid w:val="00000007"/>
    <w:multiLevelType w:val="singleLevel"/>
    <w:tmpl w:val="00000007"/>
    <w:lvl w:ilvl="0" w:tentative="0">
      <w:start w:val="1"/>
      <w:numFmt w:val="decimal"/>
      <w:pStyle w:val="17"/>
      <w:lvlText w:val="%1."/>
      <w:lvlJc w:val="left"/>
      <w:pPr>
        <w:tabs>
          <w:tab w:val="left" w:pos="360"/>
        </w:tabs>
        <w:ind w:left="360" w:hanging="360"/>
      </w:pPr>
      <w:rPr>
        <w:rFonts w:cs="Times New Roman"/>
      </w:rPr>
    </w:lvl>
  </w:abstractNum>
  <w:abstractNum w:abstractNumId="9">
    <w:nsid w:val="0000000E"/>
    <w:multiLevelType w:val="multilevel"/>
    <w:tmpl w:val="0000000E"/>
    <w:lvl w:ilvl="0" w:tentative="0">
      <w:start w:val="1"/>
      <w:numFmt w:val="upperLetter"/>
      <w:pStyle w:val="2"/>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000000F"/>
    <w:multiLevelType w:val="singleLevel"/>
    <w:tmpl w:val="0000000F"/>
    <w:lvl w:ilvl="0" w:tentative="0">
      <w:start w:val="1"/>
      <w:numFmt w:val="decimal"/>
      <w:pStyle w:val="30"/>
      <w:lvlText w:val="%1."/>
      <w:lvlJc w:val="left"/>
      <w:pPr>
        <w:tabs>
          <w:tab w:val="left" w:pos="1200"/>
        </w:tabs>
        <w:ind w:left="1200" w:hanging="360"/>
      </w:pPr>
      <w:rPr>
        <w:rFonts w:cs="Times New Roman"/>
      </w:rPr>
    </w:lvl>
  </w:abstractNum>
  <w:abstractNum w:abstractNumId="11">
    <w:nsid w:val="00000010"/>
    <w:multiLevelType w:val="multilevel"/>
    <w:tmpl w:val="00000010"/>
    <w:lvl w:ilvl="0" w:tentative="0">
      <w:start w:val="1"/>
      <w:numFmt w:val="decimal"/>
      <w:pStyle w:val="39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00000011"/>
    <w:multiLevelType w:val="singleLevel"/>
    <w:tmpl w:val="00000011"/>
    <w:lvl w:ilvl="0" w:tentative="0">
      <w:start w:val="1"/>
      <w:numFmt w:val="decimal"/>
      <w:pStyle w:val="54"/>
      <w:lvlText w:val="%1."/>
      <w:lvlJc w:val="left"/>
      <w:pPr>
        <w:tabs>
          <w:tab w:val="left" w:pos="2040"/>
        </w:tabs>
        <w:ind w:left="2040" w:hanging="360"/>
      </w:pPr>
      <w:rPr>
        <w:rFonts w:cs="Times New Roman"/>
      </w:rPr>
    </w:lvl>
  </w:abstractNum>
  <w:abstractNum w:abstractNumId="13">
    <w:nsid w:val="00000012"/>
    <w:multiLevelType w:val="singleLevel"/>
    <w:tmpl w:val="00000012"/>
    <w:lvl w:ilvl="0" w:tentative="0">
      <w:start w:val="1"/>
      <w:numFmt w:val="decimal"/>
      <w:pStyle w:val="13"/>
      <w:lvlText w:val="%1."/>
      <w:lvlJc w:val="left"/>
      <w:pPr>
        <w:tabs>
          <w:tab w:val="left" w:pos="780"/>
        </w:tabs>
        <w:ind w:left="780" w:hanging="360"/>
      </w:pPr>
      <w:rPr>
        <w:rFonts w:cs="Times New Roman"/>
      </w:rPr>
    </w:lvl>
  </w:abstractNum>
  <w:abstractNum w:abstractNumId="14">
    <w:nsid w:val="00000013"/>
    <w:multiLevelType w:val="singleLevel"/>
    <w:tmpl w:val="00000013"/>
    <w:lvl w:ilvl="0" w:tentative="0">
      <w:start w:val="1"/>
      <w:numFmt w:val="bullet"/>
      <w:pStyle w:val="34"/>
      <w:lvlText w:val=""/>
      <w:lvlJc w:val="left"/>
      <w:pPr>
        <w:tabs>
          <w:tab w:val="left" w:pos="780"/>
        </w:tabs>
        <w:ind w:left="780" w:hanging="360"/>
      </w:pPr>
      <w:rPr>
        <w:rFonts w:hint="default" w:ascii="Wingdings" w:hAnsi="Wingdings"/>
      </w:rPr>
    </w:lvl>
  </w:abstractNum>
  <w:abstractNum w:abstractNumId="15">
    <w:nsid w:val="00000014"/>
    <w:multiLevelType w:val="singleLevel"/>
    <w:tmpl w:val="00000014"/>
    <w:lvl w:ilvl="0" w:tentative="0">
      <w:start w:val="1"/>
      <w:numFmt w:val="decimal"/>
      <w:pStyle w:val="40"/>
      <w:lvlText w:val="%1."/>
      <w:lvlJc w:val="left"/>
      <w:pPr>
        <w:tabs>
          <w:tab w:val="left" w:pos="1620"/>
        </w:tabs>
        <w:ind w:left="1620" w:hanging="360"/>
      </w:pPr>
      <w:rPr>
        <w:rFonts w:cs="Times New Roman"/>
      </w:rPr>
    </w:lvl>
  </w:abstractNum>
  <w:abstractNum w:abstractNumId="16">
    <w:nsid w:val="00000015"/>
    <w:multiLevelType w:val="singleLevel"/>
    <w:tmpl w:val="00000015"/>
    <w:lvl w:ilvl="0" w:tentative="0">
      <w:start w:val="1"/>
      <w:numFmt w:val="bullet"/>
      <w:pStyle w:val="39"/>
      <w:lvlText w:val=""/>
      <w:lvlJc w:val="left"/>
      <w:pPr>
        <w:tabs>
          <w:tab w:val="left" w:pos="2040"/>
        </w:tabs>
        <w:ind w:left="2040" w:hanging="360"/>
      </w:pPr>
      <w:rPr>
        <w:rFonts w:hint="default" w:ascii="Wingdings" w:hAnsi="Wingdings"/>
      </w:rPr>
    </w:lvl>
  </w:abstractNum>
  <w:abstractNum w:abstractNumId="17">
    <w:nsid w:val="00000017"/>
    <w:multiLevelType w:val="singleLevel"/>
    <w:tmpl w:val="00000017"/>
    <w:lvl w:ilvl="0" w:tentative="0">
      <w:start w:val="1"/>
      <w:numFmt w:val="bullet"/>
      <w:pStyle w:val="20"/>
      <w:lvlText w:val=""/>
      <w:lvlJc w:val="left"/>
      <w:pPr>
        <w:tabs>
          <w:tab w:val="left" w:pos="360"/>
        </w:tabs>
        <w:ind w:left="360" w:hanging="360"/>
      </w:pPr>
      <w:rPr>
        <w:rFonts w:hint="default" w:ascii="Wingdings" w:hAnsi="Wingdings"/>
      </w:rPr>
    </w:lvl>
  </w:abstractNum>
  <w:abstractNum w:abstractNumId="18">
    <w:nsid w:val="00000018"/>
    <w:multiLevelType w:val="singleLevel"/>
    <w:tmpl w:val="00000018"/>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19">
    <w:nsid w:val="0B7D0972"/>
    <w:multiLevelType w:val="singleLevel"/>
    <w:tmpl w:val="0B7D0972"/>
    <w:lvl w:ilvl="0" w:tentative="0">
      <w:start w:val="1"/>
      <w:numFmt w:val="decimal"/>
      <w:lvlText w:val="%1."/>
      <w:lvlJc w:val="left"/>
      <w:pPr>
        <w:tabs>
          <w:tab w:val="left" w:pos="312"/>
        </w:tabs>
      </w:pPr>
    </w:lvl>
  </w:abstractNum>
  <w:abstractNum w:abstractNumId="20">
    <w:nsid w:val="0CD9158F"/>
    <w:multiLevelType w:val="singleLevel"/>
    <w:tmpl w:val="0CD9158F"/>
    <w:lvl w:ilvl="0" w:tentative="0">
      <w:start w:val="1"/>
      <w:numFmt w:val="decimal"/>
      <w:suff w:val="space"/>
      <w:lvlText w:val="%1."/>
      <w:lvlJc w:val="left"/>
    </w:lvl>
  </w:abstractNum>
  <w:abstractNum w:abstractNumId="21">
    <w:nsid w:val="17520326"/>
    <w:multiLevelType w:val="singleLevel"/>
    <w:tmpl w:val="17520326"/>
    <w:lvl w:ilvl="0" w:tentative="0">
      <w:start w:val="1"/>
      <w:numFmt w:val="decimal"/>
      <w:lvlText w:val="(%1)"/>
      <w:lvlJc w:val="left"/>
      <w:pPr>
        <w:tabs>
          <w:tab w:val="left" w:pos="420"/>
        </w:tabs>
        <w:ind w:left="845" w:hanging="425"/>
      </w:pPr>
      <w:rPr>
        <w:rFonts w:hint="default"/>
      </w:rPr>
    </w:lvl>
  </w:abstractNum>
  <w:abstractNum w:abstractNumId="22">
    <w:nsid w:val="1949D04D"/>
    <w:multiLevelType w:val="singleLevel"/>
    <w:tmpl w:val="1949D04D"/>
    <w:lvl w:ilvl="0" w:tentative="0">
      <w:start w:val="1"/>
      <w:numFmt w:val="decimal"/>
      <w:lvlText w:val="%1."/>
      <w:lvlJc w:val="left"/>
      <w:pPr>
        <w:ind w:left="425" w:hanging="425"/>
      </w:pPr>
      <w:rPr>
        <w:rFonts w:hint="default"/>
      </w:rPr>
    </w:lvl>
  </w:abstractNum>
  <w:abstractNum w:abstractNumId="23">
    <w:nsid w:val="1D6FD2B3"/>
    <w:multiLevelType w:val="singleLevel"/>
    <w:tmpl w:val="1D6FD2B3"/>
    <w:lvl w:ilvl="0" w:tentative="0">
      <w:start w:val="1"/>
      <w:numFmt w:val="decimal"/>
      <w:lvlText w:val="(%1)"/>
      <w:lvlJc w:val="left"/>
      <w:pPr>
        <w:ind w:left="425" w:hanging="425"/>
      </w:pPr>
      <w:rPr>
        <w:rFonts w:hint="default"/>
      </w:rPr>
    </w:lvl>
  </w:abstractNum>
  <w:abstractNum w:abstractNumId="24">
    <w:nsid w:val="26348473"/>
    <w:multiLevelType w:val="singleLevel"/>
    <w:tmpl w:val="26348473"/>
    <w:lvl w:ilvl="0" w:tentative="0">
      <w:start w:val="1"/>
      <w:numFmt w:val="bullet"/>
      <w:lvlText w:val=""/>
      <w:lvlJc w:val="left"/>
      <w:pPr>
        <w:ind w:left="420" w:hanging="420"/>
      </w:pPr>
      <w:rPr>
        <w:rFonts w:hint="default" w:ascii="Wingdings" w:hAnsi="Wingdings"/>
      </w:rPr>
    </w:lvl>
  </w:abstractNum>
  <w:abstractNum w:abstractNumId="25">
    <w:nsid w:val="273A159B"/>
    <w:multiLevelType w:val="multilevel"/>
    <w:tmpl w:val="273A159B"/>
    <w:lvl w:ilvl="0" w:tentative="0">
      <w:start w:val="1"/>
      <w:numFmt w:val="decimal"/>
      <w:pStyle w:val="550"/>
      <w:lvlText w:val="（%1）"/>
      <w:lvlJc w:val="left"/>
      <w:pPr>
        <w:tabs>
          <w:tab w:val="left" w:pos="1140"/>
        </w:tabs>
        <w:ind w:left="1140" w:hanging="720"/>
      </w:pPr>
      <w:rPr>
        <w:rFonts w:cs="Times New Roman"/>
      </w:rPr>
    </w:lvl>
    <w:lvl w:ilvl="1" w:tentative="0">
      <w:start w:val="1"/>
      <w:numFmt w:val="decimal"/>
      <w:lvlText w:val="(%2)"/>
      <w:lvlJc w:val="left"/>
      <w:pPr>
        <w:tabs>
          <w:tab w:val="left" w:pos="1560"/>
        </w:tabs>
        <w:ind w:left="1560" w:hanging="720"/>
      </w:pPr>
      <w:rPr>
        <w:rFonts w:cs="Times New Roman"/>
      </w:rPr>
    </w:lvl>
    <w:lvl w:ilvl="2" w:tentative="0">
      <w:start w:val="2"/>
      <w:numFmt w:val="decimal"/>
      <w:lvlText w:val="%3．"/>
      <w:lvlJc w:val="left"/>
      <w:pPr>
        <w:tabs>
          <w:tab w:val="left" w:pos="1980"/>
        </w:tabs>
        <w:ind w:left="1980" w:hanging="720"/>
      </w:pPr>
      <w:rPr>
        <w:rFonts w:cs="Times New Roman"/>
      </w:rPr>
    </w:lvl>
    <w:lvl w:ilvl="3" w:tentative="0">
      <w:start w:val="1"/>
      <w:numFmt w:val="lowerLetter"/>
      <w:lvlText w:val="%4）"/>
      <w:lvlJc w:val="left"/>
      <w:pPr>
        <w:tabs>
          <w:tab w:val="left" w:pos="2400"/>
        </w:tabs>
        <w:ind w:left="2400" w:hanging="720"/>
      </w:pPr>
      <w:rPr>
        <w:rFonts w:cs="Times New Roman"/>
      </w:rPr>
    </w:lvl>
    <w:lvl w:ilvl="4" w:tentative="0">
      <w:start w:val="1"/>
      <w:numFmt w:val="lowerLetter"/>
      <w:lvlText w:val="%5)"/>
      <w:lvlJc w:val="left"/>
      <w:pPr>
        <w:tabs>
          <w:tab w:val="left" w:pos="2790"/>
        </w:tabs>
        <w:ind w:left="2790" w:hanging="69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6">
    <w:nsid w:val="28C19464"/>
    <w:multiLevelType w:val="singleLevel"/>
    <w:tmpl w:val="28C19464"/>
    <w:lvl w:ilvl="0" w:tentative="0">
      <w:start w:val="1"/>
      <w:numFmt w:val="decimal"/>
      <w:lvlText w:val="%1."/>
      <w:lvlJc w:val="left"/>
      <w:pPr>
        <w:tabs>
          <w:tab w:val="left" w:pos="312"/>
        </w:tabs>
      </w:pPr>
    </w:lvl>
  </w:abstractNum>
  <w:abstractNum w:abstractNumId="27">
    <w:nsid w:val="42C64032"/>
    <w:multiLevelType w:val="singleLevel"/>
    <w:tmpl w:val="42C64032"/>
    <w:lvl w:ilvl="0" w:tentative="0">
      <w:start w:val="1"/>
      <w:numFmt w:val="decimal"/>
      <w:lvlText w:val="(%1)"/>
      <w:lvlJc w:val="left"/>
      <w:pPr>
        <w:tabs>
          <w:tab w:val="left" w:pos="420"/>
        </w:tabs>
        <w:ind w:left="845" w:hanging="425"/>
      </w:pPr>
      <w:rPr>
        <w:rFonts w:hint="default"/>
      </w:rPr>
    </w:lvl>
  </w:abstractNum>
  <w:abstractNum w:abstractNumId="28">
    <w:nsid w:val="469C35E1"/>
    <w:multiLevelType w:val="singleLevel"/>
    <w:tmpl w:val="469C35E1"/>
    <w:lvl w:ilvl="0" w:tentative="0">
      <w:start w:val="1"/>
      <w:numFmt w:val="decimal"/>
      <w:lvlText w:val="(%1)"/>
      <w:lvlJc w:val="left"/>
      <w:pPr>
        <w:tabs>
          <w:tab w:val="left" w:pos="420"/>
        </w:tabs>
        <w:ind w:left="845" w:hanging="425"/>
      </w:pPr>
      <w:rPr>
        <w:rFonts w:hint="default"/>
      </w:rPr>
    </w:lvl>
  </w:abstractNum>
  <w:abstractNum w:abstractNumId="29">
    <w:nsid w:val="4BF805CC"/>
    <w:multiLevelType w:val="singleLevel"/>
    <w:tmpl w:val="4BF805CC"/>
    <w:lvl w:ilvl="0" w:tentative="0">
      <w:start w:val="1"/>
      <w:numFmt w:val="decimal"/>
      <w:suff w:val="nothing"/>
      <w:lvlText w:val="%1．"/>
      <w:lvlJc w:val="left"/>
      <w:pPr>
        <w:ind w:left="0" w:firstLine="0"/>
      </w:pPr>
      <w:rPr>
        <w:rFonts w:hint="default"/>
      </w:rPr>
    </w:lvl>
  </w:abstractNum>
  <w:abstractNum w:abstractNumId="30">
    <w:nsid w:val="50417DD6"/>
    <w:multiLevelType w:val="multilevel"/>
    <w:tmpl w:val="50417DD6"/>
    <w:lvl w:ilvl="0" w:tentative="0">
      <w:start w:val="1"/>
      <w:numFmt w:val="decimal"/>
      <w:lvlText w:val="%1."/>
      <w:lvlJc w:val="left"/>
      <w:pPr>
        <w:ind w:left="425" w:hanging="425"/>
      </w:pPr>
      <w:rPr>
        <w:rFonts w:cs="Times New Roman"/>
      </w:rPr>
    </w:lvl>
    <w:lvl w:ilvl="1" w:tentative="0">
      <w:start w:val="1"/>
      <w:numFmt w:val="decimal"/>
      <w:lvlText w:val="%1.%2."/>
      <w:lvlJc w:val="left"/>
      <w:pPr>
        <w:ind w:left="0" w:leftChars="0" w:firstLine="63" w:firstLineChars="0"/>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31">
    <w:nsid w:val="59B8F427"/>
    <w:multiLevelType w:val="singleLevel"/>
    <w:tmpl w:val="59B8F427"/>
    <w:lvl w:ilvl="0" w:tentative="0">
      <w:start w:val="1"/>
      <w:numFmt w:val="decimal"/>
      <w:suff w:val="nothing"/>
      <w:lvlText w:val="%1．"/>
      <w:lvlJc w:val="left"/>
      <w:pPr>
        <w:ind w:left="420" w:leftChars="0" w:hanging="20" w:firstLineChars="0"/>
      </w:pPr>
      <w:rPr>
        <w:rFonts w:hint="default"/>
        <w:b/>
        <w:bCs/>
      </w:rPr>
    </w:lvl>
  </w:abstractNum>
  <w:abstractNum w:abstractNumId="32">
    <w:nsid w:val="6AF671C2"/>
    <w:multiLevelType w:val="singleLevel"/>
    <w:tmpl w:val="6AF671C2"/>
    <w:lvl w:ilvl="0" w:tentative="0">
      <w:start w:val="1"/>
      <w:numFmt w:val="decimal"/>
      <w:lvlText w:val="(%1)"/>
      <w:lvlJc w:val="left"/>
      <w:pPr>
        <w:tabs>
          <w:tab w:val="left" w:pos="420"/>
        </w:tabs>
        <w:ind w:left="845" w:hanging="425"/>
      </w:pPr>
      <w:rPr>
        <w:rFonts w:hint="default"/>
      </w:rPr>
    </w:lvl>
  </w:abstractNum>
  <w:abstractNum w:abstractNumId="33">
    <w:nsid w:val="7AF794F4"/>
    <w:multiLevelType w:val="singleLevel"/>
    <w:tmpl w:val="7AF794F4"/>
    <w:lvl w:ilvl="0" w:tentative="0">
      <w:start w:val="1"/>
      <w:numFmt w:val="decimal"/>
      <w:lvlText w:val="(%1)"/>
      <w:lvlJc w:val="left"/>
      <w:pPr>
        <w:tabs>
          <w:tab w:val="left" w:pos="312"/>
        </w:tabs>
      </w:pPr>
    </w:lvl>
  </w:abstractNum>
  <w:num w:numId="1">
    <w:abstractNumId w:val="9"/>
  </w:num>
  <w:num w:numId="2">
    <w:abstractNumId w:val="13"/>
  </w:num>
  <w:num w:numId="3">
    <w:abstractNumId w:val="18"/>
  </w:num>
  <w:num w:numId="4">
    <w:abstractNumId w:val="8"/>
  </w:num>
  <w:num w:numId="5">
    <w:abstractNumId w:val="17"/>
  </w:num>
  <w:num w:numId="6">
    <w:abstractNumId w:val="6"/>
  </w:num>
  <w:num w:numId="7">
    <w:abstractNumId w:val="10"/>
  </w:num>
  <w:num w:numId="8">
    <w:abstractNumId w:val="14"/>
  </w:num>
  <w:num w:numId="9">
    <w:abstractNumId w:val="16"/>
  </w:num>
  <w:num w:numId="10">
    <w:abstractNumId w:val="15"/>
  </w:num>
  <w:num w:numId="11">
    <w:abstractNumId w:val="12"/>
  </w:num>
  <w:num w:numId="12">
    <w:abstractNumId w:val="11"/>
  </w:num>
  <w:num w:numId="13">
    <w:abstractNumId w:val="7"/>
  </w:num>
  <w:num w:numId="14">
    <w:abstractNumId w:val="25"/>
  </w:num>
  <w:num w:numId="15">
    <w:abstractNumId w:val="1"/>
  </w:num>
  <w:num w:numId="16">
    <w:abstractNumId w:val="0"/>
  </w:num>
  <w:num w:numId="17">
    <w:abstractNumId w:val="29"/>
  </w:num>
  <w:num w:numId="18">
    <w:abstractNumId w:val="2"/>
  </w:num>
  <w:num w:numId="19">
    <w:abstractNumId w:val="22"/>
  </w:num>
  <w:num w:numId="20">
    <w:abstractNumId w:val="5"/>
  </w:num>
  <w:num w:numId="21">
    <w:abstractNumId w:val="28"/>
  </w:num>
  <w:num w:numId="22">
    <w:abstractNumId w:val="24"/>
  </w:num>
  <w:num w:numId="23">
    <w:abstractNumId w:val="21"/>
  </w:num>
  <w:num w:numId="24">
    <w:abstractNumId w:val="27"/>
  </w:num>
  <w:num w:numId="25">
    <w:abstractNumId w:val="3"/>
  </w:num>
  <w:num w:numId="26">
    <w:abstractNumId w:val="32"/>
  </w:num>
  <w:num w:numId="27">
    <w:abstractNumId w:val="30"/>
  </w:num>
  <w:num w:numId="28">
    <w:abstractNumId w:val="23"/>
  </w:num>
  <w:num w:numId="29">
    <w:abstractNumId w:val="4"/>
  </w:num>
  <w:num w:numId="30">
    <w:abstractNumId w:val="19"/>
  </w:num>
  <w:num w:numId="31">
    <w:abstractNumId w:val="26"/>
  </w:num>
  <w:num w:numId="32">
    <w:abstractNumId w:val="20"/>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9F0"/>
    <w:rsid w:val="00005574"/>
    <w:rsid w:val="000102E9"/>
    <w:rsid w:val="000117F5"/>
    <w:rsid w:val="000170F8"/>
    <w:rsid w:val="0001737B"/>
    <w:rsid w:val="0003132A"/>
    <w:rsid w:val="00032D3D"/>
    <w:rsid w:val="000359C3"/>
    <w:rsid w:val="00036609"/>
    <w:rsid w:val="00041B2B"/>
    <w:rsid w:val="00051BF6"/>
    <w:rsid w:val="00053713"/>
    <w:rsid w:val="00055F8F"/>
    <w:rsid w:val="0006369C"/>
    <w:rsid w:val="0006473D"/>
    <w:rsid w:val="000728E1"/>
    <w:rsid w:val="000746CC"/>
    <w:rsid w:val="00076BD0"/>
    <w:rsid w:val="00077049"/>
    <w:rsid w:val="00082CF7"/>
    <w:rsid w:val="00083887"/>
    <w:rsid w:val="00090DFE"/>
    <w:rsid w:val="000949C5"/>
    <w:rsid w:val="000A5CE9"/>
    <w:rsid w:val="000B29A5"/>
    <w:rsid w:val="000D1CB2"/>
    <w:rsid w:val="000D27B9"/>
    <w:rsid w:val="000D40CD"/>
    <w:rsid w:val="000E0654"/>
    <w:rsid w:val="000E194D"/>
    <w:rsid w:val="000F1DAB"/>
    <w:rsid w:val="000F7AFF"/>
    <w:rsid w:val="00106841"/>
    <w:rsid w:val="00107E79"/>
    <w:rsid w:val="00117009"/>
    <w:rsid w:val="00132CF0"/>
    <w:rsid w:val="0014003B"/>
    <w:rsid w:val="001476CB"/>
    <w:rsid w:val="00151CFE"/>
    <w:rsid w:val="00155803"/>
    <w:rsid w:val="00160D31"/>
    <w:rsid w:val="00164249"/>
    <w:rsid w:val="001723A6"/>
    <w:rsid w:val="00172941"/>
    <w:rsid w:val="00172A27"/>
    <w:rsid w:val="001859C7"/>
    <w:rsid w:val="00187B31"/>
    <w:rsid w:val="00190388"/>
    <w:rsid w:val="00192B52"/>
    <w:rsid w:val="001952D4"/>
    <w:rsid w:val="001A0246"/>
    <w:rsid w:val="001A569B"/>
    <w:rsid w:val="001A6C83"/>
    <w:rsid w:val="001B0DD9"/>
    <w:rsid w:val="001B31DE"/>
    <w:rsid w:val="001B6DF4"/>
    <w:rsid w:val="001C3733"/>
    <w:rsid w:val="001C5E44"/>
    <w:rsid w:val="001D541C"/>
    <w:rsid w:val="001E0365"/>
    <w:rsid w:val="001E384A"/>
    <w:rsid w:val="001F2D27"/>
    <w:rsid w:val="001F5774"/>
    <w:rsid w:val="0020494B"/>
    <w:rsid w:val="00206402"/>
    <w:rsid w:val="00231B05"/>
    <w:rsid w:val="00232A55"/>
    <w:rsid w:val="00243020"/>
    <w:rsid w:val="002439C9"/>
    <w:rsid w:val="00250490"/>
    <w:rsid w:val="00254682"/>
    <w:rsid w:val="0026102F"/>
    <w:rsid w:val="002644F5"/>
    <w:rsid w:val="0028516C"/>
    <w:rsid w:val="0029054F"/>
    <w:rsid w:val="00290ABC"/>
    <w:rsid w:val="00291808"/>
    <w:rsid w:val="0029629A"/>
    <w:rsid w:val="002A40C4"/>
    <w:rsid w:val="002A5583"/>
    <w:rsid w:val="002B14FD"/>
    <w:rsid w:val="002B4416"/>
    <w:rsid w:val="002B552A"/>
    <w:rsid w:val="002D36F7"/>
    <w:rsid w:val="002D4284"/>
    <w:rsid w:val="002D59D6"/>
    <w:rsid w:val="002D6052"/>
    <w:rsid w:val="002E5566"/>
    <w:rsid w:val="002E73A0"/>
    <w:rsid w:val="002F347A"/>
    <w:rsid w:val="00302944"/>
    <w:rsid w:val="00302CCC"/>
    <w:rsid w:val="0032314E"/>
    <w:rsid w:val="00327D3C"/>
    <w:rsid w:val="00334347"/>
    <w:rsid w:val="00336ECC"/>
    <w:rsid w:val="00347C99"/>
    <w:rsid w:val="00350F16"/>
    <w:rsid w:val="00351B14"/>
    <w:rsid w:val="003540F9"/>
    <w:rsid w:val="0036176C"/>
    <w:rsid w:val="00380195"/>
    <w:rsid w:val="003829F1"/>
    <w:rsid w:val="00385ACC"/>
    <w:rsid w:val="003863F7"/>
    <w:rsid w:val="003A249D"/>
    <w:rsid w:val="003A5A48"/>
    <w:rsid w:val="003B12F2"/>
    <w:rsid w:val="003B527D"/>
    <w:rsid w:val="003B59B8"/>
    <w:rsid w:val="003C1199"/>
    <w:rsid w:val="003C6908"/>
    <w:rsid w:val="003C722E"/>
    <w:rsid w:val="003D5F22"/>
    <w:rsid w:val="003E1092"/>
    <w:rsid w:val="003E13D8"/>
    <w:rsid w:val="003E21F5"/>
    <w:rsid w:val="003E4F4A"/>
    <w:rsid w:val="003E7EEA"/>
    <w:rsid w:val="003F0E77"/>
    <w:rsid w:val="003F1A30"/>
    <w:rsid w:val="00401429"/>
    <w:rsid w:val="00413477"/>
    <w:rsid w:val="004217E8"/>
    <w:rsid w:val="00424403"/>
    <w:rsid w:val="00427A8E"/>
    <w:rsid w:val="00430542"/>
    <w:rsid w:val="00430F1F"/>
    <w:rsid w:val="004335B9"/>
    <w:rsid w:val="004346DC"/>
    <w:rsid w:val="00443D58"/>
    <w:rsid w:val="004459EA"/>
    <w:rsid w:val="00450D19"/>
    <w:rsid w:val="00451584"/>
    <w:rsid w:val="0045259F"/>
    <w:rsid w:val="00452C08"/>
    <w:rsid w:val="00453EA0"/>
    <w:rsid w:val="00457976"/>
    <w:rsid w:val="004626E6"/>
    <w:rsid w:val="00472357"/>
    <w:rsid w:val="004757B0"/>
    <w:rsid w:val="004846F3"/>
    <w:rsid w:val="00490AB2"/>
    <w:rsid w:val="004A1674"/>
    <w:rsid w:val="004A3C82"/>
    <w:rsid w:val="004A59EC"/>
    <w:rsid w:val="004A75FD"/>
    <w:rsid w:val="004D1299"/>
    <w:rsid w:val="004D1F22"/>
    <w:rsid w:val="004E7CA0"/>
    <w:rsid w:val="004F1EDD"/>
    <w:rsid w:val="004F20E8"/>
    <w:rsid w:val="004F2D3E"/>
    <w:rsid w:val="00503B46"/>
    <w:rsid w:val="00503D22"/>
    <w:rsid w:val="00511643"/>
    <w:rsid w:val="00516710"/>
    <w:rsid w:val="00520891"/>
    <w:rsid w:val="005241BF"/>
    <w:rsid w:val="0052551C"/>
    <w:rsid w:val="00532BEC"/>
    <w:rsid w:val="00533825"/>
    <w:rsid w:val="005375BF"/>
    <w:rsid w:val="005418A6"/>
    <w:rsid w:val="00552578"/>
    <w:rsid w:val="00554595"/>
    <w:rsid w:val="00554F20"/>
    <w:rsid w:val="00574D53"/>
    <w:rsid w:val="00596E4C"/>
    <w:rsid w:val="00597DC0"/>
    <w:rsid w:val="005A3849"/>
    <w:rsid w:val="005B46B9"/>
    <w:rsid w:val="005B5507"/>
    <w:rsid w:val="005C3557"/>
    <w:rsid w:val="005C52FA"/>
    <w:rsid w:val="005C58C7"/>
    <w:rsid w:val="005E2964"/>
    <w:rsid w:val="005F0D66"/>
    <w:rsid w:val="005F3A91"/>
    <w:rsid w:val="00601FC9"/>
    <w:rsid w:val="00621A2A"/>
    <w:rsid w:val="00632E41"/>
    <w:rsid w:val="006423BE"/>
    <w:rsid w:val="0065333F"/>
    <w:rsid w:val="00655D8B"/>
    <w:rsid w:val="006627C2"/>
    <w:rsid w:val="00674749"/>
    <w:rsid w:val="00674B9E"/>
    <w:rsid w:val="00681883"/>
    <w:rsid w:val="006840E5"/>
    <w:rsid w:val="00684A09"/>
    <w:rsid w:val="006A498C"/>
    <w:rsid w:val="006A5BA5"/>
    <w:rsid w:val="006B0A41"/>
    <w:rsid w:val="006B6E88"/>
    <w:rsid w:val="006C1E5C"/>
    <w:rsid w:val="006C456C"/>
    <w:rsid w:val="006D18F3"/>
    <w:rsid w:val="006E02B0"/>
    <w:rsid w:val="007160DA"/>
    <w:rsid w:val="00723681"/>
    <w:rsid w:val="007275F6"/>
    <w:rsid w:val="00727B5B"/>
    <w:rsid w:val="00740369"/>
    <w:rsid w:val="00742563"/>
    <w:rsid w:val="00742ECB"/>
    <w:rsid w:val="00743C88"/>
    <w:rsid w:val="007462A9"/>
    <w:rsid w:val="0075100C"/>
    <w:rsid w:val="007570B8"/>
    <w:rsid w:val="007602BA"/>
    <w:rsid w:val="0076129A"/>
    <w:rsid w:val="00763959"/>
    <w:rsid w:val="00765E64"/>
    <w:rsid w:val="00780783"/>
    <w:rsid w:val="00782F75"/>
    <w:rsid w:val="00784880"/>
    <w:rsid w:val="007860A9"/>
    <w:rsid w:val="00791453"/>
    <w:rsid w:val="007928DD"/>
    <w:rsid w:val="00793CFC"/>
    <w:rsid w:val="00796F76"/>
    <w:rsid w:val="007A121D"/>
    <w:rsid w:val="007A1556"/>
    <w:rsid w:val="007A3941"/>
    <w:rsid w:val="007A7228"/>
    <w:rsid w:val="007B7B5A"/>
    <w:rsid w:val="007C3316"/>
    <w:rsid w:val="007C3CCC"/>
    <w:rsid w:val="007C52B6"/>
    <w:rsid w:val="007C674D"/>
    <w:rsid w:val="007D152F"/>
    <w:rsid w:val="007F101F"/>
    <w:rsid w:val="00800FC0"/>
    <w:rsid w:val="0080143C"/>
    <w:rsid w:val="0080444C"/>
    <w:rsid w:val="0080601C"/>
    <w:rsid w:val="00806D19"/>
    <w:rsid w:val="00813599"/>
    <w:rsid w:val="00831878"/>
    <w:rsid w:val="00831A26"/>
    <w:rsid w:val="0083478A"/>
    <w:rsid w:val="008462FB"/>
    <w:rsid w:val="00854DF9"/>
    <w:rsid w:val="00856FE8"/>
    <w:rsid w:val="00861C95"/>
    <w:rsid w:val="008628CD"/>
    <w:rsid w:val="00864839"/>
    <w:rsid w:val="00880E40"/>
    <w:rsid w:val="00892066"/>
    <w:rsid w:val="008A0243"/>
    <w:rsid w:val="008A294B"/>
    <w:rsid w:val="008C1AFF"/>
    <w:rsid w:val="008C261C"/>
    <w:rsid w:val="008C6A2F"/>
    <w:rsid w:val="008C7EB2"/>
    <w:rsid w:val="008D02AA"/>
    <w:rsid w:val="008D048E"/>
    <w:rsid w:val="008D2AB1"/>
    <w:rsid w:val="008D67EA"/>
    <w:rsid w:val="008E5590"/>
    <w:rsid w:val="008F47D9"/>
    <w:rsid w:val="008F725C"/>
    <w:rsid w:val="00906E09"/>
    <w:rsid w:val="00907A20"/>
    <w:rsid w:val="00911E69"/>
    <w:rsid w:val="00921A3F"/>
    <w:rsid w:val="00933BBF"/>
    <w:rsid w:val="00937D34"/>
    <w:rsid w:val="00940087"/>
    <w:rsid w:val="009448BD"/>
    <w:rsid w:val="00954F1F"/>
    <w:rsid w:val="00955FD2"/>
    <w:rsid w:val="00957050"/>
    <w:rsid w:val="0095748B"/>
    <w:rsid w:val="00960B78"/>
    <w:rsid w:val="00963097"/>
    <w:rsid w:val="00963AF8"/>
    <w:rsid w:val="0097180E"/>
    <w:rsid w:val="00973949"/>
    <w:rsid w:val="00977B35"/>
    <w:rsid w:val="00985A67"/>
    <w:rsid w:val="00985AFC"/>
    <w:rsid w:val="00985D56"/>
    <w:rsid w:val="00990557"/>
    <w:rsid w:val="00994A7B"/>
    <w:rsid w:val="009A626D"/>
    <w:rsid w:val="009A7C56"/>
    <w:rsid w:val="009B291E"/>
    <w:rsid w:val="009C3D8F"/>
    <w:rsid w:val="009D0554"/>
    <w:rsid w:val="009D6148"/>
    <w:rsid w:val="009D63FA"/>
    <w:rsid w:val="009E0E1F"/>
    <w:rsid w:val="009E2325"/>
    <w:rsid w:val="00A03ECD"/>
    <w:rsid w:val="00A04A5A"/>
    <w:rsid w:val="00A06F0C"/>
    <w:rsid w:val="00A104F1"/>
    <w:rsid w:val="00A11A16"/>
    <w:rsid w:val="00A12B77"/>
    <w:rsid w:val="00A16878"/>
    <w:rsid w:val="00A22528"/>
    <w:rsid w:val="00A36E53"/>
    <w:rsid w:val="00A43545"/>
    <w:rsid w:val="00A447DA"/>
    <w:rsid w:val="00A50542"/>
    <w:rsid w:val="00A57E1F"/>
    <w:rsid w:val="00A647FA"/>
    <w:rsid w:val="00A914A5"/>
    <w:rsid w:val="00AA4572"/>
    <w:rsid w:val="00AA513E"/>
    <w:rsid w:val="00AA55E7"/>
    <w:rsid w:val="00AA5D2B"/>
    <w:rsid w:val="00AB48BF"/>
    <w:rsid w:val="00AB5438"/>
    <w:rsid w:val="00AB553E"/>
    <w:rsid w:val="00AB693E"/>
    <w:rsid w:val="00AB76BA"/>
    <w:rsid w:val="00AC7BF4"/>
    <w:rsid w:val="00AD54E2"/>
    <w:rsid w:val="00AD6DDA"/>
    <w:rsid w:val="00AE0524"/>
    <w:rsid w:val="00AE0E1B"/>
    <w:rsid w:val="00AE6870"/>
    <w:rsid w:val="00AE6876"/>
    <w:rsid w:val="00AF7FBC"/>
    <w:rsid w:val="00B0067C"/>
    <w:rsid w:val="00B031F8"/>
    <w:rsid w:val="00B036BB"/>
    <w:rsid w:val="00B0428F"/>
    <w:rsid w:val="00B06230"/>
    <w:rsid w:val="00B066A5"/>
    <w:rsid w:val="00B10DCF"/>
    <w:rsid w:val="00B11FB2"/>
    <w:rsid w:val="00B17276"/>
    <w:rsid w:val="00B21629"/>
    <w:rsid w:val="00B22558"/>
    <w:rsid w:val="00B237A9"/>
    <w:rsid w:val="00B24CA9"/>
    <w:rsid w:val="00B30D00"/>
    <w:rsid w:val="00B30FCB"/>
    <w:rsid w:val="00B32E47"/>
    <w:rsid w:val="00B3608E"/>
    <w:rsid w:val="00B43F93"/>
    <w:rsid w:val="00B45806"/>
    <w:rsid w:val="00B52B7D"/>
    <w:rsid w:val="00B54DFA"/>
    <w:rsid w:val="00B578FF"/>
    <w:rsid w:val="00B616D7"/>
    <w:rsid w:val="00B66EDB"/>
    <w:rsid w:val="00B7043D"/>
    <w:rsid w:val="00B76B07"/>
    <w:rsid w:val="00B773D5"/>
    <w:rsid w:val="00B80552"/>
    <w:rsid w:val="00B83FE4"/>
    <w:rsid w:val="00B85E5B"/>
    <w:rsid w:val="00B920C8"/>
    <w:rsid w:val="00B95A9E"/>
    <w:rsid w:val="00BA2935"/>
    <w:rsid w:val="00BA7B8C"/>
    <w:rsid w:val="00BB28ED"/>
    <w:rsid w:val="00BC071E"/>
    <w:rsid w:val="00BC12AE"/>
    <w:rsid w:val="00BD0652"/>
    <w:rsid w:val="00BD06D8"/>
    <w:rsid w:val="00BD15F1"/>
    <w:rsid w:val="00BE4019"/>
    <w:rsid w:val="00BF1B70"/>
    <w:rsid w:val="00C01AE7"/>
    <w:rsid w:val="00C01E4A"/>
    <w:rsid w:val="00C04141"/>
    <w:rsid w:val="00C118D8"/>
    <w:rsid w:val="00C14215"/>
    <w:rsid w:val="00C210B3"/>
    <w:rsid w:val="00C26E12"/>
    <w:rsid w:val="00C31030"/>
    <w:rsid w:val="00C33A66"/>
    <w:rsid w:val="00C36DB0"/>
    <w:rsid w:val="00C44D1D"/>
    <w:rsid w:val="00C4612B"/>
    <w:rsid w:val="00C50727"/>
    <w:rsid w:val="00C51CEB"/>
    <w:rsid w:val="00C60C1F"/>
    <w:rsid w:val="00C67E65"/>
    <w:rsid w:val="00C71230"/>
    <w:rsid w:val="00C74A29"/>
    <w:rsid w:val="00C74C0C"/>
    <w:rsid w:val="00C86978"/>
    <w:rsid w:val="00C9304F"/>
    <w:rsid w:val="00C94941"/>
    <w:rsid w:val="00C94B26"/>
    <w:rsid w:val="00CA1E16"/>
    <w:rsid w:val="00CA40F0"/>
    <w:rsid w:val="00CB01C4"/>
    <w:rsid w:val="00CB1E10"/>
    <w:rsid w:val="00CB2096"/>
    <w:rsid w:val="00CB5DDD"/>
    <w:rsid w:val="00CB6623"/>
    <w:rsid w:val="00CD0B66"/>
    <w:rsid w:val="00CD1A4D"/>
    <w:rsid w:val="00CD6BE5"/>
    <w:rsid w:val="00CE02E4"/>
    <w:rsid w:val="00CE1E4A"/>
    <w:rsid w:val="00CF530F"/>
    <w:rsid w:val="00CF53B5"/>
    <w:rsid w:val="00CF78E6"/>
    <w:rsid w:val="00D00038"/>
    <w:rsid w:val="00D116F9"/>
    <w:rsid w:val="00D1588B"/>
    <w:rsid w:val="00D36E0D"/>
    <w:rsid w:val="00D51D93"/>
    <w:rsid w:val="00D51DF8"/>
    <w:rsid w:val="00D52E3B"/>
    <w:rsid w:val="00D5529C"/>
    <w:rsid w:val="00D56498"/>
    <w:rsid w:val="00D67C19"/>
    <w:rsid w:val="00D7514F"/>
    <w:rsid w:val="00D93181"/>
    <w:rsid w:val="00D93EFA"/>
    <w:rsid w:val="00DB2AE1"/>
    <w:rsid w:val="00DB64BB"/>
    <w:rsid w:val="00DD0CBC"/>
    <w:rsid w:val="00DD2554"/>
    <w:rsid w:val="00DD33C5"/>
    <w:rsid w:val="00DD5311"/>
    <w:rsid w:val="00DD674F"/>
    <w:rsid w:val="00DF5C11"/>
    <w:rsid w:val="00E0457B"/>
    <w:rsid w:val="00E057C0"/>
    <w:rsid w:val="00E160F3"/>
    <w:rsid w:val="00E319E7"/>
    <w:rsid w:val="00E40473"/>
    <w:rsid w:val="00E43A2C"/>
    <w:rsid w:val="00E43B7A"/>
    <w:rsid w:val="00E61D10"/>
    <w:rsid w:val="00E6521F"/>
    <w:rsid w:val="00E66131"/>
    <w:rsid w:val="00E67C9A"/>
    <w:rsid w:val="00E705B9"/>
    <w:rsid w:val="00E74EA2"/>
    <w:rsid w:val="00E7608D"/>
    <w:rsid w:val="00E76949"/>
    <w:rsid w:val="00E84843"/>
    <w:rsid w:val="00E85E18"/>
    <w:rsid w:val="00E90219"/>
    <w:rsid w:val="00EA5315"/>
    <w:rsid w:val="00EA5668"/>
    <w:rsid w:val="00EB1598"/>
    <w:rsid w:val="00EB60A4"/>
    <w:rsid w:val="00EB6BC0"/>
    <w:rsid w:val="00EC0FA4"/>
    <w:rsid w:val="00EC124E"/>
    <w:rsid w:val="00EC46EE"/>
    <w:rsid w:val="00EC60EF"/>
    <w:rsid w:val="00EE2E1E"/>
    <w:rsid w:val="00EE75FD"/>
    <w:rsid w:val="00EF2176"/>
    <w:rsid w:val="00EF4F01"/>
    <w:rsid w:val="00EF67F2"/>
    <w:rsid w:val="00F056F8"/>
    <w:rsid w:val="00F17F84"/>
    <w:rsid w:val="00F21E03"/>
    <w:rsid w:val="00F2573B"/>
    <w:rsid w:val="00F34069"/>
    <w:rsid w:val="00F34A49"/>
    <w:rsid w:val="00F3558D"/>
    <w:rsid w:val="00F40285"/>
    <w:rsid w:val="00F40EE8"/>
    <w:rsid w:val="00F54414"/>
    <w:rsid w:val="00F546BA"/>
    <w:rsid w:val="00F56487"/>
    <w:rsid w:val="00F64E8F"/>
    <w:rsid w:val="00F665E1"/>
    <w:rsid w:val="00F85662"/>
    <w:rsid w:val="00F91E52"/>
    <w:rsid w:val="00F93D27"/>
    <w:rsid w:val="00F94DC5"/>
    <w:rsid w:val="00FA1742"/>
    <w:rsid w:val="00FA3820"/>
    <w:rsid w:val="00FB7374"/>
    <w:rsid w:val="00FB7DB7"/>
    <w:rsid w:val="00FC0F18"/>
    <w:rsid w:val="00FC4792"/>
    <w:rsid w:val="00FC6A69"/>
    <w:rsid w:val="00FD5414"/>
    <w:rsid w:val="00FE217B"/>
    <w:rsid w:val="00FE4155"/>
    <w:rsid w:val="00FF1BA2"/>
    <w:rsid w:val="00FF3F42"/>
    <w:rsid w:val="01024B02"/>
    <w:rsid w:val="011B6017"/>
    <w:rsid w:val="012575D6"/>
    <w:rsid w:val="012C4F7A"/>
    <w:rsid w:val="013A6270"/>
    <w:rsid w:val="01601326"/>
    <w:rsid w:val="01615F68"/>
    <w:rsid w:val="01903796"/>
    <w:rsid w:val="01B63CCA"/>
    <w:rsid w:val="02095235"/>
    <w:rsid w:val="02270037"/>
    <w:rsid w:val="028B35F0"/>
    <w:rsid w:val="028F25DA"/>
    <w:rsid w:val="02C05E33"/>
    <w:rsid w:val="02C77A7C"/>
    <w:rsid w:val="02CF060E"/>
    <w:rsid w:val="02FD41EB"/>
    <w:rsid w:val="030863CA"/>
    <w:rsid w:val="03131E6D"/>
    <w:rsid w:val="031846A1"/>
    <w:rsid w:val="036F6738"/>
    <w:rsid w:val="0376123F"/>
    <w:rsid w:val="038D4F72"/>
    <w:rsid w:val="039B3E88"/>
    <w:rsid w:val="03BC6FC4"/>
    <w:rsid w:val="03DA2272"/>
    <w:rsid w:val="04106803"/>
    <w:rsid w:val="042316C4"/>
    <w:rsid w:val="04277843"/>
    <w:rsid w:val="042A2CB1"/>
    <w:rsid w:val="04320192"/>
    <w:rsid w:val="046D4B76"/>
    <w:rsid w:val="051C0888"/>
    <w:rsid w:val="05224DE7"/>
    <w:rsid w:val="052576EE"/>
    <w:rsid w:val="0530670C"/>
    <w:rsid w:val="059223D8"/>
    <w:rsid w:val="05AB4F06"/>
    <w:rsid w:val="05B871B8"/>
    <w:rsid w:val="06191A20"/>
    <w:rsid w:val="06252267"/>
    <w:rsid w:val="06986CAB"/>
    <w:rsid w:val="06B25CA5"/>
    <w:rsid w:val="06DC00C9"/>
    <w:rsid w:val="06E52B7E"/>
    <w:rsid w:val="06E92B9C"/>
    <w:rsid w:val="06EE5D85"/>
    <w:rsid w:val="06F73735"/>
    <w:rsid w:val="06FB4F12"/>
    <w:rsid w:val="07403F76"/>
    <w:rsid w:val="075D26DA"/>
    <w:rsid w:val="075D5B68"/>
    <w:rsid w:val="07BF0CF2"/>
    <w:rsid w:val="07D505F6"/>
    <w:rsid w:val="07E16194"/>
    <w:rsid w:val="07EF6BB1"/>
    <w:rsid w:val="07FE41A3"/>
    <w:rsid w:val="08252ADB"/>
    <w:rsid w:val="08424491"/>
    <w:rsid w:val="084E3653"/>
    <w:rsid w:val="089B2661"/>
    <w:rsid w:val="08A960DB"/>
    <w:rsid w:val="08B51C14"/>
    <w:rsid w:val="08D13965"/>
    <w:rsid w:val="08EC23DF"/>
    <w:rsid w:val="09020D5C"/>
    <w:rsid w:val="090676C9"/>
    <w:rsid w:val="093E3FDC"/>
    <w:rsid w:val="09643D06"/>
    <w:rsid w:val="09697CF8"/>
    <w:rsid w:val="097170B2"/>
    <w:rsid w:val="098C00F4"/>
    <w:rsid w:val="09A21222"/>
    <w:rsid w:val="09EB7F85"/>
    <w:rsid w:val="0A493D37"/>
    <w:rsid w:val="0A762BDF"/>
    <w:rsid w:val="0A854562"/>
    <w:rsid w:val="0AB42566"/>
    <w:rsid w:val="0AE56520"/>
    <w:rsid w:val="0B2319E5"/>
    <w:rsid w:val="0B4416FE"/>
    <w:rsid w:val="0B4A7AEC"/>
    <w:rsid w:val="0B807D6F"/>
    <w:rsid w:val="0BB017AC"/>
    <w:rsid w:val="0BB80CD1"/>
    <w:rsid w:val="0BCC500A"/>
    <w:rsid w:val="0BD63DB3"/>
    <w:rsid w:val="0C0C1085"/>
    <w:rsid w:val="0C2B4403"/>
    <w:rsid w:val="0C4E498E"/>
    <w:rsid w:val="0C6A6B19"/>
    <w:rsid w:val="0CC82608"/>
    <w:rsid w:val="0D287127"/>
    <w:rsid w:val="0D3779CE"/>
    <w:rsid w:val="0D583154"/>
    <w:rsid w:val="0D623513"/>
    <w:rsid w:val="0D6617D8"/>
    <w:rsid w:val="0DA314E9"/>
    <w:rsid w:val="0DB2641E"/>
    <w:rsid w:val="0DD21640"/>
    <w:rsid w:val="0E18168F"/>
    <w:rsid w:val="0E3E30B9"/>
    <w:rsid w:val="0E4A5872"/>
    <w:rsid w:val="0E625725"/>
    <w:rsid w:val="0E8C778E"/>
    <w:rsid w:val="0EC417A7"/>
    <w:rsid w:val="0EE64C2B"/>
    <w:rsid w:val="0EEC79BE"/>
    <w:rsid w:val="0F006479"/>
    <w:rsid w:val="0F456AA4"/>
    <w:rsid w:val="0F972B0F"/>
    <w:rsid w:val="0F9B728A"/>
    <w:rsid w:val="0FA543B0"/>
    <w:rsid w:val="0FD8424F"/>
    <w:rsid w:val="0FDB5414"/>
    <w:rsid w:val="10096727"/>
    <w:rsid w:val="103817C5"/>
    <w:rsid w:val="1052699B"/>
    <w:rsid w:val="107C4E32"/>
    <w:rsid w:val="10800A10"/>
    <w:rsid w:val="10CC2B74"/>
    <w:rsid w:val="10D1559B"/>
    <w:rsid w:val="10D94991"/>
    <w:rsid w:val="10E85245"/>
    <w:rsid w:val="10E864B1"/>
    <w:rsid w:val="10EA5EAD"/>
    <w:rsid w:val="10FB435A"/>
    <w:rsid w:val="11156B4C"/>
    <w:rsid w:val="1121334E"/>
    <w:rsid w:val="115144A4"/>
    <w:rsid w:val="11804470"/>
    <w:rsid w:val="1184094F"/>
    <w:rsid w:val="11AD7AE5"/>
    <w:rsid w:val="11D93D08"/>
    <w:rsid w:val="11FC31BC"/>
    <w:rsid w:val="120E6BC6"/>
    <w:rsid w:val="128E39BD"/>
    <w:rsid w:val="129E2B15"/>
    <w:rsid w:val="12BF4AE4"/>
    <w:rsid w:val="12D45CE4"/>
    <w:rsid w:val="13106AE0"/>
    <w:rsid w:val="13133FC6"/>
    <w:rsid w:val="132B7E63"/>
    <w:rsid w:val="137907E8"/>
    <w:rsid w:val="13BB7D74"/>
    <w:rsid w:val="13C20F7A"/>
    <w:rsid w:val="13E640E3"/>
    <w:rsid w:val="141D0206"/>
    <w:rsid w:val="142668F2"/>
    <w:rsid w:val="14356764"/>
    <w:rsid w:val="143A12BB"/>
    <w:rsid w:val="144F07ED"/>
    <w:rsid w:val="145B7892"/>
    <w:rsid w:val="149B073F"/>
    <w:rsid w:val="14C6229E"/>
    <w:rsid w:val="14F13AAA"/>
    <w:rsid w:val="153A7217"/>
    <w:rsid w:val="15447238"/>
    <w:rsid w:val="15584D96"/>
    <w:rsid w:val="1563275B"/>
    <w:rsid w:val="156D24A7"/>
    <w:rsid w:val="15A639FC"/>
    <w:rsid w:val="15B844A7"/>
    <w:rsid w:val="15C00594"/>
    <w:rsid w:val="15C238ED"/>
    <w:rsid w:val="15D14534"/>
    <w:rsid w:val="162A195D"/>
    <w:rsid w:val="168A794A"/>
    <w:rsid w:val="168D3096"/>
    <w:rsid w:val="16B81B85"/>
    <w:rsid w:val="16BE7BE9"/>
    <w:rsid w:val="16CC7D3C"/>
    <w:rsid w:val="173D5B46"/>
    <w:rsid w:val="17435E62"/>
    <w:rsid w:val="174F34C7"/>
    <w:rsid w:val="176D6C64"/>
    <w:rsid w:val="177F1A86"/>
    <w:rsid w:val="178639D7"/>
    <w:rsid w:val="17AE3F4C"/>
    <w:rsid w:val="17B743C8"/>
    <w:rsid w:val="17BB412E"/>
    <w:rsid w:val="17C5262B"/>
    <w:rsid w:val="17CD0613"/>
    <w:rsid w:val="18087A84"/>
    <w:rsid w:val="18295F22"/>
    <w:rsid w:val="18412203"/>
    <w:rsid w:val="18523632"/>
    <w:rsid w:val="186A58FE"/>
    <w:rsid w:val="188A7981"/>
    <w:rsid w:val="18931C5E"/>
    <w:rsid w:val="19251030"/>
    <w:rsid w:val="19BB4AF0"/>
    <w:rsid w:val="1A046CFD"/>
    <w:rsid w:val="1A0D650D"/>
    <w:rsid w:val="1A186984"/>
    <w:rsid w:val="1A446100"/>
    <w:rsid w:val="1A672D12"/>
    <w:rsid w:val="1A8107FC"/>
    <w:rsid w:val="1B2D0A08"/>
    <w:rsid w:val="1B560A67"/>
    <w:rsid w:val="1BAE4A7D"/>
    <w:rsid w:val="1BCB39AD"/>
    <w:rsid w:val="1BD6567D"/>
    <w:rsid w:val="1C386236"/>
    <w:rsid w:val="1C606F65"/>
    <w:rsid w:val="1CAD4390"/>
    <w:rsid w:val="1D0D7A9C"/>
    <w:rsid w:val="1D220C02"/>
    <w:rsid w:val="1D381CE3"/>
    <w:rsid w:val="1D606FD0"/>
    <w:rsid w:val="1D9453B8"/>
    <w:rsid w:val="1DAF674F"/>
    <w:rsid w:val="1E035913"/>
    <w:rsid w:val="1E1F4B0F"/>
    <w:rsid w:val="1E5134F1"/>
    <w:rsid w:val="1E9D5A28"/>
    <w:rsid w:val="1EC678AD"/>
    <w:rsid w:val="1ECF3BA5"/>
    <w:rsid w:val="1ECF7E1D"/>
    <w:rsid w:val="1EEC0E48"/>
    <w:rsid w:val="1EF04078"/>
    <w:rsid w:val="1F0508C8"/>
    <w:rsid w:val="1F2516DC"/>
    <w:rsid w:val="1F952176"/>
    <w:rsid w:val="1FAE5AB8"/>
    <w:rsid w:val="1FBA5DFF"/>
    <w:rsid w:val="1FC6207F"/>
    <w:rsid w:val="1FDC5EAA"/>
    <w:rsid w:val="1FE50C3E"/>
    <w:rsid w:val="206530DB"/>
    <w:rsid w:val="20682078"/>
    <w:rsid w:val="2086112F"/>
    <w:rsid w:val="208E3256"/>
    <w:rsid w:val="20A6434F"/>
    <w:rsid w:val="20D04130"/>
    <w:rsid w:val="20FD1D2D"/>
    <w:rsid w:val="21294A82"/>
    <w:rsid w:val="213F3A96"/>
    <w:rsid w:val="21AE78D9"/>
    <w:rsid w:val="21DF6A06"/>
    <w:rsid w:val="22451EA9"/>
    <w:rsid w:val="224C2D92"/>
    <w:rsid w:val="225C7EC4"/>
    <w:rsid w:val="22C523A1"/>
    <w:rsid w:val="22E01424"/>
    <w:rsid w:val="22E64811"/>
    <w:rsid w:val="230A3EAF"/>
    <w:rsid w:val="232D247E"/>
    <w:rsid w:val="233818D7"/>
    <w:rsid w:val="23446E8F"/>
    <w:rsid w:val="2348478B"/>
    <w:rsid w:val="234F4BB7"/>
    <w:rsid w:val="23BB2B53"/>
    <w:rsid w:val="23FD0104"/>
    <w:rsid w:val="24016765"/>
    <w:rsid w:val="24121B7E"/>
    <w:rsid w:val="243F65CC"/>
    <w:rsid w:val="244B4809"/>
    <w:rsid w:val="245270FC"/>
    <w:rsid w:val="24586412"/>
    <w:rsid w:val="24814C56"/>
    <w:rsid w:val="24A81E62"/>
    <w:rsid w:val="24BF1E2D"/>
    <w:rsid w:val="24C13CF1"/>
    <w:rsid w:val="24D4463A"/>
    <w:rsid w:val="24F322AC"/>
    <w:rsid w:val="24FB4E37"/>
    <w:rsid w:val="253B6CDF"/>
    <w:rsid w:val="25665CDD"/>
    <w:rsid w:val="257F7CAF"/>
    <w:rsid w:val="25BA182B"/>
    <w:rsid w:val="26276C36"/>
    <w:rsid w:val="26492E07"/>
    <w:rsid w:val="265E2C3E"/>
    <w:rsid w:val="266E21F8"/>
    <w:rsid w:val="26AA3177"/>
    <w:rsid w:val="26C75057"/>
    <w:rsid w:val="26E62151"/>
    <w:rsid w:val="26F802F2"/>
    <w:rsid w:val="26FB175D"/>
    <w:rsid w:val="26FC3F67"/>
    <w:rsid w:val="27144301"/>
    <w:rsid w:val="27365D2A"/>
    <w:rsid w:val="273B239E"/>
    <w:rsid w:val="27590EE8"/>
    <w:rsid w:val="277E533E"/>
    <w:rsid w:val="278637EE"/>
    <w:rsid w:val="2796433C"/>
    <w:rsid w:val="279C73A3"/>
    <w:rsid w:val="27A31F56"/>
    <w:rsid w:val="27A964CC"/>
    <w:rsid w:val="27E879BB"/>
    <w:rsid w:val="281C37AA"/>
    <w:rsid w:val="282C622E"/>
    <w:rsid w:val="28395217"/>
    <w:rsid w:val="28613839"/>
    <w:rsid w:val="286F22FA"/>
    <w:rsid w:val="28A94C35"/>
    <w:rsid w:val="28B17C5A"/>
    <w:rsid w:val="28D44A14"/>
    <w:rsid w:val="28DA252C"/>
    <w:rsid w:val="28EA1557"/>
    <w:rsid w:val="28EB2D60"/>
    <w:rsid w:val="28ED5571"/>
    <w:rsid w:val="28F83120"/>
    <w:rsid w:val="29133E78"/>
    <w:rsid w:val="292453C2"/>
    <w:rsid w:val="293D0B62"/>
    <w:rsid w:val="29784E5D"/>
    <w:rsid w:val="29A5775C"/>
    <w:rsid w:val="29D05943"/>
    <w:rsid w:val="29FC4A0E"/>
    <w:rsid w:val="29FC4EB1"/>
    <w:rsid w:val="2A5E7582"/>
    <w:rsid w:val="2A6A75E7"/>
    <w:rsid w:val="2A7D5105"/>
    <w:rsid w:val="2A7E73EE"/>
    <w:rsid w:val="2AA4112A"/>
    <w:rsid w:val="2AA64F45"/>
    <w:rsid w:val="2ABC4CED"/>
    <w:rsid w:val="2AFF63B3"/>
    <w:rsid w:val="2B141772"/>
    <w:rsid w:val="2B8862FE"/>
    <w:rsid w:val="2B8F4EBE"/>
    <w:rsid w:val="2B94382C"/>
    <w:rsid w:val="2B9655BD"/>
    <w:rsid w:val="2B990D9F"/>
    <w:rsid w:val="2B992E99"/>
    <w:rsid w:val="2BC445D8"/>
    <w:rsid w:val="2BD34E89"/>
    <w:rsid w:val="2C504647"/>
    <w:rsid w:val="2C5D5CC8"/>
    <w:rsid w:val="2C844A82"/>
    <w:rsid w:val="2CCA12FA"/>
    <w:rsid w:val="2CCC219D"/>
    <w:rsid w:val="2CD050E0"/>
    <w:rsid w:val="2CD93A4C"/>
    <w:rsid w:val="2CFE38B2"/>
    <w:rsid w:val="2D0D1C5D"/>
    <w:rsid w:val="2D0D58F7"/>
    <w:rsid w:val="2D1D057C"/>
    <w:rsid w:val="2D4528B8"/>
    <w:rsid w:val="2D6752E2"/>
    <w:rsid w:val="2D6E5A5B"/>
    <w:rsid w:val="2D7556F0"/>
    <w:rsid w:val="2DD64249"/>
    <w:rsid w:val="2DE265CD"/>
    <w:rsid w:val="2E234049"/>
    <w:rsid w:val="2E4954FF"/>
    <w:rsid w:val="2E4B6E33"/>
    <w:rsid w:val="2E550859"/>
    <w:rsid w:val="2E850CF9"/>
    <w:rsid w:val="2E855362"/>
    <w:rsid w:val="2EB103CF"/>
    <w:rsid w:val="2EB34E03"/>
    <w:rsid w:val="2EB87917"/>
    <w:rsid w:val="2EBF236D"/>
    <w:rsid w:val="2ECA7130"/>
    <w:rsid w:val="2ECD0675"/>
    <w:rsid w:val="2ED624E6"/>
    <w:rsid w:val="2F23733A"/>
    <w:rsid w:val="2F48492C"/>
    <w:rsid w:val="2F7038B1"/>
    <w:rsid w:val="2F71539E"/>
    <w:rsid w:val="2F867F0C"/>
    <w:rsid w:val="2F9B42B3"/>
    <w:rsid w:val="2F9C58C6"/>
    <w:rsid w:val="2FAD7A0D"/>
    <w:rsid w:val="2FD3453F"/>
    <w:rsid w:val="300F0673"/>
    <w:rsid w:val="30467672"/>
    <w:rsid w:val="304A3E47"/>
    <w:rsid w:val="307A119A"/>
    <w:rsid w:val="30AF024C"/>
    <w:rsid w:val="30CB4424"/>
    <w:rsid w:val="30F33524"/>
    <w:rsid w:val="312611F4"/>
    <w:rsid w:val="313D2772"/>
    <w:rsid w:val="31570ADB"/>
    <w:rsid w:val="31573D0B"/>
    <w:rsid w:val="31C11AA2"/>
    <w:rsid w:val="31EC5AE2"/>
    <w:rsid w:val="31EE27B8"/>
    <w:rsid w:val="31F62664"/>
    <w:rsid w:val="32080ED6"/>
    <w:rsid w:val="320D313A"/>
    <w:rsid w:val="321114BB"/>
    <w:rsid w:val="322C3C7D"/>
    <w:rsid w:val="32485BD9"/>
    <w:rsid w:val="325C349B"/>
    <w:rsid w:val="328E1699"/>
    <w:rsid w:val="328E383B"/>
    <w:rsid w:val="32902469"/>
    <w:rsid w:val="32983B91"/>
    <w:rsid w:val="32BE6EEE"/>
    <w:rsid w:val="32C17935"/>
    <w:rsid w:val="32DB0A21"/>
    <w:rsid w:val="33012901"/>
    <w:rsid w:val="331775DF"/>
    <w:rsid w:val="333A1778"/>
    <w:rsid w:val="33572890"/>
    <w:rsid w:val="3368241A"/>
    <w:rsid w:val="336D4F02"/>
    <w:rsid w:val="337D2D5E"/>
    <w:rsid w:val="339B6CA2"/>
    <w:rsid w:val="339F39A7"/>
    <w:rsid w:val="33AE2055"/>
    <w:rsid w:val="33CE4177"/>
    <w:rsid w:val="33CE4A10"/>
    <w:rsid w:val="33DD219A"/>
    <w:rsid w:val="33F83F98"/>
    <w:rsid w:val="340936A8"/>
    <w:rsid w:val="3432447F"/>
    <w:rsid w:val="347463A1"/>
    <w:rsid w:val="348F4C0F"/>
    <w:rsid w:val="34D546A0"/>
    <w:rsid w:val="353370CD"/>
    <w:rsid w:val="35474F07"/>
    <w:rsid w:val="355D6374"/>
    <w:rsid w:val="3571380D"/>
    <w:rsid w:val="35932CEB"/>
    <w:rsid w:val="35D43AE6"/>
    <w:rsid w:val="35EC2DB3"/>
    <w:rsid w:val="36694615"/>
    <w:rsid w:val="366F0671"/>
    <w:rsid w:val="36FB2A14"/>
    <w:rsid w:val="377D01F0"/>
    <w:rsid w:val="3786105D"/>
    <w:rsid w:val="37D70005"/>
    <w:rsid w:val="37E40504"/>
    <w:rsid w:val="38072983"/>
    <w:rsid w:val="38162FD7"/>
    <w:rsid w:val="382D540E"/>
    <w:rsid w:val="39085753"/>
    <w:rsid w:val="390F2DEA"/>
    <w:rsid w:val="391C69BF"/>
    <w:rsid w:val="393F4CE1"/>
    <w:rsid w:val="396C134A"/>
    <w:rsid w:val="39895CC6"/>
    <w:rsid w:val="39AB68C6"/>
    <w:rsid w:val="39FD15C8"/>
    <w:rsid w:val="3A011867"/>
    <w:rsid w:val="3A072B90"/>
    <w:rsid w:val="3A647498"/>
    <w:rsid w:val="3AA74FA2"/>
    <w:rsid w:val="3AAD0A17"/>
    <w:rsid w:val="3AD37E34"/>
    <w:rsid w:val="3ADF7546"/>
    <w:rsid w:val="3AED2CCE"/>
    <w:rsid w:val="3B28262D"/>
    <w:rsid w:val="3B385201"/>
    <w:rsid w:val="3B4B44C3"/>
    <w:rsid w:val="3B4B4735"/>
    <w:rsid w:val="3B5573CC"/>
    <w:rsid w:val="3BA530A2"/>
    <w:rsid w:val="3BF845A8"/>
    <w:rsid w:val="3C0C0C96"/>
    <w:rsid w:val="3C1D287D"/>
    <w:rsid w:val="3C520D28"/>
    <w:rsid w:val="3C73059B"/>
    <w:rsid w:val="3C9F38C3"/>
    <w:rsid w:val="3CF26B18"/>
    <w:rsid w:val="3D223A6C"/>
    <w:rsid w:val="3D380E17"/>
    <w:rsid w:val="3D525737"/>
    <w:rsid w:val="3D6450E8"/>
    <w:rsid w:val="3D651914"/>
    <w:rsid w:val="3D8A61A2"/>
    <w:rsid w:val="3D8C15D0"/>
    <w:rsid w:val="3DC847D4"/>
    <w:rsid w:val="3E046D52"/>
    <w:rsid w:val="3E0F1501"/>
    <w:rsid w:val="3E2C7BE5"/>
    <w:rsid w:val="3E325829"/>
    <w:rsid w:val="3E480F87"/>
    <w:rsid w:val="3E856385"/>
    <w:rsid w:val="3E981630"/>
    <w:rsid w:val="3E98470F"/>
    <w:rsid w:val="3EA058CF"/>
    <w:rsid w:val="3ED2284C"/>
    <w:rsid w:val="3F043D97"/>
    <w:rsid w:val="3F3E6520"/>
    <w:rsid w:val="3F7A4932"/>
    <w:rsid w:val="3F7B0364"/>
    <w:rsid w:val="3F8D6FF6"/>
    <w:rsid w:val="3F911CDC"/>
    <w:rsid w:val="3F997E33"/>
    <w:rsid w:val="3FAF04FC"/>
    <w:rsid w:val="3FB61DB5"/>
    <w:rsid w:val="40011441"/>
    <w:rsid w:val="402C22BA"/>
    <w:rsid w:val="40651787"/>
    <w:rsid w:val="40A30AF5"/>
    <w:rsid w:val="40D8779F"/>
    <w:rsid w:val="40ED7551"/>
    <w:rsid w:val="41005CAD"/>
    <w:rsid w:val="412A3411"/>
    <w:rsid w:val="41597296"/>
    <w:rsid w:val="416339D7"/>
    <w:rsid w:val="4199053F"/>
    <w:rsid w:val="41AA5709"/>
    <w:rsid w:val="41B773FF"/>
    <w:rsid w:val="41FC0C1E"/>
    <w:rsid w:val="42261E7E"/>
    <w:rsid w:val="42940397"/>
    <w:rsid w:val="42A50F8E"/>
    <w:rsid w:val="42C21E66"/>
    <w:rsid w:val="42D501F8"/>
    <w:rsid w:val="435A5A64"/>
    <w:rsid w:val="435D6090"/>
    <w:rsid w:val="436511D9"/>
    <w:rsid w:val="438519FA"/>
    <w:rsid w:val="43D9683E"/>
    <w:rsid w:val="43EE2CC7"/>
    <w:rsid w:val="44007F2B"/>
    <w:rsid w:val="443D7C1D"/>
    <w:rsid w:val="447464F1"/>
    <w:rsid w:val="4491598E"/>
    <w:rsid w:val="44C25CF5"/>
    <w:rsid w:val="44C75861"/>
    <w:rsid w:val="44F477BD"/>
    <w:rsid w:val="4508389D"/>
    <w:rsid w:val="45146BE7"/>
    <w:rsid w:val="4530220B"/>
    <w:rsid w:val="45584FF4"/>
    <w:rsid w:val="45A716FB"/>
    <w:rsid w:val="45BF2DCE"/>
    <w:rsid w:val="45CB2636"/>
    <w:rsid w:val="45E7043F"/>
    <w:rsid w:val="460302F9"/>
    <w:rsid w:val="462E74FB"/>
    <w:rsid w:val="46346876"/>
    <w:rsid w:val="4638199B"/>
    <w:rsid w:val="463F5F6B"/>
    <w:rsid w:val="464C667A"/>
    <w:rsid w:val="46554582"/>
    <w:rsid w:val="46797BC3"/>
    <w:rsid w:val="468D025B"/>
    <w:rsid w:val="469D6A02"/>
    <w:rsid w:val="46C54AE1"/>
    <w:rsid w:val="47094688"/>
    <w:rsid w:val="47251FDF"/>
    <w:rsid w:val="472A5A68"/>
    <w:rsid w:val="474129C1"/>
    <w:rsid w:val="474C5BCD"/>
    <w:rsid w:val="478D0518"/>
    <w:rsid w:val="47D95685"/>
    <w:rsid w:val="47E662E1"/>
    <w:rsid w:val="47F151D8"/>
    <w:rsid w:val="47F21FDE"/>
    <w:rsid w:val="48016D08"/>
    <w:rsid w:val="48090AA8"/>
    <w:rsid w:val="48205880"/>
    <w:rsid w:val="4825591A"/>
    <w:rsid w:val="483D7AC5"/>
    <w:rsid w:val="48736205"/>
    <w:rsid w:val="488670BF"/>
    <w:rsid w:val="48B01B66"/>
    <w:rsid w:val="48B675D7"/>
    <w:rsid w:val="48BE3B35"/>
    <w:rsid w:val="48D668FD"/>
    <w:rsid w:val="48EC03C3"/>
    <w:rsid w:val="48EE573E"/>
    <w:rsid w:val="48FF6694"/>
    <w:rsid w:val="495B28D2"/>
    <w:rsid w:val="49771318"/>
    <w:rsid w:val="49C77438"/>
    <w:rsid w:val="49F7526E"/>
    <w:rsid w:val="49F9160C"/>
    <w:rsid w:val="49FC4B65"/>
    <w:rsid w:val="4A1D6ED9"/>
    <w:rsid w:val="4A247D7C"/>
    <w:rsid w:val="4A2D1679"/>
    <w:rsid w:val="4A327979"/>
    <w:rsid w:val="4A4F5A71"/>
    <w:rsid w:val="4A546153"/>
    <w:rsid w:val="4A6A60CA"/>
    <w:rsid w:val="4A7B31BB"/>
    <w:rsid w:val="4A7D4937"/>
    <w:rsid w:val="4AC70BB4"/>
    <w:rsid w:val="4AFD6BE3"/>
    <w:rsid w:val="4B017439"/>
    <w:rsid w:val="4B090A20"/>
    <w:rsid w:val="4B294558"/>
    <w:rsid w:val="4B2A0E76"/>
    <w:rsid w:val="4BC86E27"/>
    <w:rsid w:val="4BDB68CA"/>
    <w:rsid w:val="4C043E7C"/>
    <w:rsid w:val="4C6963E9"/>
    <w:rsid w:val="4C781205"/>
    <w:rsid w:val="4CBE46B4"/>
    <w:rsid w:val="4CC1514E"/>
    <w:rsid w:val="4CCB363E"/>
    <w:rsid w:val="4CCD6B90"/>
    <w:rsid w:val="4CDA2F65"/>
    <w:rsid w:val="4D017B5A"/>
    <w:rsid w:val="4D0B61A4"/>
    <w:rsid w:val="4D527270"/>
    <w:rsid w:val="4D5D515E"/>
    <w:rsid w:val="4D687C62"/>
    <w:rsid w:val="4D8541A5"/>
    <w:rsid w:val="4DC34D70"/>
    <w:rsid w:val="4E557DE7"/>
    <w:rsid w:val="4E7F6F72"/>
    <w:rsid w:val="4EA473CE"/>
    <w:rsid w:val="4EC52CE6"/>
    <w:rsid w:val="4EE04F6F"/>
    <w:rsid w:val="4F013FD6"/>
    <w:rsid w:val="4F2C13C2"/>
    <w:rsid w:val="4F5B0A7E"/>
    <w:rsid w:val="4F5B6853"/>
    <w:rsid w:val="4F9C5ECB"/>
    <w:rsid w:val="4FF513C9"/>
    <w:rsid w:val="4FFF5A26"/>
    <w:rsid w:val="504C3385"/>
    <w:rsid w:val="5070168C"/>
    <w:rsid w:val="5081316A"/>
    <w:rsid w:val="50AB16FB"/>
    <w:rsid w:val="50AC48BF"/>
    <w:rsid w:val="50E1766C"/>
    <w:rsid w:val="50F00FB0"/>
    <w:rsid w:val="510303BA"/>
    <w:rsid w:val="512A7DC4"/>
    <w:rsid w:val="513002D8"/>
    <w:rsid w:val="513D5D43"/>
    <w:rsid w:val="514F192B"/>
    <w:rsid w:val="515117F9"/>
    <w:rsid w:val="518E6B48"/>
    <w:rsid w:val="51BB6B80"/>
    <w:rsid w:val="51FE7909"/>
    <w:rsid w:val="521508F3"/>
    <w:rsid w:val="52243C90"/>
    <w:rsid w:val="52325EC5"/>
    <w:rsid w:val="526550F7"/>
    <w:rsid w:val="52872E92"/>
    <w:rsid w:val="52B24E48"/>
    <w:rsid w:val="530A471C"/>
    <w:rsid w:val="5316478D"/>
    <w:rsid w:val="532569BB"/>
    <w:rsid w:val="534B5717"/>
    <w:rsid w:val="536F3078"/>
    <w:rsid w:val="53A61117"/>
    <w:rsid w:val="53A97E69"/>
    <w:rsid w:val="53BA6935"/>
    <w:rsid w:val="54157FF2"/>
    <w:rsid w:val="541E3B94"/>
    <w:rsid w:val="5440463C"/>
    <w:rsid w:val="54610276"/>
    <w:rsid w:val="546C39A7"/>
    <w:rsid w:val="54712362"/>
    <w:rsid w:val="547D35B9"/>
    <w:rsid w:val="54C16666"/>
    <w:rsid w:val="54D00F13"/>
    <w:rsid w:val="550957AB"/>
    <w:rsid w:val="556C750D"/>
    <w:rsid w:val="55827E15"/>
    <w:rsid w:val="55CD6F6C"/>
    <w:rsid w:val="55D1586C"/>
    <w:rsid w:val="55D466C4"/>
    <w:rsid w:val="55F15758"/>
    <w:rsid w:val="563429FD"/>
    <w:rsid w:val="563D71AB"/>
    <w:rsid w:val="56403FC4"/>
    <w:rsid w:val="567F5BC2"/>
    <w:rsid w:val="56965945"/>
    <w:rsid w:val="56B8580D"/>
    <w:rsid w:val="56BE7F10"/>
    <w:rsid w:val="56CF65C8"/>
    <w:rsid w:val="56D64D39"/>
    <w:rsid w:val="56DD73C0"/>
    <w:rsid w:val="56FD5595"/>
    <w:rsid w:val="57326210"/>
    <w:rsid w:val="57334882"/>
    <w:rsid w:val="57384018"/>
    <w:rsid w:val="577C3D2E"/>
    <w:rsid w:val="57861CCD"/>
    <w:rsid w:val="578E677F"/>
    <w:rsid w:val="57E31B79"/>
    <w:rsid w:val="57F225E4"/>
    <w:rsid w:val="58116E2E"/>
    <w:rsid w:val="585C619E"/>
    <w:rsid w:val="58666930"/>
    <w:rsid w:val="586F3EBD"/>
    <w:rsid w:val="58701030"/>
    <w:rsid w:val="588E4EEF"/>
    <w:rsid w:val="589D1191"/>
    <w:rsid w:val="58B91CBA"/>
    <w:rsid w:val="58CE593A"/>
    <w:rsid w:val="591409D5"/>
    <w:rsid w:val="593B54ED"/>
    <w:rsid w:val="59414A9E"/>
    <w:rsid w:val="59464870"/>
    <w:rsid w:val="595263B1"/>
    <w:rsid w:val="595A4D51"/>
    <w:rsid w:val="59696792"/>
    <w:rsid w:val="59852A59"/>
    <w:rsid w:val="59B23559"/>
    <w:rsid w:val="59E93746"/>
    <w:rsid w:val="59F60971"/>
    <w:rsid w:val="5A161BA1"/>
    <w:rsid w:val="5A630920"/>
    <w:rsid w:val="5A72185A"/>
    <w:rsid w:val="5A757B7D"/>
    <w:rsid w:val="5ACD4C1C"/>
    <w:rsid w:val="5B3E009F"/>
    <w:rsid w:val="5B3F667F"/>
    <w:rsid w:val="5B465119"/>
    <w:rsid w:val="5B643B82"/>
    <w:rsid w:val="5B9C0CEE"/>
    <w:rsid w:val="5BAA30AD"/>
    <w:rsid w:val="5BAC2D38"/>
    <w:rsid w:val="5BBE1AC8"/>
    <w:rsid w:val="5C074596"/>
    <w:rsid w:val="5C2B3412"/>
    <w:rsid w:val="5C2B6BD5"/>
    <w:rsid w:val="5C782DDA"/>
    <w:rsid w:val="5CA1255A"/>
    <w:rsid w:val="5CA85EF6"/>
    <w:rsid w:val="5CAC0642"/>
    <w:rsid w:val="5CCA7D44"/>
    <w:rsid w:val="5D075F17"/>
    <w:rsid w:val="5D1E63C0"/>
    <w:rsid w:val="5D212B23"/>
    <w:rsid w:val="5D4A3964"/>
    <w:rsid w:val="5D7E03A4"/>
    <w:rsid w:val="5D887279"/>
    <w:rsid w:val="5DCD19E1"/>
    <w:rsid w:val="5DF96327"/>
    <w:rsid w:val="5E03258F"/>
    <w:rsid w:val="5E131339"/>
    <w:rsid w:val="5E317359"/>
    <w:rsid w:val="5E4D0697"/>
    <w:rsid w:val="5EA7354E"/>
    <w:rsid w:val="5ED74391"/>
    <w:rsid w:val="5EDD389D"/>
    <w:rsid w:val="5EF16873"/>
    <w:rsid w:val="5F06438B"/>
    <w:rsid w:val="5F2B709E"/>
    <w:rsid w:val="5F356EDD"/>
    <w:rsid w:val="5F6E7B8F"/>
    <w:rsid w:val="5F741E31"/>
    <w:rsid w:val="5F8C3BD8"/>
    <w:rsid w:val="5F9C6617"/>
    <w:rsid w:val="5FB57213"/>
    <w:rsid w:val="5FBA0B07"/>
    <w:rsid w:val="5FBB7F8E"/>
    <w:rsid w:val="5FEE10E3"/>
    <w:rsid w:val="6024544A"/>
    <w:rsid w:val="602E0025"/>
    <w:rsid w:val="604444A4"/>
    <w:rsid w:val="608A25FF"/>
    <w:rsid w:val="60DB1F44"/>
    <w:rsid w:val="60E309C5"/>
    <w:rsid w:val="60ED4330"/>
    <w:rsid w:val="60F77472"/>
    <w:rsid w:val="61014154"/>
    <w:rsid w:val="612C15CE"/>
    <w:rsid w:val="612D379E"/>
    <w:rsid w:val="615343CD"/>
    <w:rsid w:val="615463CD"/>
    <w:rsid w:val="61564F78"/>
    <w:rsid w:val="616C67D0"/>
    <w:rsid w:val="61815035"/>
    <w:rsid w:val="619E6A66"/>
    <w:rsid w:val="61A6475E"/>
    <w:rsid w:val="61CA1544"/>
    <w:rsid w:val="62441B22"/>
    <w:rsid w:val="625A5100"/>
    <w:rsid w:val="627B3F29"/>
    <w:rsid w:val="62933885"/>
    <w:rsid w:val="62B102B6"/>
    <w:rsid w:val="62BA4FB8"/>
    <w:rsid w:val="62C33D81"/>
    <w:rsid w:val="62C60E55"/>
    <w:rsid w:val="62ED6D3F"/>
    <w:rsid w:val="630334C6"/>
    <w:rsid w:val="635E0DFC"/>
    <w:rsid w:val="635E7600"/>
    <w:rsid w:val="637325E2"/>
    <w:rsid w:val="63772E1C"/>
    <w:rsid w:val="637D684C"/>
    <w:rsid w:val="63AB45C6"/>
    <w:rsid w:val="63C96F6E"/>
    <w:rsid w:val="63E45D9A"/>
    <w:rsid w:val="63F804D8"/>
    <w:rsid w:val="64423A40"/>
    <w:rsid w:val="64621DB7"/>
    <w:rsid w:val="647A62AF"/>
    <w:rsid w:val="647F1D1E"/>
    <w:rsid w:val="648313DE"/>
    <w:rsid w:val="648E46CB"/>
    <w:rsid w:val="64934E5A"/>
    <w:rsid w:val="64C717B4"/>
    <w:rsid w:val="64DD0FF7"/>
    <w:rsid w:val="64FC61F3"/>
    <w:rsid w:val="650C53AD"/>
    <w:rsid w:val="65213976"/>
    <w:rsid w:val="656B6CA8"/>
    <w:rsid w:val="65804EDB"/>
    <w:rsid w:val="658F040A"/>
    <w:rsid w:val="6593221D"/>
    <w:rsid w:val="65C827A5"/>
    <w:rsid w:val="65CD1577"/>
    <w:rsid w:val="65D90A46"/>
    <w:rsid w:val="65E04763"/>
    <w:rsid w:val="66093030"/>
    <w:rsid w:val="666E24D6"/>
    <w:rsid w:val="66927CA4"/>
    <w:rsid w:val="669C39BE"/>
    <w:rsid w:val="66CC7750"/>
    <w:rsid w:val="66DC5446"/>
    <w:rsid w:val="66DE3C4F"/>
    <w:rsid w:val="66DE64A2"/>
    <w:rsid w:val="66EC6F96"/>
    <w:rsid w:val="66F21DF3"/>
    <w:rsid w:val="671A21CC"/>
    <w:rsid w:val="67727E7D"/>
    <w:rsid w:val="679A6440"/>
    <w:rsid w:val="679D078D"/>
    <w:rsid w:val="67AD7C25"/>
    <w:rsid w:val="67FE398E"/>
    <w:rsid w:val="68165D8F"/>
    <w:rsid w:val="68387119"/>
    <w:rsid w:val="68427632"/>
    <w:rsid w:val="684801A2"/>
    <w:rsid w:val="6869773B"/>
    <w:rsid w:val="68D44003"/>
    <w:rsid w:val="69241A0E"/>
    <w:rsid w:val="692603F0"/>
    <w:rsid w:val="693678BB"/>
    <w:rsid w:val="6942725F"/>
    <w:rsid w:val="6966734F"/>
    <w:rsid w:val="69976E15"/>
    <w:rsid w:val="69D119E3"/>
    <w:rsid w:val="69D5025E"/>
    <w:rsid w:val="69F0740F"/>
    <w:rsid w:val="69FF04DD"/>
    <w:rsid w:val="6A015986"/>
    <w:rsid w:val="6A714E03"/>
    <w:rsid w:val="6A7622F9"/>
    <w:rsid w:val="6ABB6BD3"/>
    <w:rsid w:val="6AD3467F"/>
    <w:rsid w:val="6B043B03"/>
    <w:rsid w:val="6B0A3CF8"/>
    <w:rsid w:val="6B291EC1"/>
    <w:rsid w:val="6B383DA3"/>
    <w:rsid w:val="6B4A1579"/>
    <w:rsid w:val="6B6503E0"/>
    <w:rsid w:val="6B724A73"/>
    <w:rsid w:val="6BC7614F"/>
    <w:rsid w:val="6BCD15CB"/>
    <w:rsid w:val="6C1C60BA"/>
    <w:rsid w:val="6C3B0FDF"/>
    <w:rsid w:val="6C463A8A"/>
    <w:rsid w:val="6C746C3C"/>
    <w:rsid w:val="6C9A73FD"/>
    <w:rsid w:val="6CA803CF"/>
    <w:rsid w:val="6CB61416"/>
    <w:rsid w:val="6CB74711"/>
    <w:rsid w:val="6CBA4019"/>
    <w:rsid w:val="6CCB54B3"/>
    <w:rsid w:val="6CDF7DBD"/>
    <w:rsid w:val="6CE32E38"/>
    <w:rsid w:val="6CFD3015"/>
    <w:rsid w:val="6D0375CC"/>
    <w:rsid w:val="6D1557FD"/>
    <w:rsid w:val="6D230189"/>
    <w:rsid w:val="6D2755B2"/>
    <w:rsid w:val="6D4771A9"/>
    <w:rsid w:val="6D4E25F9"/>
    <w:rsid w:val="6D5C15F2"/>
    <w:rsid w:val="6DC25AA8"/>
    <w:rsid w:val="6DCF60E5"/>
    <w:rsid w:val="6DD329B5"/>
    <w:rsid w:val="6DE753A7"/>
    <w:rsid w:val="6DF41566"/>
    <w:rsid w:val="6E031204"/>
    <w:rsid w:val="6E260D1E"/>
    <w:rsid w:val="6E9114D3"/>
    <w:rsid w:val="6E945EB7"/>
    <w:rsid w:val="6F0F2A3E"/>
    <w:rsid w:val="6F13401B"/>
    <w:rsid w:val="6F221203"/>
    <w:rsid w:val="6F2E29AE"/>
    <w:rsid w:val="6F321A0A"/>
    <w:rsid w:val="6F6922A6"/>
    <w:rsid w:val="6F6F13DA"/>
    <w:rsid w:val="6F817F93"/>
    <w:rsid w:val="6FC029D1"/>
    <w:rsid w:val="6FC51EAD"/>
    <w:rsid w:val="6FD575B6"/>
    <w:rsid w:val="701F1BE4"/>
    <w:rsid w:val="702A673E"/>
    <w:rsid w:val="704D1E4A"/>
    <w:rsid w:val="70B37309"/>
    <w:rsid w:val="70DC66B0"/>
    <w:rsid w:val="70FC7CBD"/>
    <w:rsid w:val="711F1784"/>
    <w:rsid w:val="712E40E5"/>
    <w:rsid w:val="71347D6B"/>
    <w:rsid w:val="717A5F9B"/>
    <w:rsid w:val="71867554"/>
    <w:rsid w:val="72382240"/>
    <w:rsid w:val="724B6CF6"/>
    <w:rsid w:val="724E1E1B"/>
    <w:rsid w:val="726C173B"/>
    <w:rsid w:val="7283098F"/>
    <w:rsid w:val="72DF686B"/>
    <w:rsid w:val="72EF571E"/>
    <w:rsid w:val="72F03BF6"/>
    <w:rsid w:val="72FC5391"/>
    <w:rsid w:val="731640CE"/>
    <w:rsid w:val="73196846"/>
    <w:rsid w:val="73275B0A"/>
    <w:rsid w:val="73671701"/>
    <w:rsid w:val="73773658"/>
    <w:rsid w:val="738A7BA1"/>
    <w:rsid w:val="73B932F8"/>
    <w:rsid w:val="73CF01D3"/>
    <w:rsid w:val="74267448"/>
    <w:rsid w:val="74327870"/>
    <w:rsid w:val="743B1061"/>
    <w:rsid w:val="746468F4"/>
    <w:rsid w:val="74671CB7"/>
    <w:rsid w:val="74715CF6"/>
    <w:rsid w:val="74814F36"/>
    <w:rsid w:val="748D6691"/>
    <w:rsid w:val="7498493E"/>
    <w:rsid w:val="74A63037"/>
    <w:rsid w:val="74A97E89"/>
    <w:rsid w:val="74B77506"/>
    <w:rsid w:val="750801C8"/>
    <w:rsid w:val="750F21CE"/>
    <w:rsid w:val="751B66DA"/>
    <w:rsid w:val="75281686"/>
    <w:rsid w:val="75B37713"/>
    <w:rsid w:val="75E733CA"/>
    <w:rsid w:val="75F124BB"/>
    <w:rsid w:val="761A7F97"/>
    <w:rsid w:val="766C50BC"/>
    <w:rsid w:val="76701B37"/>
    <w:rsid w:val="76B16FCD"/>
    <w:rsid w:val="76B204CB"/>
    <w:rsid w:val="76E5372C"/>
    <w:rsid w:val="7701616D"/>
    <w:rsid w:val="771E1832"/>
    <w:rsid w:val="771F55A2"/>
    <w:rsid w:val="77514380"/>
    <w:rsid w:val="775E2A31"/>
    <w:rsid w:val="776B07E6"/>
    <w:rsid w:val="77D407AF"/>
    <w:rsid w:val="77D80188"/>
    <w:rsid w:val="77EA4AAD"/>
    <w:rsid w:val="77FB3A34"/>
    <w:rsid w:val="77FF5300"/>
    <w:rsid w:val="780C22EA"/>
    <w:rsid w:val="782C3E99"/>
    <w:rsid w:val="78384953"/>
    <w:rsid w:val="78583BDF"/>
    <w:rsid w:val="785C30E2"/>
    <w:rsid w:val="78694596"/>
    <w:rsid w:val="786E6E8A"/>
    <w:rsid w:val="78717681"/>
    <w:rsid w:val="787832B4"/>
    <w:rsid w:val="78DF3CFF"/>
    <w:rsid w:val="79561931"/>
    <w:rsid w:val="79640B0B"/>
    <w:rsid w:val="798B56D5"/>
    <w:rsid w:val="798E27FE"/>
    <w:rsid w:val="79CD2A53"/>
    <w:rsid w:val="79D3300A"/>
    <w:rsid w:val="7A5D0D5A"/>
    <w:rsid w:val="7A741EE8"/>
    <w:rsid w:val="7A812AC6"/>
    <w:rsid w:val="7A8B1928"/>
    <w:rsid w:val="7AA303AB"/>
    <w:rsid w:val="7AB73BE2"/>
    <w:rsid w:val="7ACD161B"/>
    <w:rsid w:val="7ADB4C4C"/>
    <w:rsid w:val="7AE339B5"/>
    <w:rsid w:val="7B4F4D71"/>
    <w:rsid w:val="7B5042CC"/>
    <w:rsid w:val="7B7C467A"/>
    <w:rsid w:val="7B9901B8"/>
    <w:rsid w:val="7BD718A2"/>
    <w:rsid w:val="7BF124AF"/>
    <w:rsid w:val="7C1148B6"/>
    <w:rsid w:val="7C413640"/>
    <w:rsid w:val="7CD86793"/>
    <w:rsid w:val="7CFF7DA2"/>
    <w:rsid w:val="7D0D202A"/>
    <w:rsid w:val="7D2C0641"/>
    <w:rsid w:val="7D4A0839"/>
    <w:rsid w:val="7D6B595C"/>
    <w:rsid w:val="7D710472"/>
    <w:rsid w:val="7D750E7F"/>
    <w:rsid w:val="7D8436C6"/>
    <w:rsid w:val="7DFE3C5C"/>
    <w:rsid w:val="7E046A16"/>
    <w:rsid w:val="7E194C63"/>
    <w:rsid w:val="7E2B34DC"/>
    <w:rsid w:val="7E4870B9"/>
    <w:rsid w:val="7E5B4DD7"/>
    <w:rsid w:val="7E7B0A41"/>
    <w:rsid w:val="7E970545"/>
    <w:rsid w:val="7ECE67ED"/>
    <w:rsid w:val="7F18743C"/>
    <w:rsid w:val="7F336D17"/>
    <w:rsid w:val="7FA4540B"/>
    <w:rsid w:val="7FBD0871"/>
    <w:rsid w:val="7FE60601"/>
    <w:rsid w:val="7FE970A7"/>
    <w:rsid w:val="7FF41F0B"/>
    <w:rsid w:val="7FFC0A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1"/>
    <w:qFormat/>
    <w:uiPriority w:val="99"/>
    <w:pPr>
      <w:keepNext/>
      <w:numPr>
        <w:ilvl w:val="0"/>
        <w:numId w:val="1"/>
      </w:numPr>
      <w:outlineLvl w:val="0"/>
    </w:pPr>
    <w:rPr>
      <w:b/>
    </w:rPr>
  </w:style>
  <w:style w:type="paragraph" w:styleId="3">
    <w:name w:val="heading 2"/>
    <w:basedOn w:val="1"/>
    <w:next w:val="1"/>
    <w:link w:val="92"/>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3"/>
    <w:qFormat/>
    <w:uiPriority w:val="99"/>
    <w:pPr>
      <w:keepNext/>
      <w:keepLines/>
      <w:spacing w:before="260" w:after="260" w:line="416" w:lineRule="auto"/>
      <w:outlineLvl w:val="2"/>
    </w:pPr>
    <w:rPr>
      <w:rFonts w:ascii="宋体" w:hAnsi="宋体"/>
      <w:b/>
      <w:bCs/>
      <w:sz w:val="32"/>
      <w:szCs w:val="32"/>
    </w:rPr>
  </w:style>
  <w:style w:type="paragraph" w:styleId="5">
    <w:name w:val="heading 4"/>
    <w:basedOn w:val="1"/>
    <w:next w:val="1"/>
    <w:link w:val="94"/>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5"/>
    <w:qFormat/>
    <w:uiPriority w:val="99"/>
    <w:pPr>
      <w:keepNext/>
      <w:keepLines/>
      <w:tabs>
        <w:tab w:val="left" w:pos="1008"/>
      </w:tabs>
      <w:suppressAutoHyphens/>
      <w:spacing w:beforeLines="100" w:line="360" w:lineRule="auto"/>
      <w:ind w:left="1008" w:hanging="1008"/>
      <w:outlineLvl w:val="4"/>
    </w:pPr>
    <w:rPr>
      <w:bCs/>
      <w:kern w:val="24"/>
      <w:sz w:val="24"/>
      <w:szCs w:val="28"/>
    </w:rPr>
  </w:style>
  <w:style w:type="paragraph" w:styleId="7">
    <w:name w:val="heading 6"/>
    <w:basedOn w:val="1"/>
    <w:next w:val="1"/>
    <w:link w:val="96"/>
    <w:qFormat/>
    <w:uiPriority w:val="99"/>
    <w:pPr>
      <w:keepNext/>
      <w:keepLines/>
      <w:tabs>
        <w:tab w:val="left" w:pos="1152"/>
      </w:tabs>
      <w:suppressAutoHyphens/>
      <w:spacing w:before="240" w:after="64" w:line="360" w:lineRule="auto"/>
      <w:ind w:left="1152" w:hanging="1152"/>
      <w:outlineLvl w:val="5"/>
    </w:pPr>
    <w:rPr>
      <w:rFonts w:eastAsia="黑体"/>
      <w:b/>
      <w:bCs/>
      <w:kern w:val="24"/>
      <w:sz w:val="24"/>
    </w:rPr>
  </w:style>
  <w:style w:type="paragraph" w:styleId="8">
    <w:name w:val="heading 7"/>
    <w:basedOn w:val="1"/>
    <w:next w:val="1"/>
    <w:link w:val="97"/>
    <w:qFormat/>
    <w:uiPriority w:val="99"/>
    <w:pPr>
      <w:keepNext/>
      <w:keepLines/>
      <w:tabs>
        <w:tab w:val="left" w:pos="1296"/>
      </w:tabs>
      <w:suppressAutoHyphens/>
      <w:spacing w:before="240" w:after="64" w:line="360" w:lineRule="auto"/>
      <w:ind w:left="1296" w:hanging="1296"/>
      <w:outlineLvl w:val="6"/>
    </w:pPr>
    <w:rPr>
      <w:bCs/>
      <w:kern w:val="24"/>
      <w:sz w:val="24"/>
    </w:rPr>
  </w:style>
  <w:style w:type="paragraph" w:styleId="9">
    <w:name w:val="heading 8"/>
    <w:basedOn w:val="1"/>
    <w:next w:val="1"/>
    <w:link w:val="98"/>
    <w:qFormat/>
    <w:uiPriority w:val="99"/>
    <w:pPr>
      <w:keepNext/>
      <w:keepLines/>
      <w:tabs>
        <w:tab w:val="left" w:pos="1440"/>
      </w:tabs>
      <w:suppressAutoHyphens/>
      <w:spacing w:before="240" w:after="64" w:line="360" w:lineRule="auto"/>
      <w:ind w:left="1440" w:hanging="1440"/>
      <w:outlineLvl w:val="7"/>
    </w:pPr>
    <w:rPr>
      <w:rFonts w:ascii="Arial" w:hAnsi="Arial" w:eastAsia="黑体"/>
      <w:kern w:val="24"/>
      <w:sz w:val="24"/>
    </w:rPr>
  </w:style>
  <w:style w:type="paragraph" w:styleId="10">
    <w:name w:val="heading 9"/>
    <w:basedOn w:val="1"/>
    <w:next w:val="1"/>
    <w:link w:val="99"/>
    <w:qFormat/>
    <w:uiPriority w:val="99"/>
    <w:pPr>
      <w:keepNext/>
      <w:keepLines/>
      <w:tabs>
        <w:tab w:val="left" w:pos="1584"/>
      </w:tabs>
      <w:suppressAutoHyphens/>
      <w:spacing w:before="240" w:after="64" w:line="360" w:lineRule="auto"/>
      <w:ind w:left="1584" w:hanging="1584"/>
      <w:outlineLvl w:val="8"/>
    </w:pPr>
    <w:rPr>
      <w:rFonts w:ascii="Arial" w:hAnsi="Arial" w:eastAsia="黑体"/>
      <w:kern w:val="24"/>
      <w:szCs w:val="21"/>
    </w:rPr>
  </w:style>
  <w:style w:type="character" w:default="1" w:styleId="75">
    <w:name w:val="Default Paragraph Font"/>
    <w:semiHidden/>
    <w:unhideWhenUsed/>
    <w:qFormat/>
    <w:uiPriority w:val="1"/>
  </w:style>
  <w:style w:type="table" w:default="1" w:styleId="7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szCs w:val="24"/>
    </w:rPr>
  </w:style>
  <w:style w:type="paragraph" w:styleId="12">
    <w:name w:val="toc 7"/>
    <w:basedOn w:val="1"/>
    <w:next w:val="1"/>
    <w:qFormat/>
    <w:uiPriority w:val="99"/>
    <w:pPr>
      <w:ind w:left="1260"/>
      <w:jc w:val="left"/>
    </w:pPr>
    <w:rPr>
      <w:sz w:val="18"/>
      <w:szCs w:val="18"/>
    </w:rPr>
  </w:style>
  <w:style w:type="paragraph" w:styleId="13">
    <w:name w:val="List Number 2"/>
    <w:basedOn w:val="1"/>
    <w:qFormat/>
    <w:uiPriority w:val="99"/>
    <w:pPr>
      <w:numPr>
        <w:ilvl w:val="0"/>
        <w:numId w:val="2"/>
      </w:numPr>
    </w:pPr>
    <w:rPr>
      <w:szCs w:val="24"/>
    </w:rPr>
  </w:style>
  <w:style w:type="paragraph" w:styleId="14">
    <w:name w:val="Note Heading"/>
    <w:basedOn w:val="1"/>
    <w:next w:val="1"/>
    <w:link w:val="100"/>
    <w:qFormat/>
    <w:uiPriority w:val="99"/>
    <w:pPr>
      <w:jc w:val="center"/>
    </w:pPr>
    <w:rPr>
      <w:szCs w:val="24"/>
    </w:rPr>
  </w:style>
  <w:style w:type="paragraph" w:styleId="15">
    <w:name w:val="List Bullet 4"/>
    <w:basedOn w:val="1"/>
    <w:qFormat/>
    <w:uiPriority w:val="99"/>
    <w:pPr>
      <w:numPr>
        <w:ilvl w:val="0"/>
        <w:numId w:val="3"/>
      </w:numPr>
    </w:pPr>
    <w:rPr>
      <w:szCs w:val="24"/>
    </w:rPr>
  </w:style>
  <w:style w:type="paragraph" w:styleId="16">
    <w:name w:val="E-mail Signature"/>
    <w:basedOn w:val="1"/>
    <w:link w:val="101"/>
    <w:qFormat/>
    <w:uiPriority w:val="99"/>
    <w:rPr>
      <w:szCs w:val="24"/>
    </w:rPr>
  </w:style>
  <w:style w:type="paragraph" w:styleId="17">
    <w:name w:val="List Number"/>
    <w:basedOn w:val="1"/>
    <w:qFormat/>
    <w:uiPriority w:val="99"/>
    <w:pPr>
      <w:numPr>
        <w:ilvl w:val="0"/>
        <w:numId w:val="4"/>
      </w:numPr>
    </w:pPr>
    <w:rPr>
      <w:szCs w:val="24"/>
    </w:rPr>
  </w:style>
  <w:style w:type="paragraph" w:styleId="18">
    <w:name w:val="Normal Indent"/>
    <w:basedOn w:val="1"/>
    <w:link w:val="161"/>
    <w:qFormat/>
    <w:uiPriority w:val="99"/>
    <w:pPr>
      <w:adjustRightInd w:val="0"/>
      <w:ind w:firstLine="420"/>
      <w:jc w:val="left"/>
      <w:textAlignment w:val="baseline"/>
    </w:pPr>
    <w:rPr>
      <w:rFonts w:eastAsia="楷体_GB2312"/>
      <w:sz w:val="24"/>
    </w:rPr>
  </w:style>
  <w:style w:type="paragraph" w:styleId="19">
    <w:name w:val="caption"/>
    <w:basedOn w:val="1"/>
    <w:next w:val="1"/>
    <w:qFormat/>
    <w:uiPriority w:val="99"/>
    <w:pPr>
      <w:widowControl/>
      <w:spacing w:before="240"/>
      <w:jc w:val="left"/>
    </w:pPr>
    <w:rPr>
      <w:rFonts w:ascii="Arial" w:hAnsi="Arial" w:eastAsia="黑体" w:cs="Arial"/>
      <w:kern w:val="0"/>
      <w:sz w:val="20"/>
      <w:lang w:eastAsia="en-US"/>
    </w:rPr>
  </w:style>
  <w:style w:type="paragraph" w:styleId="20">
    <w:name w:val="List Bullet"/>
    <w:basedOn w:val="1"/>
    <w:qFormat/>
    <w:uiPriority w:val="99"/>
    <w:pPr>
      <w:numPr>
        <w:ilvl w:val="0"/>
        <w:numId w:val="5"/>
      </w:numPr>
    </w:pPr>
    <w:rPr>
      <w:szCs w:val="24"/>
    </w:rPr>
  </w:style>
  <w:style w:type="paragraph" w:styleId="21">
    <w:name w:val="envelope address"/>
    <w:basedOn w:val="1"/>
    <w:qFormat/>
    <w:uiPriority w:val="99"/>
    <w:pPr>
      <w:snapToGrid w:val="0"/>
      <w:ind w:left="100" w:leftChars="1400"/>
    </w:pPr>
    <w:rPr>
      <w:rFonts w:ascii="Arial" w:hAnsi="Arial" w:cs="Arial"/>
      <w:sz w:val="24"/>
      <w:szCs w:val="24"/>
    </w:rPr>
  </w:style>
  <w:style w:type="paragraph" w:styleId="22">
    <w:name w:val="Document Map"/>
    <w:basedOn w:val="1"/>
    <w:link w:val="102"/>
    <w:qFormat/>
    <w:uiPriority w:val="99"/>
    <w:pPr>
      <w:shd w:val="clear" w:color="auto" w:fill="000080"/>
    </w:pPr>
  </w:style>
  <w:style w:type="paragraph" w:styleId="23">
    <w:name w:val="annotation text"/>
    <w:basedOn w:val="1"/>
    <w:link w:val="103"/>
    <w:qFormat/>
    <w:uiPriority w:val="99"/>
    <w:pPr>
      <w:jc w:val="left"/>
    </w:pPr>
  </w:style>
  <w:style w:type="paragraph" w:styleId="24">
    <w:name w:val="Salutation"/>
    <w:basedOn w:val="1"/>
    <w:next w:val="1"/>
    <w:link w:val="104"/>
    <w:qFormat/>
    <w:uiPriority w:val="99"/>
    <w:rPr>
      <w:szCs w:val="24"/>
    </w:rPr>
  </w:style>
  <w:style w:type="paragraph" w:styleId="25">
    <w:name w:val="Body Text 3"/>
    <w:basedOn w:val="1"/>
    <w:link w:val="105"/>
    <w:qFormat/>
    <w:uiPriority w:val="99"/>
    <w:rPr>
      <w:rFonts w:ascii="黑体" w:hAnsi="Arial" w:eastAsia="黑体"/>
      <w:b/>
      <w:sz w:val="28"/>
    </w:rPr>
  </w:style>
  <w:style w:type="paragraph" w:styleId="26">
    <w:name w:val="Closing"/>
    <w:basedOn w:val="1"/>
    <w:link w:val="106"/>
    <w:qFormat/>
    <w:uiPriority w:val="99"/>
    <w:pPr>
      <w:ind w:left="100" w:leftChars="2100"/>
    </w:pPr>
    <w:rPr>
      <w:sz w:val="28"/>
      <w:szCs w:val="24"/>
    </w:rPr>
  </w:style>
  <w:style w:type="paragraph" w:styleId="27">
    <w:name w:val="List Bullet 3"/>
    <w:basedOn w:val="1"/>
    <w:qFormat/>
    <w:uiPriority w:val="99"/>
    <w:pPr>
      <w:numPr>
        <w:ilvl w:val="0"/>
        <w:numId w:val="6"/>
      </w:numPr>
    </w:pPr>
    <w:rPr>
      <w:szCs w:val="24"/>
    </w:rPr>
  </w:style>
  <w:style w:type="paragraph" w:styleId="28">
    <w:name w:val="Body Text"/>
    <w:basedOn w:val="1"/>
    <w:link w:val="107"/>
    <w:qFormat/>
    <w:uiPriority w:val="99"/>
    <w:pPr>
      <w:spacing w:after="120" w:line="360" w:lineRule="auto"/>
    </w:pPr>
    <w:rPr>
      <w:rFonts w:ascii="宋体" w:hAnsi="宋体"/>
      <w:szCs w:val="21"/>
    </w:rPr>
  </w:style>
  <w:style w:type="paragraph" w:styleId="29">
    <w:name w:val="Body Text Indent"/>
    <w:basedOn w:val="1"/>
    <w:link w:val="108"/>
    <w:qFormat/>
    <w:uiPriority w:val="99"/>
    <w:pPr>
      <w:widowControl/>
      <w:spacing w:before="100" w:beforeAutospacing="1" w:after="100" w:afterAutospacing="1"/>
      <w:jc w:val="left"/>
    </w:pPr>
    <w:rPr>
      <w:rFonts w:ascii="宋体" w:hAnsi="宋体" w:cs="宋体"/>
      <w:sz w:val="24"/>
      <w:szCs w:val="24"/>
    </w:rPr>
  </w:style>
  <w:style w:type="paragraph" w:styleId="30">
    <w:name w:val="List Number 3"/>
    <w:basedOn w:val="1"/>
    <w:qFormat/>
    <w:uiPriority w:val="99"/>
    <w:pPr>
      <w:numPr>
        <w:ilvl w:val="0"/>
        <w:numId w:val="7"/>
      </w:numPr>
    </w:pPr>
    <w:rPr>
      <w:szCs w:val="24"/>
    </w:rPr>
  </w:style>
  <w:style w:type="paragraph" w:styleId="31">
    <w:name w:val="List 2"/>
    <w:basedOn w:val="1"/>
    <w:qFormat/>
    <w:uiPriority w:val="99"/>
    <w:pPr>
      <w:ind w:left="100" w:leftChars="200" w:hanging="200" w:hangingChars="200"/>
    </w:pPr>
    <w:rPr>
      <w:szCs w:val="24"/>
    </w:rPr>
  </w:style>
  <w:style w:type="paragraph" w:styleId="32">
    <w:name w:val="List Continue"/>
    <w:basedOn w:val="1"/>
    <w:qFormat/>
    <w:uiPriority w:val="99"/>
    <w:pPr>
      <w:spacing w:after="120"/>
      <w:ind w:left="420" w:leftChars="200"/>
    </w:pPr>
    <w:rPr>
      <w:szCs w:val="24"/>
    </w:rPr>
  </w:style>
  <w:style w:type="paragraph" w:styleId="33">
    <w:name w:val="Block Text"/>
    <w:basedOn w:val="1"/>
    <w:qFormat/>
    <w:uiPriority w:val="99"/>
    <w:pPr>
      <w:spacing w:after="120"/>
      <w:ind w:left="1440" w:leftChars="700" w:right="1440" w:rightChars="700"/>
    </w:pPr>
    <w:rPr>
      <w:szCs w:val="24"/>
    </w:rPr>
  </w:style>
  <w:style w:type="paragraph" w:styleId="34">
    <w:name w:val="List Bullet 2"/>
    <w:basedOn w:val="1"/>
    <w:qFormat/>
    <w:uiPriority w:val="99"/>
    <w:pPr>
      <w:numPr>
        <w:ilvl w:val="0"/>
        <w:numId w:val="8"/>
      </w:numPr>
    </w:pPr>
    <w:rPr>
      <w:szCs w:val="24"/>
    </w:rPr>
  </w:style>
  <w:style w:type="paragraph" w:styleId="35">
    <w:name w:val="HTML Address"/>
    <w:basedOn w:val="1"/>
    <w:link w:val="109"/>
    <w:qFormat/>
    <w:uiPriority w:val="99"/>
    <w:rPr>
      <w:i/>
      <w:iCs/>
      <w:szCs w:val="24"/>
    </w:rPr>
  </w:style>
  <w:style w:type="paragraph" w:styleId="36">
    <w:name w:val="toc 5"/>
    <w:basedOn w:val="1"/>
    <w:next w:val="1"/>
    <w:qFormat/>
    <w:uiPriority w:val="99"/>
    <w:pPr>
      <w:ind w:left="840"/>
      <w:jc w:val="left"/>
    </w:pPr>
    <w:rPr>
      <w:sz w:val="18"/>
      <w:szCs w:val="18"/>
    </w:rPr>
  </w:style>
  <w:style w:type="paragraph" w:styleId="37">
    <w:name w:val="toc 3"/>
    <w:basedOn w:val="1"/>
    <w:next w:val="1"/>
    <w:qFormat/>
    <w:uiPriority w:val="99"/>
    <w:pPr>
      <w:tabs>
        <w:tab w:val="right" w:leader="dot" w:pos="9360"/>
      </w:tabs>
      <w:ind w:right="210" w:rightChars="100" w:firstLine="960" w:firstLineChars="400"/>
      <w:jc w:val="right"/>
    </w:pPr>
    <w:rPr>
      <w:rFonts w:ascii="宋体" w:hAnsi="宋体"/>
      <w:sz w:val="24"/>
      <w:szCs w:val="24"/>
    </w:rPr>
  </w:style>
  <w:style w:type="paragraph" w:styleId="38">
    <w:name w:val="Plain Text"/>
    <w:basedOn w:val="1"/>
    <w:link w:val="110"/>
    <w:qFormat/>
    <w:uiPriority w:val="99"/>
    <w:rPr>
      <w:rFonts w:ascii="宋体" w:hAnsi="Courier New"/>
    </w:rPr>
  </w:style>
  <w:style w:type="paragraph" w:styleId="39">
    <w:name w:val="List Bullet 5"/>
    <w:basedOn w:val="1"/>
    <w:qFormat/>
    <w:uiPriority w:val="99"/>
    <w:pPr>
      <w:numPr>
        <w:ilvl w:val="0"/>
        <w:numId w:val="9"/>
      </w:numPr>
    </w:pPr>
    <w:rPr>
      <w:szCs w:val="24"/>
    </w:rPr>
  </w:style>
  <w:style w:type="paragraph" w:styleId="40">
    <w:name w:val="List Number 4"/>
    <w:basedOn w:val="1"/>
    <w:qFormat/>
    <w:uiPriority w:val="99"/>
    <w:pPr>
      <w:numPr>
        <w:ilvl w:val="0"/>
        <w:numId w:val="10"/>
      </w:numPr>
    </w:pPr>
    <w:rPr>
      <w:szCs w:val="24"/>
    </w:rPr>
  </w:style>
  <w:style w:type="paragraph" w:styleId="41">
    <w:name w:val="toc 8"/>
    <w:basedOn w:val="1"/>
    <w:next w:val="1"/>
    <w:qFormat/>
    <w:uiPriority w:val="99"/>
    <w:pPr>
      <w:ind w:left="1470"/>
      <w:jc w:val="left"/>
    </w:pPr>
    <w:rPr>
      <w:sz w:val="18"/>
      <w:szCs w:val="18"/>
    </w:rPr>
  </w:style>
  <w:style w:type="paragraph" w:styleId="42">
    <w:name w:val="Date"/>
    <w:basedOn w:val="1"/>
    <w:next w:val="1"/>
    <w:link w:val="111"/>
    <w:qFormat/>
    <w:uiPriority w:val="99"/>
    <w:pPr>
      <w:ind w:left="100" w:leftChars="2500"/>
    </w:pPr>
    <w:rPr>
      <w:szCs w:val="24"/>
    </w:rPr>
  </w:style>
  <w:style w:type="paragraph" w:styleId="43">
    <w:name w:val="Body Text Indent 2"/>
    <w:basedOn w:val="1"/>
    <w:link w:val="112"/>
    <w:qFormat/>
    <w:uiPriority w:val="99"/>
    <w:pPr>
      <w:ind w:firstLine="480"/>
    </w:pPr>
    <w:rPr>
      <w:rFonts w:ascii="宋体" w:hAnsi="宋体"/>
      <w:sz w:val="30"/>
      <w:szCs w:val="24"/>
    </w:rPr>
  </w:style>
  <w:style w:type="paragraph" w:styleId="44">
    <w:name w:val="List Continue 5"/>
    <w:basedOn w:val="1"/>
    <w:qFormat/>
    <w:uiPriority w:val="99"/>
    <w:pPr>
      <w:spacing w:after="120"/>
      <w:ind w:left="2100" w:leftChars="1000"/>
    </w:pPr>
    <w:rPr>
      <w:szCs w:val="24"/>
    </w:rPr>
  </w:style>
  <w:style w:type="paragraph" w:styleId="45">
    <w:name w:val="Balloon Text"/>
    <w:basedOn w:val="1"/>
    <w:link w:val="113"/>
    <w:qFormat/>
    <w:uiPriority w:val="99"/>
    <w:rPr>
      <w:sz w:val="18"/>
      <w:szCs w:val="18"/>
    </w:rPr>
  </w:style>
  <w:style w:type="paragraph" w:styleId="46">
    <w:name w:val="footer"/>
    <w:basedOn w:val="1"/>
    <w:link w:val="114"/>
    <w:qFormat/>
    <w:uiPriority w:val="99"/>
    <w:pPr>
      <w:tabs>
        <w:tab w:val="center" w:pos="4153"/>
        <w:tab w:val="right" w:pos="8306"/>
      </w:tabs>
      <w:snapToGrid w:val="0"/>
      <w:jc w:val="left"/>
    </w:pPr>
    <w:rPr>
      <w:sz w:val="18"/>
    </w:rPr>
  </w:style>
  <w:style w:type="paragraph" w:styleId="47">
    <w:name w:val="envelope return"/>
    <w:basedOn w:val="1"/>
    <w:qFormat/>
    <w:uiPriority w:val="99"/>
    <w:pPr>
      <w:snapToGrid w:val="0"/>
    </w:pPr>
    <w:rPr>
      <w:rFonts w:ascii="Arial" w:hAnsi="Arial" w:cs="Arial"/>
      <w:szCs w:val="24"/>
    </w:rPr>
  </w:style>
  <w:style w:type="paragraph" w:styleId="48">
    <w:name w:val="header"/>
    <w:basedOn w:val="1"/>
    <w:link w:val="115"/>
    <w:qFormat/>
    <w:uiPriority w:val="99"/>
    <w:pPr>
      <w:pBdr>
        <w:bottom w:val="single" w:color="auto" w:sz="6" w:space="1"/>
      </w:pBdr>
      <w:tabs>
        <w:tab w:val="center" w:pos="4153"/>
        <w:tab w:val="right" w:pos="8306"/>
      </w:tabs>
      <w:snapToGrid w:val="0"/>
      <w:jc w:val="center"/>
    </w:pPr>
    <w:rPr>
      <w:sz w:val="18"/>
    </w:rPr>
  </w:style>
  <w:style w:type="paragraph" w:styleId="49">
    <w:name w:val="Signature"/>
    <w:basedOn w:val="1"/>
    <w:link w:val="116"/>
    <w:qFormat/>
    <w:uiPriority w:val="99"/>
    <w:pPr>
      <w:ind w:left="100" w:leftChars="2100"/>
    </w:pPr>
    <w:rPr>
      <w:szCs w:val="24"/>
    </w:rPr>
  </w:style>
  <w:style w:type="paragraph" w:styleId="50">
    <w:name w:val="toc 1"/>
    <w:basedOn w:val="1"/>
    <w:next w:val="1"/>
    <w:qFormat/>
    <w:uiPriority w:val="99"/>
    <w:pPr>
      <w:tabs>
        <w:tab w:val="right" w:leader="dot" w:pos="9344"/>
      </w:tabs>
      <w:jc w:val="right"/>
    </w:pPr>
    <w:rPr>
      <w:rFonts w:ascii="宋体" w:hAnsi="宋体"/>
      <w:b/>
      <w:bCs/>
      <w:sz w:val="28"/>
      <w:szCs w:val="28"/>
    </w:rPr>
  </w:style>
  <w:style w:type="paragraph" w:styleId="51">
    <w:name w:val="List Continue 4"/>
    <w:basedOn w:val="1"/>
    <w:qFormat/>
    <w:uiPriority w:val="99"/>
    <w:pPr>
      <w:spacing w:after="120"/>
      <w:ind w:left="1680" w:leftChars="800"/>
    </w:pPr>
    <w:rPr>
      <w:szCs w:val="24"/>
    </w:rPr>
  </w:style>
  <w:style w:type="paragraph" w:styleId="52">
    <w:name w:val="toc 4"/>
    <w:basedOn w:val="1"/>
    <w:next w:val="1"/>
    <w:qFormat/>
    <w:uiPriority w:val="99"/>
    <w:pPr>
      <w:ind w:left="630"/>
      <w:jc w:val="left"/>
    </w:pPr>
    <w:rPr>
      <w:sz w:val="18"/>
      <w:szCs w:val="18"/>
    </w:rPr>
  </w:style>
  <w:style w:type="paragraph" w:styleId="53">
    <w:name w:val="Subtitle"/>
    <w:basedOn w:val="1"/>
    <w:link w:val="117"/>
    <w:qFormat/>
    <w:uiPriority w:val="99"/>
    <w:pPr>
      <w:spacing w:before="240" w:after="60" w:line="312" w:lineRule="auto"/>
      <w:jc w:val="center"/>
      <w:outlineLvl w:val="1"/>
    </w:pPr>
    <w:rPr>
      <w:rFonts w:ascii="Arial" w:hAnsi="Arial" w:cs="Arial"/>
      <w:b/>
      <w:bCs/>
      <w:kern w:val="28"/>
      <w:sz w:val="32"/>
      <w:szCs w:val="32"/>
    </w:rPr>
  </w:style>
  <w:style w:type="paragraph" w:styleId="54">
    <w:name w:val="List Number 5"/>
    <w:basedOn w:val="1"/>
    <w:qFormat/>
    <w:uiPriority w:val="99"/>
    <w:pPr>
      <w:numPr>
        <w:ilvl w:val="0"/>
        <w:numId w:val="11"/>
      </w:numPr>
    </w:pPr>
    <w:rPr>
      <w:szCs w:val="24"/>
    </w:rPr>
  </w:style>
  <w:style w:type="paragraph" w:styleId="55">
    <w:name w:val="List"/>
    <w:basedOn w:val="1"/>
    <w:qFormat/>
    <w:uiPriority w:val="99"/>
    <w:pPr>
      <w:ind w:left="200" w:hanging="200" w:hangingChars="200"/>
    </w:pPr>
    <w:rPr>
      <w:szCs w:val="24"/>
    </w:rPr>
  </w:style>
  <w:style w:type="paragraph" w:styleId="56">
    <w:name w:val="toc 6"/>
    <w:basedOn w:val="1"/>
    <w:next w:val="1"/>
    <w:qFormat/>
    <w:uiPriority w:val="99"/>
    <w:pPr>
      <w:ind w:left="1050"/>
      <w:jc w:val="left"/>
    </w:pPr>
    <w:rPr>
      <w:sz w:val="18"/>
      <w:szCs w:val="18"/>
    </w:rPr>
  </w:style>
  <w:style w:type="paragraph" w:styleId="57">
    <w:name w:val="List 5"/>
    <w:basedOn w:val="1"/>
    <w:qFormat/>
    <w:uiPriority w:val="99"/>
    <w:pPr>
      <w:ind w:left="100" w:leftChars="800" w:hanging="200" w:hangingChars="200"/>
    </w:pPr>
    <w:rPr>
      <w:szCs w:val="24"/>
    </w:rPr>
  </w:style>
  <w:style w:type="paragraph" w:styleId="58">
    <w:name w:val="Body Text Indent 3"/>
    <w:basedOn w:val="1"/>
    <w:link w:val="118"/>
    <w:qFormat/>
    <w:uiPriority w:val="99"/>
    <w:pPr>
      <w:spacing w:after="120"/>
      <w:ind w:left="420" w:leftChars="200"/>
    </w:pPr>
    <w:rPr>
      <w:sz w:val="16"/>
      <w:szCs w:val="16"/>
    </w:rPr>
  </w:style>
  <w:style w:type="paragraph" w:styleId="59">
    <w:name w:val="toc 2"/>
    <w:basedOn w:val="1"/>
    <w:next w:val="1"/>
    <w:qFormat/>
    <w:uiPriority w:val="99"/>
    <w:pPr>
      <w:tabs>
        <w:tab w:val="right" w:leader="dot" w:pos="9360"/>
      </w:tabs>
      <w:ind w:firstLine="480" w:firstLineChars="200"/>
      <w:jc w:val="right"/>
    </w:pPr>
    <w:rPr>
      <w:rFonts w:ascii="宋体" w:hAnsi="宋体"/>
      <w:sz w:val="24"/>
      <w:szCs w:val="24"/>
    </w:rPr>
  </w:style>
  <w:style w:type="paragraph" w:styleId="60">
    <w:name w:val="toc 9"/>
    <w:basedOn w:val="1"/>
    <w:next w:val="1"/>
    <w:qFormat/>
    <w:uiPriority w:val="99"/>
    <w:pPr>
      <w:ind w:left="1680"/>
      <w:jc w:val="left"/>
    </w:pPr>
    <w:rPr>
      <w:sz w:val="18"/>
      <w:szCs w:val="18"/>
    </w:rPr>
  </w:style>
  <w:style w:type="paragraph" w:styleId="61">
    <w:name w:val="Body Text 2"/>
    <w:basedOn w:val="1"/>
    <w:link w:val="119"/>
    <w:qFormat/>
    <w:uiPriority w:val="99"/>
    <w:pPr>
      <w:spacing w:after="120" w:line="480" w:lineRule="auto"/>
    </w:pPr>
    <w:rPr>
      <w:szCs w:val="24"/>
    </w:rPr>
  </w:style>
  <w:style w:type="paragraph" w:styleId="62">
    <w:name w:val="List 4"/>
    <w:basedOn w:val="1"/>
    <w:qFormat/>
    <w:uiPriority w:val="99"/>
    <w:pPr>
      <w:ind w:left="100" w:leftChars="600" w:hanging="200" w:hangingChars="200"/>
    </w:pPr>
    <w:rPr>
      <w:szCs w:val="24"/>
    </w:rPr>
  </w:style>
  <w:style w:type="paragraph" w:styleId="63">
    <w:name w:val="List Continue 2"/>
    <w:basedOn w:val="1"/>
    <w:qFormat/>
    <w:uiPriority w:val="99"/>
    <w:pPr>
      <w:spacing w:after="120"/>
      <w:ind w:left="840" w:leftChars="400"/>
    </w:pPr>
    <w:rPr>
      <w:szCs w:val="24"/>
    </w:rPr>
  </w:style>
  <w:style w:type="paragraph" w:styleId="64">
    <w:name w:val="Message Header"/>
    <w:basedOn w:val="1"/>
    <w:link w:val="120"/>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5">
    <w:name w:val="HTML Preformatted"/>
    <w:basedOn w:val="1"/>
    <w:link w:val="121"/>
    <w:qFormat/>
    <w:uiPriority w:val="99"/>
    <w:rPr>
      <w:rFonts w:ascii="Courier New" w:hAnsi="Courier New" w:cs="Courier New"/>
    </w:rPr>
  </w:style>
  <w:style w:type="paragraph" w:styleId="66">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67">
    <w:name w:val="List Continue 3"/>
    <w:basedOn w:val="1"/>
    <w:qFormat/>
    <w:uiPriority w:val="99"/>
    <w:pPr>
      <w:spacing w:after="120"/>
      <w:ind w:left="1260" w:leftChars="600"/>
    </w:pPr>
    <w:rPr>
      <w:szCs w:val="24"/>
    </w:rPr>
  </w:style>
  <w:style w:type="paragraph" w:styleId="68">
    <w:name w:val="index 1"/>
    <w:basedOn w:val="1"/>
    <w:next w:val="1"/>
    <w:qFormat/>
    <w:uiPriority w:val="99"/>
    <w:rPr>
      <w:szCs w:val="24"/>
    </w:rPr>
  </w:style>
  <w:style w:type="paragraph" w:styleId="69">
    <w:name w:val="Title"/>
    <w:basedOn w:val="1"/>
    <w:next w:val="1"/>
    <w:link w:val="122"/>
    <w:qFormat/>
    <w:uiPriority w:val="99"/>
    <w:pPr>
      <w:spacing w:before="240" w:after="60"/>
      <w:ind w:firstLine="200" w:firstLineChars="200"/>
      <w:jc w:val="center"/>
      <w:outlineLvl w:val="0"/>
    </w:pPr>
    <w:rPr>
      <w:rFonts w:ascii="Cambria" w:hAnsi="Cambria"/>
      <w:b/>
      <w:bCs/>
      <w:sz w:val="32"/>
      <w:szCs w:val="32"/>
    </w:rPr>
  </w:style>
  <w:style w:type="paragraph" w:styleId="70">
    <w:name w:val="annotation subject"/>
    <w:basedOn w:val="23"/>
    <w:next w:val="23"/>
    <w:link w:val="123"/>
    <w:qFormat/>
    <w:uiPriority w:val="99"/>
    <w:rPr>
      <w:b/>
      <w:bCs/>
    </w:rPr>
  </w:style>
  <w:style w:type="paragraph" w:styleId="71">
    <w:name w:val="Body Text First Indent"/>
    <w:basedOn w:val="28"/>
    <w:link w:val="124"/>
    <w:qFormat/>
    <w:uiPriority w:val="99"/>
    <w:pPr>
      <w:spacing w:line="240" w:lineRule="auto"/>
      <w:ind w:firstLine="420" w:firstLineChars="100"/>
    </w:pPr>
    <w:rPr>
      <w:rFonts w:ascii="Times New Roman" w:hAnsi="Times New Roman"/>
      <w:szCs w:val="24"/>
    </w:rPr>
  </w:style>
  <w:style w:type="paragraph" w:styleId="72">
    <w:name w:val="Body Text First Indent 2"/>
    <w:basedOn w:val="29"/>
    <w:link w:val="125"/>
    <w:qFormat/>
    <w:uiPriority w:val="99"/>
    <w:pPr>
      <w:widowControl w:val="0"/>
      <w:spacing w:before="0" w:beforeAutospacing="0" w:after="120" w:afterAutospacing="0"/>
      <w:ind w:left="420" w:leftChars="200" w:firstLine="420" w:firstLineChars="200"/>
      <w:jc w:val="both"/>
    </w:pPr>
    <w:rPr>
      <w:rFonts w:ascii="Times New Roman" w:hAnsi="Times New Roman" w:cs="Times New Roman"/>
      <w:sz w:val="21"/>
    </w:rPr>
  </w:style>
  <w:style w:type="table" w:styleId="74">
    <w:name w:val="Table Grid"/>
    <w:basedOn w:val="73"/>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6">
    <w:name w:val="Strong"/>
    <w:qFormat/>
    <w:uiPriority w:val="99"/>
    <w:rPr>
      <w:rFonts w:cs="Times New Roman"/>
      <w:b/>
      <w:bCs/>
    </w:rPr>
  </w:style>
  <w:style w:type="character" w:styleId="77">
    <w:name w:val="page number"/>
    <w:qFormat/>
    <w:uiPriority w:val="99"/>
    <w:rPr>
      <w:rFonts w:cs="Times New Roman"/>
    </w:rPr>
  </w:style>
  <w:style w:type="character" w:styleId="78">
    <w:name w:val="FollowedHyperlink"/>
    <w:qFormat/>
    <w:uiPriority w:val="99"/>
    <w:rPr>
      <w:rFonts w:cs="Times New Roman"/>
      <w:color w:val="800080"/>
      <w:u w:val="single"/>
    </w:rPr>
  </w:style>
  <w:style w:type="character" w:styleId="79">
    <w:name w:val="Emphasis"/>
    <w:qFormat/>
    <w:uiPriority w:val="99"/>
    <w:rPr>
      <w:rFonts w:cs="Times New Roman"/>
      <w:i/>
      <w:iCs/>
    </w:rPr>
  </w:style>
  <w:style w:type="character" w:styleId="80">
    <w:name w:val="line number"/>
    <w:qFormat/>
    <w:uiPriority w:val="99"/>
    <w:rPr>
      <w:rFonts w:cs="Times New Roman"/>
    </w:rPr>
  </w:style>
  <w:style w:type="character" w:styleId="81">
    <w:name w:val="HTML Definition"/>
    <w:qFormat/>
    <w:uiPriority w:val="99"/>
    <w:rPr>
      <w:rFonts w:cs="Times New Roman"/>
      <w:i/>
      <w:iCs/>
    </w:rPr>
  </w:style>
  <w:style w:type="character" w:styleId="82">
    <w:name w:val="HTML Typewriter"/>
    <w:qFormat/>
    <w:uiPriority w:val="99"/>
    <w:rPr>
      <w:rFonts w:ascii="Courier New" w:hAnsi="Courier New" w:cs="Courier New"/>
      <w:sz w:val="20"/>
      <w:szCs w:val="20"/>
    </w:rPr>
  </w:style>
  <w:style w:type="character" w:styleId="83">
    <w:name w:val="HTML Acronym"/>
    <w:qFormat/>
    <w:uiPriority w:val="99"/>
    <w:rPr>
      <w:rFonts w:cs="Times New Roman"/>
    </w:rPr>
  </w:style>
  <w:style w:type="character" w:styleId="84">
    <w:name w:val="HTML Variable"/>
    <w:qFormat/>
    <w:uiPriority w:val="99"/>
    <w:rPr>
      <w:rFonts w:cs="Times New Roman"/>
      <w:i/>
      <w:iCs/>
    </w:rPr>
  </w:style>
  <w:style w:type="character" w:styleId="85">
    <w:name w:val="Hyperlink"/>
    <w:qFormat/>
    <w:uiPriority w:val="99"/>
    <w:rPr>
      <w:rFonts w:ascii="??" w:hAnsi="??" w:cs="Times New Roman"/>
      <w:color w:val="444444"/>
      <w:sz w:val="18"/>
      <w:szCs w:val="18"/>
      <w:u w:val="none"/>
    </w:rPr>
  </w:style>
  <w:style w:type="character" w:styleId="86">
    <w:name w:val="HTML Code"/>
    <w:qFormat/>
    <w:uiPriority w:val="99"/>
    <w:rPr>
      <w:rFonts w:ascii="Courier New" w:hAnsi="Courier New" w:cs="Courier New"/>
      <w:sz w:val="20"/>
      <w:szCs w:val="20"/>
    </w:rPr>
  </w:style>
  <w:style w:type="character" w:styleId="87">
    <w:name w:val="annotation reference"/>
    <w:qFormat/>
    <w:uiPriority w:val="99"/>
    <w:rPr>
      <w:rFonts w:cs="Times New Roman"/>
      <w:sz w:val="21"/>
      <w:szCs w:val="21"/>
    </w:rPr>
  </w:style>
  <w:style w:type="character" w:styleId="88">
    <w:name w:val="HTML Cite"/>
    <w:qFormat/>
    <w:uiPriority w:val="99"/>
    <w:rPr>
      <w:rFonts w:cs="Times New Roman"/>
      <w:i/>
      <w:iCs/>
    </w:rPr>
  </w:style>
  <w:style w:type="character" w:styleId="89">
    <w:name w:val="HTML Keyboard"/>
    <w:qFormat/>
    <w:uiPriority w:val="99"/>
    <w:rPr>
      <w:rFonts w:ascii="Courier New" w:hAnsi="Courier New" w:cs="Courier New"/>
      <w:sz w:val="20"/>
      <w:szCs w:val="20"/>
    </w:rPr>
  </w:style>
  <w:style w:type="character" w:styleId="90">
    <w:name w:val="HTML Sample"/>
    <w:qFormat/>
    <w:uiPriority w:val="99"/>
    <w:rPr>
      <w:rFonts w:ascii="Courier New" w:hAnsi="Courier New" w:cs="Courier New"/>
    </w:rPr>
  </w:style>
  <w:style w:type="character" w:customStyle="1" w:styleId="91">
    <w:name w:val="标题 1 字符"/>
    <w:link w:val="2"/>
    <w:qFormat/>
    <w:locked/>
    <w:uiPriority w:val="99"/>
    <w:rPr>
      <w:b/>
      <w:szCs w:val="20"/>
    </w:rPr>
  </w:style>
  <w:style w:type="character" w:customStyle="1" w:styleId="92">
    <w:name w:val="标题 2 字符"/>
    <w:link w:val="3"/>
    <w:qFormat/>
    <w:locked/>
    <w:uiPriority w:val="99"/>
    <w:rPr>
      <w:rFonts w:ascii="Arial" w:hAnsi="Arial" w:eastAsia="黑体" w:cs="Times New Roman"/>
      <w:b/>
      <w:bCs/>
      <w:kern w:val="2"/>
      <w:sz w:val="32"/>
      <w:szCs w:val="32"/>
      <w:lang w:val="en-US" w:eastAsia="zh-CN" w:bidi="ar-SA"/>
    </w:rPr>
  </w:style>
  <w:style w:type="character" w:customStyle="1" w:styleId="93">
    <w:name w:val="标题 3 字符"/>
    <w:link w:val="4"/>
    <w:qFormat/>
    <w:locked/>
    <w:uiPriority w:val="99"/>
    <w:rPr>
      <w:rFonts w:ascii="宋体" w:hAnsi="宋体" w:eastAsia="宋体" w:cs="Times New Roman"/>
      <w:b/>
      <w:bCs/>
      <w:kern w:val="2"/>
      <w:sz w:val="32"/>
      <w:szCs w:val="32"/>
      <w:lang w:val="en-US" w:eastAsia="zh-CN" w:bidi="ar-SA"/>
    </w:rPr>
  </w:style>
  <w:style w:type="character" w:customStyle="1" w:styleId="94">
    <w:name w:val="标题 4 字符"/>
    <w:link w:val="5"/>
    <w:qFormat/>
    <w:locked/>
    <w:uiPriority w:val="99"/>
    <w:rPr>
      <w:rFonts w:ascii="Arial" w:hAnsi="Arial" w:eastAsia="黑体" w:cs="Times New Roman"/>
      <w:b/>
      <w:bCs/>
      <w:kern w:val="2"/>
      <w:sz w:val="28"/>
      <w:szCs w:val="28"/>
      <w:lang w:val="en-US" w:eastAsia="zh-CN" w:bidi="ar-SA"/>
    </w:rPr>
  </w:style>
  <w:style w:type="character" w:customStyle="1" w:styleId="95">
    <w:name w:val="标题 5 字符"/>
    <w:link w:val="6"/>
    <w:qFormat/>
    <w:locked/>
    <w:uiPriority w:val="99"/>
    <w:rPr>
      <w:rFonts w:eastAsia="宋体" w:cs="Times New Roman"/>
      <w:bCs/>
      <w:kern w:val="24"/>
      <w:sz w:val="28"/>
      <w:szCs w:val="28"/>
      <w:lang w:val="en-US" w:bidi="ar-SA"/>
    </w:rPr>
  </w:style>
  <w:style w:type="character" w:customStyle="1" w:styleId="96">
    <w:name w:val="标题 6 字符"/>
    <w:link w:val="7"/>
    <w:qFormat/>
    <w:locked/>
    <w:uiPriority w:val="99"/>
    <w:rPr>
      <w:rFonts w:eastAsia="黑体" w:cs="Times New Roman"/>
      <w:b/>
      <w:bCs/>
      <w:kern w:val="24"/>
      <w:sz w:val="24"/>
    </w:rPr>
  </w:style>
  <w:style w:type="character" w:customStyle="1" w:styleId="97">
    <w:name w:val="标题 7 字符"/>
    <w:link w:val="8"/>
    <w:qFormat/>
    <w:locked/>
    <w:uiPriority w:val="99"/>
    <w:rPr>
      <w:rFonts w:eastAsia="宋体" w:cs="Times New Roman"/>
      <w:bCs/>
      <w:kern w:val="24"/>
      <w:sz w:val="24"/>
      <w:lang w:val="en-US" w:bidi="ar-SA"/>
    </w:rPr>
  </w:style>
  <w:style w:type="character" w:customStyle="1" w:styleId="98">
    <w:name w:val="标题 8 字符"/>
    <w:link w:val="9"/>
    <w:qFormat/>
    <w:locked/>
    <w:uiPriority w:val="99"/>
    <w:rPr>
      <w:rFonts w:ascii="Arial" w:hAnsi="Arial" w:eastAsia="黑体" w:cs="Times New Roman"/>
      <w:kern w:val="24"/>
      <w:sz w:val="24"/>
      <w:lang w:val="en-US" w:bidi="ar-SA"/>
    </w:rPr>
  </w:style>
  <w:style w:type="character" w:customStyle="1" w:styleId="99">
    <w:name w:val="标题 9 字符"/>
    <w:link w:val="10"/>
    <w:qFormat/>
    <w:locked/>
    <w:uiPriority w:val="99"/>
    <w:rPr>
      <w:rFonts w:ascii="Arial" w:hAnsi="Arial" w:eastAsia="黑体" w:cs="Times New Roman"/>
      <w:kern w:val="24"/>
      <w:sz w:val="21"/>
      <w:szCs w:val="21"/>
      <w:lang w:val="en-US" w:bidi="ar-SA"/>
    </w:rPr>
  </w:style>
  <w:style w:type="character" w:customStyle="1" w:styleId="100">
    <w:name w:val="注释标题 字符"/>
    <w:link w:val="14"/>
    <w:semiHidden/>
    <w:qFormat/>
    <w:uiPriority w:val="99"/>
    <w:rPr>
      <w:szCs w:val="20"/>
    </w:rPr>
  </w:style>
  <w:style w:type="character" w:customStyle="1" w:styleId="101">
    <w:name w:val="电子邮件签名 字符"/>
    <w:link w:val="16"/>
    <w:qFormat/>
    <w:locked/>
    <w:uiPriority w:val="99"/>
    <w:rPr>
      <w:rFonts w:eastAsia="宋体" w:cs="Times New Roman"/>
      <w:kern w:val="2"/>
      <w:sz w:val="24"/>
      <w:szCs w:val="24"/>
      <w:lang w:val="en-US" w:eastAsia="zh-CN" w:bidi="ar-SA"/>
    </w:rPr>
  </w:style>
  <w:style w:type="character" w:customStyle="1" w:styleId="102">
    <w:name w:val="文档结构图 字符"/>
    <w:link w:val="22"/>
    <w:qFormat/>
    <w:locked/>
    <w:uiPriority w:val="99"/>
    <w:rPr>
      <w:rFonts w:eastAsia="宋体" w:cs="Times New Roman"/>
      <w:kern w:val="2"/>
      <w:sz w:val="21"/>
      <w:lang w:val="en-US" w:eastAsia="zh-CN" w:bidi="ar-SA"/>
    </w:rPr>
  </w:style>
  <w:style w:type="character" w:customStyle="1" w:styleId="103">
    <w:name w:val="批注文字 字符"/>
    <w:link w:val="23"/>
    <w:semiHidden/>
    <w:qFormat/>
    <w:uiPriority w:val="99"/>
    <w:rPr>
      <w:szCs w:val="20"/>
    </w:rPr>
  </w:style>
  <w:style w:type="character" w:customStyle="1" w:styleId="104">
    <w:name w:val="称呼 字符"/>
    <w:link w:val="24"/>
    <w:qFormat/>
    <w:locked/>
    <w:uiPriority w:val="99"/>
    <w:rPr>
      <w:rFonts w:eastAsia="宋体" w:cs="Times New Roman"/>
      <w:kern w:val="2"/>
      <w:sz w:val="24"/>
      <w:szCs w:val="24"/>
      <w:lang w:val="en-US" w:eastAsia="zh-CN" w:bidi="ar-SA"/>
    </w:rPr>
  </w:style>
  <w:style w:type="character" w:customStyle="1" w:styleId="105">
    <w:name w:val="正文文本 3 字符"/>
    <w:link w:val="25"/>
    <w:qFormat/>
    <w:locked/>
    <w:uiPriority w:val="99"/>
    <w:rPr>
      <w:rFonts w:ascii="黑体" w:hAnsi="Arial" w:eastAsia="黑体" w:cs="Times New Roman"/>
      <w:b/>
      <w:kern w:val="2"/>
      <w:sz w:val="28"/>
      <w:lang w:val="en-US" w:eastAsia="zh-CN" w:bidi="ar-SA"/>
    </w:rPr>
  </w:style>
  <w:style w:type="character" w:customStyle="1" w:styleId="106">
    <w:name w:val="结束语 字符"/>
    <w:link w:val="26"/>
    <w:qFormat/>
    <w:locked/>
    <w:uiPriority w:val="99"/>
    <w:rPr>
      <w:rFonts w:eastAsia="宋体" w:cs="Times New Roman"/>
      <w:kern w:val="2"/>
      <w:sz w:val="24"/>
      <w:szCs w:val="24"/>
      <w:lang w:val="en-US" w:eastAsia="zh-CN" w:bidi="ar-SA"/>
    </w:rPr>
  </w:style>
  <w:style w:type="character" w:customStyle="1" w:styleId="107">
    <w:name w:val="正文文本 字符"/>
    <w:link w:val="28"/>
    <w:qFormat/>
    <w:locked/>
    <w:uiPriority w:val="99"/>
    <w:rPr>
      <w:rFonts w:ascii="宋体" w:hAnsi="宋体" w:eastAsia="宋体" w:cs="Times New Roman"/>
      <w:kern w:val="2"/>
      <w:sz w:val="21"/>
      <w:szCs w:val="21"/>
      <w:lang w:val="en-US" w:eastAsia="zh-CN" w:bidi="ar-SA"/>
    </w:rPr>
  </w:style>
  <w:style w:type="character" w:customStyle="1" w:styleId="108">
    <w:name w:val="正文文本缩进 字符"/>
    <w:link w:val="29"/>
    <w:qFormat/>
    <w:locked/>
    <w:uiPriority w:val="99"/>
    <w:rPr>
      <w:rFonts w:ascii="宋体" w:hAnsi="宋体" w:eastAsia="宋体" w:cs="宋体"/>
      <w:sz w:val="24"/>
      <w:szCs w:val="24"/>
      <w:lang w:val="en-US" w:eastAsia="zh-CN" w:bidi="ar-SA"/>
    </w:rPr>
  </w:style>
  <w:style w:type="character" w:customStyle="1" w:styleId="109">
    <w:name w:val="HTML 地址 字符"/>
    <w:link w:val="35"/>
    <w:qFormat/>
    <w:locked/>
    <w:uiPriority w:val="99"/>
    <w:rPr>
      <w:rFonts w:eastAsia="宋体" w:cs="Times New Roman"/>
      <w:i/>
      <w:iCs/>
      <w:kern w:val="2"/>
      <w:sz w:val="24"/>
      <w:szCs w:val="24"/>
      <w:lang w:val="en-US" w:eastAsia="zh-CN" w:bidi="ar-SA"/>
    </w:rPr>
  </w:style>
  <w:style w:type="character" w:customStyle="1" w:styleId="110">
    <w:name w:val="纯文本 字符"/>
    <w:link w:val="38"/>
    <w:qFormat/>
    <w:locked/>
    <w:uiPriority w:val="99"/>
    <w:rPr>
      <w:rFonts w:ascii="宋体" w:hAnsi="Courier New" w:eastAsia="宋体" w:cs="Times New Roman"/>
      <w:kern w:val="2"/>
      <w:sz w:val="21"/>
      <w:lang w:val="en-US" w:eastAsia="zh-CN" w:bidi="ar-SA"/>
    </w:rPr>
  </w:style>
  <w:style w:type="character" w:customStyle="1" w:styleId="111">
    <w:name w:val="日期 字符"/>
    <w:link w:val="42"/>
    <w:qFormat/>
    <w:locked/>
    <w:uiPriority w:val="99"/>
    <w:rPr>
      <w:rFonts w:eastAsia="宋体" w:cs="Times New Roman"/>
      <w:kern w:val="2"/>
      <w:sz w:val="24"/>
      <w:szCs w:val="24"/>
      <w:lang w:val="en-US" w:eastAsia="zh-CN" w:bidi="ar-SA"/>
    </w:rPr>
  </w:style>
  <w:style w:type="character" w:customStyle="1" w:styleId="112">
    <w:name w:val="正文文本缩进 2 字符"/>
    <w:link w:val="43"/>
    <w:qFormat/>
    <w:locked/>
    <w:uiPriority w:val="99"/>
    <w:rPr>
      <w:rFonts w:ascii="宋体" w:hAnsi="宋体" w:eastAsia="宋体" w:cs="Times New Roman"/>
      <w:kern w:val="2"/>
      <w:sz w:val="24"/>
      <w:szCs w:val="24"/>
      <w:lang w:val="en-US" w:eastAsia="zh-CN" w:bidi="ar-SA"/>
    </w:rPr>
  </w:style>
  <w:style w:type="character" w:customStyle="1" w:styleId="113">
    <w:name w:val="批注框文本 字符"/>
    <w:link w:val="45"/>
    <w:qFormat/>
    <w:locked/>
    <w:uiPriority w:val="99"/>
    <w:rPr>
      <w:rFonts w:eastAsia="宋体" w:cs="Times New Roman"/>
      <w:kern w:val="2"/>
      <w:sz w:val="18"/>
      <w:szCs w:val="18"/>
      <w:lang w:val="en-US" w:eastAsia="zh-CN" w:bidi="ar-SA"/>
    </w:rPr>
  </w:style>
  <w:style w:type="character" w:customStyle="1" w:styleId="114">
    <w:name w:val="页脚 字符"/>
    <w:link w:val="46"/>
    <w:qFormat/>
    <w:locked/>
    <w:uiPriority w:val="99"/>
    <w:rPr>
      <w:rFonts w:eastAsia="宋体" w:cs="Times New Roman"/>
      <w:kern w:val="2"/>
      <w:sz w:val="18"/>
      <w:lang w:val="en-US" w:eastAsia="zh-CN" w:bidi="ar-SA"/>
    </w:rPr>
  </w:style>
  <w:style w:type="character" w:customStyle="1" w:styleId="115">
    <w:name w:val="页眉 字符"/>
    <w:link w:val="48"/>
    <w:qFormat/>
    <w:locked/>
    <w:uiPriority w:val="99"/>
    <w:rPr>
      <w:rFonts w:eastAsia="宋体" w:cs="Times New Roman"/>
      <w:kern w:val="2"/>
      <w:sz w:val="18"/>
      <w:lang w:val="en-US" w:eastAsia="zh-CN" w:bidi="ar-SA"/>
    </w:rPr>
  </w:style>
  <w:style w:type="character" w:customStyle="1" w:styleId="116">
    <w:name w:val="签名 字符"/>
    <w:link w:val="49"/>
    <w:semiHidden/>
    <w:qFormat/>
    <w:uiPriority w:val="99"/>
    <w:rPr>
      <w:szCs w:val="20"/>
    </w:rPr>
  </w:style>
  <w:style w:type="character" w:customStyle="1" w:styleId="117">
    <w:name w:val="副标题 字符"/>
    <w:link w:val="53"/>
    <w:qFormat/>
    <w:locked/>
    <w:uiPriority w:val="99"/>
    <w:rPr>
      <w:rFonts w:ascii="Arial" w:hAnsi="Arial" w:eastAsia="宋体" w:cs="Arial"/>
      <w:b/>
      <w:bCs/>
      <w:kern w:val="28"/>
      <w:sz w:val="32"/>
      <w:szCs w:val="32"/>
      <w:lang w:val="en-US" w:eastAsia="zh-CN" w:bidi="ar-SA"/>
    </w:rPr>
  </w:style>
  <w:style w:type="character" w:customStyle="1" w:styleId="118">
    <w:name w:val="正文文本缩进 3 字符"/>
    <w:link w:val="58"/>
    <w:qFormat/>
    <w:locked/>
    <w:uiPriority w:val="99"/>
    <w:rPr>
      <w:rFonts w:eastAsia="宋体" w:cs="Times New Roman"/>
      <w:kern w:val="2"/>
      <w:sz w:val="16"/>
      <w:szCs w:val="16"/>
      <w:lang w:val="en-US" w:eastAsia="zh-CN" w:bidi="ar-SA"/>
    </w:rPr>
  </w:style>
  <w:style w:type="character" w:customStyle="1" w:styleId="119">
    <w:name w:val="正文文本 2 字符"/>
    <w:link w:val="61"/>
    <w:qFormat/>
    <w:locked/>
    <w:uiPriority w:val="99"/>
    <w:rPr>
      <w:rFonts w:eastAsia="宋体" w:cs="Times New Roman"/>
      <w:kern w:val="2"/>
      <w:sz w:val="24"/>
      <w:szCs w:val="24"/>
      <w:lang w:val="en-US" w:eastAsia="zh-CN" w:bidi="ar-SA"/>
    </w:rPr>
  </w:style>
  <w:style w:type="character" w:customStyle="1" w:styleId="120">
    <w:name w:val="信息标题 字符"/>
    <w:link w:val="64"/>
    <w:semiHidden/>
    <w:qFormat/>
    <w:uiPriority w:val="99"/>
    <w:rPr>
      <w:rFonts w:ascii="Cambria" w:hAnsi="Cambria" w:eastAsia="宋体" w:cs="Times New Roman"/>
      <w:sz w:val="24"/>
      <w:szCs w:val="24"/>
      <w:shd w:val="pct20" w:color="auto" w:fill="auto"/>
    </w:rPr>
  </w:style>
  <w:style w:type="character" w:customStyle="1" w:styleId="121">
    <w:name w:val="HTML 预设格式 字符"/>
    <w:link w:val="65"/>
    <w:qFormat/>
    <w:locked/>
    <w:uiPriority w:val="99"/>
    <w:rPr>
      <w:rFonts w:ascii="Courier New" w:hAnsi="Courier New" w:eastAsia="宋体" w:cs="Courier New"/>
      <w:kern w:val="2"/>
      <w:lang w:val="en-US" w:eastAsia="zh-CN" w:bidi="ar-SA"/>
    </w:rPr>
  </w:style>
  <w:style w:type="character" w:customStyle="1" w:styleId="122">
    <w:name w:val="标题 字符"/>
    <w:link w:val="69"/>
    <w:qFormat/>
    <w:locked/>
    <w:uiPriority w:val="99"/>
    <w:rPr>
      <w:rFonts w:ascii="Cambria" w:hAnsi="Cambria" w:eastAsia="宋体" w:cs="Times New Roman"/>
      <w:b/>
      <w:bCs/>
      <w:kern w:val="2"/>
      <w:sz w:val="32"/>
      <w:szCs w:val="32"/>
      <w:lang w:val="en-US" w:eastAsia="zh-CN" w:bidi="ar-SA"/>
    </w:rPr>
  </w:style>
  <w:style w:type="character" w:customStyle="1" w:styleId="123">
    <w:name w:val="批注主题 字符"/>
    <w:link w:val="70"/>
    <w:qFormat/>
    <w:locked/>
    <w:uiPriority w:val="99"/>
    <w:rPr>
      <w:rFonts w:eastAsia="宋体" w:cs="Times New Roman"/>
      <w:b/>
      <w:bCs/>
      <w:kern w:val="2"/>
      <w:sz w:val="24"/>
      <w:szCs w:val="24"/>
      <w:lang w:val="en-US" w:eastAsia="zh-CN" w:bidi="ar-SA"/>
    </w:rPr>
  </w:style>
  <w:style w:type="character" w:customStyle="1" w:styleId="124">
    <w:name w:val="正文首行缩进 字符"/>
    <w:link w:val="71"/>
    <w:semiHidden/>
    <w:qFormat/>
    <w:uiPriority w:val="99"/>
    <w:rPr>
      <w:rFonts w:ascii="宋体" w:hAnsi="宋体" w:eastAsia="宋体" w:cs="Times New Roman"/>
      <w:kern w:val="2"/>
      <w:sz w:val="21"/>
      <w:szCs w:val="20"/>
      <w:lang w:val="en-US" w:eastAsia="zh-CN" w:bidi="ar-SA"/>
    </w:rPr>
  </w:style>
  <w:style w:type="character" w:customStyle="1" w:styleId="125">
    <w:name w:val="正文首行缩进 2 字符"/>
    <w:link w:val="72"/>
    <w:semiHidden/>
    <w:qFormat/>
    <w:uiPriority w:val="99"/>
    <w:rPr>
      <w:rFonts w:ascii="宋体" w:hAnsi="宋体" w:eastAsia="宋体" w:cs="宋体"/>
      <w:sz w:val="24"/>
      <w:szCs w:val="20"/>
      <w:lang w:val="en-US" w:eastAsia="zh-CN" w:bidi="ar-SA"/>
    </w:rPr>
  </w:style>
  <w:style w:type="character" w:customStyle="1" w:styleId="126">
    <w:name w:val="txt1"/>
    <w:qFormat/>
    <w:uiPriority w:val="99"/>
    <w:rPr>
      <w:rFonts w:cs="Times New Roman"/>
      <w:color w:val="000000"/>
      <w:sz w:val="20"/>
      <w:szCs w:val="20"/>
      <w:u w:val="none"/>
    </w:rPr>
  </w:style>
  <w:style w:type="character" w:customStyle="1" w:styleId="127">
    <w:name w:val="Char Char22"/>
    <w:qFormat/>
    <w:uiPriority w:val="99"/>
    <w:rPr>
      <w:rFonts w:eastAsia="宋体" w:cs="Times New Roman"/>
      <w:kern w:val="2"/>
      <w:sz w:val="18"/>
      <w:szCs w:val="18"/>
      <w:lang w:val="en-US" w:eastAsia="zh-CN" w:bidi="ar-SA"/>
    </w:rPr>
  </w:style>
  <w:style w:type="character" w:customStyle="1" w:styleId="128">
    <w:name w:val="title_emph1"/>
    <w:qFormat/>
    <w:uiPriority w:val="99"/>
    <w:rPr>
      <w:rFonts w:ascii="Arial" w:hAnsi="Arial" w:cs="Arial"/>
      <w:b/>
      <w:bCs/>
      <w:sz w:val="20"/>
      <w:szCs w:val="20"/>
    </w:rPr>
  </w:style>
  <w:style w:type="character" w:customStyle="1" w:styleId="129">
    <w:name w:val="Char Char23"/>
    <w:qFormat/>
    <w:uiPriority w:val="99"/>
    <w:rPr>
      <w:rFonts w:eastAsia="宋体" w:cs="Times New Roman"/>
      <w:kern w:val="2"/>
      <w:sz w:val="18"/>
      <w:szCs w:val="18"/>
      <w:lang w:val="en-US" w:eastAsia="zh-CN" w:bidi="ar-SA"/>
    </w:rPr>
  </w:style>
  <w:style w:type="character" w:customStyle="1" w:styleId="130">
    <w:name w:val="at_0"/>
    <w:qFormat/>
    <w:uiPriority w:val="99"/>
    <w:rPr>
      <w:rFonts w:cs="Times New Roman"/>
    </w:rPr>
  </w:style>
  <w:style w:type="character" w:customStyle="1" w:styleId="131">
    <w:name w:val="纯文本 Char Char"/>
    <w:qFormat/>
    <w:uiPriority w:val="99"/>
    <w:rPr>
      <w:rFonts w:ascii="宋体" w:hAnsi="Courier New" w:eastAsia="宋体" w:cs="Courier New"/>
      <w:sz w:val="21"/>
      <w:szCs w:val="21"/>
    </w:rPr>
  </w:style>
  <w:style w:type="character" w:customStyle="1" w:styleId="132">
    <w:name w:val="style181"/>
    <w:qFormat/>
    <w:uiPriority w:val="99"/>
    <w:rPr>
      <w:rFonts w:cs="Times New Roman"/>
      <w:sz w:val="22"/>
      <w:szCs w:val="22"/>
    </w:rPr>
  </w:style>
  <w:style w:type="character" w:customStyle="1" w:styleId="133">
    <w:name w:val="样式2"/>
    <w:qFormat/>
    <w:uiPriority w:val="99"/>
    <w:rPr>
      <w:rFonts w:eastAsia="仿宋_GB2312"/>
      <w:b/>
      <w:sz w:val="28"/>
    </w:rPr>
  </w:style>
  <w:style w:type="character" w:customStyle="1" w:styleId="134">
    <w:name w:val="style5"/>
    <w:qFormat/>
    <w:uiPriority w:val="99"/>
    <w:rPr>
      <w:rFonts w:cs="Times New Roman"/>
    </w:rPr>
  </w:style>
  <w:style w:type="character" w:customStyle="1" w:styleId="135">
    <w:name w:val="s1"/>
    <w:qFormat/>
    <w:uiPriority w:val="99"/>
    <w:rPr>
      <w:rFonts w:cs="Times New Roman"/>
      <w:sz w:val="18"/>
      <w:szCs w:val="18"/>
    </w:rPr>
  </w:style>
  <w:style w:type="character" w:customStyle="1" w:styleId="136">
    <w:name w:val="style52"/>
    <w:qFormat/>
    <w:uiPriority w:val="99"/>
    <w:rPr>
      <w:rFonts w:cs="Times New Roman"/>
    </w:rPr>
  </w:style>
  <w:style w:type="character" w:customStyle="1" w:styleId="137">
    <w:name w:val="lh131"/>
    <w:qFormat/>
    <w:uiPriority w:val="99"/>
    <w:rPr>
      <w:rFonts w:cs="Times New Roman"/>
    </w:rPr>
  </w:style>
  <w:style w:type="character" w:customStyle="1" w:styleId="138">
    <w:name w:val="companytext"/>
    <w:qFormat/>
    <w:uiPriority w:val="99"/>
    <w:rPr>
      <w:rFonts w:cs="Times New Roman"/>
    </w:rPr>
  </w:style>
  <w:style w:type="character" w:customStyle="1" w:styleId="139">
    <w:name w:val="1级目录 Char"/>
    <w:qFormat/>
    <w:uiPriority w:val="99"/>
    <w:rPr>
      <w:rFonts w:eastAsia="宋体" w:cs="Times New Roman"/>
      <w:b/>
      <w:kern w:val="2"/>
      <w:sz w:val="21"/>
      <w:lang w:val="en-US" w:eastAsia="zh-CN" w:bidi="ar-SA"/>
    </w:rPr>
  </w:style>
  <w:style w:type="character" w:customStyle="1" w:styleId="140">
    <w:name w:val="样式 标题 2 + 仿宋_GB2312 Char Char"/>
    <w:link w:val="141"/>
    <w:qFormat/>
    <w:locked/>
    <w:uiPriority w:val="99"/>
    <w:rPr>
      <w:rFonts w:ascii="仿宋_GB2312" w:hAnsi="仿宋_GB2312" w:eastAsia="仿宋_GB2312" w:cs="Times New Roman"/>
      <w:b/>
      <w:bCs/>
      <w:kern w:val="2"/>
      <w:sz w:val="32"/>
      <w:szCs w:val="32"/>
      <w:lang w:val="en-US" w:eastAsia="zh-CN" w:bidi="ar-SA"/>
    </w:rPr>
  </w:style>
  <w:style w:type="paragraph" w:customStyle="1" w:styleId="141">
    <w:name w:val="样式 标题 2 + 仿宋_GB2312"/>
    <w:basedOn w:val="3"/>
    <w:link w:val="140"/>
    <w:qFormat/>
    <w:uiPriority w:val="99"/>
    <w:pPr>
      <w:jc w:val="center"/>
    </w:pPr>
    <w:rPr>
      <w:rFonts w:ascii="仿宋_GB2312" w:hAnsi="仿宋_GB2312" w:eastAsia="仿宋_GB2312"/>
      <w:sz w:val="28"/>
    </w:rPr>
  </w:style>
  <w:style w:type="character" w:customStyle="1" w:styleId="142">
    <w:name w:val="标书标题3 Char Char"/>
    <w:link w:val="143"/>
    <w:qFormat/>
    <w:locked/>
    <w:uiPriority w:val="99"/>
    <w:rPr>
      <w:rFonts w:eastAsia="黑体" w:cs="Times New Roman"/>
      <w:bCs/>
      <w:kern w:val="2"/>
      <w:sz w:val="32"/>
      <w:szCs w:val="32"/>
      <w:lang w:val="en-US" w:eastAsia="zh-CN" w:bidi="ar-SA"/>
    </w:rPr>
  </w:style>
  <w:style w:type="paragraph" w:customStyle="1" w:styleId="143">
    <w:name w:val="标书标题3"/>
    <w:basedOn w:val="4"/>
    <w:link w:val="142"/>
    <w:qFormat/>
    <w:uiPriority w:val="99"/>
    <w:pPr>
      <w:spacing w:before="0" w:after="0" w:line="240" w:lineRule="auto"/>
    </w:pPr>
    <w:rPr>
      <w:rFonts w:eastAsia="黑体"/>
      <w:sz w:val="24"/>
    </w:rPr>
  </w:style>
  <w:style w:type="character" w:customStyle="1" w:styleId="144">
    <w:name w:val="blacktext"/>
    <w:qFormat/>
    <w:uiPriority w:val="99"/>
    <w:rPr>
      <w:rFonts w:cs="Times New Roman"/>
    </w:rPr>
  </w:style>
  <w:style w:type="character" w:customStyle="1" w:styleId="145">
    <w:name w:val="style6"/>
    <w:qFormat/>
    <w:uiPriority w:val="99"/>
    <w:rPr>
      <w:rFonts w:cs="Times New Roman"/>
    </w:rPr>
  </w:style>
  <w:style w:type="character" w:customStyle="1" w:styleId="146">
    <w:name w:val="style21"/>
    <w:qFormat/>
    <w:uiPriority w:val="99"/>
    <w:rPr>
      <w:rFonts w:cs="Times New Roman"/>
      <w:sz w:val="18"/>
      <w:szCs w:val="18"/>
    </w:rPr>
  </w:style>
  <w:style w:type="character" w:customStyle="1" w:styleId="147">
    <w:name w:val="marklong"/>
    <w:qFormat/>
    <w:uiPriority w:val="99"/>
    <w:rPr>
      <w:rFonts w:cs="Times New Roman"/>
    </w:rPr>
  </w:style>
  <w:style w:type="character" w:customStyle="1" w:styleId="148">
    <w:name w:val="Char3"/>
    <w:qFormat/>
    <w:uiPriority w:val="99"/>
    <w:rPr>
      <w:rFonts w:ascii="宋体" w:hAnsi="宋体" w:eastAsia="宋体" w:cs="宋体"/>
      <w:b/>
      <w:bCs/>
      <w:kern w:val="0"/>
      <w:sz w:val="36"/>
      <w:szCs w:val="36"/>
    </w:rPr>
  </w:style>
  <w:style w:type="character" w:customStyle="1" w:styleId="149">
    <w:name w:val="Char"/>
    <w:qFormat/>
    <w:uiPriority w:val="99"/>
    <w:rPr>
      <w:rFonts w:cs="Times New Roman"/>
      <w:kern w:val="2"/>
      <w:sz w:val="18"/>
      <w:szCs w:val="18"/>
    </w:rPr>
  </w:style>
  <w:style w:type="character" w:customStyle="1" w:styleId="150">
    <w:name w:val="12blk1"/>
    <w:qFormat/>
    <w:uiPriority w:val="99"/>
    <w:rPr>
      <w:rFonts w:ascii="??" w:hAnsi="??" w:cs="Times New Roman"/>
      <w:color w:val="000000"/>
      <w:sz w:val="18"/>
      <w:szCs w:val="18"/>
      <w:u w:val="none"/>
    </w:rPr>
  </w:style>
  <w:style w:type="character" w:customStyle="1" w:styleId="151">
    <w:name w:val="style11"/>
    <w:qFormat/>
    <w:uiPriority w:val="99"/>
    <w:rPr>
      <w:rFonts w:cs="Times New Roman"/>
      <w:sz w:val="18"/>
      <w:szCs w:val="18"/>
    </w:rPr>
  </w:style>
  <w:style w:type="character" w:customStyle="1" w:styleId="152">
    <w:name w:val="location1"/>
    <w:qFormat/>
    <w:uiPriority w:val="99"/>
    <w:rPr>
      <w:rFonts w:ascii="Verdana" w:hAnsi="Verdana" w:cs="Times New Roman"/>
      <w:sz w:val="20"/>
    </w:rPr>
  </w:style>
  <w:style w:type="character" w:customStyle="1" w:styleId="153">
    <w:name w:val="z_gray1"/>
    <w:qFormat/>
    <w:uiPriority w:val="99"/>
    <w:rPr>
      <w:rFonts w:cs="Times New Roman"/>
      <w:color w:val="666666"/>
    </w:rPr>
  </w:style>
  <w:style w:type="character" w:customStyle="1" w:styleId="154">
    <w:name w:val="content1"/>
    <w:qFormat/>
    <w:uiPriority w:val="99"/>
    <w:rPr>
      <w:rFonts w:cs="Times New Roman"/>
    </w:rPr>
  </w:style>
  <w:style w:type="character" w:customStyle="1" w:styleId="155">
    <w:name w:val="tpc_content1"/>
    <w:qFormat/>
    <w:uiPriority w:val="99"/>
    <w:rPr>
      <w:rFonts w:cs="Times New Roman"/>
      <w:sz w:val="18"/>
      <w:szCs w:val="18"/>
    </w:rPr>
  </w:style>
  <w:style w:type="character" w:customStyle="1" w:styleId="156">
    <w:name w:val="apple-style-span"/>
    <w:qFormat/>
    <w:uiPriority w:val="99"/>
    <w:rPr>
      <w:rFonts w:cs="Times New Roman"/>
    </w:rPr>
  </w:style>
  <w:style w:type="character" w:customStyle="1" w:styleId="157">
    <w:name w:val="市检方案标题3 Char1"/>
    <w:qFormat/>
    <w:uiPriority w:val="99"/>
    <w:rPr>
      <w:rFonts w:eastAsia="宋体" w:cs="Times New Roman"/>
      <w:b/>
      <w:bCs/>
      <w:kern w:val="2"/>
      <w:sz w:val="32"/>
      <w:szCs w:val="32"/>
      <w:lang w:val="en-US" w:eastAsia="zh-CN" w:bidi="ar-SA"/>
    </w:rPr>
  </w:style>
  <w:style w:type="character" w:customStyle="1" w:styleId="158">
    <w:name w:val="point_normal1"/>
    <w:qFormat/>
    <w:uiPriority w:val="99"/>
    <w:rPr>
      <w:rFonts w:ascii="Arial" w:hAnsi="Arial" w:cs="Arial"/>
      <w:sz w:val="18"/>
      <w:szCs w:val="18"/>
    </w:rPr>
  </w:style>
  <w:style w:type="character" w:customStyle="1" w:styleId="159">
    <w:name w:val="b-121"/>
    <w:qFormat/>
    <w:uiPriority w:val="99"/>
    <w:rPr>
      <w:rFonts w:ascii="??" w:hAnsi="??" w:cs="Times New Roman"/>
      <w:sz w:val="18"/>
      <w:szCs w:val="18"/>
      <w:u w:val="none"/>
    </w:rPr>
  </w:style>
  <w:style w:type="character" w:customStyle="1" w:styleId="160">
    <w:name w:val="unnamed11"/>
    <w:qFormat/>
    <w:uiPriority w:val="99"/>
    <w:rPr>
      <w:rFonts w:cs="Times New Roman"/>
      <w:color w:val="000000"/>
      <w:sz w:val="20"/>
      <w:szCs w:val="20"/>
    </w:rPr>
  </w:style>
  <w:style w:type="character" w:customStyle="1" w:styleId="161">
    <w:name w:val="正文缩进 字符"/>
    <w:link w:val="18"/>
    <w:qFormat/>
    <w:locked/>
    <w:uiPriority w:val="99"/>
    <w:rPr>
      <w:rFonts w:eastAsia="楷体_GB2312" w:cs="Times New Roman"/>
      <w:kern w:val="2"/>
      <w:sz w:val="24"/>
      <w:lang w:val="en-US" w:eastAsia="zh-CN" w:bidi="ar-SA"/>
    </w:rPr>
  </w:style>
  <w:style w:type="character" w:customStyle="1" w:styleId="162">
    <w:name w:val="样式1 Char Char"/>
    <w:link w:val="163"/>
    <w:qFormat/>
    <w:locked/>
    <w:uiPriority w:val="99"/>
    <w:rPr>
      <w:rFonts w:ascii="楷体_GB2312" w:eastAsia="仿宋_GB2312" w:cs="Times New Roman"/>
      <w:b/>
      <w:kern w:val="2"/>
      <w:sz w:val="28"/>
      <w:szCs w:val="28"/>
      <w:lang w:val="en-US" w:eastAsia="zh-CN" w:bidi="ar-SA"/>
    </w:rPr>
  </w:style>
  <w:style w:type="paragraph" w:customStyle="1" w:styleId="163">
    <w:name w:val="样式1"/>
    <w:basedOn w:val="1"/>
    <w:next w:val="50"/>
    <w:link w:val="162"/>
    <w:qFormat/>
    <w:uiPriority w:val="99"/>
    <w:pPr>
      <w:jc w:val="center"/>
    </w:pPr>
    <w:rPr>
      <w:rFonts w:ascii="楷体_GB2312" w:eastAsia="仿宋_GB2312"/>
      <w:b/>
      <w:sz w:val="28"/>
      <w:szCs w:val="28"/>
    </w:rPr>
  </w:style>
  <w:style w:type="character" w:customStyle="1" w:styleId="164">
    <w:name w:val="Char Char21"/>
    <w:qFormat/>
    <w:uiPriority w:val="99"/>
    <w:rPr>
      <w:rFonts w:eastAsia="宋体" w:cs="Times New Roman"/>
      <w:kern w:val="2"/>
      <w:sz w:val="18"/>
      <w:lang w:val="en-US" w:eastAsia="zh-CN" w:bidi="ar-SA"/>
    </w:rPr>
  </w:style>
  <w:style w:type="character" w:customStyle="1" w:styleId="165">
    <w:name w:val="shouchang1"/>
    <w:qFormat/>
    <w:uiPriority w:val="99"/>
    <w:rPr>
      <w:rFonts w:cs="Times New Roman"/>
      <w:color w:val="000000"/>
      <w:sz w:val="24"/>
      <w:szCs w:val="24"/>
      <w:u w:val="none"/>
    </w:rPr>
  </w:style>
  <w:style w:type="character" w:customStyle="1" w:styleId="166">
    <w:name w:val="unnamed2"/>
    <w:qFormat/>
    <w:uiPriority w:val="99"/>
    <w:rPr>
      <w:rFonts w:cs="Times New Roman"/>
    </w:rPr>
  </w:style>
  <w:style w:type="character" w:customStyle="1" w:styleId="167">
    <w:name w:val="c lh15"/>
    <w:qFormat/>
    <w:uiPriority w:val="99"/>
    <w:rPr>
      <w:rFonts w:cs="Times New Roman"/>
    </w:rPr>
  </w:style>
  <w:style w:type="character" w:customStyle="1" w:styleId="168">
    <w:name w:val="style41"/>
    <w:qFormat/>
    <w:uiPriority w:val="99"/>
    <w:rPr>
      <w:rFonts w:cs="Times New Roman"/>
      <w:color w:val="000000"/>
      <w:sz w:val="20"/>
      <w:szCs w:val="20"/>
    </w:rPr>
  </w:style>
  <w:style w:type="character" w:customStyle="1" w:styleId="169">
    <w:name w:val="文档正文 Char Char"/>
    <w:link w:val="170"/>
    <w:qFormat/>
    <w:locked/>
    <w:uiPriority w:val="99"/>
    <w:rPr>
      <w:rFonts w:eastAsia="宋体" w:cs="Times New Roman"/>
      <w:sz w:val="28"/>
      <w:lang w:bidi="ar-SA"/>
    </w:rPr>
  </w:style>
  <w:style w:type="paragraph" w:customStyle="1" w:styleId="170">
    <w:name w:val="文档正文"/>
    <w:basedOn w:val="1"/>
    <w:link w:val="169"/>
    <w:qFormat/>
    <w:uiPriority w:val="99"/>
    <w:pPr>
      <w:adjustRightInd w:val="0"/>
      <w:spacing w:before="60" w:after="60" w:line="312" w:lineRule="atLeast"/>
      <w:ind w:firstLine="567"/>
      <w:textAlignment w:val="baseline"/>
    </w:pPr>
    <w:rPr>
      <w:sz w:val="28"/>
    </w:rPr>
  </w:style>
  <w:style w:type="character" w:customStyle="1" w:styleId="171">
    <w:name w:val="ty091"/>
    <w:qFormat/>
    <w:uiPriority w:val="99"/>
    <w:rPr>
      <w:rFonts w:cs="Times New Roman"/>
      <w:color w:val="000000"/>
      <w:sz w:val="18"/>
      <w:szCs w:val="18"/>
    </w:rPr>
  </w:style>
  <w:style w:type="character" w:customStyle="1" w:styleId="172">
    <w:name w:val="H2 Char"/>
    <w:qFormat/>
    <w:uiPriority w:val="99"/>
    <w:rPr>
      <w:rFonts w:ascii="Arial" w:hAnsi="Arial" w:eastAsia="黑体" w:cs="Times New Roman"/>
      <w:b/>
      <w:bCs/>
      <w:sz w:val="32"/>
      <w:szCs w:val="32"/>
    </w:rPr>
  </w:style>
  <w:style w:type="character" w:customStyle="1" w:styleId="173">
    <w:name w:val="批注文字 Char Char"/>
    <w:qFormat/>
    <w:uiPriority w:val="99"/>
    <w:rPr>
      <w:rFonts w:eastAsia="宋体" w:cs="Times New Roman"/>
      <w:kern w:val="2"/>
      <w:sz w:val="24"/>
      <w:szCs w:val="24"/>
      <w:lang w:val="en-US" w:eastAsia="zh-CN" w:bidi="ar-SA"/>
    </w:rPr>
  </w:style>
  <w:style w:type="character" w:customStyle="1" w:styleId="174">
    <w:name w:val="bt1"/>
    <w:qFormat/>
    <w:uiPriority w:val="99"/>
    <w:rPr>
      <w:rFonts w:ascii="Verdana" w:hAnsi="Verdana" w:cs="Times New Roman"/>
      <w:color w:val="000000"/>
      <w:sz w:val="18"/>
      <w:szCs w:val="18"/>
      <w:u w:val="none"/>
    </w:rPr>
  </w:style>
  <w:style w:type="character" w:customStyle="1" w:styleId="175">
    <w:name w:val="标题 3 Char1"/>
    <w:qFormat/>
    <w:uiPriority w:val="99"/>
    <w:rPr>
      <w:rFonts w:eastAsia="宋体" w:cs="Times New Roman"/>
      <w:b/>
      <w:bCs/>
      <w:kern w:val="2"/>
      <w:sz w:val="32"/>
      <w:szCs w:val="32"/>
      <w:lang w:val="en-US" w:eastAsia="zh-CN" w:bidi="ar-SA"/>
    </w:rPr>
  </w:style>
  <w:style w:type="character" w:customStyle="1" w:styleId="176">
    <w:name w:val="style891"/>
    <w:qFormat/>
    <w:uiPriority w:val="99"/>
    <w:rPr>
      <w:rFonts w:cs="Times New Roman"/>
      <w:color w:val="000000"/>
      <w:sz w:val="18"/>
      <w:szCs w:val="18"/>
    </w:rPr>
  </w:style>
  <w:style w:type="character" w:customStyle="1" w:styleId="177">
    <w:name w:val="text1"/>
    <w:qFormat/>
    <w:uiPriority w:val="99"/>
    <w:rPr>
      <w:rFonts w:ascii="宋体" w:hAnsi="宋体" w:eastAsia="宋体" w:cs="Times New Roman"/>
      <w:color w:val="000000"/>
      <w:sz w:val="18"/>
      <w:szCs w:val="18"/>
      <w:u w:val="none"/>
    </w:rPr>
  </w:style>
  <w:style w:type="character" w:customStyle="1" w:styleId="178">
    <w:name w:val="titlel2black2"/>
    <w:qFormat/>
    <w:uiPriority w:val="99"/>
    <w:rPr>
      <w:rFonts w:cs="Times New Roman"/>
    </w:rPr>
  </w:style>
  <w:style w:type="character" w:customStyle="1" w:styleId="179">
    <w:name w:val="样式31"/>
    <w:qFormat/>
    <w:uiPriority w:val="99"/>
    <w:rPr>
      <w:rFonts w:cs="Times New Roman"/>
      <w:color w:val="468CBD"/>
    </w:rPr>
  </w:style>
  <w:style w:type="character" w:customStyle="1" w:styleId="180">
    <w:name w:val="Char Char16"/>
    <w:qFormat/>
    <w:uiPriority w:val="99"/>
    <w:rPr>
      <w:rFonts w:eastAsia="宋体" w:cs="Times New Roman"/>
      <w:kern w:val="2"/>
      <w:sz w:val="28"/>
      <w:lang w:val="en-US" w:eastAsia="zh-CN" w:bidi="ar-SA"/>
    </w:rPr>
  </w:style>
  <w:style w:type="character" w:customStyle="1" w:styleId="181">
    <w:name w:val="p11"/>
    <w:qFormat/>
    <w:uiPriority w:val="99"/>
    <w:rPr>
      <w:rFonts w:cs="Times New Roman"/>
      <w:color w:val="444444"/>
      <w:sz w:val="26"/>
      <w:szCs w:val="26"/>
      <w:u w:val="none"/>
    </w:rPr>
  </w:style>
  <w:style w:type="character" w:customStyle="1" w:styleId="182">
    <w:name w:val="Char Char15"/>
    <w:qFormat/>
    <w:uiPriority w:val="99"/>
    <w:rPr>
      <w:rFonts w:eastAsia="宋体" w:cs="Times New Roman"/>
      <w:kern w:val="2"/>
      <w:sz w:val="24"/>
      <w:szCs w:val="24"/>
      <w:lang w:val="en-US" w:eastAsia="zh-CN" w:bidi="ar-SA"/>
    </w:rPr>
  </w:style>
  <w:style w:type="character" w:customStyle="1" w:styleId="183">
    <w:name w:val="标题1"/>
    <w:qFormat/>
    <w:uiPriority w:val="99"/>
    <w:rPr>
      <w:rFonts w:cs="Times New Roman"/>
    </w:rPr>
  </w:style>
  <w:style w:type="character" w:customStyle="1" w:styleId="184">
    <w:name w:val="profont1"/>
    <w:qFormat/>
    <w:uiPriority w:val="99"/>
    <w:rPr>
      <w:rFonts w:ascii="Verdana" w:hAnsi="Verdana" w:cs="Times New Roman"/>
      <w:b/>
      <w:bCs/>
      <w:color w:val="333333"/>
      <w:sz w:val="24"/>
      <w:szCs w:val="24"/>
      <w:u w:val="none"/>
    </w:rPr>
  </w:style>
  <w:style w:type="character" w:customStyle="1" w:styleId="185">
    <w:name w:val="市检方案标题3 Char"/>
    <w:qFormat/>
    <w:uiPriority w:val="99"/>
    <w:rPr>
      <w:rFonts w:eastAsia="宋体" w:cs="Times New Roman"/>
      <w:b/>
      <w:bCs/>
      <w:kern w:val="2"/>
      <w:sz w:val="32"/>
      <w:szCs w:val="32"/>
      <w:lang w:val="en-US" w:eastAsia="zh-CN" w:bidi="ar-SA"/>
    </w:rPr>
  </w:style>
  <w:style w:type="character" w:customStyle="1" w:styleId="186">
    <w:name w:val="style22"/>
    <w:qFormat/>
    <w:uiPriority w:val="99"/>
    <w:rPr>
      <w:rFonts w:cs="Times New Roman"/>
    </w:rPr>
  </w:style>
  <w:style w:type="character" w:customStyle="1" w:styleId="187">
    <w:name w:val="fn11"/>
    <w:qFormat/>
    <w:uiPriority w:val="99"/>
    <w:rPr>
      <w:rFonts w:cs="Times New Roman"/>
      <w:color w:val="116095"/>
      <w:sz w:val="24"/>
      <w:szCs w:val="24"/>
    </w:rPr>
  </w:style>
  <w:style w:type="character" w:customStyle="1" w:styleId="188">
    <w:name w:val="star1"/>
    <w:qFormat/>
    <w:uiPriority w:val="99"/>
    <w:rPr>
      <w:rFonts w:cs="Times New Roman"/>
    </w:rPr>
  </w:style>
  <w:style w:type="character" w:customStyle="1" w:styleId="189">
    <w:name w:val="普通文字1 Char1"/>
    <w:qFormat/>
    <w:uiPriority w:val="99"/>
    <w:rPr>
      <w:rFonts w:ascii="宋体" w:hAnsi="Courier New" w:eastAsia="宋体" w:cs="Times New Roman"/>
      <w:sz w:val="20"/>
      <w:szCs w:val="20"/>
    </w:rPr>
  </w:style>
  <w:style w:type="character" w:customStyle="1" w:styleId="190">
    <w:name w:val="style3"/>
    <w:qFormat/>
    <w:uiPriority w:val="99"/>
    <w:rPr>
      <w:rFonts w:cs="Times New Roman"/>
    </w:rPr>
  </w:style>
  <w:style w:type="character" w:customStyle="1" w:styleId="191">
    <w:name w:val="news_c_141"/>
    <w:qFormat/>
    <w:uiPriority w:val="99"/>
    <w:rPr>
      <w:rFonts w:cs="Times New Roman"/>
      <w:color w:val="333333"/>
      <w:sz w:val="28"/>
      <w:szCs w:val="28"/>
      <w:u w:val="none"/>
    </w:rPr>
  </w:style>
  <w:style w:type="character" w:customStyle="1" w:styleId="192">
    <w:name w:val="H2 Char1"/>
    <w:qFormat/>
    <w:uiPriority w:val="99"/>
    <w:rPr>
      <w:rFonts w:ascii="Arial Black" w:hAnsi="Arial Black" w:eastAsia="黑体" w:cs="Times New Roman"/>
      <w:b/>
      <w:bCs/>
      <w:kern w:val="2"/>
      <w:sz w:val="32"/>
      <w:szCs w:val="32"/>
      <w:lang w:val="en-US" w:eastAsia="zh-CN" w:bidi="ar-SA"/>
    </w:rPr>
  </w:style>
  <w:style w:type="character" w:customStyle="1" w:styleId="193">
    <w:name w:val="p91"/>
    <w:qFormat/>
    <w:uiPriority w:val="99"/>
    <w:rPr>
      <w:rFonts w:cs="Times New Roman"/>
      <w:sz w:val="18"/>
      <w:szCs w:val="18"/>
    </w:rPr>
  </w:style>
  <w:style w:type="character" w:customStyle="1" w:styleId="194">
    <w:name w:val="style1"/>
    <w:qFormat/>
    <w:uiPriority w:val="99"/>
    <w:rPr>
      <w:rFonts w:cs="Times New Roman"/>
    </w:rPr>
  </w:style>
  <w:style w:type="character" w:customStyle="1" w:styleId="195">
    <w:name w:val="style53"/>
    <w:qFormat/>
    <w:uiPriority w:val="99"/>
    <w:rPr>
      <w:rFonts w:cs="Times New Roman"/>
    </w:rPr>
  </w:style>
  <w:style w:type="character" w:customStyle="1" w:styleId="196">
    <w:name w:val="正文缩进2字符 Char Char"/>
    <w:link w:val="197"/>
    <w:qFormat/>
    <w:locked/>
    <w:uiPriority w:val="99"/>
    <w:rPr>
      <w:rFonts w:ascii="Calibri" w:hAnsi="Calibri" w:eastAsia="宋体"/>
      <w:sz w:val="24"/>
    </w:rPr>
  </w:style>
  <w:style w:type="paragraph" w:customStyle="1" w:styleId="197">
    <w:name w:val="正文缩进2字符"/>
    <w:basedOn w:val="1"/>
    <w:next w:val="1"/>
    <w:link w:val="196"/>
    <w:qFormat/>
    <w:uiPriority w:val="99"/>
    <w:pPr>
      <w:spacing w:line="360" w:lineRule="auto"/>
      <w:ind w:firstLine="480" w:firstLineChars="200"/>
    </w:pPr>
    <w:rPr>
      <w:rFonts w:ascii="Calibri" w:hAnsi="Calibri"/>
      <w:kern w:val="0"/>
      <w:sz w:val="24"/>
      <w:szCs w:val="24"/>
    </w:rPr>
  </w:style>
  <w:style w:type="paragraph" w:customStyle="1" w:styleId="19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kern w:val="0"/>
      <w:sz w:val="18"/>
      <w:szCs w:val="18"/>
    </w:rPr>
  </w:style>
  <w:style w:type="paragraph" w:customStyle="1" w:styleId="199">
    <w:name w:val="xl22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0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201">
    <w:name w:val="xl121"/>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202">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03">
    <w:name w:val="xl3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204">
    <w:name w:val="xl1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05">
    <w:name w:val="bg-d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6">
    <w:name w:val="xl167"/>
    <w:basedOn w:val="1"/>
    <w:qFormat/>
    <w:uiPriority w:val="99"/>
    <w:pPr>
      <w:widowControl/>
      <w:pBdr>
        <w:top w:val="single" w:color="000000" w:sz="4" w:space="0"/>
        <w:bottom w:val="single" w:color="auto"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207">
    <w:name w:val="xl48"/>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8">
    <w:name w:val="style6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9">
    <w:name w:val="论文标题1"/>
    <w:basedOn w:val="2"/>
    <w:qFormat/>
    <w:uiPriority w:val="99"/>
    <w:pPr>
      <w:keepLines/>
      <w:numPr>
        <w:numId w:val="0"/>
      </w:numPr>
      <w:tabs>
        <w:tab w:val="left" w:pos="747"/>
      </w:tabs>
      <w:adjustRightInd w:val="0"/>
      <w:spacing w:before="340" w:after="330"/>
      <w:ind w:left="747" w:hanging="567"/>
      <w:textAlignment w:val="baseline"/>
    </w:pPr>
    <w:rPr>
      <w:bCs/>
      <w:kern w:val="44"/>
      <w:sz w:val="32"/>
      <w:szCs w:val="32"/>
    </w:rPr>
  </w:style>
  <w:style w:type="paragraph" w:customStyle="1" w:styleId="210">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211">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212">
    <w:name w:val="正文文本1"/>
    <w:basedOn w:val="1"/>
    <w:next w:val="28"/>
    <w:qFormat/>
    <w:uiPriority w:val="99"/>
    <w:pPr>
      <w:tabs>
        <w:tab w:val="left" w:pos="747"/>
      </w:tabs>
      <w:adjustRightInd w:val="0"/>
      <w:ind w:left="747" w:hanging="567"/>
      <w:textAlignment w:val="baseline"/>
    </w:pPr>
    <w:rPr>
      <w:bCs/>
      <w:sz w:val="24"/>
      <w:szCs w:val="24"/>
    </w:rPr>
  </w:style>
  <w:style w:type="paragraph" w:customStyle="1" w:styleId="213">
    <w:name w:val="xl173"/>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214">
    <w:name w:val="Char Char1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215">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16">
    <w:name w:val="shurumydl"/>
    <w:basedOn w:val="1"/>
    <w:qFormat/>
    <w:uiPriority w:val="99"/>
    <w:pPr>
      <w:widowControl/>
      <w:pBdr>
        <w:top w:val="single" w:color="98A394" w:sz="6" w:space="0"/>
        <w:left w:val="single" w:color="98A394" w:sz="6" w:space="0"/>
        <w:bottom w:val="single" w:color="98A394" w:sz="6" w:space="0"/>
        <w:right w:val="single" w:color="98A394" w:sz="6" w:space="0"/>
      </w:pBdr>
      <w:shd w:val="clear" w:color="auto" w:fill="E8EDE6"/>
      <w:spacing w:before="100" w:beforeAutospacing="1" w:after="100" w:afterAutospacing="1"/>
      <w:jc w:val="left"/>
    </w:pPr>
    <w:rPr>
      <w:rFonts w:ascii="宋体" w:hAnsi="宋体" w:cs="宋体"/>
      <w:kern w:val="0"/>
      <w:sz w:val="24"/>
      <w:szCs w:val="24"/>
    </w:rPr>
  </w:style>
  <w:style w:type="paragraph" w:customStyle="1" w:styleId="217">
    <w:name w:val="xl32"/>
    <w:basedOn w:val="1"/>
    <w:qFormat/>
    <w:uiPriority w:val="99"/>
    <w:pPr>
      <w:widowControl/>
      <w:shd w:val="clear" w:color="auto" w:fill="FFFFFF"/>
      <w:spacing w:before="100" w:beforeAutospacing="1" w:after="100" w:afterAutospacing="1"/>
      <w:jc w:val="left"/>
    </w:pPr>
    <w:rPr>
      <w:kern w:val="0"/>
      <w:sz w:val="18"/>
      <w:szCs w:val="18"/>
    </w:rPr>
  </w:style>
  <w:style w:type="paragraph" w:customStyle="1" w:styleId="218">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19">
    <w:name w:val="xl154"/>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2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21">
    <w:name w:val="shuru-fw3"/>
    <w:basedOn w:val="1"/>
    <w:qFormat/>
    <w:uiPriority w:val="99"/>
    <w:pPr>
      <w:widowControl/>
      <w:pBdr>
        <w:top w:val="single" w:color="ADADAD" w:sz="6" w:space="2"/>
        <w:left w:val="single" w:color="ADADAD" w:sz="6" w:space="2"/>
        <w:bottom w:val="single" w:color="ADADAD" w:sz="6" w:space="2"/>
        <w:right w:val="single" w:color="ADADAD" w:sz="6" w:space="2"/>
      </w:pBdr>
      <w:spacing w:before="100" w:beforeAutospacing="1" w:after="100" w:afterAutospacing="1"/>
      <w:jc w:val="left"/>
    </w:pPr>
    <w:rPr>
      <w:rFonts w:ascii="宋体" w:hAnsi="宋体" w:cs="宋体"/>
      <w:color w:val="2E2E2E"/>
      <w:kern w:val="0"/>
      <w:sz w:val="18"/>
      <w:szCs w:val="18"/>
    </w:rPr>
  </w:style>
  <w:style w:type="paragraph" w:customStyle="1" w:styleId="22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223">
    <w:name w:val="xl22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24">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宋体" w:eastAsia="华文中宋" w:cs="宋体"/>
      <w:b/>
      <w:bCs/>
      <w:kern w:val="0"/>
      <w:sz w:val="40"/>
      <w:szCs w:val="40"/>
    </w:rPr>
  </w:style>
  <w:style w:type="paragraph" w:customStyle="1" w:styleId="225">
    <w:name w:val="表格"/>
    <w:basedOn w:val="1"/>
    <w:next w:val="1"/>
    <w:qFormat/>
    <w:uiPriority w:val="99"/>
    <w:pPr>
      <w:tabs>
        <w:tab w:val="left" w:pos="0"/>
      </w:tabs>
      <w:adjustRightInd w:val="0"/>
      <w:snapToGrid w:val="0"/>
      <w:spacing w:line="240" w:lineRule="atLeast"/>
    </w:pPr>
    <w:rPr>
      <w:rFonts w:ascii="宋体" w:hAnsi="宋体"/>
    </w:rPr>
  </w:style>
  <w:style w:type="paragraph" w:customStyle="1" w:styleId="226">
    <w:name w:val="shuru-fw1"/>
    <w:basedOn w:val="1"/>
    <w:qFormat/>
    <w:uiPriority w:val="99"/>
    <w:pPr>
      <w:widowControl/>
      <w:pBdr>
        <w:top w:val="single" w:color="ADADAD" w:sz="6" w:space="2"/>
        <w:left w:val="single" w:color="ADADAD" w:sz="6" w:space="2"/>
        <w:bottom w:val="single" w:color="ADADAD" w:sz="6" w:space="2"/>
        <w:right w:val="single" w:color="ADADAD" w:sz="6" w:space="2"/>
      </w:pBdr>
      <w:spacing w:before="100" w:beforeAutospacing="1" w:after="100" w:afterAutospacing="1"/>
      <w:jc w:val="left"/>
    </w:pPr>
    <w:rPr>
      <w:rFonts w:ascii="宋体" w:hAnsi="宋体" w:cs="宋体"/>
      <w:color w:val="2E2E2E"/>
      <w:kern w:val="0"/>
      <w:sz w:val="18"/>
      <w:szCs w:val="18"/>
    </w:rPr>
  </w:style>
  <w:style w:type="paragraph" w:customStyle="1" w:styleId="22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28">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229">
    <w:name w:val="wordwb"/>
    <w:basedOn w:val="1"/>
    <w:qFormat/>
    <w:uiPriority w:val="99"/>
    <w:pPr>
      <w:widowControl/>
      <w:spacing w:before="100" w:beforeAutospacing="1" w:after="100" w:afterAutospacing="1"/>
      <w:jc w:val="left"/>
    </w:pPr>
    <w:rPr>
      <w:rFonts w:ascii="宋体" w:hAnsi="宋体" w:cs="宋体"/>
      <w:color w:val="FFFFFF"/>
      <w:kern w:val="0"/>
      <w:szCs w:val="21"/>
    </w:rPr>
  </w:style>
  <w:style w:type="paragraph" w:customStyle="1" w:styleId="230">
    <w:name w:val="listdh"/>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kern w:val="0"/>
      <w:sz w:val="24"/>
      <w:szCs w:val="24"/>
    </w:rPr>
  </w:style>
  <w:style w:type="paragraph" w:customStyle="1" w:styleId="231">
    <w:name w:val="标题－黑5"/>
    <w:basedOn w:val="232"/>
    <w:qFormat/>
    <w:uiPriority w:val="99"/>
    <w:pPr>
      <w:tabs>
        <w:tab w:val="left" w:pos="6885"/>
      </w:tabs>
    </w:pPr>
    <w:rPr>
      <w:b/>
      <w:bCs w:val="0"/>
      <w:sz w:val="28"/>
      <w:szCs w:val="21"/>
    </w:rPr>
  </w:style>
  <w:style w:type="paragraph" w:customStyle="1" w:styleId="232">
    <w:name w:val="正文－5"/>
    <w:qFormat/>
    <w:uiPriority w:val="99"/>
    <w:pPr>
      <w:widowControl w:val="0"/>
      <w:tabs>
        <w:tab w:val="left" w:pos="6885"/>
      </w:tabs>
      <w:jc w:val="center"/>
    </w:pPr>
    <w:rPr>
      <w:rFonts w:ascii="Times New Roman" w:hAnsi="Times New Roman" w:eastAsia="仿宋_GB2312" w:cs="Times New Roman"/>
      <w:bCs/>
      <w:kern w:val="2"/>
      <w:sz w:val="21"/>
      <w:szCs w:val="24"/>
      <w:lang w:val="en-US" w:eastAsia="zh-CN" w:bidi="ar-SA"/>
    </w:rPr>
  </w:style>
  <w:style w:type="paragraph" w:customStyle="1" w:styleId="233">
    <w:name w:val="11-write"/>
    <w:basedOn w:val="1"/>
    <w:qFormat/>
    <w:uiPriority w:val="99"/>
    <w:pPr>
      <w:widowControl/>
      <w:spacing w:before="100" w:beforeAutospacing="1" w:after="100" w:afterAutospacing="1" w:line="384" w:lineRule="auto"/>
      <w:jc w:val="left"/>
    </w:pPr>
    <w:rPr>
      <w:rFonts w:ascii="宋体" w:hAnsi="宋体" w:cs="宋体"/>
      <w:b/>
      <w:bCs/>
      <w:color w:val="FFFFFF"/>
      <w:kern w:val="0"/>
      <w:sz w:val="22"/>
      <w:szCs w:val="22"/>
    </w:rPr>
  </w:style>
  <w:style w:type="paragraph" w:customStyle="1" w:styleId="234">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235">
    <w:name w:val="font10"/>
    <w:basedOn w:val="1"/>
    <w:qFormat/>
    <w:uiPriority w:val="99"/>
    <w:pPr>
      <w:widowControl/>
      <w:spacing w:before="100" w:beforeAutospacing="1" w:after="100" w:afterAutospacing="1"/>
      <w:jc w:val="left"/>
    </w:pPr>
    <w:rPr>
      <w:color w:val="000000"/>
      <w:kern w:val="0"/>
      <w:sz w:val="18"/>
      <w:szCs w:val="18"/>
    </w:rPr>
  </w:style>
  <w:style w:type="paragraph" w:customStyle="1" w:styleId="236">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37">
    <w:name w:val="xl211"/>
    <w:basedOn w:val="1"/>
    <w:qFormat/>
    <w:uiPriority w:val="99"/>
    <w:pPr>
      <w:widowControl/>
      <w:pBdr>
        <w:top w:val="single" w:color="000000" w:sz="4" w:space="0"/>
        <w:left w:val="single" w:color="000000"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238">
    <w:name w:val="bg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9">
    <w:name w:val="9-r"/>
    <w:basedOn w:val="1"/>
    <w:qFormat/>
    <w:uiPriority w:val="99"/>
    <w:pPr>
      <w:widowControl/>
      <w:spacing w:before="100" w:beforeAutospacing="1" w:after="100" w:afterAutospacing="1" w:line="360" w:lineRule="auto"/>
      <w:jc w:val="left"/>
    </w:pPr>
    <w:rPr>
      <w:rFonts w:ascii="宋体" w:hAnsi="宋体" w:cs="宋体"/>
      <w:b/>
      <w:bCs/>
      <w:color w:val="FB8C13"/>
      <w:kern w:val="0"/>
      <w:sz w:val="18"/>
      <w:szCs w:val="18"/>
    </w:rPr>
  </w:style>
  <w:style w:type="paragraph" w:customStyle="1" w:styleId="240">
    <w:name w:val="标题前缀"/>
    <w:qFormat/>
    <w:uiPriority w:val="99"/>
    <w:pPr>
      <w:spacing w:line="360" w:lineRule="auto"/>
      <w:jc w:val="center"/>
    </w:pPr>
    <w:rPr>
      <w:rFonts w:ascii="黑体" w:hAnsi="Arial" w:eastAsia="黑体" w:cs="Times New Roman"/>
      <w:bCs/>
      <w:kern w:val="2"/>
      <w:sz w:val="36"/>
      <w:szCs w:val="36"/>
      <w:lang w:val="zh-CN" w:eastAsia="zh-CN" w:bidi="ar-SA"/>
    </w:rPr>
  </w:style>
  <w:style w:type="paragraph" w:customStyle="1" w:styleId="241">
    <w:name w:val="xl200"/>
    <w:basedOn w:val="1"/>
    <w:qFormat/>
    <w:uiPriority w:val="99"/>
    <w:pPr>
      <w:widowControl/>
      <w:spacing w:before="100" w:beforeAutospacing="1" w:after="100" w:afterAutospacing="1"/>
      <w:jc w:val="center"/>
      <w:textAlignment w:val="center"/>
    </w:pPr>
    <w:rPr>
      <w:rFonts w:ascii="宋体" w:hAnsi="宋体" w:cs="宋体"/>
      <w:kern w:val="0"/>
      <w:sz w:val="20"/>
    </w:rPr>
  </w:style>
  <w:style w:type="paragraph" w:customStyle="1" w:styleId="242">
    <w:name w:val="一標"/>
    <w:basedOn w:val="28"/>
    <w:qFormat/>
    <w:uiPriority w:val="99"/>
    <w:pPr>
      <w:snapToGrid w:val="0"/>
      <w:spacing w:beforeLines="100" w:afterLines="100" w:line="480" w:lineRule="atLeast"/>
      <w:jc w:val="center"/>
    </w:pPr>
    <w:rPr>
      <w:rFonts w:ascii="Times New Roman" w:hAnsi="Times New Roman" w:eastAsia="文鼎粗黑"/>
      <w:sz w:val="40"/>
      <w:szCs w:val="24"/>
      <w:lang w:eastAsia="zh-TW"/>
    </w:rPr>
  </w:style>
  <w:style w:type="paragraph" w:customStyle="1" w:styleId="24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44">
    <w:name w:val="9-green"/>
    <w:basedOn w:val="1"/>
    <w:qFormat/>
    <w:uiPriority w:val="99"/>
    <w:pPr>
      <w:widowControl/>
      <w:spacing w:before="100" w:beforeAutospacing="1" w:after="100" w:afterAutospacing="1" w:line="360" w:lineRule="auto"/>
      <w:jc w:val="left"/>
    </w:pPr>
    <w:rPr>
      <w:rFonts w:ascii="宋体" w:hAnsi="宋体" w:cs="宋体"/>
      <w:b/>
      <w:bCs/>
      <w:color w:val="006600"/>
      <w:kern w:val="0"/>
      <w:sz w:val="18"/>
      <w:szCs w:val="18"/>
    </w:rPr>
  </w:style>
  <w:style w:type="paragraph" w:customStyle="1" w:styleId="245">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246">
    <w:name w:val="bg-fw"/>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7">
    <w:name w:val="xl147"/>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248">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kern w:val="0"/>
      <w:sz w:val="20"/>
    </w:rPr>
  </w:style>
  <w:style w:type="paragraph" w:customStyle="1" w:styleId="249">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250">
    <w:name w:val="xl202"/>
    <w:basedOn w:val="1"/>
    <w:qFormat/>
    <w:uiPriority w:val="99"/>
    <w:pPr>
      <w:widowControl/>
      <w:pBdr>
        <w:top w:val="single" w:color="000000"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51">
    <w:name w:val="标书标题1"/>
    <w:basedOn w:val="2"/>
    <w:qFormat/>
    <w:uiPriority w:val="99"/>
    <w:pPr>
      <w:keepLines/>
      <w:numPr>
        <w:numId w:val="0"/>
      </w:numPr>
      <w:tabs>
        <w:tab w:val="left" w:pos="420"/>
      </w:tabs>
      <w:ind w:left="420" w:hanging="420"/>
      <w:jc w:val="center"/>
    </w:pPr>
    <w:rPr>
      <w:rFonts w:ascii="宋体" w:hAnsi="宋体" w:eastAsia="黑体"/>
      <w:bCs/>
      <w:kern w:val="44"/>
      <w:sz w:val="28"/>
      <w:szCs w:val="44"/>
    </w:rPr>
  </w:style>
  <w:style w:type="paragraph" w:customStyle="1" w:styleId="252">
    <w:name w:val="shuru-fw2"/>
    <w:basedOn w:val="1"/>
    <w:qFormat/>
    <w:uiPriority w:val="99"/>
    <w:pPr>
      <w:widowControl/>
      <w:pBdr>
        <w:top w:val="single" w:color="ADADAD" w:sz="6" w:space="2"/>
        <w:left w:val="single" w:color="ADADAD" w:sz="6" w:space="2"/>
        <w:bottom w:val="single" w:color="ADADAD" w:sz="6" w:space="2"/>
        <w:right w:val="single" w:color="ADADAD" w:sz="6" w:space="2"/>
      </w:pBdr>
      <w:spacing w:before="100" w:beforeAutospacing="1" w:after="100" w:afterAutospacing="1"/>
      <w:jc w:val="left"/>
    </w:pPr>
    <w:rPr>
      <w:rFonts w:ascii="宋体" w:hAnsi="宋体" w:cs="宋体"/>
      <w:color w:val="2E2E2E"/>
      <w:kern w:val="0"/>
      <w:sz w:val="18"/>
      <w:szCs w:val="18"/>
    </w:rPr>
  </w:style>
  <w:style w:type="paragraph" w:customStyle="1" w:styleId="253">
    <w:name w:val="Char Char Char Char Char Char Char Char Char Char Char Char Char"/>
    <w:basedOn w:val="1"/>
    <w:qFormat/>
    <w:uiPriority w:val="99"/>
    <w:pPr>
      <w:spacing w:line="360" w:lineRule="auto"/>
      <w:ind w:firstLine="480" w:firstLineChars="200"/>
    </w:pPr>
    <w:rPr>
      <w:rFonts w:ascii="宋体" w:hAnsi="宋体" w:eastAsia="楷体_GB2312"/>
      <w:sz w:val="24"/>
      <w:szCs w:val="21"/>
    </w:rPr>
  </w:style>
  <w:style w:type="paragraph" w:customStyle="1" w:styleId="254">
    <w:name w:val="样式 标书标题1 + 二号 首行缩进:  0 厘米"/>
    <w:basedOn w:val="251"/>
    <w:qFormat/>
    <w:uiPriority w:val="99"/>
    <w:pPr>
      <w:ind w:left="-540" w:leftChars="-257" w:right="-512" w:rightChars="-244" w:firstLine="0"/>
    </w:pPr>
    <w:rPr>
      <w:rFonts w:cs="宋体"/>
      <w:sz w:val="44"/>
      <w:szCs w:val="20"/>
    </w:rPr>
  </w:style>
  <w:style w:type="paragraph" w:customStyle="1" w:styleId="255">
    <w:name w:val="标题2"/>
    <w:basedOn w:val="1"/>
    <w:qFormat/>
    <w:uiPriority w:val="99"/>
    <w:pPr>
      <w:widowControl/>
      <w:spacing w:before="100" w:beforeAutospacing="1" w:after="100" w:afterAutospacing="1"/>
      <w:jc w:val="left"/>
    </w:pPr>
    <w:rPr>
      <w:rFonts w:ascii="宋体" w:hAnsi="宋体" w:cs="宋体"/>
      <w:color w:val="003366"/>
      <w:kern w:val="0"/>
      <w:szCs w:val="21"/>
    </w:rPr>
  </w:style>
  <w:style w:type="paragraph" w:customStyle="1" w:styleId="256">
    <w:name w:val="xl192"/>
    <w:basedOn w:val="1"/>
    <w:qFormat/>
    <w:uiPriority w:val="99"/>
    <w:pPr>
      <w:widowControl/>
      <w:pBdr>
        <w:top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57">
    <w:name w:val="itemlistintable"/>
    <w:basedOn w:val="1"/>
    <w:qFormat/>
    <w:uiPriority w:val="99"/>
    <w:pPr>
      <w:widowControl/>
      <w:spacing w:line="300" w:lineRule="atLeast"/>
      <w:jc w:val="left"/>
    </w:pPr>
    <w:rPr>
      <w:rFonts w:ascii="宋体" w:hAnsi="宋体" w:cs="宋体"/>
      <w:kern w:val="0"/>
      <w:sz w:val="18"/>
      <w:szCs w:val="18"/>
    </w:rPr>
  </w:style>
  <w:style w:type="paragraph" w:customStyle="1" w:styleId="25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9">
    <w:name w:val="shurutop"/>
    <w:basedOn w:val="1"/>
    <w:qFormat/>
    <w:uiPriority w:val="99"/>
    <w:pPr>
      <w:widowControl/>
      <w:pBdr>
        <w:top w:val="single" w:color="ADADAD" w:sz="6" w:space="0"/>
        <w:left w:val="single" w:color="ADADAD" w:sz="6" w:space="0"/>
        <w:bottom w:val="single" w:color="ADADAD" w:sz="6" w:space="0"/>
        <w:right w:val="single" w:color="ADADAD" w:sz="6" w:space="0"/>
      </w:pBdr>
      <w:spacing w:before="100" w:beforeAutospacing="1" w:after="100" w:afterAutospacing="1"/>
      <w:jc w:val="left"/>
    </w:pPr>
    <w:rPr>
      <w:rFonts w:ascii="宋体" w:hAnsi="宋体" w:cs="宋体"/>
      <w:kern w:val="0"/>
      <w:sz w:val="24"/>
      <w:szCs w:val="24"/>
    </w:rPr>
  </w:style>
  <w:style w:type="paragraph" w:customStyle="1" w:styleId="260">
    <w:name w:val="xl14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3"/>
      <w:szCs w:val="23"/>
    </w:rPr>
  </w:style>
  <w:style w:type="paragraph" w:customStyle="1" w:styleId="261">
    <w:name w:val="xl1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262">
    <w:name w:val="xl136"/>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6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rPr>
  </w:style>
  <w:style w:type="paragraph" w:customStyle="1" w:styleId="264">
    <w:name w:val="xl175"/>
    <w:basedOn w:val="1"/>
    <w:qFormat/>
    <w:uiPriority w:val="99"/>
    <w:pPr>
      <w:widowControl/>
      <w:pBdr>
        <w:top w:val="single" w:color="auto"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265">
    <w:name w:val="wordhui"/>
    <w:basedOn w:val="1"/>
    <w:qFormat/>
    <w:uiPriority w:val="99"/>
    <w:pPr>
      <w:widowControl/>
      <w:spacing w:before="100" w:beforeAutospacing="1" w:after="100" w:afterAutospacing="1"/>
      <w:jc w:val="left"/>
    </w:pPr>
    <w:rPr>
      <w:rFonts w:ascii="宋体" w:hAnsi="宋体" w:cs="宋体"/>
      <w:color w:val="7F7F7F"/>
      <w:kern w:val="0"/>
      <w:sz w:val="24"/>
      <w:szCs w:val="24"/>
    </w:rPr>
  </w:style>
  <w:style w:type="paragraph" w:customStyle="1" w:styleId="266">
    <w:name w:val="shurufg"/>
    <w:basedOn w:val="1"/>
    <w:qFormat/>
    <w:uiPriority w:val="99"/>
    <w:pPr>
      <w:widowControl/>
      <w:pBdr>
        <w:top w:val="single" w:color="ADADAD" w:sz="6" w:space="0"/>
        <w:left w:val="single" w:color="ADADAD" w:sz="6" w:space="0"/>
        <w:bottom w:val="single" w:color="ADADAD" w:sz="6" w:space="0"/>
        <w:right w:val="single" w:color="ADADAD" w:sz="6" w:space="0"/>
      </w:pBdr>
      <w:spacing w:before="100" w:beforeAutospacing="1" w:after="100" w:afterAutospacing="1"/>
      <w:jc w:val="left"/>
    </w:pPr>
    <w:rPr>
      <w:rFonts w:ascii="宋体" w:hAnsi="宋体" w:cs="宋体"/>
      <w:kern w:val="0"/>
      <w:sz w:val="24"/>
      <w:szCs w:val="24"/>
    </w:rPr>
  </w:style>
  <w:style w:type="paragraph" w:customStyle="1" w:styleId="267">
    <w:name w:val="xl141"/>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268">
    <w:name w:val="xl179"/>
    <w:basedOn w:val="1"/>
    <w:qFormat/>
    <w:uiPriority w:val="99"/>
    <w:pPr>
      <w:widowControl/>
      <w:pBdr>
        <w:top w:val="single" w:color="000000" w:sz="4" w:space="0"/>
        <w:bottom w:val="single" w:color="auto" w:sz="4" w:space="0"/>
        <w:right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269">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70">
    <w:name w:val="xl209"/>
    <w:basedOn w:val="1"/>
    <w:qFormat/>
    <w:uiPriority w:val="99"/>
    <w:pPr>
      <w:widowControl/>
      <w:pBdr>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271">
    <w:name w:val="Char2"/>
    <w:basedOn w:val="1"/>
    <w:qFormat/>
    <w:uiPriority w:val="99"/>
    <w:pPr>
      <w:tabs>
        <w:tab w:val="left" w:pos="425"/>
      </w:tabs>
      <w:ind w:left="425" w:hanging="425"/>
    </w:pPr>
    <w:rPr>
      <w:sz w:val="24"/>
      <w:szCs w:val="24"/>
    </w:rPr>
  </w:style>
  <w:style w:type="paragraph" w:customStyle="1" w:styleId="272">
    <w:name w:val="xl195"/>
    <w:basedOn w:val="1"/>
    <w:qFormat/>
    <w:uiPriority w:val="99"/>
    <w:pPr>
      <w:widowControl/>
      <w:pBdr>
        <w:left w:val="single" w:color="000000" w:sz="4" w:space="0"/>
        <w:bottom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273">
    <w:name w:val="font9"/>
    <w:basedOn w:val="1"/>
    <w:qFormat/>
    <w:uiPriority w:val="99"/>
    <w:pPr>
      <w:widowControl/>
      <w:spacing w:before="100" w:beforeAutospacing="1" w:after="100" w:afterAutospacing="1"/>
      <w:jc w:val="left"/>
    </w:pPr>
    <w:rPr>
      <w:rFonts w:ascii="Tahoma" w:hAnsi="Tahoma" w:cs="Tahoma"/>
      <w:color w:val="000000"/>
      <w:kern w:val="0"/>
      <w:szCs w:val="21"/>
    </w:rPr>
  </w:style>
  <w:style w:type="paragraph" w:customStyle="1" w:styleId="274">
    <w:name w:val="shurudh"/>
    <w:basedOn w:val="1"/>
    <w:qFormat/>
    <w:uiPriority w:val="99"/>
    <w:pPr>
      <w:widowControl/>
      <w:pBdr>
        <w:top w:val="single" w:color="ADADAD" w:sz="6" w:space="0"/>
        <w:left w:val="single" w:color="ADADAD" w:sz="6" w:space="0"/>
        <w:bottom w:val="single" w:color="ADADAD" w:sz="6" w:space="0"/>
        <w:right w:val="single" w:color="ADADAD" w:sz="6" w:space="0"/>
      </w:pBdr>
      <w:spacing w:before="100" w:beforeAutospacing="1" w:after="100" w:afterAutospacing="1"/>
      <w:jc w:val="left"/>
    </w:pPr>
    <w:rPr>
      <w:rFonts w:ascii="宋体" w:hAnsi="宋体" w:cs="宋体"/>
      <w:kern w:val="0"/>
      <w:sz w:val="24"/>
      <w:szCs w:val="24"/>
    </w:rPr>
  </w:style>
  <w:style w:type="paragraph" w:customStyle="1" w:styleId="275">
    <w:name w:val="list-fw"/>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color w:val="2E2E2E"/>
      <w:kern w:val="0"/>
      <w:sz w:val="18"/>
      <w:szCs w:val="18"/>
    </w:rPr>
  </w:style>
  <w:style w:type="paragraph" w:customStyle="1" w:styleId="27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277">
    <w:name w:val="xl15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rPr>
  </w:style>
  <w:style w:type="paragraph" w:customStyle="1" w:styleId="278">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79">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0">
    <w:name w:val="Char Char Char"/>
    <w:basedOn w:val="1"/>
    <w:qFormat/>
    <w:uiPriority w:val="99"/>
    <w:rPr>
      <w:rFonts w:ascii="Tahoma" w:hAnsi="Tahoma"/>
      <w:sz w:val="24"/>
    </w:rPr>
  </w:style>
  <w:style w:type="paragraph" w:customStyle="1" w:styleId="281">
    <w:name w:val="默认段落字体 Char"/>
    <w:basedOn w:val="1"/>
    <w:qFormat/>
    <w:uiPriority w:val="99"/>
    <w:rPr>
      <w:szCs w:val="24"/>
    </w:rPr>
  </w:style>
  <w:style w:type="paragraph" w:customStyle="1" w:styleId="282">
    <w:name w:val="shurujt"/>
    <w:basedOn w:val="1"/>
    <w:qFormat/>
    <w:uiPriority w:val="99"/>
    <w:pPr>
      <w:widowControl/>
      <w:pBdr>
        <w:top w:val="single" w:color="ADADAD" w:sz="6" w:space="0"/>
        <w:left w:val="single" w:color="ADADAD" w:sz="6" w:space="0"/>
        <w:bottom w:val="single" w:color="ADADAD" w:sz="6" w:space="0"/>
        <w:right w:val="single" w:color="ADADAD" w:sz="6" w:space="0"/>
      </w:pBdr>
      <w:spacing w:before="100" w:beforeAutospacing="1" w:after="100" w:afterAutospacing="1"/>
      <w:jc w:val="left"/>
    </w:pPr>
    <w:rPr>
      <w:rFonts w:ascii="宋体" w:hAnsi="宋体" w:cs="宋体"/>
      <w:kern w:val="0"/>
      <w:sz w:val="24"/>
      <w:szCs w:val="24"/>
    </w:rPr>
  </w:style>
  <w:style w:type="paragraph" w:customStyle="1" w:styleId="283">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4">
    <w:name w:val="xl212"/>
    <w:basedOn w:val="1"/>
    <w:qFormat/>
    <w:uiPriority w:val="99"/>
    <w:pPr>
      <w:widowControl/>
      <w:pBdr>
        <w:top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285">
    <w:name w:val="xl201"/>
    <w:basedOn w:val="1"/>
    <w:qFormat/>
    <w:uiPriority w:val="99"/>
    <w:pPr>
      <w:widowControl/>
      <w:pBdr>
        <w:top w:val="single" w:color="auto" w:sz="4" w:space="0"/>
        <w:bottom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286">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8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0"/>
    </w:rPr>
  </w:style>
  <w:style w:type="paragraph" w:customStyle="1" w:styleId="288">
    <w:name w:val="xl203"/>
    <w:basedOn w:val="1"/>
    <w:qFormat/>
    <w:uiPriority w:val="99"/>
    <w:pPr>
      <w:widowControl/>
      <w:pBdr>
        <w:top w:val="single" w:color="000000"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89">
    <w:name w:val="Char Char Char1"/>
    <w:basedOn w:val="1"/>
    <w:qFormat/>
    <w:uiPriority w:val="99"/>
    <w:rPr>
      <w:rFonts w:ascii="Tahoma" w:hAnsi="Tahoma"/>
      <w:sz w:val="24"/>
    </w:rPr>
  </w:style>
  <w:style w:type="paragraph" w:customStyle="1" w:styleId="29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91">
    <w:name w:val="xl222"/>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292">
    <w:name w:val="说明1"/>
    <w:basedOn w:val="1"/>
    <w:qFormat/>
    <w:uiPriority w:val="99"/>
    <w:pPr>
      <w:keepLines/>
      <w:widowControl/>
      <w:suppressLineNumbers/>
      <w:tabs>
        <w:tab w:val="left" w:pos="425"/>
      </w:tabs>
      <w:suppressAutoHyphens/>
      <w:spacing w:before="60" w:after="60"/>
      <w:ind w:left="425" w:hanging="425"/>
    </w:pPr>
    <w:rPr>
      <w:kern w:val="21"/>
    </w:rPr>
  </w:style>
  <w:style w:type="paragraph" w:customStyle="1" w:styleId="293">
    <w:name w:val="标题－细5"/>
    <w:basedOn w:val="1"/>
    <w:qFormat/>
    <w:uiPriority w:val="99"/>
    <w:pPr>
      <w:ind w:left="874" w:leftChars="14" w:hanging="845" w:hangingChars="352"/>
      <w:jc w:val="center"/>
    </w:pPr>
    <w:rPr>
      <w:rFonts w:ascii="仿宋_GB2312" w:eastAsia="楷体_GB2312"/>
      <w:sz w:val="24"/>
      <w:szCs w:val="24"/>
      <w:lang w:val="en-GB"/>
    </w:rPr>
  </w:style>
  <w:style w:type="paragraph" w:customStyle="1" w:styleId="294">
    <w:name w:val="Char Char Char Char Char Char Char Char Char Char"/>
    <w:basedOn w:val="1"/>
    <w:qFormat/>
    <w:uiPriority w:val="99"/>
    <w:pPr>
      <w:tabs>
        <w:tab w:val="left" w:pos="360"/>
      </w:tabs>
      <w:ind w:left="420" w:hanging="420" w:hangingChars="200"/>
    </w:pPr>
    <w:rPr>
      <w:rFonts w:ascii="仿宋_GB2312" w:eastAsia="仿宋_GB2312"/>
      <w:szCs w:val="21"/>
    </w:rPr>
  </w:style>
  <w:style w:type="paragraph" w:customStyle="1" w:styleId="295">
    <w:name w:val="xl14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3"/>
      <w:szCs w:val="23"/>
    </w:rPr>
  </w:style>
  <w:style w:type="paragraph" w:customStyle="1" w:styleId="296">
    <w:name w:val="xl220"/>
    <w:basedOn w:val="1"/>
    <w:qFormat/>
    <w:uiPriority w:val="99"/>
    <w:pPr>
      <w:widowControl/>
      <w:pBdr>
        <w:top w:val="single" w:color="000000" w:sz="4" w:space="0"/>
        <w:bottom w:val="single" w:color="auto"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297">
    <w:name w:val="表格内容"/>
    <w:basedOn w:val="1"/>
    <w:qFormat/>
    <w:uiPriority w:val="99"/>
    <w:pPr>
      <w:widowControl/>
      <w:autoSpaceDE w:val="0"/>
      <w:autoSpaceDN w:val="0"/>
      <w:adjustRightInd w:val="0"/>
      <w:spacing w:before="60" w:line="300" w:lineRule="auto"/>
      <w:jc w:val="center"/>
      <w:textAlignment w:val="bottom"/>
    </w:pPr>
    <w:rPr>
      <w:rFonts w:eastAsia="华文行楷"/>
      <w:spacing w:val="-25"/>
      <w:kern w:val="0"/>
      <w:sz w:val="24"/>
    </w:rPr>
  </w:style>
  <w:style w:type="paragraph" w:customStyle="1" w:styleId="298">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299">
    <w:name w:val="shuru-fw"/>
    <w:basedOn w:val="1"/>
    <w:qFormat/>
    <w:uiPriority w:val="99"/>
    <w:pPr>
      <w:widowControl/>
      <w:pBdr>
        <w:top w:val="single" w:color="ADADAD" w:sz="6" w:space="2"/>
        <w:left w:val="single" w:color="ADADAD" w:sz="6" w:space="2"/>
        <w:bottom w:val="single" w:color="ADADAD" w:sz="6" w:space="2"/>
        <w:right w:val="single" w:color="ADADAD" w:sz="6" w:space="2"/>
      </w:pBdr>
      <w:spacing w:before="100" w:beforeAutospacing="1" w:after="100" w:afterAutospacing="1"/>
      <w:jc w:val="left"/>
    </w:pPr>
    <w:rPr>
      <w:rFonts w:ascii="宋体" w:hAnsi="宋体" w:cs="宋体"/>
      <w:color w:val="2E2E2E"/>
      <w:kern w:val="0"/>
      <w:sz w:val="18"/>
      <w:szCs w:val="18"/>
    </w:rPr>
  </w:style>
  <w:style w:type="paragraph" w:customStyle="1" w:styleId="300">
    <w:name w:val="10-r"/>
    <w:basedOn w:val="1"/>
    <w:qFormat/>
    <w:uiPriority w:val="99"/>
    <w:pPr>
      <w:widowControl/>
      <w:spacing w:before="100" w:beforeAutospacing="1" w:after="100" w:afterAutospacing="1"/>
      <w:jc w:val="left"/>
    </w:pPr>
    <w:rPr>
      <w:rFonts w:ascii="宋体" w:hAnsi="宋体" w:cs="宋体"/>
      <w:b/>
      <w:bCs/>
      <w:color w:val="FF6600"/>
      <w:kern w:val="0"/>
      <w:sz w:val="20"/>
    </w:rPr>
  </w:style>
  <w:style w:type="paragraph" w:customStyle="1" w:styleId="301">
    <w:name w:val="xl15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02">
    <w:name w:val="bianklv"/>
    <w:basedOn w:val="1"/>
    <w:qFormat/>
    <w:uiPriority w:val="99"/>
    <w:pPr>
      <w:widowControl/>
      <w:pBdr>
        <w:top w:val="single" w:color="B0B08E" w:sz="6" w:space="0"/>
        <w:left w:val="single" w:color="B0B08E" w:sz="6" w:space="0"/>
        <w:bottom w:val="single" w:color="B0B08E" w:sz="6" w:space="0"/>
        <w:right w:val="single" w:color="B0B08E" w:sz="6" w:space="0"/>
      </w:pBdr>
      <w:spacing w:before="100" w:beforeAutospacing="1" w:after="100" w:afterAutospacing="1"/>
      <w:jc w:val="left"/>
    </w:pPr>
    <w:rPr>
      <w:rFonts w:ascii="宋体" w:hAnsi="宋体" w:cs="宋体"/>
      <w:kern w:val="0"/>
      <w:sz w:val="24"/>
      <w:szCs w:val="24"/>
    </w:rPr>
  </w:style>
  <w:style w:type="paragraph" w:customStyle="1" w:styleId="303">
    <w:name w:val="小步骤"/>
    <w:basedOn w:val="1"/>
    <w:qFormat/>
    <w:uiPriority w:val="99"/>
    <w:pPr>
      <w:keepNext/>
      <w:keepLines/>
      <w:widowControl/>
      <w:suppressAutoHyphens/>
      <w:adjustRightInd w:val="0"/>
      <w:spacing w:before="24" w:after="24" w:line="320" w:lineRule="atLeast"/>
      <w:ind w:left="942" w:hanging="522"/>
      <w:textAlignment w:val="baseline"/>
      <w:outlineLvl w:val="5"/>
    </w:pPr>
    <w:rPr>
      <w:rFonts w:ascii="宋体"/>
      <w:spacing w:val="4"/>
      <w:kern w:val="0"/>
    </w:rPr>
  </w:style>
  <w:style w:type="paragraph" w:customStyle="1" w:styleId="304">
    <w:name w:val="word1"/>
    <w:basedOn w:val="1"/>
    <w:qFormat/>
    <w:uiPriority w:val="99"/>
    <w:pPr>
      <w:widowControl/>
      <w:spacing w:before="100" w:beforeAutospacing="1" w:after="100" w:afterAutospacing="1"/>
      <w:jc w:val="left"/>
    </w:pPr>
    <w:rPr>
      <w:rFonts w:ascii="宋体" w:hAnsi="宋体" w:cs="宋体"/>
      <w:color w:val="FFFF00"/>
      <w:kern w:val="0"/>
      <w:szCs w:val="21"/>
    </w:rPr>
  </w:style>
  <w:style w:type="paragraph" w:customStyle="1" w:styleId="305">
    <w:name w:val="标书附页标题1"/>
    <w:basedOn w:val="3"/>
    <w:qFormat/>
    <w:uiPriority w:val="99"/>
    <w:pPr>
      <w:spacing w:before="0" w:after="0" w:line="240" w:lineRule="auto"/>
      <w:jc w:val="center"/>
    </w:pPr>
    <w:rPr>
      <w:b w:val="0"/>
      <w:sz w:val="28"/>
    </w:rPr>
  </w:style>
  <w:style w:type="paragraph" w:customStyle="1" w:styleId="306">
    <w:name w:val="xl12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07">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308">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309">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10">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311">
    <w:name w:val="Char Char Char1 Char Char Char Char"/>
    <w:basedOn w:val="1"/>
    <w:qFormat/>
    <w:uiPriority w:val="99"/>
    <w:pPr>
      <w:widowControl/>
      <w:snapToGrid w:val="0"/>
      <w:spacing w:after="160" w:line="300" w:lineRule="auto"/>
      <w:jc w:val="left"/>
    </w:pPr>
    <w:rPr>
      <w:rFonts w:ascii="仿宋_GB2312" w:hAnsi="Verdana" w:eastAsia="仿宋_GB2312"/>
      <w:b/>
      <w:kern w:val="0"/>
      <w:sz w:val="28"/>
      <w:szCs w:val="28"/>
      <w:lang w:eastAsia="en-US"/>
    </w:rPr>
  </w:style>
  <w:style w:type="paragraph" w:customStyle="1" w:styleId="312">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3">
    <w:name w:val="shuru-fw4"/>
    <w:basedOn w:val="1"/>
    <w:qFormat/>
    <w:uiPriority w:val="99"/>
    <w:pPr>
      <w:widowControl/>
      <w:pBdr>
        <w:top w:val="single" w:color="ADADAD" w:sz="6" w:space="2"/>
        <w:left w:val="single" w:color="ADADAD" w:sz="6" w:space="2"/>
        <w:bottom w:val="single" w:color="ADADAD" w:sz="6" w:space="2"/>
        <w:right w:val="single" w:color="ADADAD" w:sz="6" w:space="2"/>
      </w:pBdr>
      <w:spacing w:before="100" w:beforeAutospacing="1" w:after="100" w:afterAutospacing="1"/>
      <w:jc w:val="left"/>
    </w:pPr>
    <w:rPr>
      <w:rFonts w:ascii="宋体" w:hAnsi="宋体" w:cs="宋体"/>
      <w:color w:val="2E2E2E"/>
      <w:kern w:val="0"/>
      <w:sz w:val="18"/>
      <w:szCs w:val="18"/>
    </w:rPr>
  </w:style>
  <w:style w:type="paragraph" w:customStyle="1" w:styleId="314">
    <w:name w:val="xl162"/>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15">
    <w:name w:val="text-he12"/>
    <w:basedOn w:val="1"/>
    <w:qFormat/>
    <w:uiPriority w:val="99"/>
    <w:pPr>
      <w:widowControl/>
      <w:spacing w:before="100" w:beforeAutospacing="1" w:after="100" w:afterAutospacing="1" w:line="360" w:lineRule="auto"/>
      <w:jc w:val="left"/>
    </w:pPr>
    <w:rPr>
      <w:rFonts w:ascii="宋体" w:hAnsi="宋体" w:cs="宋体"/>
      <w:b/>
      <w:bCs/>
      <w:color w:val="996633"/>
      <w:kern w:val="0"/>
      <w:sz w:val="22"/>
      <w:szCs w:val="22"/>
    </w:rPr>
  </w:style>
  <w:style w:type="paragraph" w:customStyle="1" w:styleId="316">
    <w:name w:val="标题3"/>
    <w:basedOn w:val="1"/>
    <w:qFormat/>
    <w:uiPriority w:val="99"/>
    <w:pPr>
      <w:keepNext/>
      <w:keepLines/>
      <w:outlineLvl w:val="2"/>
    </w:pPr>
    <w:rPr>
      <w:rFonts w:ascii="宋体" w:hAnsi="宋体"/>
      <w:bCs/>
      <w:sz w:val="24"/>
      <w:szCs w:val="32"/>
    </w:rPr>
  </w:style>
  <w:style w:type="paragraph" w:customStyle="1" w:styleId="317">
    <w:name w:val="xl114"/>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18">
    <w:name w:val="xl16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319">
    <w:name w:val="xl2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0">
    <w:name w:val="xl174"/>
    <w:basedOn w:val="1"/>
    <w:qFormat/>
    <w:uiPriority w:val="99"/>
    <w:pPr>
      <w:widowControl/>
      <w:pBdr>
        <w:top w:val="single" w:color="auto" w:sz="4" w:space="0"/>
        <w:left w:val="single" w:color="000000"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321">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22">
    <w:name w:val="04"/>
    <w:basedOn w:val="1"/>
    <w:qFormat/>
    <w:uiPriority w:val="99"/>
    <w:pPr>
      <w:keepNext/>
      <w:keepLines/>
      <w:spacing w:before="100" w:beforeAutospacing="1" w:after="100" w:afterAutospacing="1"/>
      <w:ind w:left="50" w:hanging="50" w:hangingChars="50"/>
      <w:jc w:val="left"/>
    </w:pPr>
    <w:rPr>
      <w:rFonts w:ascii="??" w:hAnsi="??" w:eastAsia="黑体" w:cs="宋体"/>
      <w:b/>
      <w:bCs/>
      <w:kern w:val="0"/>
      <w:sz w:val="30"/>
      <w:szCs w:val="22"/>
    </w:rPr>
  </w:style>
  <w:style w:type="paragraph" w:customStyle="1" w:styleId="323">
    <w:name w:val="xl15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rPr>
  </w:style>
  <w:style w:type="paragraph" w:customStyle="1" w:styleId="324">
    <w:name w:val="xl18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325">
    <w:name w:val="xl208"/>
    <w:basedOn w:val="1"/>
    <w:qFormat/>
    <w:uiPriority w:val="99"/>
    <w:pPr>
      <w:widowControl/>
      <w:pBdr>
        <w:left w:val="single" w:color="000000"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326">
    <w:name w:val="xl140"/>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27">
    <w:name w:val="xl199"/>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28">
    <w:name w:val="常用正文"/>
    <w:basedOn w:val="1"/>
    <w:qFormat/>
    <w:uiPriority w:val="99"/>
    <w:pPr>
      <w:spacing w:line="360" w:lineRule="auto"/>
      <w:ind w:left="420" w:leftChars="200"/>
    </w:pPr>
    <w:rPr>
      <w:rFonts w:ascii="宋体" w:hAnsi="宋体"/>
      <w:szCs w:val="21"/>
    </w:rPr>
  </w:style>
  <w:style w:type="paragraph" w:customStyle="1" w:styleId="329">
    <w:name w:val="p0"/>
    <w:basedOn w:val="1"/>
    <w:qFormat/>
    <w:uiPriority w:val="99"/>
    <w:pPr>
      <w:widowControl/>
    </w:pPr>
    <w:rPr>
      <w:kern w:val="0"/>
      <w:szCs w:val="21"/>
    </w:rPr>
  </w:style>
  <w:style w:type="paragraph" w:customStyle="1" w:styleId="33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3"/>
      <w:szCs w:val="23"/>
    </w:rPr>
  </w:style>
  <w:style w:type="paragraph" w:customStyle="1" w:styleId="331">
    <w:name w:val="图表"/>
    <w:basedOn w:val="1"/>
    <w:qFormat/>
    <w:uiPriority w:val="99"/>
    <w:pPr>
      <w:jc w:val="center"/>
    </w:pPr>
    <w:rPr>
      <w:rFonts w:ascii="宋体" w:hAnsi="宋体"/>
      <w:bCs/>
      <w:smallCaps/>
      <w:szCs w:val="36"/>
    </w:rPr>
  </w:style>
  <w:style w:type="paragraph" w:customStyle="1" w:styleId="332">
    <w:name w:val="xl182"/>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333">
    <w:name w:val="wordah"/>
    <w:basedOn w:val="1"/>
    <w:qFormat/>
    <w:uiPriority w:val="99"/>
    <w:pPr>
      <w:widowControl/>
      <w:spacing w:before="100" w:beforeAutospacing="1" w:after="100" w:afterAutospacing="1"/>
      <w:jc w:val="left"/>
    </w:pPr>
    <w:rPr>
      <w:rFonts w:ascii="宋体" w:hAnsi="宋体" w:cs="宋体"/>
      <w:color w:val="A50009"/>
      <w:kern w:val="0"/>
      <w:sz w:val="24"/>
      <w:szCs w:val="24"/>
    </w:rPr>
  </w:style>
  <w:style w:type="paragraph" w:customStyle="1" w:styleId="334">
    <w:name w:val="wordhong-fw"/>
    <w:basedOn w:val="1"/>
    <w:qFormat/>
    <w:uiPriority w:val="99"/>
    <w:pPr>
      <w:widowControl/>
      <w:spacing w:before="100" w:beforeAutospacing="1" w:after="100" w:afterAutospacing="1"/>
      <w:jc w:val="left"/>
    </w:pPr>
    <w:rPr>
      <w:rFonts w:ascii="宋体" w:hAnsi="宋体" w:cs="宋体"/>
      <w:color w:val="C61511"/>
      <w:kern w:val="0"/>
      <w:sz w:val="24"/>
      <w:szCs w:val="24"/>
    </w:rPr>
  </w:style>
  <w:style w:type="paragraph" w:customStyle="1" w:styleId="335">
    <w:name w:val="自定义正文 Char Char"/>
    <w:basedOn w:val="1"/>
    <w:next w:val="1"/>
    <w:qFormat/>
    <w:uiPriority w:val="99"/>
    <w:pPr>
      <w:widowControl/>
      <w:spacing w:line="560" w:lineRule="exact"/>
      <w:ind w:firstLine="560" w:firstLineChars="200"/>
    </w:pPr>
    <w:rPr>
      <w:rFonts w:ascii="宋体" w:hAnsi="宋体"/>
      <w:sz w:val="28"/>
      <w:szCs w:val="28"/>
    </w:rPr>
  </w:style>
  <w:style w:type="paragraph" w:customStyle="1" w:styleId="336">
    <w:name w:val="新标题3"/>
    <w:basedOn w:val="3"/>
    <w:qFormat/>
    <w:uiPriority w:val="99"/>
    <w:pPr>
      <w:widowControl/>
      <w:suppressAutoHyphens/>
      <w:adjustRightInd w:val="0"/>
      <w:spacing w:before="120" w:after="60" w:line="320" w:lineRule="atLeast"/>
      <w:jc w:val="left"/>
      <w:textAlignment w:val="baseline"/>
      <w:outlineLvl w:val="3"/>
    </w:pPr>
    <w:rPr>
      <w:rFonts w:ascii="Times New Roman" w:hAnsi="Times New Roman"/>
      <w:bCs w:val="0"/>
      <w:spacing w:val="4"/>
      <w:kern w:val="0"/>
      <w:sz w:val="24"/>
      <w:szCs w:val="20"/>
    </w:rPr>
  </w:style>
  <w:style w:type="paragraph" w:customStyle="1" w:styleId="337">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33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Cs w:val="21"/>
    </w:rPr>
  </w:style>
  <w:style w:type="paragraph" w:customStyle="1" w:styleId="339">
    <w:name w:val="xl177"/>
    <w:basedOn w:val="1"/>
    <w:qFormat/>
    <w:uiPriority w:val="99"/>
    <w:pPr>
      <w:widowControl/>
      <w:pBdr>
        <w:top w:val="single" w:color="000000" w:sz="4" w:space="0"/>
        <w:right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340">
    <w:name w:val="biankhui"/>
    <w:basedOn w:val="1"/>
    <w:qFormat/>
    <w:uiPriority w:val="99"/>
    <w:pPr>
      <w:widowControl/>
      <w:pBdr>
        <w:top w:val="single" w:color="AEAEAE" w:sz="6" w:space="0"/>
        <w:left w:val="single" w:color="AEAEAE" w:sz="6" w:space="0"/>
        <w:bottom w:val="single" w:color="AEAEAE" w:sz="6" w:space="0"/>
        <w:right w:val="single" w:color="AEAEAE" w:sz="6" w:space="0"/>
      </w:pBdr>
      <w:spacing w:before="100" w:beforeAutospacing="1" w:after="100" w:afterAutospacing="1"/>
      <w:jc w:val="left"/>
    </w:pPr>
    <w:rPr>
      <w:rFonts w:ascii="宋体" w:hAnsi="宋体" w:cs="宋体"/>
      <w:kern w:val="0"/>
      <w:sz w:val="24"/>
      <w:szCs w:val="24"/>
    </w:rPr>
  </w:style>
  <w:style w:type="paragraph" w:customStyle="1" w:styleId="341">
    <w:name w:val="xl14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2">
    <w:name w:val="xl110"/>
    <w:basedOn w:val="1"/>
    <w:qFormat/>
    <w:uiPriority w:val="99"/>
    <w:pPr>
      <w:widowControl/>
      <w:pBdr>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43">
    <w:name w:val="步骤2"/>
    <w:basedOn w:val="1"/>
    <w:qFormat/>
    <w:uiPriority w:val="99"/>
    <w:pPr>
      <w:keepLines/>
      <w:widowControl/>
      <w:suppressAutoHyphens/>
      <w:adjustRightInd w:val="0"/>
      <w:spacing w:before="24" w:after="24" w:line="312" w:lineRule="atLeast"/>
      <w:ind w:left="964" w:hanging="539"/>
      <w:textAlignment w:val="baseline"/>
      <w:outlineLvl w:val="5"/>
    </w:pPr>
    <w:rPr>
      <w:rFonts w:ascii="宋体"/>
      <w:spacing w:val="4"/>
      <w:kern w:val="0"/>
    </w:rPr>
  </w:style>
  <w:style w:type="paragraph" w:customStyle="1" w:styleId="344">
    <w:name w:val="xl38"/>
    <w:basedOn w:val="1"/>
    <w:qFormat/>
    <w:uiPriority w:val="99"/>
    <w:pPr>
      <w:widowControl/>
      <w:spacing w:before="100" w:beforeAutospacing="1" w:after="100" w:afterAutospacing="1"/>
      <w:jc w:val="center"/>
      <w:textAlignment w:val="center"/>
    </w:pPr>
    <w:rPr>
      <w:rFonts w:ascii="宋体" w:hAnsi="宋体"/>
      <w:kern w:val="0"/>
      <w:sz w:val="20"/>
    </w:rPr>
  </w:style>
  <w:style w:type="paragraph" w:customStyle="1" w:styleId="345">
    <w:name w:val="15"/>
    <w:basedOn w:val="1"/>
    <w:qFormat/>
    <w:uiPriority w:val="99"/>
    <w:pPr>
      <w:widowControl/>
      <w:snapToGrid w:val="0"/>
      <w:spacing w:before="100" w:beforeAutospacing="1" w:after="100" w:afterAutospacing="1"/>
    </w:pPr>
    <w:rPr>
      <w:kern w:val="0"/>
      <w:sz w:val="20"/>
    </w:rPr>
  </w:style>
  <w:style w:type="paragraph" w:customStyle="1" w:styleId="346">
    <w:name w:val="xl197"/>
    <w:basedOn w:val="1"/>
    <w:qFormat/>
    <w:uiPriority w:val="99"/>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347">
    <w:name w:val="xl16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48">
    <w:name w:val="text_10b"/>
    <w:basedOn w:val="1"/>
    <w:qFormat/>
    <w:uiPriority w:val="99"/>
    <w:pPr>
      <w:widowControl/>
      <w:spacing w:before="100" w:beforeAutospacing="1" w:after="100" w:afterAutospacing="1" w:line="360" w:lineRule="auto"/>
      <w:jc w:val="left"/>
    </w:pPr>
    <w:rPr>
      <w:rFonts w:ascii="宋体" w:hAnsi="宋体" w:cs="宋体"/>
      <w:color w:val="000000"/>
      <w:kern w:val="0"/>
      <w:sz w:val="20"/>
    </w:rPr>
  </w:style>
  <w:style w:type="paragraph" w:customStyle="1" w:styleId="349">
    <w:name w:val="bg-g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0">
    <w:name w:val="xl221"/>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351">
    <w:name w:val="word-fw"/>
    <w:basedOn w:val="1"/>
    <w:qFormat/>
    <w:uiPriority w:val="99"/>
    <w:pPr>
      <w:widowControl/>
      <w:spacing w:before="100" w:beforeAutospacing="1" w:after="100" w:afterAutospacing="1"/>
      <w:jc w:val="left"/>
    </w:pPr>
    <w:rPr>
      <w:rFonts w:ascii="宋体" w:hAnsi="宋体" w:cs="宋体"/>
      <w:color w:val="2E2E2E"/>
      <w:kern w:val="0"/>
      <w:sz w:val="18"/>
      <w:szCs w:val="18"/>
    </w:rPr>
  </w:style>
  <w:style w:type="paragraph" w:customStyle="1" w:styleId="352">
    <w:name w:val="xl137"/>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53">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5"/>
      <w:szCs w:val="15"/>
    </w:rPr>
  </w:style>
  <w:style w:type="paragraph" w:customStyle="1" w:styleId="354">
    <w:name w:val="日期1"/>
    <w:basedOn w:val="1"/>
    <w:next w:val="1"/>
    <w:qFormat/>
    <w:uiPriority w:val="99"/>
    <w:pPr>
      <w:overflowPunct w:val="0"/>
      <w:autoSpaceDE w:val="0"/>
      <w:autoSpaceDN w:val="0"/>
      <w:adjustRightInd w:val="0"/>
      <w:textAlignment w:val="baseline"/>
    </w:pPr>
    <w:rPr>
      <w:rFonts w:ascii="宋体"/>
    </w:rPr>
  </w:style>
  <w:style w:type="paragraph" w:customStyle="1" w:styleId="355">
    <w:name w:val="标书标题4"/>
    <w:basedOn w:val="5"/>
    <w:qFormat/>
    <w:uiPriority w:val="99"/>
    <w:pPr>
      <w:spacing w:before="0" w:after="0" w:line="240" w:lineRule="auto"/>
    </w:pPr>
    <w:rPr>
      <w:rFonts w:ascii="黑体"/>
      <w:b w:val="0"/>
      <w:sz w:val="21"/>
    </w:rPr>
  </w:style>
  <w:style w:type="paragraph" w:customStyle="1" w:styleId="356">
    <w:name w:val="步骤"/>
    <w:basedOn w:val="1"/>
    <w:qFormat/>
    <w:uiPriority w:val="99"/>
    <w:pPr>
      <w:widowControl/>
      <w:adjustRightInd w:val="0"/>
      <w:spacing w:before="240" w:line="312" w:lineRule="atLeast"/>
      <w:ind w:left="454" w:hanging="454"/>
      <w:textAlignment w:val="baseline"/>
    </w:pPr>
    <w:rPr>
      <w:rFonts w:ascii="Arial" w:hAnsi="Arial" w:eastAsia="黑体"/>
      <w:b/>
      <w:kern w:val="0"/>
      <w:sz w:val="24"/>
    </w:rPr>
  </w:style>
  <w:style w:type="paragraph" w:customStyle="1" w:styleId="357">
    <w:name w:val="RFI text from 3rd Level"/>
    <w:basedOn w:val="1"/>
    <w:qFormat/>
    <w:uiPriority w:val="99"/>
    <w:pPr>
      <w:widowControl/>
      <w:tabs>
        <w:tab w:val="left" w:pos="1080"/>
      </w:tabs>
      <w:jc w:val="left"/>
    </w:pPr>
    <w:rPr>
      <w:rFonts w:ascii="Arial (W1)" w:hAnsi="Arial (W1)"/>
      <w:kern w:val="0"/>
      <w:sz w:val="24"/>
      <w:lang w:val="en-GB"/>
    </w:rPr>
  </w:style>
  <w:style w:type="paragraph" w:customStyle="1" w:styleId="35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359">
    <w:name w:val="xl148"/>
    <w:basedOn w:val="1"/>
    <w:qFormat/>
    <w:uiPriority w:val="99"/>
    <w:pPr>
      <w:widowControl/>
      <w:pBdr>
        <w:left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360">
    <w:name w:val="标书标题2"/>
    <w:basedOn w:val="3"/>
    <w:qFormat/>
    <w:uiPriority w:val="99"/>
    <w:pPr>
      <w:spacing w:before="0" w:after="0" w:line="240" w:lineRule="auto"/>
      <w:jc w:val="center"/>
    </w:pPr>
    <w:rPr>
      <w:b w:val="0"/>
      <w:sz w:val="28"/>
    </w:rPr>
  </w:style>
  <w:style w:type="paragraph" w:customStyle="1" w:styleId="361">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rPr>
  </w:style>
  <w:style w:type="paragraph" w:customStyle="1" w:styleId="362">
    <w:name w:val="xl184"/>
    <w:basedOn w:val="1"/>
    <w:qFormat/>
    <w:uiPriority w:val="99"/>
    <w:pPr>
      <w:widowControl/>
      <w:pBdr>
        <w:top w:val="single" w:color="auto" w:sz="4" w:space="0"/>
        <w:left w:val="single" w:color="000000"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63">
    <w:name w:val="xl4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364">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365">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18"/>
      <w:szCs w:val="18"/>
    </w:rPr>
  </w:style>
  <w:style w:type="paragraph" w:customStyle="1" w:styleId="36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367">
    <w:name w:val="xl11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368">
    <w:name w:val="xl191"/>
    <w:basedOn w:val="1"/>
    <w:qFormat/>
    <w:uiPriority w:val="99"/>
    <w:pPr>
      <w:widowControl/>
      <w:pBdr>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69">
    <w:name w:val="xl109"/>
    <w:basedOn w:val="1"/>
    <w:qFormat/>
    <w:uiPriority w:val="99"/>
    <w:pPr>
      <w:widowControl/>
      <w:pBdr>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70">
    <w:name w:val="9-ml"/>
    <w:basedOn w:val="1"/>
    <w:qFormat/>
    <w:uiPriority w:val="99"/>
    <w:pPr>
      <w:widowControl/>
      <w:spacing w:before="100" w:beforeAutospacing="1" w:after="100" w:afterAutospacing="1" w:line="432" w:lineRule="auto"/>
      <w:jc w:val="left"/>
    </w:pPr>
    <w:rPr>
      <w:rFonts w:ascii="宋体" w:hAnsi="宋体" w:cs="宋体"/>
      <w:b/>
      <w:bCs/>
      <w:color w:val="606031"/>
      <w:kern w:val="0"/>
      <w:sz w:val="18"/>
      <w:szCs w:val="18"/>
    </w:rPr>
  </w:style>
  <w:style w:type="paragraph" w:customStyle="1" w:styleId="371">
    <w:name w:val="Char11"/>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372">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373">
    <w:name w:val="样式 标题 2H2Heading 2 HiddenHeading 2 CCBS2nd levelh22Header..."/>
    <w:basedOn w:val="3"/>
    <w:qFormat/>
    <w:uiPriority w:val="99"/>
    <w:pPr>
      <w:jc w:val="center"/>
    </w:pPr>
    <w:rPr>
      <w:rFonts w:ascii="仿宋_GB2312" w:hAnsi="仿宋_GB2312" w:eastAsia="仿宋_GB2312"/>
      <w:sz w:val="28"/>
    </w:rPr>
  </w:style>
  <w:style w:type="paragraph" w:customStyle="1" w:styleId="374">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5">
    <w:name w:val="xl12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76">
    <w:name w:val="font0"/>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377">
    <w:name w:val="xl149"/>
    <w:basedOn w:val="1"/>
    <w:qFormat/>
    <w:uiPriority w:val="99"/>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378">
    <w:name w:val="Char31"/>
    <w:basedOn w:val="1"/>
    <w:qFormat/>
    <w:uiPriority w:val="99"/>
    <w:pPr>
      <w:widowControl/>
      <w:spacing w:after="160" w:line="240" w:lineRule="exact"/>
      <w:jc w:val="left"/>
    </w:pPr>
    <w:rPr>
      <w:rFonts w:ascii="Verdana" w:hAnsi="Verdana"/>
      <w:kern w:val="0"/>
      <w:sz w:val="20"/>
      <w:lang w:eastAsia="en-US"/>
    </w:rPr>
  </w:style>
  <w:style w:type="paragraph" w:customStyle="1" w:styleId="379">
    <w:name w:val="9-blackbold"/>
    <w:basedOn w:val="1"/>
    <w:qFormat/>
    <w:uiPriority w:val="99"/>
    <w:pPr>
      <w:widowControl/>
      <w:spacing w:before="100" w:beforeAutospacing="1" w:after="100" w:afterAutospacing="1"/>
      <w:jc w:val="left"/>
    </w:pPr>
    <w:rPr>
      <w:rFonts w:ascii="宋体" w:hAnsi="宋体" w:cs="宋体"/>
      <w:b/>
      <w:bCs/>
      <w:color w:val="636334"/>
      <w:kern w:val="0"/>
      <w:sz w:val="18"/>
      <w:szCs w:val="18"/>
    </w:rPr>
  </w:style>
  <w:style w:type="paragraph" w:customStyle="1" w:styleId="380">
    <w:name w:val="Char Char1 Char Char Char Char"/>
    <w:basedOn w:val="1"/>
    <w:qFormat/>
    <w:uiPriority w:val="99"/>
    <w:pPr>
      <w:keepNext/>
      <w:keepLines/>
      <w:adjustRightInd w:val="0"/>
      <w:spacing w:beforeLines="100" w:afterLines="100" w:line="300" w:lineRule="auto"/>
      <w:ind w:firstLine="200" w:firstLineChars="200"/>
      <w:textAlignment w:val="center"/>
    </w:pPr>
    <w:rPr>
      <w:rFonts w:ascii="仿宋_GB2312" w:hAnsi="宋体" w:eastAsia="仿宋_GB2312"/>
      <w:kern w:val="0"/>
      <w:sz w:val="24"/>
    </w:rPr>
  </w:style>
  <w:style w:type="paragraph" w:customStyle="1" w:styleId="381">
    <w:name w:val="步骤1"/>
    <w:basedOn w:val="1"/>
    <w:qFormat/>
    <w:uiPriority w:val="99"/>
    <w:pPr>
      <w:keepLines/>
      <w:widowControl/>
      <w:suppressAutoHyphens/>
      <w:spacing w:before="120" w:after="120" w:line="312" w:lineRule="atLeast"/>
      <w:ind w:left="652" w:hanging="227"/>
    </w:pPr>
    <w:rPr>
      <w:rFonts w:ascii="宋体"/>
      <w:b/>
      <w:spacing w:val="4"/>
    </w:rPr>
  </w:style>
  <w:style w:type="paragraph" w:customStyle="1" w:styleId="382">
    <w:name w:val="xl135"/>
    <w:basedOn w:val="1"/>
    <w:qFormat/>
    <w:uiPriority w:val="99"/>
    <w:pPr>
      <w:widowControl/>
      <w:pBdr>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83">
    <w:name w:val="xl170"/>
    <w:basedOn w:val="1"/>
    <w:qFormat/>
    <w:uiPriority w:val="99"/>
    <w:pPr>
      <w:widowControl/>
      <w:pBdr>
        <w:top w:val="single" w:color="000000" w:sz="4" w:space="0"/>
        <w:lef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384">
    <w:name w:val="xl151"/>
    <w:basedOn w:val="1"/>
    <w:qFormat/>
    <w:uiPriority w:val="99"/>
    <w:pPr>
      <w:widowControl/>
      <w:pBdr>
        <w:left w:val="single" w:color="auto" w:sz="4" w:space="0"/>
        <w:right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385">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6">
    <w:name w:val="新标题2"/>
    <w:basedOn w:val="2"/>
    <w:qFormat/>
    <w:uiPriority w:val="99"/>
    <w:pPr>
      <w:keepLines/>
      <w:widowControl/>
      <w:numPr>
        <w:numId w:val="0"/>
      </w:numPr>
      <w:suppressAutoHyphens/>
      <w:adjustRightInd w:val="0"/>
      <w:spacing w:before="240" w:after="120"/>
      <w:textAlignment w:val="baseline"/>
      <w:outlineLvl w:val="2"/>
    </w:pPr>
    <w:rPr>
      <w:b w:val="0"/>
      <w:spacing w:val="4"/>
      <w:kern w:val="44"/>
      <w:sz w:val="32"/>
    </w:rPr>
  </w:style>
  <w:style w:type="paragraph" w:customStyle="1" w:styleId="387">
    <w:name w:val="03"/>
    <w:basedOn w:val="1"/>
    <w:qFormat/>
    <w:uiPriority w:val="99"/>
    <w:pPr>
      <w:keepNext/>
      <w:keepLines/>
      <w:spacing w:before="100" w:beforeAutospacing="1" w:after="100" w:afterAutospacing="1"/>
      <w:ind w:left="50" w:hanging="50" w:hangingChars="50"/>
      <w:jc w:val="left"/>
      <w:outlineLvl w:val="2"/>
    </w:pPr>
    <w:rPr>
      <w:rFonts w:ascii="宋体" w:hAnsi="宋体" w:eastAsia="黑体" w:cs="宋体"/>
      <w:b/>
      <w:bCs/>
      <w:kern w:val="0"/>
      <w:sz w:val="32"/>
      <w:szCs w:val="18"/>
    </w:rPr>
  </w:style>
  <w:style w:type="paragraph" w:customStyle="1" w:styleId="388">
    <w:name w:val="新标题1"/>
    <w:basedOn w:val="386"/>
    <w:qFormat/>
    <w:uiPriority w:val="99"/>
    <w:pPr>
      <w:tabs>
        <w:tab w:val="clear" w:pos="360"/>
      </w:tabs>
      <w:outlineLvl w:val="1"/>
    </w:pPr>
    <w:rPr>
      <w:sz w:val="36"/>
    </w:rPr>
  </w:style>
  <w:style w:type="paragraph" w:customStyle="1" w:styleId="389">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90">
    <w:name w:val="Char1"/>
    <w:basedOn w:val="1"/>
    <w:qFormat/>
    <w:uiPriority w:val="99"/>
    <w:rPr>
      <w:rFonts w:ascii="仿宋_GB2312" w:eastAsia="仿宋_GB2312"/>
      <w:b/>
      <w:sz w:val="32"/>
      <w:szCs w:val="32"/>
    </w:rPr>
  </w:style>
  <w:style w:type="paragraph" w:customStyle="1" w:styleId="391">
    <w:name w:val="xl218"/>
    <w:basedOn w:val="1"/>
    <w:qFormat/>
    <w:uiPriority w:val="99"/>
    <w:pPr>
      <w:widowControl/>
      <w:pBdr>
        <w:top w:val="single" w:color="auto"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392">
    <w:name w:val="TOC 标题1"/>
    <w:basedOn w:val="2"/>
    <w:next w:val="1"/>
    <w:qFormat/>
    <w:uiPriority w:val="99"/>
    <w:pPr>
      <w:widowControl/>
      <w:tabs>
        <w:tab w:val="clear" w:pos="360"/>
      </w:tabs>
      <w:spacing w:before="480" w:line="276" w:lineRule="auto"/>
      <w:jc w:val="left"/>
      <w:outlineLvl w:val="9"/>
    </w:pPr>
    <w:rPr>
      <w:rFonts w:ascii="Cambria" w:hAnsi="Cambria"/>
      <w:color w:val="365F91"/>
      <w:kern w:val="0"/>
      <w:sz w:val="28"/>
      <w:szCs w:val="28"/>
    </w:rPr>
  </w:style>
  <w:style w:type="paragraph" w:customStyle="1" w:styleId="393">
    <w:name w:val="listdh-bd-1"/>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kern w:val="0"/>
      <w:sz w:val="24"/>
      <w:szCs w:val="24"/>
    </w:rPr>
  </w:style>
  <w:style w:type="paragraph" w:customStyle="1" w:styleId="394">
    <w:name w:val="项目编号1"/>
    <w:basedOn w:val="1"/>
    <w:qFormat/>
    <w:uiPriority w:val="99"/>
    <w:pPr>
      <w:numPr>
        <w:ilvl w:val="0"/>
        <w:numId w:val="12"/>
      </w:numPr>
      <w:spacing w:before="100" w:beforeAutospacing="1" w:after="100" w:afterAutospacing="1" w:line="360" w:lineRule="auto"/>
    </w:pPr>
    <w:rPr>
      <w:sz w:val="24"/>
      <w:szCs w:val="24"/>
    </w:rPr>
  </w:style>
  <w:style w:type="paragraph" w:customStyle="1" w:styleId="395">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FF0000"/>
      <w:kern w:val="0"/>
      <w:sz w:val="20"/>
    </w:rPr>
  </w:style>
  <w:style w:type="paragraph" w:customStyle="1" w:styleId="396">
    <w:name w:val="xl206"/>
    <w:basedOn w:val="1"/>
    <w:qFormat/>
    <w:uiPriority w:val="99"/>
    <w:pPr>
      <w:widowControl/>
      <w:pBdr>
        <w:bottom w:val="single" w:color="000000"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397">
    <w:name w:val="xl14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398">
    <w:name w:val="Char12"/>
    <w:basedOn w:val="1"/>
    <w:qFormat/>
    <w:uiPriority w:val="99"/>
    <w:pPr>
      <w:spacing w:line="440" w:lineRule="atLeast"/>
      <w:ind w:firstLine="482" w:firstLineChars="200"/>
    </w:pPr>
    <w:rPr>
      <w:rFonts w:ascii="宋体" w:hAnsi="宋体"/>
      <w:b/>
      <w:color w:val="000000"/>
      <w:sz w:val="24"/>
      <w:szCs w:val="24"/>
    </w:rPr>
  </w:style>
  <w:style w:type="paragraph" w:customStyle="1" w:styleId="399">
    <w:name w:val="文本正文"/>
    <w:basedOn w:val="1"/>
    <w:next w:val="28"/>
    <w:qFormat/>
    <w:uiPriority w:val="99"/>
    <w:pPr>
      <w:widowControl/>
      <w:spacing w:after="160" w:line="240" w:lineRule="exact"/>
      <w:jc w:val="left"/>
    </w:pPr>
    <w:rPr>
      <w:rFonts w:ascii="Verdana" w:hAnsi="Verdana" w:eastAsia="仿宋_GB2312"/>
      <w:kern w:val="0"/>
      <w:sz w:val="24"/>
      <w:lang w:eastAsia="en-US"/>
    </w:rPr>
  </w:style>
  <w:style w:type="paragraph" w:customStyle="1" w:styleId="400">
    <w:name w:val="xl168"/>
    <w:basedOn w:val="1"/>
    <w:qFormat/>
    <w:uiPriority w:val="99"/>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01">
    <w:name w:val="xl13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02">
    <w:name w:val="xl205"/>
    <w:basedOn w:val="1"/>
    <w:qFormat/>
    <w:uiPriority w:val="99"/>
    <w:pPr>
      <w:widowControl/>
      <w:pBdr>
        <w:bottom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403">
    <w:name w:val="xl1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04">
    <w:name w:val="shuoming-dh"/>
    <w:basedOn w:val="1"/>
    <w:qFormat/>
    <w:uiPriority w:val="99"/>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405">
    <w:name w:val="xl193"/>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406">
    <w:name w:val="font8"/>
    <w:basedOn w:val="1"/>
    <w:qFormat/>
    <w:uiPriority w:val="99"/>
    <w:pPr>
      <w:widowControl/>
      <w:spacing w:before="100" w:beforeAutospacing="1" w:after="100" w:afterAutospacing="1"/>
      <w:jc w:val="left"/>
    </w:pPr>
    <w:rPr>
      <w:color w:val="000000"/>
      <w:kern w:val="0"/>
      <w:szCs w:val="21"/>
    </w:rPr>
  </w:style>
  <w:style w:type="paragraph" w:customStyle="1" w:styleId="407">
    <w:name w:val="xl134"/>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08">
    <w:name w:val="xl169"/>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09">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0">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411">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412">
    <w:name w:val="xl12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13">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41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15">
    <w:name w:val="xl133"/>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16">
    <w:name w:val="xl16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41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18">
    <w:name w:val="xl152"/>
    <w:basedOn w:val="1"/>
    <w:qFormat/>
    <w:uiPriority w:val="99"/>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419">
    <w:name w:val="xl129"/>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20">
    <w:name w:val="xl172"/>
    <w:basedOn w:val="1"/>
    <w:qFormat/>
    <w:uiPriority w:val="99"/>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421">
    <w:name w:val="02"/>
    <w:basedOn w:val="1"/>
    <w:qFormat/>
    <w:uiPriority w:val="99"/>
    <w:pPr>
      <w:keepNext/>
      <w:keepLines/>
      <w:spacing w:before="100" w:beforeAutospacing="1" w:after="100" w:afterAutospacing="1"/>
      <w:ind w:left="50" w:hanging="50" w:hangingChars="50"/>
      <w:jc w:val="left"/>
      <w:outlineLvl w:val="1"/>
    </w:pPr>
    <w:rPr>
      <w:rFonts w:ascii="Tahoma" w:hAnsi="Tahoma" w:eastAsia="黑体"/>
      <w:b/>
      <w:sz w:val="36"/>
    </w:rPr>
  </w:style>
  <w:style w:type="paragraph" w:customStyle="1" w:styleId="422">
    <w:name w:val="xl187"/>
    <w:basedOn w:val="1"/>
    <w:qFormat/>
    <w:uiPriority w:val="99"/>
    <w:pPr>
      <w:widowControl/>
      <w:pBdr>
        <w:top w:val="single" w:color="auto" w:sz="4" w:space="0"/>
        <w:left w:val="single" w:color="000000" w:sz="4" w:space="0"/>
        <w:bottom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42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24">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25">
    <w:name w:val="xl132"/>
    <w:basedOn w:val="1"/>
    <w:qFormat/>
    <w:uiPriority w:val="99"/>
    <w:pPr>
      <w:widowControl/>
      <w:pBdr>
        <w:top w:val="single" w:color="auto" w:sz="4" w:space="0"/>
        <w:left w:val="single" w:color="auto" w:sz="4" w:space="0"/>
      </w:pBdr>
      <w:shd w:val="clear" w:color="000000" w:fill="auto"/>
      <w:spacing w:before="100" w:beforeAutospacing="1" w:after="100" w:afterAutospacing="1"/>
      <w:jc w:val="center"/>
      <w:textAlignment w:val="center"/>
    </w:pPr>
    <w:rPr>
      <w:rFonts w:ascii="宋体" w:hAnsi="宋体" w:cs="宋体"/>
      <w:kern w:val="0"/>
      <w:sz w:val="20"/>
    </w:rPr>
  </w:style>
  <w:style w:type="paragraph" w:customStyle="1" w:styleId="426">
    <w:name w:val="xl224"/>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cs="宋体"/>
      <w:b/>
      <w:bCs/>
      <w:kern w:val="0"/>
      <w:sz w:val="24"/>
      <w:szCs w:val="24"/>
    </w:rPr>
  </w:style>
  <w:style w:type="paragraph" w:customStyle="1" w:styleId="427">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rPr>
  </w:style>
  <w:style w:type="paragraph" w:customStyle="1" w:styleId="428">
    <w:name w:val="xl180"/>
    <w:basedOn w:val="1"/>
    <w:qFormat/>
    <w:uiPriority w:val="99"/>
    <w:pPr>
      <w:widowControl/>
      <w:pBdr>
        <w:left w:val="single" w:color="000000" w:sz="4" w:space="0"/>
        <w:bottom w:val="single" w:color="000000"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429">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30">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31">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432">
    <w:name w:val="xl12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33">
    <w:name w:val="xl1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434">
    <w:name w:val="xl166"/>
    <w:basedOn w:val="1"/>
    <w:qFormat/>
    <w:uiPriority w:val="99"/>
    <w:pPr>
      <w:widowControl/>
      <w:pBdr>
        <w:top w:val="single" w:color="000000" w:sz="4" w:space="0"/>
        <w:left w:val="single" w:color="000000"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35">
    <w:name w:val="xl216"/>
    <w:basedOn w:val="1"/>
    <w:qFormat/>
    <w:uiPriority w:val="99"/>
    <w:pPr>
      <w:widowControl/>
      <w:pBdr>
        <w:top w:val="single" w:color="auto" w:sz="4" w:space="0"/>
        <w:left w:val="single" w:color="000000"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436">
    <w:name w:val="word4"/>
    <w:basedOn w:val="1"/>
    <w:qFormat/>
    <w:uiPriority w:val="99"/>
    <w:pPr>
      <w:widowControl/>
      <w:spacing w:before="100" w:beforeAutospacing="1" w:after="100" w:afterAutospacing="1"/>
      <w:jc w:val="left"/>
    </w:pPr>
    <w:rPr>
      <w:rFonts w:ascii="宋体" w:hAnsi="宋体" w:cs="宋体"/>
      <w:color w:val="FFCCFF"/>
      <w:kern w:val="0"/>
      <w:szCs w:val="21"/>
    </w:rPr>
  </w:style>
  <w:style w:type="paragraph" w:customStyle="1" w:styleId="437">
    <w:name w:val="_Style 12"/>
    <w:basedOn w:val="1"/>
    <w:qFormat/>
    <w:uiPriority w:val="99"/>
    <w:pPr>
      <w:widowControl/>
      <w:spacing w:after="160" w:line="240" w:lineRule="exact"/>
      <w:jc w:val="left"/>
    </w:pPr>
    <w:rPr>
      <w:sz w:val="28"/>
    </w:rPr>
  </w:style>
  <w:style w:type="paragraph" w:customStyle="1" w:styleId="43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439">
    <w:name w:val="shurumm"/>
    <w:basedOn w:val="1"/>
    <w:qFormat/>
    <w:uiPriority w:val="99"/>
    <w:pPr>
      <w:widowControl/>
      <w:pBdr>
        <w:top w:val="single" w:color="ADADAD" w:sz="6" w:space="0"/>
        <w:left w:val="single" w:color="ADADAD" w:sz="6" w:space="0"/>
        <w:bottom w:val="single" w:color="ADADAD" w:sz="6" w:space="0"/>
        <w:right w:val="single" w:color="ADADAD" w:sz="6" w:space="0"/>
      </w:pBdr>
      <w:spacing w:before="100" w:beforeAutospacing="1" w:after="100" w:afterAutospacing="1"/>
      <w:jc w:val="left"/>
    </w:pPr>
    <w:rPr>
      <w:rFonts w:ascii="宋体" w:hAnsi="宋体" w:cs="宋体"/>
      <w:kern w:val="0"/>
      <w:sz w:val="24"/>
      <w:szCs w:val="24"/>
    </w:rPr>
  </w:style>
  <w:style w:type="paragraph" w:customStyle="1" w:styleId="440">
    <w:name w:val="SecC"/>
    <w:qFormat/>
    <w:uiPriority w:val="99"/>
    <w:pPr>
      <w:tabs>
        <w:tab w:val="left" w:pos="1701"/>
        <w:tab w:val="left" w:pos="2126"/>
        <w:tab w:val="left" w:pos="2552"/>
        <w:tab w:val="left" w:pos="3969"/>
        <w:tab w:val="left" w:pos="5670"/>
        <w:tab w:val="right" w:pos="7938"/>
      </w:tabs>
      <w:ind w:left="1701" w:hanging="1701"/>
      <w:jc w:val="both"/>
    </w:pPr>
    <w:rPr>
      <w:rFonts w:ascii="Frutiger 55 Roman" w:hAnsi="Frutiger 55 Roman" w:eastAsia="宋体" w:cs="Times New Roman"/>
      <w:sz w:val="22"/>
      <w:lang w:val="en-GB" w:eastAsia="zh-CN" w:bidi="ar-SA"/>
    </w:rPr>
  </w:style>
  <w:style w:type="paragraph" w:customStyle="1" w:styleId="441">
    <w:name w:val="xl186"/>
    <w:basedOn w:val="1"/>
    <w:qFormat/>
    <w:uiPriority w:val="99"/>
    <w:pPr>
      <w:widowControl/>
      <w:pBdr>
        <w:top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42">
    <w:name w:val="1_2em2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44">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445">
    <w:name w:val="text_9b"/>
    <w:basedOn w:val="1"/>
    <w:qFormat/>
    <w:uiPriority w:val="99"/>
    <w:pPr>
      <w:widowControl/>
      <w:spacing w:before="100" w:beforeAutospacing="1" w:after="100" w:afterAutospacing="1" w:line="384" w:lineRule="auto"/>
      <w:jc w:val="left"/>
    </w:pPr>
    <w:rPr>
      <w:rFonts w:ascii="宋体" w:hAnsi="宋体" w:cs="宋体"/>
      <w:color w:val="000000"/>
      <w:kern w:val="0"/>
      <w:sz w:val="18"/>
      <w:szCs w:val="18"/>
    </w:rPr>
  </w:style>
  <w:style w:type="paragraph" w:customStyle="1" w:styleId="446">
    <w:name w:val="wordhong-dh"/>
    <w:basedOn w:val="1"/>
    <w:qFormat/>
    <w:uiPriority w:val="99"/>
    <w:pPr>
      <w:widowControl/>
      <w:spacing w:before="100" w:beforeAutospacing="1" w:after="100" w:afterAutospacing="1"/>
      <w:jc w:val="left"/>
    </w:pPr>
    <w:rPr>
      <w:rFonts w:ascii="宋体" w:hAnsi="宋体" w:cs="宋体"/>
      <w:b/>
      <w:bCs/>
      <w:color w:val="FF0000"/>
      <w:kern w:val="0"/>
      <w:sz w:val="24"/>
      <w:szCs w:val="24"/>
    </w:rPr>
  </w:style>
  <w:style w:type="paragraph" w:customStyle="1" w:styleId="447">
    <w:name w:val="xl2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448">
    <w:name w:val="xl213"/>
    <w:basedOn w:val="1"/>
    <w:qFormat/>
    <w:uiPriority w:val="99"/>
    <w:pPr>
      <w:widowControl/>
      <w:pBdr>
        <w:top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49">
    <w:name w:val="xl204"/>
    <w:basedOn w:val="1"/>
    <w:qFormat/>
    <w:uiPriority w:val="99"/>
    <w:pPr>
      <w:widowControl/>
      <w:pBdr>
        <w:top w:val="single" w:color="auto" w:sz="4" w:space="0"/>
        <w:bottom w:val="single" w:color="000000"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45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451">
    <w:name w:val="xl139"/>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452">
    <w:name w:val="默认段落字体 Para Char"/>
    <w:basedOn w:val="1"/>
    <w:qFormat/>
    <w:uiPriority w:val="99"/>
  </w:style>
  <w:style w:type="paragraph" w:customStyle="1" w:styleId="453">
    <w:name w:val="xl217"/>
    <w:basedOn w:val="1"/>
    <w:qFormat/>
    <w:uiPriority w:val="99"/>
    <w:pPr>
      <w:widowControl/>
      <w:pBdr>
        <w:top w:val="single" w:color="auto" w:sz="4" w:space="0"/>
        <w:bottom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454">
    <w:name w:val="xl198"/>
    <w:basedOn w:val="1"/>
    <w:qFormat/>
    <w:uiPriority w:val="99"/>
    <w:pPr>
      <w:widowControl/>
      <w:pBdr>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455">
    <w:name w:val="Text"/>
    <w:basedOn w:val="1"/>
    <w:qFormat/>
    <w:uiPriority w:val="99"/>
    <w:pPr>
      <w:widowControl/>
    </w:pPr>
    <w:rPr>
      <w:rFonts w:ascii="Arial" w:hAnsi="Arial"/>
      <w:kern w:val="0"/>
      <w:sz w:val="24"/>
      <w:lang w:val="en-AU" w:eastAsia="en-US"/>
    </w:rPr>
  </w:style>
  <w:style w:type="paragraph" w:customStyle="1" w:styleId="456">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57">
    <w:name w:val="wordw"/>
    <w:basedOn w:val="1"/>
    <w:qFormat/>
    <w:uiPriority w:val="99"/>
    <w:pPr>
      <w:widowControl/>
      <w:spacing w:before="100" w:beforeAutospacing="1" w:after="100" w:afterAutospacing="1" w:line="384" w:lineRule="auto"/>
      <w:jc w:val="left"/>
    </w:pPr>
    <w:rPr>
      <w:rFonts w:ascii="??" w:hAnsi="??" w:cs="宋体"/>
      <w:b/>
      <w:bCs/>
      <w:color w:val="FFFFFF"/>
      <w:kern w:val="0"/>
      <w:sz w:val="18"/>
      <w:szCs w:val="18"/>
    </w:rPr>
  </w:style>
  <w:style w:type="paragraph" w:customStyle="1" w:styleId="458">
    <w:name w:val="word5"/>
    <w:basedOn w:val="1"/>
    <w:qFormat/>
    <w:uiPriority w:val="99"/>
    <w:pPr>
      <w:widowControl/>
      <w:spacing w:before="100" w:beforeAutospacing="1" w:after="100" w:afterAutospacing="1"/>
      <w:jc w:val="left"/>
    </w:pPr>
    <w:rPr>
      <w:rFonts w:ascii="宋体" w:hAnsi="宋体" w:cs="宋体"/>
      <w:color w:val="FF0000"/>
      <w:kern w:val="0"/>
      <w:sz w:val="24"/>
      <w:szCs w:val="24"/>
    </w:rPr>
  </w:style>
  <w:style w:type="paragraph" w:customStyle="1" w:styleId="459">
    <w:name w:val="xl12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styleId="460">
    <w:name w:val="List Paragraph"/>
    <w:basedOn w:val="1"/>
    <w:link w:val="540"/>
    <w:qFormat/>
    <w:uiPriority w:val="99"/>
    <w:pPr>
      <w:ind w:firstLine="420" w:firstLineChars="200"/>
    </w:pPr>
  </w:style>
  <w:style w:type="paragraph" w:customStyle="1" w:styleId="461">
    <w:name w:val="xl19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62">
    <w:name w:val="xl196"/>
    <w:basedOn w:val="1"/>
    <w:qFormat/>
    <w:uiPriority w:val="99"/>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463">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464">
    <w:name w:val="xl223"/>
    <w:basedOn w:val="1"/>
    <w:qFormat/>
    <w:uiPriority w:val="99"/>
    <w:pPr>
      <w:widowControl/>
      <w:pBdr>
        <w:top w:val="single" w:color="000000" w:sz="4" w:space="0"/>
        <w:bottom w:val="single" w:color="000000" w:sz="4" w:space="0"/>
      </w:pBdr>
      <w:spacing w:before="100" w:beforeAutospacing="1" w:after="100" w:afterAutospacing="1"/>
      <w:jc w:val="left"/>
    </w:pPr>
    <w:rPr>
      <w:rFonts w:ascii="宋体" w:hAnsi="宋体" w:cs="宋体"/>
      <w:b/>
      <w:bCs/>
      <w:kern w:val="0"/>
      <w:sz w:val="24"/>
      <w:szCs w:val="24"/>
    </w:rPr>
  </w:style>
  <w:style w:type="paragraph" w:customStyle="1" w:styleId="465">
    <w:name w:val="xl215"/>
    <w:basedOn w:val="1"/>
    <w:qFormat/>
    <w:uiPriority w:val="99"/>
    <w:pPr>
      <w:widowControl/>
      <w:pBdr>
        <w:top w:val="single" w:color="auto" w:sz="4" w:space="0"/>
        <w:bottom w:val="single" w:color="000000" w:sz="4" w:space="0"/>
      </w:pBdr>
      <w:spacing w:before="100" w:beforeAutospacing="1" w:after="100" w:afterAutospacing="1"/>
      <w:jc w:val="center"/>
      <w:textAlignment w:val="center"/>
    </w:pPr>
    <w:rPr>
      <w:rFonts w:ascii="宋体" w:hAnsi="宋体" w:cs="宋体"/>
      <w:kern w:val="0"/>
      <w:sz w:val="24"/>
      <w:szCs w:val="24"/>
    </w:rPr>
  </w:style>
  <w:style w:type="paragraph" w:customStyle="1" w:styleId="466">
    <w:name w:val="正文11"/>
    <w:basedOn w:val="1"/>
    <w:qFormat/>
    <w:uiPriority w:val="99"/>
    <w:pPr>
      <w:spacing w:after="120" w:line="360" w:lineRule="auto"/>
      <w:ind w:firstLine="425"/>
    </w:pPr>
    <w:rPr>
      <w:rFonts w:ascii="Arial" w:hAnsi="Arial"/>
      <w:spacing w:val="8"/>
      <w:sz w:val="24"/>
    </w:rPr>
  </w:style>
  <w:style w:type="paragraph" w:customStyle="1" w:styleId="467">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468">
    <w:name w:val="xl157"/>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rPr>
  </w:style>
  <w:style w:type="paragraph" w:customStyle="1" w:styleId="469">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70">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1">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Cs w:val="21"/>
    </w:rPr>
  </w:style>
  <w:style w:type="paragraph" w:customStyle="1" w:styleId="472">
    <w:name w:val="正文0"/>
    <w:basedOn w:val="1"/>
    <w:qFormat/>
    <w:uiPriority w:val="99"/>
    <w:pPr>
      <w:keepNext/>
      <w:keepLines/>
      <w:widowControl/>
      <w:adjustRightInd w:val="0"/>
      <w:spacing w:line="312" w:lineRule="atLeast"/>
      <w:ind w:firstLine="425"/>
      <w:textAlignment w:val="baseline"/>
    </w:pPr>
    <w:rPr>
      <w:rFonts w:ascii="宋体"/>
      <w:spacing w:val="4"/>
      <w:kern w:val="0"/>
    </w:rPr>
  </w:style>
  <w:style w:type="paragraph" w:customStyle="1" w:styleId="473">
    <w:name w:val="xl1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74">
    <w:name w:val="样式 楷体_GB2312 四号 加粗 居中"/>
    <w:basedOn w:val="1"/>
    <w:qFormat/>
    <w:uiPriority w:val="99"/>
    <w:pPr>
      <w:adjustRightInd w:val="0"/>
      <w:jc w:val="center"/>
    </w:pPr>
    <w:rPr>
      <w:rFonts w:ascii="楷体_GB2312" w:eastAsia="楷体_GB2312"/>
      <w:b/>
      <w:sz w:val="28"/>
      <w:szCs w:val="28"/>
    </w:rPr>
  </w:style>
  <w:style w:type="paragraph" w:customStyle="1" w:styleId="475">
    <w:name w:val="CM20"/>
    <w:basedOn w:val="372"/>
    <w:next w:val="372"/>
    <w:qFormat/>
    <w:uiPriority w:val="99"/>
    <w:pPr>
      <w:spacing w:after="263"/>
    </w:pPr>
    <w:rPr>
      <w:color w:val="auto"/>
    </w:rPr>
  </w:style>
  <w:style w:type="paragraph" w:customStyle="1" w:styleId="476">
    <w:name w:val="xl105"/>
    <w:basedOn w:val="1"/>
    <w:qFormat/>
    <w:uiPriority w:val="99"/>
    <w:pPr>
      <w:widowControl/>
      <w:pBdr>
        <w:bottom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477">
    <w:name w:val="xl219"/>
    <w:basedOn w:val="1"/>
    <w:qFormat/>
    <w:uiPriority w:val="99"/>
    <w:pPr>
      <w:widowControl/>
      <w:pBdr>
        <w:top w:val="single" w:color="000000" w:sz="4" w:space="0"/>
        <w:left w:val="single" w:color="000000"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478">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79">
    <w:name w:val="Style Plain Text + First line:  2.18 ch"/>
    <w:basedOn w:val="38"/>
    <w:qFormat/>
    <w:uiPriority w:val="99"/>
    <w:pPr>
      <w:widowControl/>
      <w:spacing w:line="360" w:lineRule="auto"/>
      <w:ind w:firstLine="523" w:firstLineChars="218"/>
      <w:jc w:val="left"/>
    </w:pPr>
    <w:rPr>
      <w:rFonts w:ascii="Times New Roman" w:hAnsi="Times New Roman" w:cs="宋体"/>
      <w:kern w:val="0"/>
      <w:sz w:val="24"/>
      <w:lang w:eastAsia="en-US"/>
    </w:rPr>
  </w:style>
  <w:style w:type="paragraph" w:customStyle="1" w:styleId="480">
    <w:name w:val="xl47"/>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481">
    <w:name w:val="list-fw2"/>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color w:val="2E2E2E"/>
      <w:kern w:val="0"/>
      <w:sz w:val="18"/>
      <w:szCs w:val="18"/>
    </w:rPr>
  </w:style>
  <w:style w:type="paragraph" w:customStyle="1" w:styleId="482">
    <w:name w:val="font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483">
    <w:name w:val="xl181"/>
    <w:basedOn w:val="1"/>
    <w:qFormat/>
    <w:uiPriority w:val="99"/>
    <w:pPr>
      <w:widowControl/>
      <w:pBdr>
        <w:bottom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484">
    <w:name w:val="listdh-bd"/>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kern w:val="0"/>
      <w:sz w:val="24"/>
      <w:szCs w:val="24"/>
    </w:rPr>
  </w:style>
  <w:style w:type="paragraph" w:customStyle="1" w:styleId="485">
    <w:name w:val="xl15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color w:val="000000"/>
      <w:kern w:val="0"/>
      <w:szCs w:val="21"/>
    </w:rPr>
  </w:style>
  <w:style w:type="paragraph" w:customStyle="1" w:styleId="486">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rPr>
  </w:style>
  <w:style w:type="paragraph" w:customStyle="1" w:styleId="487">
    <w:name w:val="xl106"/>
    <w:basedOn w:val="1"/>
    <w:qFormat/>
    <w:uiPriority w:val="99"/>
    <w:pPr>
      <w:widowControl/>
      <w:pBdr>
        <w:bottom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88">
    <w:name w:val="xl142"/>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仿宋_GB2312" w:hAnsi="宋体" w:eastAsia="仿宋_GB2312" w:cs="宋体"/>
      <w:b/>
      <w:bCs/>
      <w:kern w:val="0"/>
      <w:szCs w:val="21"/>
    </w:rPr>
  </w:style>
  <w:style w:type="paragraph" w:customStyle="1" w:styleId="489">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rPr>
  </w:style>
  <w:style w:type="paragraph" w:customStyle="1" w:styleId="490">
    <w:name w:val="PROJ TYPE"/>
    <w:basedOn w:val="1"/>
    <w:qFormat/>
    <w:uiPriority w:val="99"/>
    <w:pPr>
      <w:widowControl/>
      <w:spacing w:before="240" w:after="120"/>
      <w:jc w:val="center"/>
    </w:pPr>
    <w:rPr>
      <w:rFonts w:ascii="Arial" w:hAnsi="Arial"/>
      <w:b/>
      <w:kern w:val="0"/>
      <w:sz w:val="32"/>
    </w:rPr>
  </w:style>
  <w:style w:type="paragraph" w:customStyle="1" w:styleId="4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492">
    <w:name w:val="wordshui"/>
    <w:basedOn w:val="1"/>
    <w:qFormat/>
    <w:uiPriority w:val="99"/>
    <w:pPr>
      <w:widowControl/>
      <w:spacing w:before="100" w:beforeAutospacing="1" w:after="100" w:afterAutospacing="1"/>
      <w:jc w:val="left"/>
    </w:pPr>
    <w:rPr>
      <w:rFonts w:ascii="宋体" w:hAnsi="宋体" w:cs="宋体"/>
      <w:color w:val="4C4C4C"/>
      <w:kern w:val="0"/>
      <w:sz w:val="24"/>
      <w:szCs w:val="24"/>
    </w:rPr>
  </w:style>
  <w:style w:type="paragraph" w:customStyle="1" w:styleId="493">
    <w:name w:val="xl183"/>
    <w:basedOn w:val="1"/>
    <w:qFormat/>
    <w:uiPriority w:val="99"/>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494">
    <w:name w:val="wordhui-dh"/>
    <w:basedOn w:val="1"/>
    <w:qFormat/>
    <w:uiPriority w:val="99"/>
    <w:pPr>
      <w:widowControl/>
      <w:spacing w:before="100" w:beforeAutospacing="1" w:after="100" w:afterAutospacing="1"/>
      <w:jc w:val="left"/>
    </w:pPr>
    <w:rPr>
      <w:rFonts w:ascii="宋体" w:hAnsi="宋体" w:cs="宋体"/>
      <w:b/>
      <w:bCs/>
      <w:color w:val="4E4848"/>
      <w:kern w:val="0"/>
      <w:sz w:val="24"/>
      <w:szCs w:val="24"/>
    </w:rPr>
  </w:style>
  <w:style w:type="paragraph" w:customStyle="1" w:styleId="495">
    <w:name w:val="xl115"/>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496">
    <w:name w:val="表格文字"/>
    <w:qFormat/>
    <w:uiPriority w:val="99"/>
    <w:pPr>
      <w:spacing w:line="360" w:lineRule="auto"/>
      <w:ind w:left="-10" w:leftChars="-5"/>
      <w:jc w:val="center"/>
    </w:pPr>
    <w:rPr>
      <w:rFonts w:ascii="Times New Roman" w:hAnsi="Times New Roman" w:eastAsia="宋体" w:cs="Times New Roman"/>
      <w:iCs/>
      <w:kern w:val="2"/>
      <w:sz w:val="21"/>
      <w:szCs w:val="21"/>
      <w:lang w:val="zh-CN" w:eastAsia="zh-CN" w:bidi="ar-SA"/>
    </w:rPr>
  </w:style>
  <w:style w:type="paragraph" w:customStyle="1" w:styleId="497">
    <w:name w:val="答复"/>
    <w:basedOn w:val="18"/>
    <w:next w:val="1"/>
    <w:qFormat/>
    <w:uiPriority w:val="99"/>
    <w:pPr>
      <w:adjustRightInd/>
      <w:spacing w:line="360" w:lineRule="auto"/>
      <w:ind w:firstLine="0"/>
      <w:jc w:val="both"/>
      <w:textAlignment w:val="auto"/>
    </w:pPr>
    <w:rPr>
      <w:rFonts w:eastAsia="宋体"/>
      <w:b/>
      <w:spacing w:val="20"/>
    </w:rPr>
  </w:style>
  <w:style w:type="paragraph" w:customStyle="1" w:styleId="498">
    <w:name w:val="首行缩进"/>
    <w:basedOn w:val="1"/>
    <w:qFormat/>
    <w:uiPriority w:val="99"/>
    <w:pPr>
      <w:widowControl/>
      <w:tabs>
        <w:tab w:val="left" w:pos="735"/>
      </w:tabs>
      <w:spacing w:line="460" w:lineRule="exact"/>
      <w:ind w:firstLine="200" w:firstLineChars="200"/>
      <w:jc w:val="left"/>
    </w:pPr>
    <w:rPr>
      <w:kern w:val="0"/>
      <w:sz w:val="24"/>
    </w:rPr>
  </w:style>
  <w:style w:type="paragraph" w:customStyle="1" w:styleId="499">
    <w:name w:val="xl171"/>
    <w:basedOn w:val="1"/>
    <w:qFormat/>
    <w:uiPriority w:val="99"/>
    <w:pPr>
      <w:widowControl/>
      <w:pBdr>
        <w:top w:val="single" w:color="000000" w:sz="4" w:space="0"/>
        <w:right w:val="single" w:color="000000" w:sz="4"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500">
    <w:name w:val="xl150"/>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501">
    <w:name w:val="xl165"/>
    <w:basedOn w:val="1"/>
    <w:qFormat/>
    <w:uiPriority w:val="99"/>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502">
    <w:name w:val="xl11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03">
    <w:name w:val="12-ml"/>
    <w:basedOn w:val="1"/>
    <w:qFormat/>
    <w:uiPriority w:val="99"/>
    <w:pPr>
      <w:widowControl/>
      <w:spacing w:before="100" w:beforeAutospacing="1" w:after="100" w:afterAutospacing="1"/>
      <w:jc w:val="left"/>
    </w:pPr>
    <w:rPr>
      <w:rFonts w:ascii="宋体" w:hAnsi="宋体" w:cs="宋体"/>
      <w:b/>
      <w:bCs/>
      <w:color w:val="996600"/>
      <w:kern w:val="0"/>
      <w:sz w:val="24"/>
      <w:szCs w:val="24"/>
    </w:rPr>
  </w:style>
  <w:style w:type="paragraph" w:customStyle="1" w:styleId="504">
    <w:name w:val="xl178"/>
    <w:basedOn w:val="1"/>
    <w:qFormat/>
    <w:uiPriority w:val="99"/>
    <w:pPr>
      <w:widowControl/>
      <w:pBdr>
        <w:top w:val="single" w:color="000000" w:sz="4" w:space="0"/>
        <w:left w:val="single" w:color="000000"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05">
    <w:name w:val="xl122"/>
    <w:basedOn w:val="1"/>
    <w:qFormat/>
    <w:uiPriority w:val="99"/>
    <w:pPr>
      <w:widowControl/>
      <w:pBdr>
        <w:top w:val="single" w:color="auto" w:sz="4" w:space="0"/>
        <w:bottom w:val="single" w:color="auto" w:sz="4" w:space="0"/>
        <w:right w:val="single" w:color="auto" w:sz="4" w:space="0"/>
      </w:pBdr>
      <w:shd w:val="clear" w:color="000000" w:fill="auto"/>
      <w:spacing w:before="100" w:beforeAutospacing="1" w:after="100" w:afterAutospacing="1"/>
      <w:jc w:val="left"/>
      <w:textAlignment w:val="center"/>
    </w:pPr>
    <w:rPr>
      <w:rFonts w:ascii="宋体" w:hAnsi="宋体" w:cs="宋体"/>
      <w:b/>
      <w:bCs/>
      <w:kern w:val="0"/>
      <w:sz w:val="24"/>
      <w:szCs w:val="24"/>
    </w:rPr>
  </w:style>
  <w:style w:type="paragraph" w:customStyle="1" w:styleId="506">
    <w:name w:val="xl185"/>
    <w:basedOn w:val="1"/>
    <w:qFormat/>
    <w:uiPriority w:val="99"/>
    <w:pPr>
      <w:widowControl/>
      <w:pBdr>
        <w:top w:val="single" w:color="auto" w:sz="4" w:space="0"/>
        <w:bottom w:val="single" w:color="auto" w:sz="4" w:space="0"/>
        <w:right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507">
    <w:name w:val="标题21"/>
    <w:basedOn w:val="1"/>
    <w:qFormat/>
    <w:uiPriority w:val="99"/>
    <w:rPr>
      <w:szCs w:val="24"/>
    </w:rPr>
  </w:style>
  <w:style w:type="paragraph" w:customStyle="1" w:styleId="508">
    <w:name w:val="xl210"/>
    <w:basedOn w:val="1"/>
    <w:qFormat/>
    <w:uiPriority w:val="99"/>
    <w:pPr>
      <w:widowControl/>
      <w:pBdr>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20"/>
    </w:rPr>
  </w:style>
  <w:style w:type="paragraph" w:customStyle="1" w:styleId="509">
    <w:name w:val="word3"/>
    <w:basedOn w:val="1"/>
    <w:qFormat/>
    <w:uiPriority w:val="99"/>
    <w:pPr>
      <w:widowControl/>
      <w:spacing w:before="100" w:beforeAutospacing="1" w:after="100" w:afterAutospacing="1"/>
      <w:jc w:val="left"/>
    </w:pPr>
    <w:rPr>
      <w:rFonts w:ascii="宋体" w:hAnsi="宋体" w:cs="宋体"/>
      <w:color w:val="66FFFF"/>
      <w:kern w:val="0"/>
      <w:szCs w:val="21"/>
    </w:rPr>
  </w:style>
  <w:style w:type="paragraph" w:customStyle="1" w:styleId="510">
    <w:name w:val="Char Char Char Char Char Char Char"/>
    <w:basedOn w:val="1"/>
    <w:qFormat/>
    <w:uiPriority w:val="99"/>
    <w:pPr>
      <w:tabs>
        <w:tab w:val="left" w:pos="432"/>
      </w:tabs>
      <w:ind w:left="432" w:hanging="432"/>
    </w:pPr>
    <w:rPr>
      <w:rFonts w:ascii="Tahoma" w:hAnsi="Tahoma"/>
      <w:sz w:val="24"/>
    </w:rPr>
  </w:style>
  <w:style w:type="paragraph" w:customStyle="1" w:styleId="511">
    <w:name w:val="xl11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12">
    <w:name w:val="xl2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3">
    <w:name w:val="list-fw1"/>
    <w:basedOn w:val="1"/>
    <w:qFormat/>
    <w:uiPriority w:val="99"/>
    <w:pPr>
      <w:widowControl/>
      <w:pBdr>
        <w:top w:val="single" w:color="A5B2B9" w:sz="6" w:space="2"/>
        <w:left w:val="single" w:color="A5B2B9" w:sz="6" w:space="2"/>
        <w:bottom w:val="single" w:color="A5B2B9" w:sz="6" w:space="2"/>
        <w:right w:val="single" w:color="A5B2B9" w:sz="6" w:space="2"/>
      </w:pBdr>
      <w:spacing w:before="100" w:beforeAutospacing="1" w:after="100" w:afterAutospacing="1"/>
      <w:jc w:val="left"/>
    </w:pPr>
    <w:rPr>
      <w:rFonts w:ascii="宋体" w:hAnsi="宋体" w:cs="宋体"/>
      <w:color w:val="2E2E2E"/>
      <w:kern w:val="0"/>
      <w:sz w:val="18"/>
      <w:szCs w:val="18"/>
    </w:rPr>
  </w:style>
  <w:style w:type="paragraph" w:customStyle="1" w:styleId="514">
    <w:name w:val="9-hui"/>
    <w:basedOn w:val="1"/>
    <w:qFormat/>
    <w:uiPriority w:val="99"/>
    <w:pPr>
      <w:widowControl/>
      <w:spacing w:before="100" w:beforeAutospacing="1" w:after="100" w:afterAutospacing="1" w:line="360" w:lineRule="auto"/>
      <w:jc w:val="left"/>
    </w:pPr>
    <w:rPr>
      <w:rFonts w:ascii="宋体" w:hAnsi="宋体" w:cs="宋体"/>
      <w:b/>
      <w:bCs/>
      <w:color w:val="888888"/>
      <w:kern w:val="0"/>
      <w:sz w:val="18"/>
      <w:szCs w:val="18"/>
    </w:rPr>
  </w:style>
  <w:style w:type="paragraph" w:customStyle="1" w:styleId="515">
    <w:name w:val="Char Char Char Char Char Char Char1"/>
    <w:basedOn w:val="1"/>
    <w:qFormat/>
    <w:uiPriority w:val="99"/>
    <w:pPr>
      <w:tabs>
        <w:tab w:val="left" w:pos="432"/>
      </w:tabs>
      <w:ind w:left="432" w:hanging="432"/>
    </w:pPr>
    <w:rPr>
      <w:rFonts w:ascii="Tahoma" w:hAnsi="Tahoma"/>
      <w:sz w:val="24"/>
    </w:rPr>
  </w:style>
  <w:style w:type="paragraph" w:customStyle="1" w:styleId="516">
    <w:name w:val="Char Char1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517">
    <w:name w:val="xl188"/>
    <w:basedOn w:val="1"/>
    <w:qFormat/>
    <w:uiPriority w:val="99"/>
    <w:pPr>
      <w:widowControl/>
      <w:pBdr>
        <w:top w:val="single" w:color="auto"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0"/>
    </w:rPr>
  </w:style>
  <w:style w:type="paragraph" w:customStyle="1" w:styleId="518">
    <w:name w:val="9-write"/>
    <w:basedOn w:val="1"/>
    <w:qFormat/>
    <w:uiPriority w:val="99"/>
    <w:pPr>
      <w:widowControl/>
      <w:spacing w:before="100" w:beforeAutospacing="1" w:after="100" w:afterAutospacing="1" w:line="384" w:lineRule="auto"/>
      <w:jc w:val="left"/>
    </w:pPr>
    <w:rPr>
      <w:rFonts w:ascii="宋体" w:hAnsi="宋体" w:cs="宋体"/>
      <w:b/>
      <w:bCs/>
      <w:color w:val="FFFFFF"/>
      <w:kern w:val="0"/>
      <w:sz w:val="18"/>
      <w:szCs w:val="18"/>
    </w:rPr>
  </w:style>
  <w:style w:type="paragraph" w:customStyle="1" w:styleId="519">
    <w:name w:val="列出段落1"/>
    <w:basedOn w:val="1"/>
    <w:qFormat/>
    <w:uiPriority w:val="99"/>
    <w:pPr>
      <w:ind w:firstLine="420" w:firstLineChars="200"/>
      <w:jc w:val="left"/>
    </w:pPr>
    <w:rPr>
      <w:rFonts w:ascii="Calibri" w:hAnsi="Calibri"/>
      <w:szCs w:val="22"/>
    </w:rPr>
  </w:style>
  <w:style w:type="paragraph" w:customStyle="1" w:styleId="520">
    <w:name w:val="bg-my"/>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522">
    <w:name w:val="word2"/>
    <w:basedOn w:val="1"/>
    <w:qFormat/>
    <w:uiPriority w:val="99"/>
    <w:pPr>
      <w:widowControl/>
      <w:spacing w:before="100" w:beforeAutospacing="1" w:after="100" w:afterAutospacing="1"/>
      <w:jc w:val="left"/>
    </w:pPr>
    <w:rPr>
      <w:rFonts w:ascii="宋体" w:hAnsi="宋体" w:cs="宋体"/>
      <w:color w:val="00FF00"/>
      <w:kern w:val="0"/>
      <w:szCs w:val="21"/>
    </w:rPr>
  </w:style>
  <w:style w:type="paragraph" w:styleId="523">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4">
    <w:name w:val="xl194"/>
    <w:basedOn w:val="1"/>
    <w:qFormat/>
    <w:uiPriority w:val="99"/>
    <w:pPr>
      <w:widowControl/>
      <w:pBdr>
        <w:top w:val="single" w:color="000000"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2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526">
    <w:name w:val="xl116"/>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527">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28">
    <w:name w:val="3"/>
    <w:basedOn w:val="460"/>
    <w:link w:val="541"/>
    <w:qFormat/>
    <w:uiPriority w:val="99"/>
    <w:pPr>
      <w:autoSpaceDE w:val="0"/>
      <w:autoSpaceDN w:val="0"/>
      <w:adjustRightInd w:val="0"/>
      <w:jc w:val="left"/>
    </w:pPr>
    <w:rPr>
      <w:rFonts w:ascii="黑体" w:eastAsia="黑体"/>
      <w:kern w:val="0"/>
      <w:sz w:val="20"/>
    </w:rPr>
  </w:style>
  <w:style w:type="paragraph" w:customStyle="1" w:styleId="52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30">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rPr>
  </w:style>
  <w:style w:type="paragraph" w:customStyle="1" w:styleId="531">
    <w:name w:val="bg-zw"/>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2">
    <w:name w:val="说明"/>
    <w:basedOn w:val="1"/>
    <w:qFormat/>
    <w:uiPriority w:val="99"/>
    <w:pPr>
      <w:numPr>
        <w:ilvl w:val="0"/>
        <w:numId w:val="13"/>
      </w:numPr>
      <w:tabs>
        <w:tab w:val="left" w:pos="1275"/>
        <w:tab w:val="clear" w:pos="425"/>
      </w:tabs>
      <w:adjustRightInd w:val="0"/>
      <w:spacing w:line="312" w:lineRule="atLeast"/>
      <w:ind w:left="1275"/>
      <w:textAlignment w:val="baseline"/>
    </w:pPr>
    <w:rPr>
      <w:kern w:val="0"/>
    </w:rPr>
  </w:style>
  <w:style w:type="paragraph" w:customStyle="1" w:styleId="533">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rPr>
  </w:style>
  <w:style w:type="paragraph" w:customStyle="1" w:styleId="534">
    <w:name w:val="word14"/>
    <w:basedOn w:val="1"/>
    <w:qFormat/>
    <w:uiPriority w:val="99"/>
    <w:pPr>
      <w:widowControl/>
      <w:spacing w:before="100" w:beforeAutospacing="1" w:after="100" w:afterAutospacing="1"/>
      <w:jc w:val="left"/>
    </w:pPr>
    <w:rPr>
      <w:rFonts w:ascii="宋体" w:hAnsi="宋体" w:cs="宋体"/>
      <w:kern w:val="0"/>
      <w:szCs w:val="21"/>
    </w:rPr>
  </w:style>
  <w:style w:type="character" w:customStyle="1" w:styleId="535">
    <w:name w:val="标题 2 Char Char"/>
    <w:qFormat/>
    <w:uiPriority w:val="99"/>
    <w:rPr>
      <w:rFonts w:ascii="Arial" w:hAnsi="Arial" w:eastAsia="宋体" w:cs="Times New Roman"/>
      <w:b/>
      <w:bCs/>
      <w:kern w:val="2"/>
      <w:sz w:val="32"/>
      <w:szCs w:val="32"/>
      <w:lang w:val="en-US" w:eastAsia="zh-CN" w:bidi="ar-SA"/>
    </w:rPr>
  </w:style>
  <w:style w:type="character" w:customStyle="1" w:styleId="536">
    <w:name w:val="font71"/>
    <w:basedOn w:val="75"/>
    <w:qFormat/>
    <w:uiPriority w:val="99"/>
    <w:rPr>
      <w:rFonts w:ascii="Arial" w:hAnsi="Arial" w:cs="Arial"/>
      <w:b/>
      <w:color w:val="000000"/>
      <w:sz w:val="24"/>
      <w:szCs w:val="24"/>
      <w:u w:val="none"/>
    </w:rPr>
  </w:style>
  <w:style w:type="character" w:customStyle="1" w:styleId="537">
    <w:name w:val="font31"/>
    <w:qFormat/>
    <w:uiPriority w:val="99"/>
    <w:rPr>
      <w:rFonts w:ascii="幼圆" w:hAnsi="幼圆" w:eastAsia="幼圆" w:cs="幼圆"/>
      <w:b/>
      <w:color w:val="000000"/>
      <w:sz w:val="24"/>
      <w:szCs w:val="24"/>
      <w:u w:val="none"/>
    </w:rPr>
  </w:style>
  <w:style w:type="paragraph" w:customStyle="1" w:styleId="538">
    <w:name w:val="1正文"/>
    <w:basedOn w:val="1"/>
    <w:qFormat/>
    <w:uiPriority w:val="99"/>
    <w:pPr>
      <w:spacing w:beforeLines="50" w:line="360" w:lineRule="auto"/>
      <w:ind w:firstLine="480" w:firstLineChars="200"/>
    </w:pPr>
    <w:rPr>
      <w:rFonts w:ascii="宋体" w:hAnsi="宋体"/>
      <w:kern w:val="0"/>
      <w:sz w:val="24"/>
      <w:szCs w:val="24"/>
    </w:rPr>
  </w:style>
  <w:style w:type="paragraph" w:customStyle="1" w:styleId="539">
    <w:name w:val="4"/>
    <w:basedOn w:val="528"/>
    <w:link w:val="543"/>
    <w:qFormat/>
    <w:uiPriority w:val="99"/>
    <w:pPr>
      <w:autoSpaceDE/>
      <w:autoSpaceDN/>
      <w:adjustRightInd/>
      <w:spacing w:before="240" w:after="240" w:line="360" w:lineRule="auto"/>
      <w:ind w:left="851" w:hanging="851"/>
      <w:jc w:val="both"/>
      <w:outlineLvl w:val="3"/>
    </w:pPr>
    <w:rPr>
      <w:rFonts w:ascii="Calibri" w:hAnsi="Calibri"/>
    </w:rPr>
  </w:style>
  <w:style w:type="character" w:customStyle="1" w:styleId="540">
    <w:name w:val="列出段落 字符"/>
    <w:link w:val="460"/>
    <w:qFormat/>
    <w:locked/>
    <w:uiPriority w:val="99"/>
    <w:rPr>
      <w:rFonts w:cs="Times New Roman"/>
    </w:rPr>
  </w:style>
  <w:style w:type="character" w:customStyle="1" w:styleId="541">
    <w:name w:val="3 字符"/>
    <w:link w:val="528"/>
    <w:qFormat/>
    <w:locked/>
    <w:uiPriority w:val="99"/>
    <w:rPr>
      <w:rFonts w:ascii="黑体" w:eastAsia="黑体" w:cs="Times New Roman"/>
    </w:rPr>
  </w:style>
  <w:style w:type="paragraph" w:customStyle="1" w:styleId="542">
    <w:name w:val="2"/>
    <w:basedOn w:val="528"/>
    <w:link w:val="544"/>
    <w:qFormat/>
    <w:uiPriority w:val="99"/>
    <w:pPr>
      <w:autoSpaceDE/>
      <w:autoSpaceDN/>
      <w:adjustRightInd/>
      <w:spacing w:before="240" w:after="240" w:line="360" w:lineRule="auto"/>
      <w:ind w:left="567" w:hanging="567"/>
      <w:jc w:val="both"/>
      <w:outlineLvl w:val="1"/>
    </w:pPr>
    <w:rPr>
      <w:rFonts w:ascii="Calibri" w:hAnsi="Calibri"/>
      <w:b/>
      <w:kern w:val="2"/>
      <w:sz w:val="28"/>
      <w:szCs w:val="21"/>
    </w:rPr>
  </w:style>
  <w:style w:type="character" w:customStyle="1" w:styleId="543">
    <w:name w:val="4 字符"/>
    <w:link w:val="539"/>
    <w:qFormat/>
    <w:locked/>
    <w:uiPriority w:val="99"/>
    <w:rPr>
      <w:rFonts w:ascii="Calibri" w:hAnsi="Calibri" w:eastAsia="黑体" w:cs="Times New Roman"/>
    </w:rPr>
  </w:style>
  <w:style w:type="character" w:customStyle="1" w:styleId="544">
    <w:name w:val="2 字符"/>
    <w:link w:val="542"/>
    <w:qFormat/>
    <w:locked/>
    <w:uiPriority w:val="99"/>
    <w:rPr>
      <w:rFonts w:ascii="Calibri" w:hAnsi="Calibri" w:eastAsia="黑体" w:cs="Times New Roman"/>
      <w:b/>
      <w:kern w:val="2"/>
      <w:sz w:val="21"/>
      <w:szCs w:val="21"/>
    </w:rPr>
  </w:style>
  <w:style w:type="paragraph" w:customStyle="1" w:styleId="545">
    <w:name w:val="01"/>
    <w:basedOn w:val="542"/>
    <w:qFormat/>
    <w:uiPriority w:val="99"/>
    <w:pPr>
      <w:keepLines/>
      <w:pageBreakBefore/>
      <w:tabs>
        <w:tab w:val="left" w:pos="360"/>
      </w:tabs>
      <w:spacing w:before="0" w:after="100" w:afterAutospacing="1"/>
      <w:ind w:left="142" w:hanging="142"/>
      <w:jc w:val="center"/>
      <w:outlineLvl w:val="0"/>
    </w:pPr>
    <w:rPr>
      <w:sz w:val="44"/>
    </w:rPr>
  </w:style>
  <w:style w:type="paragraph" w:customStyle="1" w:styleId="546">
    <w:name w:val="样式 正文首行缩进 2 + 首行缩进:  2 字符"/>
    <w:basedOn w:val="1"/>
    <w:qFormat/>
    <w:uiPriority w:val="99"/>
    <w:pPr>
      <w:widowControl/>
      <w:adjustRightInd w:val="0"/>
      <w:snapToGrid w:val="0"/>
      <w:spacing w:after="200" w:line="360" w:lineRule="auto"/>
      <w:ind w:firstLine="480" w:firstLineChars="200"/>
      <w:jc w:val="left"/>
    </w:pPr>
    <w:rPr>
      <w:rFonts w:ascii="Tahoma" w:hAnsi="Tahoma" w:eastAsia="微软雅黑"/>
      <w:kern w:val="0"/>
      <w:sz w:val="22"/>
      <w:szCs w:val="21"/>
    </w:rPr>
  </w:style>
  <w:style w:type="paragraph" w:customStyle="1" w:styleId="547">
    <w:name w:val="无间距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48">
    <w:name w:val="TOC 标题2"/>
    <w:basedOn w:val="2"/>
    <w:next w:val="1"/>
    <w:qFormat/>
    <w:uiPriority w:val="99"/>
    <w:pPr>
      <w:keepLines/>
      <w:widowControl/>
      <w:numPr>
        <w:numId w:val="0"/>
      </w:numPr>
      <w:spacing w:before="240" w:line="259" w:lineRule="auto"/>
      <w:jc w:val="left"/>
      <w:outlineLvl w:val="9"/>
    </w:pPr>
    <w:rPr>
      <w:rFonts w:ascii="Cambria" w:hAnsi="Cambria"/>
      <w:b w:val="0"/>
      <w:color w:val="365F91"/>
      <w:kern w:val="0"/>
      <w:sz w:val="32"/>
      <w:szCs w:val="32"/>
    </w:rPr>
  </w:style>
  <w:style w:type="paragraph" w:customStyle="1" w:styleId="549">
    <w:name w:val="P2"/>
    <w:basedOn w:val="1"/>
    <w:qFormat/>
    <w:uiPriority w:val="99"/>
    <w:pPr>
      <w:adjustRightInd w:val="0"/>
      <w:spacing w:beforeLines="50" w:line="300" w:lineRule="auto"/>
      <w:ind w:left="578" w:firstLine="480" w:firstLineChars="200"/>
      <w:textAlignment w:val="baseline"/>
    </w:pPr>
    <w:rPr>
      <w:rFonts w:ascii="Times" w:hAnsi="Times"/>
      <w:kern w:val="0"/>
      <w:sz w:val="24"/>
      <w:lang w:val="en-GB"/>
    </w:rPr>
  </w:style>
  <w:style w:type="paragraph" w:customStyle="1" w:styleId="550">
    <w:name w:val="样式"/>
    <w:basedOn w:val="1"/>
    <w:qFormat/>
    <w:uiPriority w:val="99"/>
    <w:pPr>
      <w:numPr>
        <w:ilvl w:val="0"/>
        <w:numId w:val="14"/>
      </w:numPr>
      <w:tabs>
        <w:tab w:val="left" w:pos="567"/>
      </w:tabs>
      <w:snapToGrid w:val="0"/>
      <w:spacing w:line="460" w:lineRule="atLeast"/>
    </w:pPr>
    <w:rPr>
      <w:rFonts w:ascii="Arial" w:hAnsi="Arial"/>
      <w:spacing w:val="6"/>
      <w:sz w:val="24"/>
    </w:rPr>
  </w:style>
  <w:style w:type="paragraph" w:customStyle="1" w:styleId="551">
    <w:name w:val="缩进正文"/>
    <w:basedOn w:val="1"/>
    <w:qFormat/>
    <w:uiPriority w:val="0"/>
    <w:pPr>
      <w:adjustRightInd w:val="0"/>
      <w:spacing w:line="360" w:lineRule="auto"/>
      <w:ind w:firstLine="200" w:firstLineChars="200"/>
      <w:jc w:val="left"/>
    </w:pPr>
    <w:rPr>
      <w:rFonts w:ascii="Calibri" w:hAnsi="Calibri"/>
      <w:sz w:val="24"/>
      <w:lang w:val="zh-CN" w:eastAsia="zh-CN"/>
    </w:rPr>
  </w:style>
  <w:style w:type="character" w:customStyle="1" w:styleId="552">
    <w:name w:val="font01"/>
    <w:basedOn w:val="75"/>
    <w:qFormat/>
    <w:uiPriority w:val="0"/>
    <w:rPr>
      <w:rFonts w:hint="eastAsia" w:ascii="宋体" w:hAnsi="宋体" w:eastAsia="宋体" w:cs="宋体"/>
      <w:b/>
      <w:color w:val="000000"/>
      <w:sz w:val="22"/>
      <w:szCs w:val="22"/>
      <w:u w:val="none"/>
    </w:rPr>
  </w:style>
  <w:style w:type="character" w:customStyle="1" w:styleId="553">
    <w:name w:val="font21"/>
    <w:basedOn w:val="7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9296</Words>
  <Characters>52989</Characters>
  <Lines>441</Lines>
  <Paragraphs>124</Paragraphs>
  <TotalTime>1</TotalTime>
  <ScaleCrop>false</ScaleCrop>
  <LinksUpToDate>false</LinksUpToDate>
  <CharactersWithSpaces>62161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2019-05-04T01:41:00Z</dcterms:created>
  <dc:creator>雨林木风</dc:creator>
  <cp:lastModifiedBy>Administrator</cp:lastModifiedBy>
  <cp:lastPrinted>2018-11-13T11:11:00Z</cp:lastPrinted>
  <dcterms:modified xsi:type="dcterms:W3CDTF">2020-09-04T09:05:30Z</dcterms:modified>
  <dc:title>哈密地区政府采购中心</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