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7"/>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eastAsia="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pPr>
        <w:pStyle w:val="327"/>
        <w:shd w:val="clear" w:color="auto" w:fill="FFFFFF"/>
        <w:spacing w:line="360" w:lineRule="auto"/>
        <w:jc w:val="center"/>
        <w:rPr>
          <w:rFonts w:hint="eastAsia" w:ascii="仿宋" w:hAnsi="仿宋" w:eastAsia="仿宋" w:cs="仿宋"/>
          <w:color w:val="auto"/>
          <w:kern w:val="2"/>
          <w:sz w:val="32"/>
          <w:szCs w:val="32"/>
        </w:rPr>
      </w:pPr>
    </w:p>
    <w:p>
      <w:pPr>
        <w:pStyle w:val="327"/>
        <w:shd w:val="clear" w:color="auto" w:fill="FFFFFF"/>
        <w:spacing w:line="400" w:lineRule="exact"/>
        <w:jc w:val="both"/>
        <w:rPr>
          <w:rFonts w:hint="eastAsia" w:ascii="仿宋" w:hAnsi="仿宋" w:eastAsia="仿宋" w:cs="仿宋"/>
          <w:color w:val="auto"/>
          <w:kern w:val="2"/>
          <w:sz w:val="32"/>
          <w:szCs w:val="32"/>
        </w:rPr>
      </w:pPr>
    </w:p>
    <w:p>
      <w:pPr>
        <w:pStyle w:val="327"/>
        <w:shd w:val="clear" w:color="auto" w:fill="FFFFFF"/>
        <w:spacing w:line="400" w:lineRule="exact"/>
        <w:jc w:val="center"/>
        <w:rPr>
          <w:rFonts w:hint="eastAsia" w:ascii="仿宋" w:hAnsi="仿宋" w:eastAsia="仿宋" w:cs="仿宋"/>
          <w:color w:val="auto"/>
          <w:kern w:val="2"/>
          <w:sz w:val="36"/>
          <w:szCs w:val="36"/>
        </w:rPr>
      </w:pPr>
    </w:p>
    <w:p>
      <w:pPr>
        <w:pStyle w:val="327"/>
        <w:shd w:val="clear" w:color="auto" w:fill="FFFFFF"/>
        <w:spacing w:line="360" w:lineRule="auto"/>
        <w:jc w:val="center"/>
        <w:rPr>
          <w:rFonts w:hint="eastAsia" w:ascii="宋体" w:hAnsi="宋体" w:eastAsia="宋体" w:cs="宋体"/>
          <w:b/>
          <w:color w:val="auto"/>
          <w:spacing w:val="60"/>
          <w:kern w:val="2"/>
          <w:sz w:val="36"/>
          <w:szCs w:val="36"/>
          <w:lang w:val="en-US" w:eastAsia="zh-CN" w:bidi="ar-SA"/>
        </w:rPr>
      </w:pPr>
      <w:r>
        <w:rPr>
          <w:rFonts w:hint="eastAsia" w:ascii="宋体" w:hAnsi="宋体" w:cs="宋体"/>
          <w:b/>
          <w:color w:val="auto"/>
          <w:spacing w:val="60"/>
          <w:kern w:val="2"/>
          <w:sz w:val="36"/>
          <w:szCs w:val="36"/>
          <w:lang w:val="en-US" w:eastAsia="zh-CN" w:bidi="ar-SA"/>
        </w:rPr>
        <w:t>新疆维吾尔自治区2022年全国农作物病虫疫情监测中心田间监测点建设项目</w:t>
      </w:r>
      <w:r>
        <w:rPr>
          <w:rFonts w:hint="eastAsia" w:ascii="宋体" w:hAnsi="宋体" w:eastAsia="宋体" w:cs="宋体"/>
          <w:b/>
          <w:color w:val="auto"/>
          <w:spacing w:val="60"/>
          <w:kern w:val="2"/>
          <w:sz w:val="36"/>
          <w:szCs w:val="36"/>
          <w:lang w:val="en-US" w:eastAsia="zh-CN" w:bidi="ar-SA"/>
        </w:rPr>
        <w:t xml:space="preserve"> </w:t>
      </w:r>
    </w:p>
    <w:p>
      <w:pPr>
        <w:pStyle w:val="327"/>
        <w:shd w:val="clear" w:color="auto" w:fill="FFFFFF"/>
        <w:spacing w:line="360" w:lineRule="auto"/>
        <w:jc w:val="both"/>
        <w:rPr>
          <w:rFonts w:hint="eastAsia" w:ascii="仿宋" w:hAnsi="仿宋" w:eastAsia="仿宋" w:cs="仿宋"/>
          <w:color w:val="auto"/>
          <w:kern w:val="2"/>
          <w:sz w:val="32"/>
          <w:szCs w:val="32"/>
        </w:rPr>
      </w:pPr>
    </w:p>
    <w:p>
      <w:pPr>
        <w:pStyle w:val="327"/>
        <w:shd w:val="clear" w:color="auto" w:fill="FFFFFF"/>
        <w:spacing w:line="400" w:lineRule="exact"/>
        <w:jc w:val="center"/>
        <w:rPr>
          <w:rFonts w:hint="eastAsia" w:ascii="仿宋" w:hAnsi="仿宋" w:eastAsia="仿宋" w:cs="仿宋"/>
          <w:color w:val="auto"/>
          <w:kern w:val="2"/>
          <w:sz w:val="32"/>
          <w:szCs w:val="32"/>
        </w:rPr>
      </w:pPr>
    </w:p>
    <w:p>
      <w:pPr>
        <w:spacing w:line="360" w:lineRule="auto"/>
        <w:ind w:right="17"/>
        <w:jc w:val="center"/>
        <w:rPr>
          <w:rFonts w:hint="eastAsia" w:ascii="宋体" w:hAnsi="宋体" w:eastAsia="宋体" w:cs="宋体"/>
          <w:b/>
          <w:color w:val="auto"/>
          <w:sz w:val="30"/>
          <w:szCs w:val="30"/>
        </w:rPr>
      </w:pPr>
      <w:r>
        <w:rPr>
          <w:rFonts w:hint="eastAsia" w:ascii="宋体" w:hAnsi="宋体" w:eastAsia="宋体" w:cs="宋体"/>
          <w:b/>
          <w:color w:val="auto"/>
          <w:spacing w:val="60"/>
          <w:sz w:val="84"/>
          <w:szCs w:val="84"/>
        </w:rPr>
        <w:t>招标文件</w:t>
      </w:r>
    </w:p>
    <w:p>
      <w:pPr>
        <w:spacing w:line="360" w:lineRule="auto"/>
        <w:jc w:val="center"/>
        <w:rPr>
          <w:rFonts w:hint="eastAsia" w:ascii="宋体" w:hAnsi="宋体" w:eastAsia="宋体" w:cs="宋体"/>
          <w:b/>
          <w:color w:val="auto"/>
          <w:sz w:val="32"/>
          <w:szCs w:val="32"/>
        </w:rPr>
      </w:pPr>
    </w:p>
    <w:p>
      <w:pPr>
        <w:spacing w:line="360" w:lineRule="auto"/>
        <w:ind w:right="17"/>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lang w:eastAsia="zh-CN"/>
        </w:rPr>
        <w:t>XJLY23HW019</w:t>
      </w:r>
    </w:p>
    <w:p>
      <w:pPr>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w w:val="90"/>
          <w:sz w:val="36"/>
          <w:szCs w:val="36"/>
        </w:rPr>
        <w:t xml:space="preserve">           </w:t>
      </w:r>
    </w:p>
    <w:p>
      <w:pPr>
        <w:pStyle w:val="31"/>
        <w:rPr>
          <w:rFonts w:hint="eastAsia" w:ascii="宋体" w:hAnsi="宋体" w:eastAsia="宋体" w:cs="宋体"/>
          <w:color w:val="auto"/>
          <w:sz w:val="28"/>
          <w:szCs w:val="28"/>
        </w:rPr>
      </w:pPr>
    </w:p>
    <w:p>
      <w:pPr>
        <w:spacing w:line="360" w:lineRule="auto"/>
        <w:ind w:right="17"/>
        <w:rPr>
          <w:rFonts w:hint="eastAsia" w:ascii="宋体" w:hAnsi="宋体" w:eastAsia="宋体" w:cs="宋体"/>
          <w:color w:val="auto"/>
          <w:sz w:val="28"/>
          <w:szCs w:val="28"/>
        </w:rPr>
      </w:pPr>
    </w:p>
    <w:p>
      <w:pPr>
        <w:spacing w:line="360" w:lineRule="auto"/>
        <w:ind w:firstLine="281" w:firstLineChars="1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采</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eastAsia="zh-CN"/>
        </w:rPr>
        <w:t>新疆维吾尔自治区植物保护站</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采购代理机构：新疆凌云天成工程管理咨询有限公司</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联</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eastAsia="宋体" w:cs="宋体"/>
          <w:b/>
          <w:bCs/>
          <w:color w:val="auto"/>
          <w:sz w:val="28"/>
          <w:szCs w:val="28"/>
          <w:lang w:val="en-US" w:eastAsia="zh-CN"/>
        </w:rPr>
        <w:t>许蕊、孙德林</w:t>
      </w:r>
      <w:r>
        <w:rPr>
          <w:rFonts w:hint="eastAsia" w:ascii="宋体" w:hAnsi="宋体" w:eastAsia="宋体" w:cs="宋体"/>
          <w:b/>
          <w:bCs/>
          <w:color w:val="auto"/>
          <w:sz w:val="28"/>
          <w:szCs w:val="28"/>
        </w:rPr>
        <w:t xml:space="preserve">       </w:t>
      </w:r>
    </w:p>
    <w:p>
      <w:pPr>
        <w:spacing w:line="36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联</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电</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话：0991-3193958</w:t>
      </w:r>
    </w:p>
    <w:p>
      <w:pPr>
        <w:pStyle w:val="31"/>
        <w:rPr>
          <w:rFonts w:hint="eastAsia" w:ascii="宋体" w:hAnsi="宋体" w:eastAsia="宋体" w:cs="宋体"/>
          <w:b/>
          <w:bCs/>
          <w:color w:val="auto"/>
          <w:sz w:val="28"/>
          <w:szCs w:val="28"/>
        </w:rPr>
      </w:pPr>
    </w:p>
    <w:p>
      <w:pPr>
        <w:pStyle w:val="327"/>
        <w:shd w:val="clear" w:color="auto" w:fill="FFFFFF"/>
        <w:spacing w:line="400" w:lineRule="exact"/>
        <w:jc w:val="center"/>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lang w:val="en-US" w:eastAsia="zh-CN"/>
        </w:rPr>
        <w:t xml:space="preserve">                   </w:t>
      </w:r>
    </w:p>
    <w:p>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4" w:type="default"/>
          <w:footerReference r:id="rId5" w:type="default"/>
          <w:pgSz w:w="11907" w:h="16840"/>
          <w:pgMar w:top="1460" w:right="1680" w:bottom="1400" w:left="1680" w:header="1191" w:footer="567" w:gutter="0"/>
          <w:pgBorders>
            <w:top w:val="none" w:sz="0" w:space="0"/>
            <w:left w:val="none" w:sz="0" w:space="0"/>
            <w:bottom w:val="none" w:sz="0" w:space="0"/>
            <w:right w:val="none" w:sz="0" w:space="0"/>
          </w:pgBorders>
          <w:pgNumType w:start="61"/>
          <w:cols w:space="720" w:num="1"/>
        </w:sectPr>
      </w:pPr>
    </w:p>
    <w:p>
      <w:pPr>
        <w:pStyle w:val="46"/>
        <w:numPr>
          <w:ilvl w:val="0"/>
          <w:numId w:val="0"/>
        </w:numPr>
        <w:rPr>
          <w:rFonts w:hint="eastAsia"/>
        </w:rPr>
      </w:pPr>
    </w:p>
    <w:p>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pPr>
        <w:pStyle w:val="42"/>
        <w:tabs>
          <w:tab w:val="right" w:leader="dot" w:pos="8547"/>
          <w:tab w:val="clear" w:pos="420"/>
          <w:tab w:val="clear" w:pos="1050"/>
          <w:tab w:val="clear" w:pos="8302"/>
        </w:tabs>
        <w:rPr>
          <w:rFonts w:hint="eastAsia" w:ascii="仿宋" w:hAnsi="仿宋" w:eastAsia="仿宋" w:cs="仿宋"/>
        </w:rPr>
      </w:pP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_Toc4282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_Toc5383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_Toc8521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_Toc6343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64</w:t>
      </w:r>
    </w:p>
    <w:p>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_Toc26746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74</w:t>
      </w:r>
    </w:p>
    <w:p>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p>
    <w:p>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pPr>
        <w:widowControl/>
        <w:shd w:val="clear" w:color="auto" w:fill="FFFFFF"/>
        <w:spacing w:line="400" w:lineRule="exact"/>
        <w:jc w:val="center"/>
        <w:rPr>
          <w:rFonts w:hint="eastAsia" w:ascii="仿宋" w:hAnsi="仿宋" w:eastAsia="仿宋" w:cs="仿宋"/>
          <w:kern w:val="0"/>
          <w:szCs w:val="21"/>
        </w:rPr>
      </w:pPr>
    </w:p>
    <w:p>
      <w:pPr>
        <w:pStyle w:val="46"/>
        <w:rPr>
          <w:rFonts w:hint="eastAsia"/>
        </w:rPr>
        <w:sectPr>
          <w:footerReference r:id="rId6" w:type="default"/>
          <w:pgSz w:w="11907" w:h="16840"/>
          <w:pgMar w:top="1460" w:right="1680" w:bottom="1400" w:left="1680" w:header="1134" w:footer="1212" w:gutter="0"/>
          <w:pgBorders>
            <w:top w:val="none" w:sz="0" w:space="0"/>
            <w:left w:val="none" w:sz="0" w:space="0"/>
            <w:bottom w:val="none" w:sz="0" w:space="0"/>
            <w:right w:val="none" w:sz="0" w:space="0"/>
          </w:pgBorders>
          <w:pgNumType w:start="1"/>
          <w:cols w:space="720" w:num="1"/>
        </w:sectPr>
      </w:pPr>
    </w:p>
    <w:p>
      <w:pPr>
        <w:pStyle w:val="46"/>
        <w:numPr>
          <w:ilvl w:val="0"/>
          <w:numId w:val="0"/>
        </w:numPr>
        <w:rPr>
          <w:rFonts w:hint="eastAsia"/>
        </w:rPr>
      </w:pPr>
    </w:p>
    <w:p>
      <w:pPr>
        <w:pStyle w:val="3"/>
        <w:rPr>
          <w:rFonts w:hint="eastAsia"/>
        </w:rPr>
      </w:pPr>
      <w:bookmarkStart w:id="0" w:name="_Toc25745"/>
      <w:bookmarkStart w:id="1" w:name="_Toc4282"/>
      <w:r>
        <w:rPr>
          <w:rFonts w:hint="eastAsia"/>
        </w:rPr>
        <w:t xml:space="preserve">第一章 </w:t>
      </w:r>
      <w:bookmarkEnd w:id="0"/>
      <w:r>
        <w:rPr>
          <w:rFonts w:hint="eastAsia"/>
        </w:rPr>
        <w:t>招标公告</w:t>
      </w:r>
      <w:bookmarkEnd w:id="1"/>
    </w:p>
    <w:p>
      <w:pPr>
        <w:pStyle w:val="327"/>
        <w:shd w:val="clear" w:color="auto" w:fill="FFFFFF"/>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新疆维吾尔自治区2022年全国农作物病虫疫情监测中心田间监测点建设</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lang w:eastAsia="zh-CN"/>
        </w:rPr>
        <w:t>项目</w:t>
      </w:r>
      <w:r>
        <w:rPr>
          <w:rFonts w:hint="eastAsia" w:ascii="仿宋" w:hAnsi="仿宋" w:eastAsia="仿宋" w:cs="仿宋"/>
          <w:b/>
          <w:bCs/>
          <w:kern w:val="0"/>
          <w:sz w:val="28"/>
          <w:szCs w:val="28"/>
        </w:rPr>
        <w:t>公开招标公告</w:t>
      </w:r>
    </w:p>
    <w:p>
      <w:pPr>
        <w:widowControl/>
        <w:pBdr>
          <w:top w:val="single" w:color="auto" w:sz="4" w:space="0"/>
          <w:left w:val="single" w:color="auto" w:sz="4" w:space="0"/>
          <w:bottom w:val="single" w:color="auto" w:sz="4" w:space="0"/>
          <w:right w:val="single" w:color="auto" w:sz="4" w:space="0"/>
        </w:pBdr>
        <w:spacing w:line="420" w:lineRule="exact"/>
        <w:ind w:firstLine="240" w:firstLineChars="100"/>
        <w:jc w:val="both"/>
        <w:rPr>
          <w:rFonts w:hint="eastAsia" w:ascii="仿宋" w:hAnsi="仿宋" w:eastAsia="仿宋" w:cs="仿宋"/>
          <w:kern w:val="0"/>
          <w:sz w:val="24"/>
        </w:rPr>
      </w:pPr>
      <w:r>
        <w:rPr>
          <w:rFonts w:hint="eastAsia" w:ascii="仿宋" w:hAnsi="仿宋" w:eastAsia="仿宋" w:cs="仿宋"/>
          <w:kern w:val="0"/>
          <w:sz w:val="24"/>
        </w:rPr>
        <w:t>项目概况</w:t>
      </w:r>
    </w:p>
    <w:p>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新疆维吾尔自治区2022年全国农作物病虫疫情监测中心田间监测点建设项目</w:t>
      </w:r>
      <w:r>
        <w:rPr>
          <w:rFonts w:hint="eastAsia" w:ascii="仿宋" w:hAnsi="仿宋" w:eastAsia="仿宋" w:cs="仿宋"/>
          <w:kern w:val="0"/>
          <w:sz w:val="24"/>
        </w:rPr>
        <w:t>的潜在供应商应在</w:t>
      </w:r>
      <w:r>
        <w:rPr>
          <w:rFonts w:hint="eastAsia" w:ascii="仿宋" w:hAnsi="仿宋" w:eastAsia="仿宋" w:cs="仿宋"/>
          <w:color w:val="auto"/>
          <w:kern w:val="0"/>
          <w:sz w:val="24"/>
          <w:lang w:val="en-US" w:eastAsia="zh-CN"/>
        </w:rPr>
        <w:t>线</w:t>
      </w:r>
      <w:r>
        <w:rPr>
          <w:rFonts w:hint="eastAsia" w:ascii="仿宋" w:hAnsi="仿宋" w:eastAsia="仿宋" w:cs="仿宋"/>
          <w:kern w:val="0"/>
          <w:sz w:val="24"/>
        </w:rPr>
        <w:t>获取采购文件，并于</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04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18</w:t>
      </w:r>
      <w:r>
        <w:rPr>
          <w:rFonts w:hint="eastAsia" w:ascii="仿宋" w:hAnsi="仿宋" w:eastAsia="仿宋" w:cs="仿宋"/>
          <w:kern w:val="0"/>
          <w:sz w:val="24"/>
        </w:rPr>
        <w:t>日</w:t>
      </w:r>
      <w:r>
        <w:rPr>
          <w:rFonts w:hint="eastAsia" w:ascii="仿宋" w:hAnsi="仿宋" w:eastAsia="仿宋" w:cs="仿宋"/>
          <w:kern w:val="0"/>
          <w:sz w:val="24"/>
          <w:u w:val="single"/>
          <w:lang w:val="en-US" w:eastAsia="zh-CN"/>
        </w:rPr>
        <w:t>11</w:t>
      </w:r>
      <w:r>
        <w:rPr>
          <w:rFonts w:hint="eastAsia" w:ascii="仿宋" w:hAnsi="仿宋" w:eastAsia="仿宋" w:cs="仿宋"/>
          <w:kern w:val="0"/>
          <w:sz w:val="24"/>
          <w:u w:val="single"/>
        </w:rPr>
        <w:t>:00</w:t>
      </w:r>
      <w:r>
        <w:rPr>
          <w:rFonts w:hint="eastAsia" w:ascii="仿宋" w:hAnsi="仿宋" w:eastAsia="仿宋" w:cs="仿宋"/>
          <w:kern w:val="0"/>
          <w:sz w:val="24"/>
        </w:rPr>
        <w:t>（北京时间）前提交响应文件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FF0000"/>
          <w:kern w:val="0"/>
          <w:sz w:val="24"/>
        </w:rPr>
      </w:pPr>
      <w:r>
        <w:rPr>
          <w:rFonts w:hint="eastAsia" w:ascii="仿宋" w:hAnsi="仿宋" w:eastAsia="仿宋" w:cs="仿宋"/>
          <w:b/>
          <w:bCs/>
          <w:kern w:val="0"/>
          <w:sz w:val="24"/>
        </w:rPr>
        <w:t>一、</w:t>
      </w:r>
      <w:r>
        <w:rPr>
          <w:rFonts w:hint="eastAsia" w:ascii="仿宋" w:hAnsi="仿宋" w:eastAsia="仿宋" w:cs="仿宋"/>
          <w:b/>
          <w:bCs/>
          <w:color w:val="auto"/>
          <w:kern w:val="0"/>
          <w:sz w:val="24"/>
        </w:rPr>
        <w:t>项目基本情况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项目编号：</w:t>
      </w:r>
      <w:r>
        <w:rPr>
          <w:rFonts w:hint="eastAsia" w:ascii="仿宋" w:hAnsi="仿宋" w:eastAsia="仿宋" w:cs="仿宋"/>
          <w:kern w:val="0"/>
          <w:sz w:val="24"/>
          <w:lang w:eastAsia="zh-CN"/>
        </w:rPr>
        <w:t>XJLY23HW019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新疆维吾尔自治区2022年全国农作物病虫疫情监测中心田间监测点建设项目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采购方式：</w:t>
      </w:r>
      <w:r>
        <w:rPr>
          <w:rFonts w:hint="eastAsia" w:ascii="仿宋" w:hAnsi="仿宋" w:eastAsia="仿宋" w:cs="仿宋"/>
          <w:kern w:val="0"/>
          <w:sz w:val="24"/>
          <w:lang w:eastAsia="zh-CN"/>
        </w:rPr>
        <w:t>公开招标</w:t>
      </w:r>
    </w:p>
    <w:p>
      <w:pPr>
        <w:pStyle w:val="58"/>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采购组织类型：部门集中采购-委托中介机构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w:t>
      </w:r>
      <w:r>
        <w:rPr>
          <w:rFonts w:hint="eastAsia" w:ascii="仿宋" w:hAnsi="仿宋" w:eastAsia="仿宋" w:cs="仿宋"/>
          <w:kern w:val="0"/>
          <w:sz w:val="24"/>
          <w:lang w:val="en-US" w:eastAsia="zh-CN"/>
        </w:rPr>
        <w:t>总</w:t>
      </w:r>
      <w:r>
        <w:rPr>
          <w:rFonts w:hint="eastAsia" w:ascii="仿宋" w:hAnsi="仿宋" w:eastAsia="仿宋" w:cs="仿宋"/>
          <w:kern w:val="0"/>
          <w:sz w:val="24"/>
        </w:rPr>
        <w:t>金额（元）：</w:t>
      </w:r>
      <w:r>
        <w:rPr>
          <w:rFonts w:hint="eastAsia" w:ascii="仿宋" w:hAnsi="仿宋" w:eastAsia="仿宋" w:cs="仿宋"/>
          <w:kern w:val="0"/>
          <w:sz w:val="24"/>
          <w:lang w:val="en-US" w:eastAsia="zh-CN"/>
        </w:rPr>
        <w:t>10528900.00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rPr>
      </w:pPr>
      <w:r>
        <w:rPr>
          <w:rFonts w:hint="eastAsia" w:ascii="仿宋" w:hAnsi="仿宋" w:eastAsia="仿宋" w:cs="仿宋"/>
          <w:kern w:val="0"/>
          <w:sz w:val="24"/>
        </w:rPr>
        <w:t>最高限价（元）：</w:t>
      </w:r>
      <w:r>
        <w:rPr>
          <w:rFonts w:hint="eastAsia" w:ascii="仿宋" w:hAnsi="仿宋" w:eastAsia="仿宋" w:cs="仿宋"/>
          <w:kern w:val="0"/>
          <w:sz w:val="24"/>
          <w:lang w:val="en-US" w:eastAsia="zh-CN"/>
        </w:rPr>
        <w:t>10528900.00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采购需求：</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kern w:val="0"/>
          <w:sz w:val="24"/>
          <w:highlight w:val="yellow"/>
          <w:lang w:val="en-US" w:eastAsia="zh-CN"/>
        </w:rPr>
      </w:pPr>
      <w:r>
        <w:rPr>
          <w:rFonts w:hint="eastAsia" w:ascii="仿宋" w:hAnsi="仿宋" w:eastAsia="仿宋" w:cs="仿宋"/>
          <w:kern w:val="0"/>
          <w:sz w:val="24"/>
          <w:lang w:val="en-US" w:eastAsia="zh-CN"/>
        </w:rPr>
        <w:t>标项一：</w:t>
      </w:r>
      <w:r>
        <w:rPr>
          <w:rFonts w:hint="eastAsia" w:ascii="仿宋" w:hAnsi="仿宋" w:eastAsia="仿宋" w:cs="仿宋"/>
          <w:kern w:val="0"/>
          <w:sz w:val="24"/>
          <w:lang w:eastAsia="zh-CN"/>
        </w:rPr>
        <w:t>新疆维吾尔自治区2022年全国农作物病虫疫情监测中心田间监测点建设项目（</w:t>
      </w:r>
      <w:r>
        <w:rPr>
          <w:rFonts w:hint="eastAsia" w:ascii="仿宋" w:hAnsi="仿宋" w:eastAsia="仿宋" w:cs="仿宋"/>
          <w:kern w:val="0"/>
          <w:sz w:val="24"/>
          <w:lang w:val="en-US" w:eastAsia="zh-CN"/>
        </w:rPr>
        <w:t>第一包</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kern w:val="0"/>
          <w:sz w:val="24"/>
          <w:lang w:val="en-US"/>
        </w:rPr>
      </w:pPr>
      <w:r>
        <w:rPr>
          <w:rFonts w:hint="eastAsia" w:ascii="仿宋" w:hAnsi="仿宋" w:eastAsia="仿宋" w:cs="仿宋"/>
          <w:kern w:val="0"/>
          <w:sz w:val="24"/>
          <w:lang w:val="en-US" w:eastAsia="zh-CN"/>
        </w:rPr>
        <w:t>数量： 不限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lang w:val="en-US" w:eastAsia="zh-CN"/>
        </w:rPr>
        <w:t>3526000.00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单位：</w:t>
      </w:r>
      <w:r>
        <w:rPr>
          <w:rFonts w:hint="eastAsia" w:ascii="仿宋" w:hAnsi="仿宋" w:eastAsia="仿宋" w:cs="仿宋"/>
          <w:kern w:val="0"/>
          <w:sz w:val="24"/>
          <w:lang w:val="en-US" w:eastAsia="zh-CN"/>
        </w:rPr>
        <w:t>不限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简要规格描述：具体详见招标文件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lang w:val="en-US" w:eastAsia="zh-CN"/>
        </w:rPr>
      </w:pPr>
      <w:r>
        <w:rPr>
          <w:rFonts w:hint="eastAsia" w:ascii="仿宋" w:hAnsi="仿宋" w:eastAsia="仿宋" w:cs="仿宋"/>
          <w:kern w:val="0"/>
          <w:sz w:val="24"/>
          <w:lang w:val="en-US" w:eastAsia="zh-CN"/>
        </w:rPr>
        <w:t>备注：/</w:t>
      </w:r>
    </w:p>
    <w:p>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kern w:val="0"/>
          <w:sz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kern w:val="0"/>
          <w:sz w:val="24"/>
          <w:highlight w:val="yellow"/>
          <w:lang w:val="en-US" w:eastAsia="zh-CN"/>
        </w:rPr>
      </w:pPr>
      <w:r>
        <w:rPr>
          <w:rFonts w:hint="eastAsia" w:ascii="仿宋" w:hAnsi="仿宋" w:eastAsia="仿宋" w:cs="仿宋"/>
          <w:kern w:val="0"/>
          <w:sz w:val="24"/>
          <w:lang w:val="en-US" w:eastAsia="zh-CN"/>
        </w:rPr>
        <w:t>标项二：</w:t>
      </w:r>
      <w:r>
        <w:rPr>
          <w:rFonts w:hint="eastAsia" w:ascii="仿宋" w:hAnsi="仿宋" w:eastAsia="仿宋" w:cs="仿宋"/>
          <w:kern w:val="0"/>
          <w:sz w:val="24"/>
          <w:lang w:eastAsia="zh-CN"/>
        </w:rPr>
        <w:t>新疆维吾尔自治区2022年全国农作物病虫疫情监测中心田间监测点建设项目（</w:t>
      </w:r>
      <w:r>
        <w:rPr>
          <w:rFonts w:hint="eastAsia" w:ascii="仿宋" w:hAnsi="仿宋" w:eastAsia="仿宋" w:cs="仿宋"/>
          <w:kern w:val="0"/>
          <w:sz w:val="24"/>
          <w:lang w:val="en-US" w:eastAsia="zh-CN"/>
        </w:rPr>
        <w:t>第二包</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kern w:val="0"/>
          <w:sz w:val="24"/>
        </w:rPr>
      </w:pPr>
      <w:r>
        <w:rPr>
          <w:rFonts w:hint="eastAsia" w:ascii="仿宋" w:hAnsi="仿宋" w:eastAsia="仿宋" w:cs="仿宋"/>
          <w:kern w:val="0"/>
          <w:sz w:val="24"/>
          <w:lang w:val="en-US" w:eastAsia="zh-CN"/>
        </w:rPr>
        <w:t>数量： 不限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lang w:val="en-US" w:eastAsia="zh-CN"/>
        </w:rPr>
        <w:t xml:space="preserve"> 7002900.00</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单位：</w:t>
      </w:r>
      <w:r>
        <w:rPr>
          <w:rFonts w:hint="eastAsia" w:ascii="仿宋" w:hAnsi="仿宋" w:eastAsia="仿宋" w:cs="仿宋"/>
          <w:kern w:val="0"/>
          <w:sz w:val="24"/>
          <w:lang w:val="en-US" w:eastAsia="zh-CN"/>
        </w:rPr>
        <w:t>不限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简要规格描述：具体详见招标文件</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lang w:val="en-US" w:eastAsia="zh-CN"/>
        </w:rPr>
      </w:pPr>
      <w:r>
        <w:rPr>
          <w:rFonts w:hint="eastAsia" w:ascii="仿宋" w:hAnsi="仿宋" w:eastAsia="仿宋" w:cs="仿宋"/>
          <w:kern w:val="0"/>
          <w:sz w:val="24"/>
          <w:lang w:val="en-US" w:eastAsia="zh-CN"/>
        </w:rPr>
        <w:t>备注：/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合同履约期限：按甲方要求供货</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本项目（否）接受联合体投标</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二、申请人的资格要求：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2.落实政府采购政策需满足的资格要求：</w:t>
      </w:r>
      <w:r>
        <w:rPr>
          <w:rFonts w:hint="eastAsia" w:ascii="仿宋" w:hAnsi="仿宋" w:eastAsia="仿宋" w:cs="仿宋"/>
          <w:kern w:val="0"/>
          <w:sz w:val="24"/>
          <w:lang w:eastAsia="zh-CN"/>
        </w:rPr>
        <w:t>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pPr>
        <w:pStyle w:val="2"/>
        <w:widowControl/>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w:t>
      </w:r>
    </w:p>
    <w:p>
      <w:pPr>
        <w:pStyle w:val="2"/>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三、获取采购文件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时间：202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3</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28</w:t>
      </w:r>
      <w:r>
        <w:rPr>
          <w:rFonts w:hint="eastAsia" w:ascii="仿宋" w:hAnsi="仿宋" w:eastAsia="仿宋" w:cs="仿宋"/>
          <w:kern w:val="0"/>
          <w:sz w:val="24"/>
        </w:rPr>
        <w:t>日至202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4</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4</w:t>
      </w:r>
      <w:r>
        <w:rPr>
          <w:rFonts w:hint="eastAsia" w:ascii="仿宋" w:hAnsi="仿宋" w:eastAsia="仿宋" w:cs="仿宋"/>
          <w:kern w:val="0"/>
          <w:sz w:val="24"/>
        </w:rPr>
        <w:t>日</w:t>
      </w:r>
      <w:r>
        <w:rPr>
          <w:rFonts w:hint="eastAsia" w:ascii="仿宋" w:hAnsi="仿宋" w:eastAsia="仿宋" w:cs="仿宋"/>
          <w:kern w:val="0"/>
          <w:sz w:val="24"/>
          <w:lang w:val="en-US" w:eastAsia="zh-CN"/>
        </w:rPr>
        <w:t>下午18：00（北京时间）</w:t>
      </w:r>
      <w:r>
        <w:rPr>
          <w:rFonts w:hint="eastAsia" w:ascii="仿宋" w:hAnsi="仿宋" w:eastAsia="仿宋" w:cs="仿宋"/>
          <w:kern w:val="0"/>
          <w:sz w:val="24"/>
        </w:rPr>
        <w:t>，每天上午10:00至</w:t>
      </w:r>
      <w:r>
        <w:rPr>
          <w:rFonts w:hint="eastAsia" w:ascii="仿宋" w:hAnsi="仿宋" w:eastAsia="仿宋" w:cs="仿宋"/>
          <w:kern w:val="0"/>
          <w:sz w:val="24"/>
          <w:lang w:val="en-US" w:eastAsia="zh-CN"/>
        </w:rPr>
        <w:t>13</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0，下午1</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至</w:t>
      </w:r>
      <w:r>
        <w:rPr>
          <w:rFonts w:hint="eastAsia" w:ascii="仿宋" w:hAnsi="仿宋" w:eastAsia="仿宋" w:cs="仿宋"/>
          <w:kern w:val="0"/>
          <w:sz w:val="24"/>
          <w:lang w:val="en-US" w:eastAsia="zh-CN"/>
        </w:rPr>
        <w:t>18</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0（北京时间，法定节假日除外）</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http://www.xjzfcg.gov.cn/）获取采购文件。</w:t>
      </w:r>
      <w:r>
        <w:rPr>
          <w:rFonts w:hint="eastAsia" w:ascii="仿宋" w:hAnsi="仿宋" w:eastAsia="仿宋" w:cs="仿宋"/>
          <w:b/>
          <w:sz w:val="24"/>
        </w:rPr>
        <w:fldChar w:fldCharType="end"/>
      </w:r>
    </w:p>
    <w:p>
      <w:pPr>
        <w:pStyle w:val="5"/>
        <w:rPr>
          <w:rFonts w:hint="eastAsia" w:ascii="仿宋" w:hAnsi="仿宋" w:eastAsia="仿宋" w:cs="仿宋"/>
          <w:sz w:val="24"/>
          <w:szCs w:val="24"/>
        </w:rPr>
      </w:pPr>
      <w:r>
        <w:rPr>
          <w:rFonts w:hint="eastAsia" w:ascii="仿宋" w:hAnsi="仿宋" w:eastAsia="仿宋" w:cs="仿宋"/>
          <w:sz w:val="24"/>
          <w:szCs w:val="24"/>
        </w:rPr>
        <w:t xml:space="preserve"> 每个标项售价（元）：</w:t>
      </w:r>
      <w:r>
        <w:rPr>
          <w:rFonts w:hint="eastAsia" w:ascii="仿宋" w:hAnsi="仿宋" w:eastAsia="仿宋" w:cs="仿宋"/>
          <w:sz w:val="24"/>
          <w:szCs w:val="24"/>
          <w:lang w:val="en-US" w:eastAsia="zh-CN"/>
        </w:rPr>
        <w:t>0</w:t>
      </w:r>
      <w:r>
        <w:rPr>
          <w:rFonts w:hint="eastAsia" w:ascii="仿宋" w:hAnsi="仿宋" w:eastAsia="仿宋" w:cs="仿宋"/>
          <w:sz w:val="24"/>
          <w:szCs w:val="24"/>
        </w:rPr>
        <w:t>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四、响应文件提交</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04</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18</w:t>
      </w:r>
      <w:r>
        <w:rPr>
          <w:rFonts w:hint="eastAsia" w:ascii="仿宋" w:hAnsi="仿宋" w:eastAsia="仿宋" w:cs="仿宋"/>
          <w:kern w:val="0"/>
          <w:sz w:val="24"/>
        </w:rPr>
        <w:t>日</w:t>
      </w:r>
      <w:r>
        <w:rPr>
          <w:rFonts w:hint="eastAsia" w:ascii="仿宋" w:hAnsi="仿宋" w:eastAsia="仿宋" w:cs="仿宋"/>
          <w:kern w:val="0"/>
          <w:sz w:val="24"/>
          <w:lang w:val="en-US" w:eastAsia="zh-CN"/>
        </w:rPr>
        <w:t>11</w:t>
      </w:r>
      <w:r>
        <w:rPr>
          <w:rFonts w:hint="eastAsia" w:ascii="仿宋" w:hAnsi="仿宋" w:eastAsia="仿宋" w:cs="仿宋"/>
          <w:kern w:val="0"/>
          <w:sz w:val="24"/>
        </w:rPr>
        <w:t>:00</w:t>
      </w:r>
      <w:r>
        <w:rPr>
          <w:rFonts w:hint="eastAsia" w:ascii="仿宋" w:hAnsi="仿宋" w:eastAsia="仿宋" w:cs="仿宋"/>
          <w:kern w:val="0"/>
          <w:sz w:val="24"/>
          <w:lang w:val="en-US" w:eastAsia="zh-CN"/>
        </w:rPr>
        <w:t>前</w:t>
      </w:r>
      <w:r>
        <w:rPr>
          <w:rFonts w:hint="eastAsia" w:ascii="仿宋" w:hAnsi="仿宋" w:eastAsia="仿宋" w:cs="仿宋"/>
          <w:kern w:val="0"/>
          <w:sz w:val="24"/>
        </w:rPr>
        <w:t>（北京时间）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rPr>
        <w:t>投标文件递交及开标地点：通过“政府采购云平台（www.zcygov.cn）”实行在线投标响应。（如有变动另行通知）。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五、响应文件开启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开启时间：202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04</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18</w:t>
      </w:r>
      <w:r>
        <w:rPr>
          <w:rFonts w:hint="eastAsia" w:ascii="仿宋" w:hAnsi="仿宋" w:eastAsia="仿宋" w:cs="仿宋"/>
          <w:kern w:val="0"/>
          <w:sz w:val="24"/>
        </w:rPr>
        <w:t>日</w:t>
      </w:r>
      <w:r>
        <w:rPr>
          <w:rFonts w:hint="eastAsia" w:ascii="仿宋" w:hAnsi="仿宋" w:eastAsia="仿宋" w:cs="仿宋"/>
          <w:kern w:val="0"/>
          <w:sz w:val="24"/>
          <w:lang w:val="en-US" w:eastAsia="zh-CN"/>
        </w:rPr>
        <w:t>11</w:t>
      </w:r>
      <w:r>
        <w:rPr>
          <w:rFonts w:hint="eastAsia" w:ascii="仿宋" w:hAnsi="仿宋" w:eastAsia="仿宋" w:cs="仿宋"/>
          <w:kern w:val="0"/>
          <w:sz w:val="24"/>
        </w:rPr>
        <w:t>:00（北京时间）</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六、公告期限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自本公告发布之日起5个工作日。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七、其他补充事宜</w:t>
      </w:r>
    </w:p>
    <w:p>
      <w:pPr>
        <w:pStyle w:val="54"/>
        <w:spacing w:before="75" w:beforeAutospacing="0" w:after="75" w:afterAutospacing="0" w:line="360" w:lineRule="auto"/>
        <w:ind w:firstLine="482" w:firstLineChars="200"/>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投标人购买/获取标书时应网上提交的资料：/</w:t>
      </w:r>
    </w:p>
    <w:p>
      <w:pPr>
        <w:pStyle w:val="54"/>
        <w:spacing w:before="80" w:beforeAutospacing="0" w:after="80" w:afterAutospacing="0" w:line="360" w:lineRule="auto"/>
        <w:ind w:firstLine="482" w:firstLineChars="200"/>
        <w:jc w:val="both"/>
        <w:rPr>
          <w:rStyle w:val="63"/>
          <w:rFonts w:ascii="仿宋" w:hAnsi="仿宋" w:eastAsia="仿宋" w:cs="仿宋"/>
          <w:bCs/>
        </w:rPr>
      </w:pPr>
      <w:r>
        <w:rPr>
          <w:rFonts w:hint="eastAsia" w:ascii="仿宋" w:hAnsi="仿宋" w:eastAsia="仿宋" w:cs="仿宋"/>
          <w:b/>
          <w:bCs/>
          <w:lang w:val="en-US" w:eastAsia="zh-CN"/>
        </w:rPr>
        <w:t>八</w:t>
      </w:r>
      <w:r>
        <w:rPr>
          <w:rFonts w:hint="eastAsia" w:ascii="仿宋" w:hAnsi="仿宋" w:eastAsia="仿宋" w:cs="仿宋"/>
          <w:b/>
          <w:bCs/>
        </w:rPr>
        <w:t>、</w:t>
      </w:r>
      <w:bookmarkStart w:id="2" w:name="B37_购买标书时须提交的文件资料"/>
      <w:bookmarkEnd w:id="2"/>
      <w:bookmarkStart w:id="3" w:name="_Toc15328_WPSOffice_Level2"/>
      <w:r>
        <w:rPr>
          <w:rStyle w:val="63"/>
          <w:rFonts w:hint="eastAsia" w:ascii="仿宋" w:hAnsi="仿宋" w:eastAsia="仿宋" w:cs="仿宋"/>
          <w:bCs/>
        </w:rPr>
        <w:t>在线投标响应（电子投标）说明</w:t>
      </w:r>
    </w:p>
    <w:p>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bookmarkEnd w:id="3"/>
    </w:p>
    <w:p>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
          <w:bCs/>
          <w:kern w:val="2"/>
        </w:rPr>
        <w:br w:type="textWrapping"/>
      </w:r>
      <w:r>
        <w:rPr>
          <w:rFonts w:hint="eastAsia" w:ascii="仿宋" w:hAnsi="仿宋" w:eastAsia="仿宋" w:cs="仿宋"/>
          <w:b/>
          <w:bCs/>
          <w:kern w:val="2"/>
          <w:lang w:val="en-US" w:eastAsia="zh-CN"/>
        </w:rPr>
        <w:t xml:space="preserve">    </w:t>
      </w: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
          <w:bCs/>
          <w:kern w:val="2"/>
        </w:rPr>
        <w:br w:type="textWrapping"/>
      </w:r>
      <w:r>
        <w:rPr>
          <w:rFonts w:hint="eastAsia" w:ascii="仿宋" w:hAnsi="仿宋" w:eastAsia="仿宋" w:cs="仿宋"/>
          <w:b/>
          <w:bCs/>
          <w:kern w:val="2"/>
          <w:lang w:val="en-US" w:eastAsia="zh-CN"/>
        </w:rPr>
        <w:t xml:space="preserve">    </w:t>
      </w: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、凡对本次招标提出询问，请按以下方式联系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称：新疆维吾尔自治区植物保护站</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称：新疆凌云天成工程管理咨询有限公司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地 址：乌鲁木齐市新市区北京南路高新街217号盈科广场B座2709室</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联系方式：0991-3193958</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项目联系人：许蕊、孙德林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电 话：0991-3193958</w:t>
      </w:r>
    </w:p>
    <w:p>
      <w:pPr>
        <w:rPr>
          <w:rStyle w:val="216"/>
          <w:rFonts w:hint="eastAsia" w:ascii="仿宋" w:hAnsi="仿宋" w:eastAsia="仿宋" w:cs="仿宋"/>
          <w:szCs w:val="21"/>
        </w:rPr>
      </w:pPr>
      <w:r>
        <w:br w:type="page"/>
      </w:r>
    </w:p>
    <w:p>
      <w:pPr>
        <w:jc w:val="center"/>
        <w:rPr>
          <w:rFonts w:hint="eastAsia"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4"/>
    </w:p>
    <w:p>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noWrap w:val="0"/>
            <w:vAlign w:val="center"/>
          </w:tcPr>
          <w:p>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45" w:type="dxa"/>
            <w:noWrap w:val="0"/>
            <w:vAlign w:val="center"/>
          </w:tcPr>
          <w:p>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961" w:type="dxa"/>
            <w:noWrap w:val="0"/>
            <w:vAlign w:val="center"/>
          </w:tcPr>
          <w:p>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采购人</w:t>
            </w:r>
          </w:p>
        </w:tc>
        <w:tc>
          <w:tcPr>
            <w:tcW w:w="6961" w:type="dxa"/>
            <w:noWrap w:val="0"/>
            <w:vAlign w:val="center"/>
          </w:tcPr>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新疆维吾尔自治区植物保护站</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采购代理机构</w:t>
            </w:r>
          </w:p>
        </w:tc>
        <w:tc>
          <w:tcPr>
            <w:tcW w:w="6961" w:type="dxa"/>
            <w:noWrap w:val="0"/>
            <w:vAlign w:val="center"/>
          </w:tcPr>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招标代理机构：</w:t>
            </w:r>
            <w:r>
              <w:rPr>
                <w:rFonts w:hint="eastAsia" w:ascii="仿宋" w:hAnsi="仿宋" w:eastAsia="仿宋" w:cs="仿宋"/>
                <w:sz w:val="24"/>
                <w:szCs w:val="24"/>
                <w:lang w:eastAsia="zh-CN"/>
              </w:rPr>
              <w:t>新疆凌云天成工程管理咨询有限公司</w:t>
            </w:r>
          </w:p>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许蕊、孙德林</w:t>
            </w:r>
          </w:p>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kern w:val="0"/>
                <w:sz w:val="24"/>
                <w:szCs w:val="24"/>
                <w:lang w:eastAsia="zh-CN"/>
              </w:rPr>
              <w:t>0991-3193958</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地址：乌鲁木齐市新市区北京南路高新街217号盈科广场B座2709</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采购项目名称</w:t>
            </w:r>
          </w:p>
        </w:tc>
        <w:tc>
          <w:tcPr>
            <w:tcW w:w="6961"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新疆维吾尔自治区2022年全国农作物病虫疫情监测中心田间监测点建设项目</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采购项目编号</w:t>
            </w:r>
          </w:p>
        </w:tc>
        <w:tc>
          <w:tcPr>
            <w:tcW w:w="6961"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XJLY23HW019</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资金来源</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财政资金</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采购方式</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公开招标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评审方法</w:t>
            </w:r>
          </w:p>
        </w:tc>
        <w:tc>
          <w:tcPr>
            <w:tcW w:w="6961"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采购内容及预算</w:t>
            </w:r>
          </w:p>
        </w:tc>
        <w:tc>
          <w:tcPr>
            <w:tcW w:w="6961" w:type="dxa"/>
            <w:noWrap w:val="0"/>
            <w:vAlign w:val="center"/>
          </w:tcPr>
          <w:p>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kern w:val="0"/>
                <w:sz w:val="24"/>
                <w:szCs w:val="24"/>
                <w:highlight w:val="none"/>
                <w:lang w:val="en-US" w:eastAsia="zh-CN"/>
              </w:rPr>
              <w:t>预算总金额：</w:t>
            </w:r>
            <w:r>
              <w:rPr>
                <w:rFonts w:hint="eastAsia" w:ascii="仿宋" w:hAnsi="仿宋" w:eastAsia="仿宋" w:cs="仿宋"/>
                <w:kern w:val="0"/>
                <w:sz w:val="24"/>
                <w:szCs w:val="24"/>
                <w:lang w:val="en-US" w:eastAsia="zh-CN"/>
              </w:rPr>
              <w:t>10528900.00</w:t>
            </w:r>
            <w:r>
              <w:rPr>
                <w:rFonts w:hint="eastAsia" w:ascii="仿宋" w:hAnsi="仿宋" w:eastAsia="仿宋" w:cs="仿宋"/>
                <w:b/>
                <w:bCs/>
                <w:kern w:val="0"/>
                <w:sz w:val="24"/>
                <w:szCs w:val="24"/>
                <w:highlight w:val="none"/>
                <w:lang w:val="en-US" w:eastAsia="zh-CN"/>
              </w:rPr>
              <w:t>元</w:t>
            </w:r>
          </w:p>
          <w:p>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kern w:val="0"/>
                <w:sz w:val="24"/>
                <w:lang w:eastAsia="zh-CN"/>
              </w:rPr>
              <w:t>新疆维吾尔自治区2022年全国农作物病虫疫情监测中心田间监测点建设项目</w:t>
            </w:r>
            <w:r>
              <w:rPr>
                <w:rFonts w:hint="eastAsia" w:ascii="仿宋" w:hAnsi="仿宋" w:eastAsia="仿宋" w:cs="仿宋"/>
                <w:kern w:val="0"/>
                <w:sz w:val="24"/>
                <w:lang w:val="en-US" w:eastAsia="zh-CN"/>
              </w:rPr>
              <w:t>(第一包）</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kern w:val="0"/>
                <w:sz w:val="24"/>
                <w:szCs w:val="24"/>
                <w:highlight w:val="none"/>
                <w:lang w:val="en-US" w:eastAsia="zh-CN"/>
              </w:rPr>
              <w:t>预算金额：</w:t>
            </w:r>
            <w:r>
              <w:rPr>
                <w:rFonts w:hint="eastAsia" w:ascii="仿宋" w:hAnsi="仿宋" w:eastAsia="仿宋" w:cs="仿宋"/>
                <w:kern w:val="0"/>
                <w:sz w:val="24"/>
                <w:lang w:val="en-US" w:eastAsia="zh-CN"/>
              </w:rPr>
              <w:t>3526000.00</w:t>
            </w:r>
            <w:r>
              <w:rPr>
                <w:rFonts w:hint="eastAsia" w:ascii="仿宋" w:hAnsi="仿宋" w:eastAsia="仿宋" w:cs="仿宋"/>
                <w:b w:val="0"/>
                <w:bCs w:val="0"/>
                <w:kern w:val="0"/>
                <w:sz w:val="24"/>
                <w:szCs w:val="24"/>
                <w:highlight w:val="none"/>
                <w:lang w:val="en-US" w:eastAsia="zh-CN"/>
              </w:rPr>
              <w:t>）</w:t>
            </w:r>
          </w:p>
          <w:p>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highlight w:val="none"/>
                <w:lang w:val="en-US" w:eastAsia="zh-CN"/>
              </w:rPr>
              <w:t>标项二：</w:t>
            </w:r>
            <w:r>
              <w:rPr>
                <w:rFonts w:hint="eastAsia" w:ascii="仿宋" w:hAnsi="仿宋" w:eastAsia="仿宋" w:cs="仿宋"/>
                <w:kern w:val="0"/>
                <w:sz w:val="24"/>
                <w:lang w:eastAsia="zh-CN"/>
              </w:rPr>
              <w:t>新疆维吾尔自治区2022年全国农作物病虫疫情监测中心田间监测点建设项目（</w:t>
            </w:r>
            <w:r>
              <w:rPr>
                <w:rFonts w:hint="eastAsia" w:ascii="仿宋" w:hAnsi="仿宋" w:eastAsia="仿宋" w:cs="仿宋"/>
                <w:kern w:val="0"/>
                <w:sz w:val="24"/>
                <w:lang w:val="en-US" w:eastAsia="zh-CN"/>
              </w:rPr>
              <w:t>第二包</w:t>
            </w:r>
            <w:r>
              <w:rPr>
                <w:rFonts w:hint="eastAsia" w:ascii="仿宋" w:hAnsi="仿宋" w:eastAsia="仿宋" w:cs="仿宋"/>
                <w:kern w:val="0"/>
                <w:sz w:val="24"/>
                <w:lang w:eastAsia="zh-CN"/>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kern w:val="0"/>
                <w:sz w:val="24"/>
                <w:szCs w:val="24"/>
                <w:highlight w:val="none"/>
                <w:lang w:val="en-US" w:eastAsia="zh-CN"/>
              </w:rPr>
              <w:t>预算金额：</w:t>
            </w:r>
            <w:r>
              <w:rPr>
                <w:rFonts w:hint="eastAsia" w:ascii="仿宋" w:hAnsi="仿宋" w:eastAsia="仿宋" w:cs="仿宋"/>
                <w:kern w:val="0"/>
                <w:sz w:val="24"/>
                <w:lang w:val="en-US" w:eastAsia="zh-CN"/>
              </w:rPr>
              <w:t>7002900.00</w:t>
            </w:r>
            <w:r>
              <w:rPr>
                <w:rFonts w:hint="eastAsia" w:ascii="仿宋" w:hAnsi="仿宋" w:eastAsia="仿宋" w:cs="仿宋"/>
                <w:b w:val="0"/>
                <w:bCs w:val="0"/>
                <w:kern w:val="0"/>
                <w:sz w:val="24"/>
                <w:szCs w:val="24"/>
                <w:highlight w:val="none"/>
                <w:lang w:val="en-US" w:eastAsia="zh-CN"/>
              </w:rPr>
              <w:t>）</w:t>
            </w:r>
            <w:r>
              <w:rPr>
                <w:rFonts w:hint="eastAsia" w:ascii="仿宋" w:hAnsi="仿宋" w:eastAsia="仿宋" w:cs="仿宋"/>
                <w:b w:val="0"/>
                <w:bCs w:val="0"/>
                <w:kern w:val="0"/>
                <w:sz w:val="24"/>
                <w:szCs w:val="24"/>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45" w:type="dxa"/>
            <w:noWrap w:val="0"/>
            <w:vAlign w:val="center"/>
          </w:tcPr>
          <w:p>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rPr>
              <w:t>投标人资格要求</w:t>
            </w:r>
          </w:p>
        </w:tc>
        <w:tc>
          <w:tcPr>
            <w:tcW w:w="69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2.落实政府采购政策需满足的资格要求：</w:t>
            </w:r>
            <w:r>
              <w:rPr>
                <w:rFonts w:hint="eastAsia" w:ascii="仿宋" w:hAnsi="仿宋" w:eastAsia="仿宋" w:cs="仿宋"/>
                <w:kern w:val="0"/>
                <w:sz w:val="24"/>
                <w:szCs w:val="24"/>
                <w:lang w:eastAsia="zh-CN"/>
              </w:rPr>
              <w:t>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标项一、二：</w:t>
            </w:r>
          </w:p>
          <w:p>
            <w:pPr>
              <w:pStyle w:val="2"/>
              <w:widowControl/>
              <w:numPr>
                <w:ilvl w:val="0"/>
                <w:numId w:val="0"/>
              </w:numPr>
              <w:spacing w:line="360" w:lineRule="auto"/>
              <w:rPr>
                <w:rFonts w:hint="eastAsia" w:ascii="仿宋" w:hAnsi="仿宋" w:eastAsia="仿宋" w:cs="仿宋"/>
                <w:sz w:val="24"/>
                <w:lang w:eastAsia="zh-CN"/>
              </w:rPr>
            </w:pPr>
            <w:r>
              <w:rPr>
                <w:rFonts w:hint="eastAsia" w:ascii="仿宋" w:hAnsi="仿宋" w:eastAsia="仿宋" w:cs="仿宋"/>
                <w:kern w:val="0"/>
                <w:sz w:val="24"/>
                <w:lang w:val="en-US" w:eastAsia="zh-CN"/>
              </w:rPr>
              <w:t>/</w:t>
            </w:r>
          </w:p>
          <w:p>
            <w:pPr>
              <w:pStyle w:val="2"/>
              <w:widowControl/>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rPr>
              <w:t>注：后续供应商在在线制作投标文件时需对资格审查项进行逐一关联响应。</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地点</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新疆维吾尔自治区植物保护站指定地点。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2245" w:type="dxa"/>
            <w:noWrap w:val="0"/>
            <w:vAlign w:val="center"/>
          </w:tcPr>
          <w:p>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rPr>
              <w:t>及质保期</w:t>
            </w:r>
          </w:p>
        </w:tc>
        <w:tc>
          <w:tcPr>
            <w:tcW w:w="6961" w:type="dxa"/>
            <w:noWrap w:val="0"/>
            <w:vAlign w:val="center"/>
          </w:tcPr>
          <w:p>
            <w:pPr>
              <w:adjustRightInd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交货</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2023年6月15日前完成项目安装、调试及技术培训。</w:t>
            </w:r>
          </w:p>
          <w:p>
            <w:pPr>
              <w:adjustRightInd w:val="0"/>
              <w:snapToGrid w:val="0"/>
              <w:spacing w:line="360" w:lineRule="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质保期：五年质保，5年通讯流量费，验收合格之日起计算。</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245" w:type="dxa"/>
            <w:noWrap w:val="0"/>
            <w:vAlign w:val="center"/>
          </w:tcPr>
          <w:p>
            <w:pPr>
              <w:adjustRightInd w:val="0"/>
              <w:snapToGrid w:val="0"/>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lang w:val="en-US" w:eastAsia="zh-CN"/>
              </w:rPr>
              <w:t>是否需要提供样品</w:t>
            </w:r>
          </w:p>
        </w:tc>
        <w:tc>
          <w:tcPr>
            <w:tcW w:w="6961" w:type="dxa"/>
            <w:noWrap w:val="0"/>
            <w:vAlign w:val="center"/>
          </w:tcPr>
          <w:p>
            <w:pPr>
              <w:pStyle w:val="58"/>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不需要</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2245" w:type="dxa"/>
            <w:noWrap w:val="0"/>
            <w:vAlign w:val="center"/>
          </w:tcPr>
          <w:p>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6961" w:type="dxa"/>
            <w:noWrap w:val="0"/>
            <w:vAlign w:val="center"/>
          </w:tcPr>
          <w:p>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投标人不得以明显低于成本的报价</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2245" w:type="dxa"/>
            <w:noWrap w:val="0"/>
            <w:vAlign w:val="center"/>
          </w:tcPr>
          <w:p>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6961" w:type="dxa"/>
            <w:noWrap w:val="0"/>
            <w:vAlign w:val="center"/>
          </w:tcPr>
          <w:p>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1、付款币种：本次招标所述的项目资金均以人民币支付。</w:t>
            </w:r>
          </w:p>
          <w:p>
            <w:pPr>
              <w:adjustRightInd w:val="0"/>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付款方式：</w:t>
            </w:r>
          </w:p>
          <w:p>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（1）合同分批付款</w:t>
            </w:r>
          </w:p>
          <w:p>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第一次付款：合同签订后10个工作日内，甲方向乙方支付合同金额的50%预付款；</w:t>
            </w:r>
          </w:p>
          <w:p>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第二次付款：软件设备安装调试完成并验收合格后，乙方向甲方支付5%履约保证金，甲方收到履约保证金后向乙方支付合同尾款，即合同金额的50%。</w:t>
            </w:r>
          </w:p>
          <w:p>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第三次付款：履约保证金壹年后无质量问题，无息退还。</w:t>
            </w:r>
          </w:p>
          <w:p>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（2）甲方向乙方支付货款前，乙方须向甲方开具同等金额的发票，否则甲方有权不予付款且不承担任何责任。</w:t>
            </w:r>
          </w:p>
          <w:p>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（3）当采购数量与实际使用数量不一致时，乙方应根据实际使用量供货，合同的最终结算金额按实际使用量乘以成交单价进行计算。</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lang w:val="en-US" w:eastAsia="zh-CN"/>
              </w:rPr>
              <w:t>及</w:t>
            </w:r>
            <w:r>
              <w:rPr>
                <w:rFonts w:hint="eastAsia" w:ascii="仿宋" w:hAnsi="仿宋" w:eastAsia="仿宋" w:cs="仿宋"/>
                <w:sz w:val="24"/>
                <w:szCs w:val="24"/>
              </w:rPr>
              <w:t>投标截止时间</w:t>
            </w:r>
          </w:p>
        </w:tc>
        <w:tc>
          <w:tcPr>
            <w:tcW w:w="6961" w:type="dxa"/>
            <w:noWrap w:val="0"/>
            <w:vAlign w:val="center"/>
          </w:tcPr>
          <w:p>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04</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18</w:t>
            </w:r>
            <w:r>
              <w:rPr>
                <w:rFonts w:hint="eastAsia" w:ascii="仿宋" w:hAnsi="仿宋" w:eastAsia="仿宋" w:cs="仿宋"/>
                <w:sz w:val="24"/>
                <w:szCs w:val="24"/>
              </w:rPr>
              <w:t>日1</w:t>
            </w:r>
            <w:r>
              <w:rPr>
                <w:rFonts w:hint="eastAsia" w:ascii="仿宋" w:hAnsi="仿宋" w:eastAsia="仿宋" w:cs="仿宋"/>
                <w:sz w:val="24"/>
                <w:szCs w:val="24"/>
                <w:lang w:val="en-US" w:eastAsia="zh-CN"/>
              </w:rPr>
              <w:t>1</w:t>
            </w:r>
            <w:r>
              <w:rPr>
                <w:rFonts w:hint="eastAsia" w:ascii="仿宋" w:hAnsi="仿宋" w:eastAsia="仿宋" w:cs="仿宋"/>
                <w:sz w:val="24"/>
                <w:szCs w:val="24"/>
              </w:rPr>
              <w:t>:00(北京时间)</w:t>
            </w:r>
          </w:p>
          <w:p>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应按招标规定的响应截止时间前</w:t>
            </w:r>
            <w:r>
              <w:rPr>
                <w:rFonts w:hint="eastAsia" w:ascii="仿宋" w:hAnsi="仿宋" w:eastAsia="仿宋" w:cs="仿宋"/>
                <w:sz w:val="24"/>
                <w:szCs w:val="24"/>
                <w:lang w:val="en-US" w:eastAsia="zh-CN"/>
              </w:rPr>
              <w:t>上传</w:t>
            </w:r>
            <w:r>
              <w:rPr>
                <w:rFonts w:hint="eastAsia" w:ascii="仿宋" w:hAnsi="仿宋" w:eastAsia="仿宋" w:cs="仿宋"/>
                <w:sz w:val="24"/>
                <w:szCs w:val="24"/>
              </w:rPr>
              <w:t>投标文件。</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投标文件递交及开标地点</w:t>
            </w:r>
          </w:p>
        </w:tc>
        <w:tc>
          <w:tcPr>
            <w:tcW w:w="6961" w:type="dxa"/>
            <w:noWrap w:val="0"/>
            <w:vAlign w:val="center"/>
          </w:tcPr>
          <w:p>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政采云平台（如有变动另行通知）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投标有效期</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自投标截止之日起90日历天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2245" w:type="dxa"/>
            <w:noWrap w:val="0"/>
            <w:vAlign w:val="center"/>
          </w:tcPr>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履约担保</w:t>
            </w:r>
          </w:p>
        </w:tc>
        <w:tc>
          <w:tcPr>
            <w:tcW w:w="6961" w:type="dxa"/>
            <w:noWrap w:val="0"/>
            <w:vAlign w:val="center"/>
          </w:tcPr>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履约保证金金额：合同金额的</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履约保证金递交：中标单位收到《中标通知书》且签订合同同时，向采购人缴纳；</w:t>
            </w:r>
          </w:p>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履约保证金形式：支票、汇票、银行转账等非现金形式；（中标单位未按招标文件规定缴纳履约保证金的，其投标保证金将不予退还。）</w:t>
            </w:r>
          </w:p>
          <w:p>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p>
        </w:tc>
        <w:tc>
          <w:tcPr>
            <w:tcW w:w="2245" w:type="dxa"/>
            <w:noWrap w:val="0"/>
            <w:vAlign w:val="center"/>
          </w:tcPr>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6961" w:type="dxa"/>
            <w:noWrap w:val="0"/>
            <w:vAlign w:val="center"/>
          </w:tcPr>
          <w:p>
            <w:pPr>
              <w:pStyle w:val="58"/>
              <w:ind w:firstLine="0" w:firstLineChars="0"/>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1、每标项采购预算的2%</w:t>
            </w:r>
          </w:p>
          <w:p>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2、投标保证金缴纳形式：</w:t>
            </w:r>
            <w:r>
              <w:rPr>
                <w:rFonts w:hint="eastAsia" w:ascii="仿宋" w:hAnsi="仿宋" w:eastAsia="仿宋" w:cs="仿宋"/>
                <w:b w:val="0"/>
                <w:bCs w:val="0"/>
                <w:sz w:val="24"/>
                <w:szCs w:val="24"/>
              </w:rPr>
              <w:t>转账或银行电汇</w:t>
            </w:r>
            <w:r>
              <w:rPr>
                <w:rFonts w:hint="eastAsia" w:ascii="仿宋" w:hAnsi="仿宋" w:eastAsia="仿宋" w:cs="仿宋"/>
                <w:b w:val="0"/>
                <w:bCs w:val="0"/>
                <w:sz w:val="24"/>
                <w:szCs w:val="24"/>
                <w:lang w:eastAsia="zh-CN"/>
              </w:rPr>
              <w:t>等</w:t>
            </w:r>
          </w:p>
          <w:p>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3、保证金截止时间：</w:t>
            </w:r>
            <w:r>
              <w:rPr>
                <w:rFonts w:hint="eastAsia" w:ascii="仿宋" w:hAnsi="仿宋" w:eastAsia="仿宋" w:cs="仿宋"/>
                <w:b w:val="0"/>
                <w:bCs w:val="0"/>
                <w:sz w:val="24"/>
                <w:szCs w:val="24"/>
              </w:rPr>
              <w:t>投标截止时间前</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（投标保证金未按规定时间缴纳或提交金额不足的，将被视为无效投标,其投标文件将被拒绝。投标人应充分考虑资金在途时间）</w:t>
            </w:r>
          </w:p>
          <w:p>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4、保证金缴纳账户信息：</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帐户名称：新疆凌云天成工程管理咨询有限公司</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开户行行号：302881000115</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8113701013600070647 （</w:t>
            </w:r>
            <w:r>
              <w:rPr>
                <w:rFonts w:hint="eastAsia" w:ascii="仿宋" w:hAnsi="仿宋" w:eastAsia="仿宋" w:cs="仿宋"/>
                <w:b w:val="0"/>
                <w:bCs w:val="0"/>
                <w:sz w:val="24"/>
                <w:szCs w:val="24"/>
                <w:lang w:val="en-US" w:eastAsia="zh-CN"/>
              </w:rPr>
              <w:t>转账</w:t>
            </w:r>
            <w:r>
              <w:rPr>
                <w:rFonts w:hint="eastAsia" w:ascii="仿宋" w:hAnsi="仿宋" w:eastAsia="仿宋" w:cs="仿宋"/>
                <w:b w:val="0"/>
                <w:bCs w:val="0"/>
                <w:sz w:val="24"/>
                <w:szCs w:val="24"/>
              </w:rPr>
              <w:t>时请在汇款备注栏注明</w:t>
            </w:r>
            <w:r>
              <w:rPr>
                <w:rFonts w:hint="eastAsia" w:ascii="仿宋" w:hAnsi="仿宋" w:eastAsia="仿宋" w:cs="仿宋"/>
                <w:b w:val="0"/>
                <w:bCs w:val="0"/>
                <w:sz w:val="24"/>
                <w:szCs w:val="24"/>
                <w:lang w:eastAsia="zh-CN"/>
              </w:rPr>
              <w:t>项目名称、项目</w:t>
            </w:r>
            <w:r>
              <w:rPr>
                <w:rFonts w:hint="eastAsia" w:ascii="仿宋" w:hAnsi="仿宋" w:eastAsia="仿宋" w:cs="仿宋"/>
                <w:b w:val="0"/>
                <w:bCs w:val="0"/>
                <w:sz w:val="24"/>
                <w:szCs w:val="24"/>
              </w:rPr>
              <w:t>编号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标包号</w:t>
            </w:r>
            <w:r>
              <w:rPr>
                <w:rFonts w:hint="eastAsia" w:ascii="仿宋" w:hAnsi="仿宋" w:eastAsia="仿宋" w:cs="仿宋"/>
                <w:b w:val="0"/>
                <w:bCs w:val="0"/>
                <w:sz w:val="24"/>
                <w:szCs w:val="24"/>
              </w:rPr>
              <w:t>）</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开户银行：中信银行乌鲁木齐河北路支行</w:t>
            </w:r>
          </w:p>
          <w:p>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注：投标人递交投标保证金时，</w:t>
            </w:r>
            <w:r>
              <w:rPr>
                <w:rFonts w:hint="eastAsia" w:ascii="仿宋" w:hAnsi="仿宋" w:eastAsia="仿宋" w:cs="仿宋"/>
                <w:b w:val="0"/>
                <w:bCs w:val="0"/>
                <w:sz w:val="24"/>
                <w:szCs w:val="24"/>
                <w:lang w:val="en-US" w:eastAsia="zh-CN"/>
              </w:rPr>
              <w:t>在汇款附言（或银行摘要）中</w:t>
            </w: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或项目编号</w:t>
            </w:r>
            <w:r>
              <w:rPr>
                <w:rFonts w:hint="eastAsia" w:ascii="仿宋" w:hAnsi="仿宋" w:eastAsia="仿宋" w:cs="仿宋"/>
                <w:b w:val="0"/>
                <w:bCs w:val="0"/>
                <w:sz w:val="24"/>
                <w:szCs w:val="24"/>
              </w:rPr>
              <w:t>、项目</w:t>
            </w:r>
            <w:r>
              <w:rPr>
                <w:rFonts w:hint="eastAsia" w:ascii="仿宋" w:hAnsi="仿宋" w:eastAsia="仿宋" w:cs="仿宋"/>
                <w:b w:val="0"/>
                <w:bCs w:val="0"/>
                <w:sz w:val="24"/>
                <w:szCs w:val="24"/>
                <w:lang w:val="en-US" w:eastAsia="zh-CN"/>
              </w:rPr>
              <w:t>标项</w:t>
            </w:r>
            <w:r>
              <w:rPr>
                <w:rFonts w:hint="eastAsia" w:ascii="仿宋" w:hAnsi="仿宋" w:eastAsia="仿宋" w:cs="仿宋"/>
                <w:b w:val="0"/>
                <w:bCs w:val="0"/>
                <w:sz w:val="24"/>
                <w:szCs w:val="24"/>
              </w:rPr>
              <w:t>”（如有字符限制可自行简写）</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每个项目须按照分包分别提交投标保证金，由于未按要求注明信息而导致的一切后果由投标人承担。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投标文件解密</w:t>
            </w:r>
          </w:p>
        </w:tc>
        <w:tc>
          <w:tcPr>
            <w:tcW w:w="6961"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投标人应在解密开始后30分钟内完成投标文件解密，否则其投标将被拒绝。</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投标文件份数</w:t>
            </w:r>
          </w:p>
        </w:tc>
        <w:tc>
          <w:tcPr>
            <w:tcW w:w="6961"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b/>
                <w:bCs/>
                <w:sz w:val="24"/>
                <w:szCs w:val="24"/>
              </w:rPr>
              <w:t>解密文件一份、BFBS备份文件一份、纸质版投标文件一正两副</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2245"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其他事项</w:t>
            </w:r>
          </w:p>
        </w:tc>
        <w:tc>
          <w:tcPr>
            <w:tcW w:w="6961" w:type="dxa"/>
            <w:noWrap w:val="0"/>
            <w:vAlign w:val="center"/>
          </w:tcPr>
          <w:p>
            <w:pPr>
              <w:adjustRightInd w:val="0"/>
              <w:snapToGrid w:val="0"/>
              <w:spacing w:line="400" w:lineRule="exact"/>
              <w:rPr>
                <w:rFonts w:hint="eastAsia" w:ascii="仿宋" w:hAnsi="仿宋" w:eastAsia="仿宋" w:cs="仿宋"/>
                <w:kern w:val="0"/>
                <w:sz w:val="24"/>
                <w:szCs w:val="24"/>
                <w:lang w:eastAsia="zh-CN"/>
              </w:rPr>
            </w:pPr>
            <w:r>
              <w:rPr>
                <w:rFonts w:hint="eastAsia" w:ascii="仿宋" w:hAnsi="仿宋" w:eastAsia="仿宋" w:cs="仿宋"/>
                <w:b w:val="0"/>
                <w:bCs w:val="0"/>
                <w:sz w:val="24"/>
                <w:szCs w:val="24"/>
              </w:rPr>
              <w:t>为了落实政府采购档案管理规定，凡参与本项目的投标供应商需提供</w:t>
            </w:r>
            <w:r>
              <w:rPr>
                <w:rFonts w:hint="eastAsia" w:ascii="仿宋" w:hAnsi="仿宋" w:eastAsia="仿宋" w:cs="仿宋"/>
                <w:sz w:val="24"/>
                <w:szCs w:val="24"/>
              </w:rPr>
              <w:t>电子版U盘一份（包含投标文件所有内容</w:t>
            </w:r>
            <w:r>
              <w:rPr>
                <w:rFonts w:hint="eastAsia" w:ascii="仿宋" w:hAnsi="仿宋" w:eastAsia="仿宋" w:cs="仿宋"/>
                <w:sz w:val="24"/>
                <w:szCs w:val="24"/>
                <w:lang w:eastAsia="zh-CN"/>
              </w:rPr>
              <w:t>，</w:t>
            </w:r>
            <w:r>
              <w:rPr>
                <w:rFonts w:hint="eastAsia" w:ascii="仿宋" w:hAnsi="仿宋" w:eastAsia="仿宋" w:cs="仿宋"/>
                <w:sz w:val="24"/>
                <w:szCs w:val="24"/>
              </w:rPr>
              <w:t>按招标文件规定签字盖章，扫描成PDF格式一份，word格式（可编辑）一份）</w:t>
            </w:r>
            <w:r>
              <w:rPr>
                <w:rFonts w:hint="eastAsia" w:ascii="仿宋" w:hAnsi="仿宋" w:eastAsia="仿宋" w:cs="仿宋"/>
                <w:sz w:val="24"/>
                <w:szCs w:val="24"/>
                <w:lang w:eastAsia="zh-CN"/>
              </w:rPr>
              <w:t>；</w:t>
            </w:r>
            <w:r>
              <w:rPr>
                <w:rFonts w:hint="eastAsia" w:ascii="仿宋" w:hAnsi="仿宋" w:eastAsia="仿宋" w:cs="仿宋"/>
                <w:b w:val="0"/>
                <w:bCs w:val="0"/>
                <w:sz w:val="24"/>
                <w:szCs w:val="24"/>
              </w:rPr>
              <w:t>纸质版投标文件，正本一份（彩色打印，并逐页加盖公章）、副本两份（副本为正本的复印件），使用 A4 规格纸张打印（可以双面打印），装订成册（必须胶装），纸质版投标文件须与解密文件内容一致，以上资料请于开标结束后两日内送达我公司，否则后果自负。</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2245"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评标委员会组成</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评标委员会组成</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人，其中采购人代表</w:t>
            </w:r>
            <w:r>
              <w:rPr>
                <w:rFonts w:hint="eastAsia" w:ascii="仿宋" w:hAnsi="仿宋" w:eastAsia="仿宋" w:cs="仿宋"/>
                <w:color w:val="000000" w:themeColor="text1"/>
                <w:sz w:val="24"/>
                <w:szCs w:val="24"/>
                <w:u w:val="single"/>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人,专家</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人；专家从政采云平台专家库随机抽取。</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rPr>
              <w:t>政府采购政策支持</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1、本项目根据《政府采购促进中小企业发展管理办法》（财库﹝2020﹞46号）文件的规定</w:t>
            </w:r>
            <w:r>
              <w:rPr>
                <w:rFonts w:hint="eastAsia" w:ascii="仿宋" w:hAnsi="仿宋" w:eastAsia="仿宋" w:cs="仿宋"/>
                <w:sz w:val="24"/>
                <w:szCs w:val="24"/>
                <w:lang w:eastAsia="zh-CN"/>
              </w:rPr>
              <w:t>，</w:t>
            </w:r>
            <w:r>
              <w:rPr>
                <w:rFonts w:hint="eastAsia" w:ascii="仿宋" w:hAnsi="仿宋" w:eastAsia="仿宋" w:cs="仿宋"/>
                <w:sz w:val="24"/>
                <w:szCs w:val="24"/>
              </w:rPr>
              <w:t>评标时将给予此类企业进行价格</w:t>
            </w:r>
            <w:r>
              <w:rPr>
                <w:rFonts w:hint="eastAsia" w:ascii="仿宋" w:hAnsi="仿宋" w:eastAsia="仿宋" w:cs="仿宋"/>
                <w:sz w:val="24"/>
                <w:szCs w:val="24"/>
                <w:lang w:val="en-US" w:eastAsia="zh-CN"/>
              </w:rPr>
              <w:t>10</w:t>
            </w:r>
            <w:r>
              <w:rPr>
                <w:rFonts w:hint="eastAsia" w:ascii="仿宋" w:hAnsi="仿宋" w:eastAsia="仿宋" w:cs="仿宋"/>
                <w:sz w:val="24"/>
                <w:szCs w:val="24"/>
              </w:rPr>
              <w:t>%的优惠，监狱企业、残疾人福利性单位视同为小微企业，用优惠后的价格参与评审。</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2、落实其他政府采购政策条款：详见中华人民共和国财政部、中华人民共和国工业和信息化部《政府采购促进中小企业发展管理办法》（财库﹝2020﹞46号）文件。</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245" w:type="dxa"/>
            <w:noWrap w:val="0"/>
            <w:vAlign w:val="center"/>
          </w:tcPr>
          <w:p>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中标原则</w:t>
            </w:r>
          </w:p>
          <w:p>
            <w:pPr>
              <w:adjustRightInd w:val="0"/>
              <w:snapToGrid w:val="0"/>
              <w:spacing w:line="400" w:lineRule="exact"/>
              <w:rPr>
                <w:rFonts w:hint="eastAsia" w:ascii="仿宋" w:hAnsi="仿宋" w:eastAsia="仿宋" w:cs="仿宋"/>
                <w:b/>
                <w:bCs/>
                <w:sz w:val="24"/>
                <w:szCs w:val="24"/>
              </w:rPr>
            </w:pPr>
          </w:p>
        </w:tc>
        <w:tc>
          <w:tcPr>
            <w:tcW w:w="6961" w:type="dxa"/>
            <w:noWrap w:val="0"/>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本项目采用综合评分法。</w:t>
            </w:r>
          </w:p>
          <w:p>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综合评分法，是指响应文件满足招标文件全部实质性要求且按评审因素的量化指标评审得分最高的供应商为中标候选供应商的评审方法。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b w:val="0"/>
                <w:bCs w:val="0"/>
                <w:sz w:val="24"/>
                <w:szCs w:val="24"/>
              </w:rPr>
              <w:t xml:space="preserve">合同签订 </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中标人收到中标通知书起 30日历日内。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2245"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代理服务费</w:t>
            </w:r>
          </w:p>
        </w:tc>
        <w:tc>
          <w:tcPr>
            <w:tcW w:w="6961" w:type="dxa"/>
            <w:noWrap w:val="0"/>
            <w:vAlign w:val="center"/>
          </w:tcPr>
          <w:p>
            <w:pPr>
              <w:spacing w:line="360" w:lineRule="auto"/>
              <w:ind w:right="105" w:rightChars="50"/>
              <w:rPr>
                <w:rFonts w:hint="eastAsia" w:ascii="仿宋" w:hAnsi="仿宋" w:eastAsia="仿宋" w:cs="仿宋"/>
                <w:bCs/>
                <w:sz w:val="24"/>
                <w:szCs w:val="24"/>
                <w:lang w:eastAsia="zh-CN"/>
              </w:rPr>
            </w:pPr>
            <w:r>
              <w:rPr>
                <w:rFonts w:hint="eastAsia" w:ascii="仿宋" w:hAnsi="仿宋" w:eastAsia="仿宋" w:cs="仿宋"/>
                <w:bCs/>
                <w:sz w:val="24"/>
                <w:szCs w:val="24"/>
              </w:rPr>
              <w:t>1、代理服务费的计算方法：</w:t>
            </w:r>
            <w:r>
              <w:rPr>
                <w:rFonts w:hint="eastAsia" w:ascii="仿宋" w:hAnsi="仿宋" w:eastAsia="仿宋" w:cs="仿宋"/>
                <w:sz w:val="24"/>
                <w:szCs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szCs w:val="24"/>
                <w:lang w:eastAsia="zh-CN"/>
              </w:rPr>
              <w:t>。</w:t>
            </w:r>
          </w:p>
          <w:p>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2、代理服务费的收取金额：中标金额为基数按照规定收取。</w:t>
            </w:r>
          </w:p>
          <w:p>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3、代理服务费支付方式：由中标人支付。</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4、代理服务费的支付时间：由中标人领取中标通知书前支付。</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2245" w:type="dxa"/>
            <w:noWrap w:val="0"/>
            <w:vAlign w:val="center"/>
          </w:tcPr>
          <w:p>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特别说明</w:t>
            </w:r>
          </w:p>
        </w:tc>
        <w:tc>
          <w:tcPr>
            <w:tcW w:w="6961" w:type="dxa"/>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1.为保证本项目质量，良好的售后服务，最低报价不作为中标的唯一依据。</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2.投标文件中有弄虚作假的内容，其投标文件作废。（如假证书、假业绩、隐瞒不良行为记录、夸大荣誉、使用非本单位在职员工的相关证件及不符合招标文件规定的条款等）；在签订合同之前，采购人若发现</w:t>
            </w:r>
            <w:r>
              <w:rPr>
                <w:rFonts w:hint="eastAsia" w:ascii="仿宋" w:hAnsi="仿宋" w:eastAsia="仿宋" w:cs="仿宋"/>
                <w:sz w:val="24"/>
                <w:szCs w:val="24"/>
                <w:lang w:val="en-US" w:eastAsia="zh-CN"/>
              </w:rPr>
              <w:t>中标</w:t>
            </w:r>
            <w:r>
              <w:rPr>
                <w:rFonts w:hint="eastAsia" w:ascii="仿宋" w:hAnsi="仿宋" w:eastAsia="仿宋" w:cs="仿宋"/>
                <w:sz w:val="24"/>
                <w:szCs w:val="24"/>
              </w:rPr>
              <w:t>候选供应商在投标过程中提供虚假证明文件，故意隐瞒公司不良信誉和财务状况，以及其他可能对合同圆满履行造成风险的因素等，招标人可拒绝与其签订合同</w:t>
            </w:r>
            <w:r>
              <w:rPr>
                <w:rFonts w:hint="eastAsia" w:ascii="仿宋" w:hAnsi="仿宋" w:eastAsia="仿宋" w:cs="仿宋"/>
                <w:sz w:val="24"/>
                <w:szCs w:val="24"/>
                <w:lang w:eastAsia="zh-CN"/>
              </w:rPr>
              <w:t>，</w:t>
            </w:r>
            <w:r>
              <w:rPr>
                <w:rFonts w:hint="eastAsia" w:ascii="仿宋" w:hAnsi="仿宋" w:eastAsia="仿宋" w:cs="仿宋"/>
                <w:sz w:val="24"/>
                <w:szCs w:val="24"/>
              </w:rPr>
              <w:t>按规定取消其成交资格，监管部门依法进行处理</w:t>
            </w:r>
            <w:r>
              <w:rPr>
                <w:rFonts w:hint="eastAsia" w:ascii="仿宋" w:hAnsi="仿宋" w:eastAsia="仿宋" w:cs="仿宋"/>
                <w:sz w:val="24"/>
                <w:szCs w:val="24"/>
                <w:lang w:val="en-US" w:eastAsia="zh-CN"/>
              </w:rPr>
              <w:t>或</w:t>
            </w:r>
            <w:r>
              <w:rPr>
                <w:rFonts w:hint="eastAsia" w:ascii="仿宋" w:hAnsi="仿宋" w:eastAsia="仿宋" w:cs="仿宋"/>
                <w:sz w:val="24"/>
                <w:szCs w:val="24"/>
              </w:rPr>
              <w:t>将其列入政府采购黑名单库。</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招标文件中如出现前后不一致情况，均以前附表内容为准。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 事项</w:t>
            </w:r>
          </w:p>
        </w:tc>
        <w:tc>
          <w:tcPr>
            <w:tcW w:w="9206" w:type="dxa"/>
            <w:gridSpan w:val="2"/>
            <w:noWrap w:val="0"/>
            <w:vAlign w:val="center"/>
          </w:tcPr>
          <w:p>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sz w:val="24"/>
                <w:szCs w:val="24"/>
                <w:lang w:eastAsia="zh-CN"/>
              </w:rPr>
              <w:t>实施</w:t>
            </w:r>
            <w:r>
              <w:rPr>
                <w:rFonts w:hint="eastAsia" w:ascii="仿宋" w:hAnsi="仿宋" w:eastAsia="仿宋" w:cs="仿宋"/>
                <w:sz w:val="24"/>
                <w:szCs w:val="24"/>
              </w:rPr>
              <w:t>。</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noWrap w:val="0"/>
            <w:vAlign w:val="center"/>
          </w:tcPr>
          <w:p>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9</w:t>
            </w:r>
          </w:p>
        </w:tc>
        <w:tc>
          <w:tcPr>
            <w:tcW w:w="2245" w:type="dxa"/>
            <w:noWrap w:val="0"/>
            <w:vAlign w:val="center"/>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6961" w:type="dxa"/>
            <w:noWrap w:val="0"/>
            <w:vAlign w:val="center"/>
          </w:tcPr>
          <w:p>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供应商须知前附表与招标文件正文内容不一致时以供应商须知前附表为准。</w:t>
            </w:r>
          </w:p>
        </w:tc>
      </w:tr>
    </w:tbl>
    <w:p>
      <w:pPr>
        <w:jc w:val="center"/>
        <w:rPr>
          <w:rFonts w:hint="eastAsia" w:ascii="仿宋" w:hAnsi="仿宋" w:eastAsia="仿宋" w:cs="仿宋"/>
          <w:b/>
          <w:bCs/>
          <w:sz w:val="24"/>
        </w:rPr>
      </w:pPr>
    </w:p>
    <w:p>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val="en-US" w:eastAsia="zh-CN"/>
        </w:rPr>
        <w:t>新疆维吾尔自治区植物保护站</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w:t>
      </w:r>
      <w:r>
        <w:rPr>
          <w:rFonts w:hint="eastAsia" w:ascii="仿宋" w:hAnsi="仿宋" w:eastAsia="仿宋" w:cs="仿宋"/>
          <w:kern w:val="0"/>
          <w:sz w:val="24"/>
          <w:lang w:eastAsia="zh-CN"/>
        </w:rPr>
        <w:t>交货期</w:t>
      </w:r>
      <w:r>
        <w:rPr>
          <w:rFonts w:hint="eastAsia" w:ascii="仿宋" w:hAnsi="仿宋" w:eastAsia="仿宋" w:cs="仿宋"/>
          <w:kern w:val="0"/>
          <w:sz w:val="24"/>
        </w:rPr>
        <w:t>、投标有效期</w:t>
      </w:r>
      <w:r>
        <w:rPr>
          <w:rFonts w:hint="eastAsia" w:ascii="仿宋" w:hAnsi="仿宋" w:eastAsia="仿宋" w:cs="仿宋"/>
          <w:kern w:val="0"/>
          <w:sz w:val="24"/>
          <w:lang w:val="en-US" w:eastAsia="zh-CN"/>
        </w:rPr>
        <w:t>等</w:t>
      </w:r>
      <w:r>
        <w:rPr>
          <w:rFonts w:hint="eastAsia" w:ascii="仿宋" w:hAnsi="仿宋" w:eastAsia="仿宋" w:cs="仿宋"/>
          <w:kern w:val="0"/>
          <w:sz w:val="24"/>
        </w:rPr>
        <w:t>符合招标文件要求；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5. 交货期及项目地点</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w:t>
      </w:r>
      <w:r>
        <w:rPr>
          <w:rFonts w:hint="eastAsia" w:ascii="仿宋" w:hAnsi="仿宋" w:eastAsia="仿宋" w:cs="仿宋"/>
          <w:bCs/>
          <w:kern w:val="0"/>
          <w:sz w:val="24"/>
          <w:lang w:val="en-US" w:eastAsia="zh-CN"/>
        </w:rPr>
        <w:t>上传</w:t>
      </w:r>
      <w:r>
        <w:rPr>
          <w:rFonts w:hint="eastAsia" w:ascii="仿宋" w:hAnsi="仿宋" w:eastAsia="仿宋" w:cs="仿宋"/>
          <w:bCs/>
          <w:kern w:val="0"/>
          <w:sz w:val="24"/>
        </w:rPr>
        <w:t>授权委托书和授权代表人的身份证（原件）。</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lang w:val="en-US" w:eastAsia="zh-CN"/>
        </w:rPr>
        <w:t>项</w:t>
      </w:r>
      <w:r>
        <w:rPr>
          <w:rFonts w:hint="eastAsia" w:ascii="仿宋" w:hAnsi="仿宋" w:eastAsia="仿宋" w:cs="仿宋"/>
          <w:sz w:val="24"/>
          <w:lang w:val="zh-CN"/>
        </w:rPr>
        <w:t>。招标文件未分标</w:t>
      </w:r>
      <w:r>
        <w:rPr>
          <w:rFonts w:hint="eastAsia" w:ascii="仿宋" w:hAnsi="仿宋" w:eastAsia="仿宋" w:cs="仿宋"/>
          <w:sz w:val="24"/>
          <w:lang w:val="en-US" w:eastAsia="zh-CN"/>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w:t>
      </w:r>
      <w:r>
        <w:rPr>
          <w:rFonts w:hint="eastAsia" w:ascii="仿宋" w:hAnsi="仿宋" w:eastAsia="仿宋" w:cs="仿宋"/>
          <w:bCs/>
          <w:kern w:val="0"/>
          <w:sz w:val="24"/>
          <w:lang w:val="en-US" w:eastAsia="zh-CN"/>
        </w:rPr>
        <w:t>投</w:t>
      </w:r>
      <w:r>
        <w:rPr>
          <w:rFonts w:hint="eastAsia" w:ascii="仿宋" w:hAnsi="仿宋" w:eastAsia="仿宋" w:cs="仿宋"/>
          <w:bCs/>
          <w:kern w:val="0"/>
          <w:sz w:val="24"/>
        </w:rPr>
        <w:t>标的投标人，按招标公告获取招标文件要求提交的材料后，在代理机构处获取。</w:t>
      </w:r>
    </w:p>
    <w:p>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 xml:space="preserve">12.3 </w:t>
      </w:r>
      <w:r>
        <w:rPr>
          <w:rFonts w:hint="eastAsia" w:ascii="仿宋" w:hAnsi="仿宋" w:eastAsia="仿宋" w:cs="仿宋"/>
          <w:b w:val="0"/>
          <w:bCs/>
          <w:sz w:val="24"/>
          <w:szCs w:val="24"/>
        </w:rPr>
        <w:t>投标人一经报名应积极参加招标项目若不参加请于开标前三天向招标代理公司提交加盖单位公章弃标函若不提供该企业将被列入</w:t>
      </w:r>
      <w:r>
        <w:rPr>
          <w:rFonts w:hint="eastAsia" w:ascii="仿宋" w:hAnsi="仿宋" w:eastAsia="仿宋" w:cs="仿宋"/>
          <w:b w:val="0"/>
          <w:bCs/>
          <w:sz w:val="24"/>
          <w:szCs w:val="24"/>
          <w:lang w:val="en-US" w:eastAsia="zh-CN"/>
        </w:rPr>
        <w:t>不诚信</w:t>
      </w:r>
      <w:r>
        <w:rPr>
          <w:rFonts w:hint="eastAsia" w:ascii="仿宋" w:hAnsi="仿宋" w:eastAsia="仿宋" w:cs="仿宋"/>
          <w:b w:val="0"/>
          <w:bCs/>
          <w:sz w:val="24"/>
          <w:szCs w:val="24"/>
        </w:rPr>
        <w:t>名单</w:t>
      </w:r>
      <w:r>
        <w:rPr>
          <w:rFonts w:hint="eastAsia" w:ascii="仿宋" w:hAnsi="仿宋" w:eastAsia="仿宋" w:cs="仿宋"/>
          <w:b w:val="0"/>
          <w:bCs/>
          <w:sz w:val="24"/>
          <w:szCs w:val="24"/>
          <w:lang w:eastAsia="zh-CN"/>
        </w:rPr>
        <w:t>。</w:t>
      </w:r>
    </w:p>
    <w:p>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12.4</w:t>
      </w:r>
      <w:r>
        <w:rPr>
          <w:rFonts w:hint="eastAsia" w:ascii="仿宋" w:hAnsi="仿宋" w:eastAsia="仿宋" w:cs="仿宋"/>
          <w:b w:val="0"/>
          <w:bCs/>
          <w:sz w:val="24"/>
          <w:szCs w:val="24"/>
          <w:lang w:eastAsia="zh-CN"/>
        </w:rPr>
        <w:t>招投标双方应分别为对方在投标文件和招标文件中涉及的商业和技术等秘密保密，违者应对由此造成的后果承担责任。投标方不得将参加此次投标活动的事实进行商业性宣传。</w:t>
      </w:r>
    </w:p>
    <w:p>
      <w:pPr>
        <w:shd w:val="clear" w:color="auto" w:fill="FFFFFF"/>
        <w:spacing w:line="400" w:lineRule="exact"/>
        <w:ind w:firstLine="484" w:firstLineChars="202"/>
        <w:rPr>
          <w:rFonts w:hint="eastAsia" w:ascii="仿宋" w:hAnsi="仿宋" w:eastAsia="仿宋" w:cs="仿宋"/>
          <w:b w:val="0"/>
          <w:bCs/>
          <w:sz w:val="24"/>
          <w:szCs w:val="24"/>
          <w:lang w:eastAsia="zh-CN"/>
        </w:rPr>
      </w:pP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w:t>
      </w:r>
      <w:r>
        <w:rPr>
          <w:rFonts w:hint="eastAsia" w:ascii="仿宋" w:hAnsi="仿宋" w:eastAsia="仿宋" w:cs="仿宋"/>
          <w:bCs/>
          <w:sz w:val="24"/>
          <w:lang w:val="en-US" w:eastAsia="zh-CN"/>
        </w:rPr>
        <w:t>上传</w:t>
      </w:r>
      <w:r>
        <w:rPr>
          <w:rFonts w:hint="eastAsia" w:ascii="仿宋" w:hAnsi="仿宋" w:eastAsia="仿宋" w:cs="仿宋"/>
          <w:bCs/>
          <w:sz w:val="24"/>
        </w:rPr>
        <w:t>递交的投标文件视为无效投标文件。</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kern w:val="0"/>
          <w:sz w:val="24"/>
          <w:lang w:val="en-US" w:eastAsia="zh-CN"/>
        </w:rPr>
        <w:t>项目</w:t>
      </w:r>
      <w:r>
        <w:rPr>
          <w:rFonts w:hint="eastAsia" w:ascii="仿宋" w:hAnsi="仿宋" w:eastAsia="仿宋" w:cs="仿宋"/>
          <w:kern w:val="0"/>
          <w:sz w:val="24"/>
        </w:rPr>
        <w:t>内容所需的费用。</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w:t>
      </w:r>
      <w:r>
        <w:rPr>
          <w:rFonts w:hint="eastAsia" w:ascii="仿宋" w:hAnsi="仿宋" w:eastAsia="仿宋" w:cs="仿宋"/>
          <w:kern w:val="0"/>
          <w:sz w:val="24"/>
          <w:lang w:val="en-US" w:eastAsia="zh-CN"/>
        </w:rPr>
        <w:t>累计</w:t>
      </w:r>
      <w:r>
        <w:rPr>
          <w:rFonts w:hint="eastAsia" w:ascii="仿宋" w:hAnsi="仿宋" w:eastAsia="仿宋" w:cs="仿宋"/>
          <w:kern w:val="0"/>
          <w:sz w:val="24"/>
        </w:rPr>
        <w:t>计算结果为准。</w:t>
      </w:r>
    </w:p>
    <w:p>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15.3 </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保证金不接受现金。按</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文件要求，在</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保证金从</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w:t>
      </w:r>
      <w:r>
        <w:rPr>
          <w:rFonts w:hint="eastAsia" w:ascii="仿宋" w:hAnsi="仿宋" w:eastAsia="仿宋" w:cs="仿宋"/>
          <w:kern w:val="0"/>
          <w:sz w:val="24"/>
          <w:lang w:val="en-US" w:eastAsia="zh-CN"/>
        </w:rPr>
        <w:t>自动</w:t>
      </w:r>
      <w:r>
        <w:rPr>
          <w:rFonts w:hint="eastAsia" w:ascii="仿宋" w:hAnsi="仿宋" w:eastAsia="仿宋" w:cs="仿宋"/>
          <w:kern w:val="0"/>
          <w:sz w:val="24"/>
        </w:rPr>
        <w:t>转为履约保证金，合同执行完毕之后退回，（需携带原始交款凭据、采购单位出具的“验收合格”证明资料、开户银行许可证复印件等资料办理退付手续）。</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b w:val="0"/>
          <w:bCs/>
          <w:kern w:val="0"/>
          <w:sz w:val="24"/>
        </w:rPr>
        <w:t>下列任何情况发生时，投标保证金将被没收：</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 xml:space="preserve">7 </w:t>
      </w:r>
      <w:r>
        <w:rPr>
          <w:rFonts w:hint="eastAsia" w:ascii="仿宋" w:hAnsi="仿宋" w:eastAsia="仿宋" w:cs="仿宋"/>
          <w:b w:val="0"/>
          <w:bCs/>
          <w:kern w:val="0"/>
          <w:sz w:val="24"/>
        </w:rPr>
        <w:t>投标人办理投标保证金退款申请手续须提供以下资料：</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中标单位需公示合同后提供下列资料，未中标单位直接提供下列资料</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.2 保证金收据</w:t>
      </w:r>
      <w:r>
        <w:rPr>
          <w:rFonts w:hint="eastAsia" w:ascii="仿宋" w:hAnsi="仿宋" w:eastAsia="仿宋" w:cs="仿宋"/>
          <w:kern w:val="0"/>
          <w:sz w:val="24"/>
          <w:lang w:val="en-US" w:eastAsia="zh-CN"/>
        </w:rPr>
        <w:t>及退款申请单</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因投标人资料提供不及时导致的退款延误采购人及代理机构不承担责任</w:t>
      </w:r>
      <w:r>
        <w:rPr>
          <w:rFonts w:hint="eastAsia" w:ascii="仿宋" w:hAnsi="仿宋" w:eastAsia="仿宋" w:cs="仿宋"/>
          <w:kern w:val="0"/>
          <w:sz w:val="24"/>
        </w:rPr>
        <w:t>。</w:t>
      </w:r>
    </w:p>
    <w:p>
      <w:pPr>
        <w:pStyle w:val="58"/>
        <w:spacing w:line="360" w:lineRule="auto"/>
        <w:ind w:firstLine="480" w:firstLineChars="200"/>
        <w:rPr>
          <w:rFonts w:hint="eastAsia"/>
        </w:rPr>
      </w:pPr>
      <w:r>
        <w:rPr>
          <w:rFonts w:hint="eastAsia" w:ascii="仿宋" w:hAnsi="仿宋" w:eastAsia="仿宋" w:cs="仿宋"/>
          <w:kern w:val="0"/>
          <w:sz w:val="24"/>
          <w:szCs w:val="24"/>
        </w:rPr>
        <w:t>15.</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3 </w:t>
      </w:r>
      <w:r>
        <w:rPr>
          <w:rFonts w:hint="eastAsia" w:ascii="仿宋" w:hAnsi="仿宋" w:eastAsia="仿宋" w:cs="仿宋"/>
          <w:sz w:val="24"/>
          <w:szCs w:val="24"/>
        </w:rPr>
        <w:t>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541773504</w:t>
      </w:r>
      <w:r>
        <w:rPr>
          <w:rFonts w:hint="eastAsia" w:ascii="仿宋" w:hAnsi="仿宋" w:eastAsia="仿宋" w:cs="仿宋"/>
          <w:sz w:val="24"/>
          <w:szCs w:val="24"/>
        </w:rPr>
        <w:t>@qq.com），如因未发送合同扫描件导致合同未备案影响采购方支付款项，所造成的损失由中标方承担。</w:t>
      </w:r>
      <w:r>
        <w:rPr>
          <w:rFonts w:hint="eastAsia" w:ascii="仿宋" w:hAnsi="仿宋" w:eastAsia="仿宋" w:cs="仿宋"/>
          <w:sz w:val="24"/>
          <w:szCs w:val="24"/>
        </w:rPr>
        <w:fldChar w:fldCharType="end"/>
      </w:r>
    </w:p>
    <w:p>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rPr>
        <w:t>17. 投标有效期</w:t>
      </w:r>
      <w:r>
        <w:rPr>
          <w:rFonts w:hint="eastAsia" w:ascii="仿宋" w:hAnsi="仿宋" w:eastAsia="仿宋" w:cs="仿宋"/>
          <w:b/>
          <w:kern w:val="0"/>
          <w:sz w:val="24"/>
          <w:lang w:eastAsia="zh-CN"/>
        </w:rPr>
        <w:t>、廉洁自律承诺要求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pPr>
        <w:pStyle w:val="17"/>
        <w:spacing w:line="360" w:lineRule="auto"/>
        <w:rPr>
          <w:rFonts w:hint="eastAsia" w:ascii="仿宋" w:hAnsi="仿宋" w:eastAsia="仿宋" w:cs="仿宋"/>
          <w:sz w:val="24"/>
          <w:szCs w:val="24"/>
        </w:rPr>
      </w:pPr>
      <w:r>
        <w:rPr>
          <w:rFonts w:hint="eastAsia" w:ascii="仿宋" w:hAnsi="仿宋" w:eastAsia="仿宋" w:cs="仿宋"/>
          <w:kern w:val="0"/>
          <w:sz w:val="24"/>
        </w:rPr>
        <w:t>17.</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w:t>
      </w:r>
      <w:r>
        <w:rPr>
          <w:rFonts w:hint="eastAsia" w:ascii="仿宋" w:hAnsi="仿宋" w:eastAsia="仿宋" w:cs="仿宋"/>
          <w:sz w:val="24"/>
          <w:szCs w:val="24"/>
        </w:rPr>
        <w:t>廉洁自律承诺要求</w:t>
      </w:r>
    </w:p>
    <w:p>
      <w:pPr>
        <w:pStyle w:val="17"/>
        <w:spacing w:line="360" w:lineRule="auto"/>
        <w:rPr>
          <w:rFonts w:hint="eastAsia" w:ascii="仿宋" w:hAnsi="仿宋" w:eastAsia="仿宋" w:cs="仿宋"/>
          <w:sz w:val="24"/>
          <w:szCs w:val="24"/>
        </w:rPr>
      </w:pPr>
      <w:r>
        <w:rPr>
          <w:rFonts w:hint="eastAsia" w:ascii="仿宋" w:hAnsi="仿宋" w:eastAsia="仿宋" w:cs="仿宋"/>
          <w:sz w:val="24"/>
          <w:szCs w:val="24"/>
        </w:rPr>
        <w:t>按照《预防职务违法违纪工作规程》规定要求，在本次</w:t>
      </w:r>
      <w:r>
        <w:rPr>
          <w:rFonts w:hint="eastAsia" w:ascii="仿宋" w:hAnsi="仿宋" w:eastAsia="仿宋" w:cs="仿宋"/>
          <w:sz w:val="24"/>
          <w:szCs w:val="24"/>
          <w:lang w:val="en-US" w:eastAsia="zh-CN"/>
        </w:rPr>
        <w:t>招标</w:t>
      </w:r>
      <w:r>
        <w:rPr>
          <w:rFonts w:hint="eastAsia" w:ascii="仿宋" w:hAnsi="仿宋" w:eastAsia="仿宋" w:cs="仿宋"/>
          <w:sz w:val="24"/>
          <w:szCs w:val="24"/>
        </w:rPr>
        <w:t>活动中，新疆凌云天成工程管理咨询有限公司保证不接受任何</w:t>
      </w:r>
      <w:r>
        <w:rPr>
          <w:rFonts w:hint="eastAsia" w:ascii="仿宋" w:hAnsi="仿宋" w:eastAsia="仿宋" w:cs="仿宋"/>
          <w:sz w:val="24"/>
          <w:szCs w:val="24"/>
          <w:lang w:val="en-US" w:eastAsia="zh-CN"/>
        </w:rPr>
        <w:t>投标</w:t>
      </w:r>
      <w:r>
        <w:rPr>
          <w:rFonts w:hint="eastAsia" w:ascii="仿宋" w:hAnsi="仿宋" w:eastAsia="仿宋" w:cs="仿宋"/>
          <w:sz w:val="24"/>
          <w:szCs w:val="24"/>
        </w:rPr>
        <w:t>单位送的礼金礼品、有价证券、购物券、回扣、佣金；不与</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单位及其工作人员私下接触、参与宴请和娱乐活动；不向</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单位及其工作人员索要好处费、赞助费和宣传费；不</w:t>
      </w:r>
      <w:r>
        <w:rPr>
          <w:rFonts w:hint="eastAsia" w:ascii="仿宋" w:hAnsi="仿宋" w:eastAsia="仿宋" w:cs="仿宋"/>
          <w:sz w:val="24"/>
          <w:szCs w:val="24"/>
          <w:lang w:val="en-US" w:eastAsia="zh-CN"/>
        </w:rPr>
        <w:t>得让投标</w:t>
      </w:r>
      <w:r>
        <w:rPr>
          <w:rFonts w:hint="eastAsia" w:ascii="仿宋" w:hAnsi="仿宋" w:eastAsia="仿宋" w:cs="仿宋"/>
          <w:sz w:val="24"/>
          <w:szCs w:val="24"/>
        </w:rPr>
        <w:t>单位支付旅游费用、报销各种消费凭证；同时，要求参加本次项目的采购单位、评标专家要填写和提交《廉洁自律承诺书》。</w:t>
      </w:r>
    </w:p>
    <w:p>
      <w:pPr>
        <w:pStyle w:val="17"/>
        <w:rPr>
          <w:rFonts w:hint="eastAsia"/>
        </w:rPr>
      </w:pP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pPr>
        <w:shd w:val="clear" w:color="auto" w:fill="FFFFFF"/>
        <w:spacing w:line="400" w:lineRule="exact"/>
        <w:ind w:firstLine="487" w:firstLineChars="202"/>
        <w:outlineLvl w:val="0"/>
        <w:rPr>
          <w:rFonts w:hint="eastAsia" w:ascii="仿宋" w:hAnsi="仿宋" w:eastAsia="仿宋" w:cs="仿宋"/>
          <w:b/>
          <w:kern w:val="0"/>
          <w:sz w:val="24"/>
        </w:rPr>
      </w:pPr>
      <w:bookmarkStart w:id="5" w:name="_Toc4995"/>
      <w:r>
        <w:rPr>
          <w:rFonts w:hint="eastAsia" w:ascii="仿宋" w:hAnsi="仿宋" w:eastAsia="仿宋" w:cs="仿宋"/>
          <w:b/>
          <w:kern w:val="0"/>
          <w:sz w:val="24"/>
        </w:rPr>
        <w:t>20. 投标文件的组成</w:t>
      </w:r>
      <w:bookmarkEnd w:id="5"/>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w:t>
      </w:r>
      <w:r>
        <w:rPr>
          <w:rFonts w:hint="eastAsia" w:ascii="仿宋" w:hAnsi="仿宋" w:eastAsia="仿宋" w:cs="仿宋"/>
          <w:bCs/>
          <w:kern w:val="0"/>
          <w:sz w:val="24"/>
          <w:lang w:eastAsia="zh-CN"/>
        </w:rPr>
        <w:t>报价</w:t>
      </w:r>
      <w:r>
        <w:rPr>
          <w:rFonts w:hint="eastAsia" w:ascii="仿宋" w:hAnsi="仿宋" w:eastAsia="仿宋" w:cs="仿宋"/>
          <w:bCs/>
          <w:kern w:val="0"/>
          <w:sz w:val="24"/>
        </w:rPr>
        <w:t>部分</w:t>
      </w:r>
      <w:r>
        <w:rPr>
          <w:rFonts w:hint="eastAsia" w:ascii="仿宋" w:hAnsi="仿宋" w:eastAsia="仿宋" w:cs="仿宋"/>
          <w:b/>
          <w:bCs/>
          <w:kern w:val="0"/>
          <w:sz w:val="24"/>
        </w:rPr>
        <w:t>。</w:t>
      </w:r>
    </w:p>
    <w:p>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投标人相关项目业绩表</w:t>
      </w:r>
      <w:bookmarkStart w:id="24" w:name="_GoBack"/>
      <w:bookmarkEnd w:id="24"/>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拟投入设备</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）有关投标产品的证明、检测报告或产品鉴定证书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）技术方案；</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r>
        <w:rPr>
          <w:rFonts w:hint="eastAsia" w:ascii="仿宋" w:hAnsi="仿宋" w:eastAsia="仿宋" w:cs="仿宋"/>
          <w:bCs/>
          <w:sz w:val="24"/>
          <w:szCs w:val="24"/>
        </w:rPr>
        <w:t>）</w:t>
      </w:r>
      <w:r>
        <w:rPr>
          <w:rFonts w:hint="eastAsia" w:ascii="仿宋" w:hAnsi="仿宋" w:eastAsia="仿宋" w:cs="仿宋"/>
          <w:bCs/>
          <w:sz w:val="24"/>
          <w:szCs w:val="24"/>
          <w:lang w:val="en-US" w:eastAsia="zh-CN"/>
        </w:rPr>
        <w:t>投标人认为需要提交的其他商务技术资料</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21. 投标文件的编制及格式</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lang w:val="en-US" w:eastAsia="zh-CN"/>
        </w:rPr>
        <w:t>在</w:t>
      </w:r>
      <w:r>
        <w:rPr>
          <w:rFonts w:hint="eastAsia" w:ascii="仿宋" w:hAnsi="仿宋" w:eastAsia="仿宋" w:cs="仿宋"/>
          <w:sz w:val="24"/>
        </w:rPr>
        <w:t>投标文件编制中所需提交的证明材料复印件须加盖投标人公章</w:t>
      </w:r>
      <w:r>
        <w:rPr>
          <w:rFonts w:hint="eastAsia" w:ascii="仿宋" w:hAnsi="仿宋" w:eastAsia="仿宋" w:cs="仿宋"/>
          <w:sz w:val="24"/>
          <w:lang w:val="en-US" w:eastAsia="zh-CN"/>
        </w:rPr>
        <w:t>上传</w:t>
      </w:r>
      <w:r>
        <w:rPr>
          <w:rFonts w:hint="eastAsia" w:ascii="仿宋" w:hAnsi="仿宋" w:eastAsia="仿宋" w:cs="仿宋"/>
          <w:sz w:val="24"/>
        </w:rPr>
        <w:t>,</w:t>
      </w:r>
      <w:r>
        <w:rPr>
          <w:rFonts w:hint="eastAsia" w:ascii="仿宋" w:hAnsi="仿宋" w:eastAsia="仿宋" w:cs="仿宋"/>
          <w:kern w:val="0"/>
          <w:sz w:val="24"/>
        </w:rPr>
        <w:t>否则视为非实质响应招标文件</w:t>
      </w:r>
      <w:r>
        <w:rPr>
          <w:rFonts w:hint="eastAsia" w:ascii="仿宋" w:hAnsi="仿宋" w:eastAsia="仿宋" w:cs="仿宋"/>
          <w:sz w:val="24"/>
        </w:rPr>
        <w:t>。</w:t>
      </w:r>
    </w:p>
    <w:p>
      <w:pPr>
        <w:shd w:val="clear" w:color="auto" w:fill="FFFFFF"/>
        <w:spacing w:line="400" w:lineRule="exact"/>
        <w:ind w:firstLine="484" w:firstLineChars="202"/>
        <w:outlineLvl w:val="0"/>
        <w:rPr>
          <w:rFonts w:hint="eastAsia" w:ascii="仿宋" w:hAnsi="仿宋" w:eastAsia="仿宋" w:cs="仿宋"/>
          <w:sz w:val="24"/>
        </w:rPr>
      </w:pPr>
      <w:bookmarkStart w:id="6"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6"/>
    </w:p>
    <w:p>
      <w:pPr>
        <w:shd w:val="clear" w:color="auto" w:fill="FFFFFF"/>
        <w:spacing w:line="400" w:lineRule="exact"/>
        <w:ind w:firstLine="484" w:firstLineChars="202"/>
        <w:outlineLvl w:val="0"/>
        <w:rPr>
          <w:rFonts w:hint="eastAsia" w:ascii="仿宋" w:hAnsi="仿宋" w:eastAsia="仿宋" w:cs="仿宋"/>
          <w:sz w:val="24"/>
        </w:rPr>
      </w:pPr>
      <w:bookmarkStart w:id="7"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7"/>
    </w:p>
    <w:p>
      <w:pPr>
        <w:shd w:val="clear" w:color="auto" w:fill="FFFFFF"/>
        <w:spacing w:line="400" w:lineRule="exact"/>
        <w:ind w:firstLine="484" w:firstLineChars="202"/>
        <w:outlineLvl w:val="0"/>
        <w:rPr>
          <w:rFonts w:hint="eastAsia" w:ascii="仿宋" w:hAnsi="仿宋" w:eastAsia="仿宋" w:cs="仿宋"/>
          <w:sz w:val="24"/>
        </w:rPr>
      </w:pPr>
      <w:bookmarkStart w:id="8"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8"/>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22. 投标文件的份数和签署</w:t>
      </w:r>
    </w:p>
    <w:p>
      <w:pPr>
        <w:shd w:val="clear" w:color="auto" w:fill="FFFFFF"/>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22.1 投标人应当按照本须知前附表规定</w:t>
      </w:r>
      <w:r>
        <w:rPr>
          <w:rFonts w:hint="eastAsia" w:ascii="仿宋" w:hAnsi="仿宋" w:eastAsia="仿宋" w:cs="仿宋"/>
          <w:kern w:val="0"/>
          <w:sz w:val="24"/>
          <w:lang w:val="en-US" w:eastAsia="zh-CN"/>
        </w:rPr>
        <w:t>进行上传及纸质版</w:t>
      </w:r>
      <w:r>
        <w:rPr>
          <w:rFonts w:hint="eastAsia" w:ascii="仿宋" w:hAnsi="仿宋" w:eastAsia="仿宋" w:cs="仿宋"/>
          <w:kern w:val="0"/>
          <w:sz w:val="24"/>
        </w:rPr>
        <w:t>的份数</w:t>
      </w:r>
      <w:r>
        <w:rPr>
          <w:rFonts w:hint="eastAsia" w:ascii="仿宋" w:hAnsi="仿宋" w:eastAsia="仿宋" w:cs="仿宋"/>
          <w:kern w:val="0"/>
          <w:sz w:val="24"/>
          <w:lang w:val="en-US" w:eastAsia="zh-CN"/>
        </w:rPr>
        <w:t>邮寄</w:t>
      </w:r>
      <w:r>
        <w:rPr>
          <w:rFonts w:hint="eastAsia" w:ascii="仿宋" w:hAnsi="仿宋" w:eastAsia="仿宋" w:cs="仿宋"/>
          <w:kern w:val="0"/>
          <w:sz w:val="24"/>
        </w:rPr>
        <w:t>投标文件。否则视为非实质响应招标文件的投标。</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22.2 投标文件均须印刷体打印。</w:t>
      </w:r>
    </w:p>
    <w:p>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22.3 投标文件格式、内容、签署和盖章、标识、封装等均应符合招标文件要求，投标文件未按照上述规定编制，初步评审将不予</w:t>
      </w:r>
      <w:r>
        <w:rPr>
          <w:rFonts w:hint="eastAsia" w:ascii="仿宋" w:hAnsi="仿宋" w:eastAsia="仿宋" w:cs="仿宋"/>
          <w:kern w:val="0"/>
          <w:sz w:val="24"/>
          <w:lang w:val="en-US" w:eastAsia="zh-CN"/>
        </w:rPr>
        <w:t>以</w:t>
      </w:r>
      <w:r>
        <w:rPr>
          <w:rFonts w:hint="eastAsia" w:ascii="仿宋" w:hAnsi="仿宋" w:eastAsia="仿宋" w:cs="仿宋"/>
          <w:kern w:val="0"/>
          <w:sz w:val="24"/>
        </w:rPr>
        <w:t>通过。</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应缴未缴投标保证金或金额不足、投标保证金缴纳形式不符合招标文件要求的；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（2）未按照招标文件中投标文件有关“规定格式、内容、密封、签署、盖章、标识、提交”等要求</w:t>
      </w:r>
      <w:r>
        <w:rPr>
          <w:rFonts w:hint="eastAsia" w:ascii="仿宋" w:hAnsi="仿宋" w:eastAsia="仿宋" w:cs="仿宋"/>
          <w:sz w:val="24"/>
          <w:lang w:val="en-US" w:eastAsia="zh-CN"/>
        </w:rPr>
        <w:t>上传</w:t>
      </w:r>
      <w:r>
        <w:rPr>
          <w:rFonts w:hint="eastAsia" w:ascii="仿宋" w:hAnsi="仿宋" w:eastAsia="仿宋" w:cs="仿宋"/>
          <w:sz w:val="24"/>
        </w:rPr>
        <w:t>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 xml:space="preserve">23. </w:t>
      </w:r>
      <w:r>
        <w:rPr>
          <w:rFonts w:hint="eastAsia" w:ascii="仿宋" w:hAnsi="仿宋" w:eastAsia="仿宋" w:cs="仿宋"/>
          <w:b/>
          <w:kern w:val="0"/>
          <w:sz w:val="24"/>
          <w:lang w:val="en-US" w:eastAsia="zh-CN"/>
        </w:rPr>
        <w:t>投标</w:t>
      </w:r>
      <w:r>
        <w:rPr>
          <w:rFonts w:hint="eastAsia" w:ascii="仿宋" w:hAnsi="仿宋" w:eastAsia="仿宋" w:cs="仿宋"/>
          <w:b/>
          <w:kern w:val="0"/>
          <w:sz w:val="24"/>
          <w:lang w:val="zh-CN"/>
        </w:rPr>
        <w:t>截止时间</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文件的上传不得迟于202</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04</w:t>
      </w:r>
      <w:r>
        <w:rPr>
          <w:rFonts w:hint="eastAsia" w:ascii="仿宋" w:hAnsi="仿宋" w:eastAsia="仿宋" w:cs="仿宋"/>
          <w:kern w:val="0"/>
          <w:sz w:val="24"/>
        </w:rPr>
        <w:t>月</w:t>
      </w:r>
      <w:r>
        <w:rPr>
          <w:rFonts w:hint="eastAsia" w:ascii="仿宋" w:hAnsi="仿宋" w:eastAsia="仿宋" w:cs="仿宋"/>
          <w:kern w:val="0"/>
          <w:sz w:val="24"/>
          <w:lang w:val="en-US" w:eastAsia="zh-CN"/>
        </w:rPr>
        <w:t>18</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kern w:val="0"/>
          <w:sz w:val="24"/>
        </w:rPr>
        <w:t>00</w:t>
      </w:r>
      <w:r>
        <w:rPr>
          <w:rFonts w:hint="eastAsia" w:ascii="仿宋" w:hAnsi="仿宋" w:eastAsia="仿宋" w:cs="仿宋"/>
          <w:kern w:val="0"/>
          <w:sz w:val="24"/>
          <w:lang w:val="zh-CN"/>
        </w:rPr>
        <w:t>时（北京时间）</w:t>
      </w:r>
      <w:r>
        <w:rPr>
          <w:rFonts w:hint="eastAsia" w:ascii="仿宋" w:hAnsi="仿宋" w:eastAsia="仿宋" w:cs="仿宋"/>
          <w:kern w:val="0"/>
          <w:sz w:val="24"/>
        </w:rPr>
        <w:t>；</w:t>
      </w:r>
    </w:p>
    <w:p>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迟交的投标文件</w:t>
      </w:r>
    </w:p>
    <w:p>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lang w:val="en-US" w:eastAsia="zh-CN"/>
        </w:rPr>
        <w:t>投标</w:t>
      </w:r>
      <w:r>
        <w:rPr>
          <w:rFonts w:hint="eastAsia" w:ascii="仿宋" w:hAnsi="仿宋" w:eastAsia="仿宋" w:cs="仿宋"/>
          <w:bCs/>
          <w:sz w:val="24"/>
          <w:lang w:val="zh-CN"/>
        </w:rPr>
        <w:t>文件必须在采购人规定的</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截止时间之前上传至政采云平台，在此之后上传不了的响应文件，投标人自行负责。</w:t>
      </w:r>
    </w:p>
    <w:p>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投标文件的补充、修改与撤回</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lang w:val="zh-CN"/>
        </w:rPr>
        <w:t>出现因</w:t>
      </w:r>
      <w:r>
        <w:rPr>
          <w:rFonts w:hint="eastAsia" w:ascii="仿宋" w:hAnsi="仿宋" w:eastAsia="仿宋" w:cs="仿宋"/>
          <w:sz w:val="24"/>
          <w:lang w:val="en-US" w:eastAsia="zh-CN"/>
        </w:rPr>
        <w:t>招标</w:t>
      </w:r>
      <w:r>
        <w:rPr>
          <w:rFonts w:hint="eastAsia" w:ascii="仿宋" w:hAnsi="仿宋" w:eastAsia="仿宋" w:cs="仿宋"/>
          <w:sz w:val="24"/>
          <w:lang w:val="zh-CN"/>
        </w:rPr>
        <w:t>文件的修改而推迟</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lang w:val="en-US" w:eastAsia="zh-CN"/>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lang w:val="en-US" w:eastAsia="zh-CN"/>
        </w:rPr>
        <w:t>投标</w:t>
      </w:r>
      <w:r>
        <w:rPr>
          <w:rFonts w:hint="eastAsia" w:ascii="仿宋" w:hAnsi="仿宋" w:eastAsia="仿宋" w:cs="仿宋"/>
          <w:sz w:val="24"/>
          <w:lang w:val="zh-CN"/>
        </w:rPr>
        <w:t>时间递交。</w:t>
      </w:r>
    </w:p>
    <w:p>
      <w:pPr>
        <w:shd w:val="clear" w:color="auto" w:fill="FFFFFF"/>
        <w:spacing w:line="400" w:lineRule="exact"/>
        <w:ind w:firstLine="484" w:firstLineChars="202"/>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投标文件</w:t>
      </w:r>
      <w:r>
        <w:rPr>
          <w:rFonts w:hint="eastAsia" w:ascii="仿宋" w:hAnsi="仿宋" w:eastAsia="仿宋" w:cs="仿宋"/>
          <w:b/>
          <w:kern w:val="0"/>
          <w:sz w:val="24"/>
          <w:lang w:val="en-US" w:eastAsia="zh-CN"/>
        </w:rPr>
        <w:t>的其他情况</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w:t>
      </w:r>
      <w:r>
        <w:rPr>
          <w:rFonts w:hint="eastAsia" w:ascii="仿宋" w:hAnsi="仿宋" w:eastAsia="仿宋" w:cs="仿宋"/>
          <w:kern w:val="0"/>
          <w:sz w:val="24"/>
          <w:lang w:val="en-US" w:eastAsia="zh-CN"/>
        </w:rPr>
        <w:t>政采云平台</w:t>
      </w:r>
      <w:r>
        <w:rPr>
          <w:rFonts w:hint="eastAsia" w:ascii="仿宋" w:hAnsi="仿宋" w:eastAsia="仿宋" w:cs="仿宋"/>
          <w:kern w:val="0"/>
          <w:sz w:val="24"/>
        </w:rPr>
        <w:t>收到的投标文件</w:t>
      </w:r>
      <w:r>
        <w:rPr>
          <w:rFonts w:hint="eastAsia" w:ascii="仿宋" w:hAnsi="仿宋" w:eastAsia="仿宋" w:cs="仿宋"/>
          <w:kern w:val="0"/>
          <w:sz w:val="24"/>
          <w:lang w:val="en-US" w:eastAsia="zh-CN"/>
        </w:rPr>
        <w:t>并成功解密</w:t>
      </w:r>
      <w:r>
        <w:rPr>
          <w:rFonts w:hint="eastAsia" w:ascii="仿宋" w:hAnsi="仿宋" w:eastAsia="仿宋" w:cs="仿宋"/>
          <w:kern w:val="0"/>
          <w:sz w:val="24"/>
        </w:rPr>
        <w:t>少于3个的，采购人将依法重新组织招标。评标过程中有效投标人少于3个的，参照执行。</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7</w:t>
      </w:r>
      <w:r>
        <w:rPr>
          <w:rFonts w:hint="eastAsia" w:ascii="仿宋" w:hAnsi="仿宋" w:eastAsia="仿宋" w:cs="仿宋"/>
          <w:b/>
          <w:kern w:val="0"/>
          <w:sz w:val="24"/>
        </w:rPr>
        <w:t>. 开标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招标会将于投标须知前附表规定的时间和地点召开。评标委员会成员不得参加开标活动。投标人须委派开标代表参加开标。</w:t>
      </w:r>
      <w:r>
        <w:rPr>
          <w:rFonts w:hint="eastAsia" w:ascii="仿宋" w:hAnsi="仿宋" w:eastAsia="仿宋" w:cs="仿宋"/>
          <w:b/>
          <w:kern w:val="0"/>
          <w:sz w:val="24"/>
        </w:rPr>
        <w:t>在开标前不得</w:t>
      </w:r>
      <w:r>
        <w:rPr>
          <w:rFonts w:hint="eastAsia" w:ascii="仿宋" w:hAnsi="仿宋" w:eastAsia="仿宋" w:cs="仿宋"/>
          <w:b/>
          <w:kern w:val="0"/>
          <w:sz w:val="24"/>
          <w:lang w:val="en-US" w:eastAsia="zh-CN"/>
        </w:rPr>
        <w:t>解密</w:t>
      </w:r>
      <w:r>
        <w:rPr>
          <w:rFonts w:hint="eastAsia" w:ascii="仿宋" w:hAnsi="仿宋" w:eastAsia="仿宋" w:cs="仿宋"/>
          <w:b/>
          <w:kern w:val="0"/>
          <w:sz w:val="24"/>
        </w:rPr>
        <w:t>投标文件。</w:t>
      </w:r>
    </w:p>
    <w:p>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.1投标人不足3家的，不得开标。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.2 开标由采购人或采购代理机构主持；</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宣读开标纪律，介绍采购人和监督人；</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 招标人</w:t>
      </w:r>
      <w:r>
        <w:rPr>
          <w:rFonts w:hint="eastAsia" w:ascii="仿宋" w:hAnsi="仿宋" w:eastAsia="仿宋" w:cs="仿宋"/>
          <w:kern w:val="0"/>
          <w:sz w:val="24"/>
          <w:lang w:val="en-US" w:eastAsia="zh-CN"/>
        </w:rPr>
        <w:t>或代理机构</w:t>
      </w:r>
      <w:r>
        <w:rPr>
          <w:rFonts w:hint="eastAsia" w:ascii="仿宋" w:hAnsi="仿宋" w:eastAsia="仿宋" w:cs="仿宋"/>
          <w:kern w:val="0"/>
          <w:sz w:val="24"/>
        </w:rPr>
        <w:t>对投标人进行资格查验；合格投标人不足3家的，不得评标；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经审查确认无误后，由采购人或采购代理机构工作人员</w:t>
      </w:r>
      <w:r>
        <w:rPr>
          <w:rFonts w:hint="eastAsia" w:ascii="仿宋" w:hAnsi="仿宋" w:eastAsia="仿宋" w:cs="仿宋"/>
          <w:kern w:val="0"/>
          <w:sz w:val="24"/>
          <w:lang w:val="en-US" w:eastAsia="zh-CN"/>
        </w:rPr>
        <w:t>解密</w:t>
      </w:r>
      <w:r>
        <w:rPr>
          <w:rFonts w:hint="eastAsia" w:ascii="仿宋" w:hAnsi="仿宋" w:eastAsia="仿宋" w:cs="仿宋"/>
          <w:kern w:val="0"/>
          <w:sz w:val="24"/>
        </w:rPr>
        <w:t>投标文件的《开标一览表》，宣读开标一览表中投标人的名称及</w:t>
      </w:r>
      <w:r>
        <w:rPr>
          <w:rFonts w:hint="eastAsia" w:ascii="仿宋" w:hAnsi="仿宋" w:eastAsia="仿宋" w:cs="仿宋"/>
          <w:kern w:val="0"/>
          <w:sz w:val="24"/>
          <w:lang w:eastAsia="zh-CN"/>
        </w:rPr>
        <w:t>交货期</w:t>
      </w:r>
      <w:r>
        <w:rPr>
          <w:rFonts w:hint="eastAsia" w:ascii="仿宋" w:hAnsi="仿宋" w:eastAsia="仿宋" w:cs="仿宋"/>
          <w:kern w:val="0"/>
          <w:sz w:val="24"/>
        </w:rPr>
        <w:t>、</w:t>
      </w:r>
      <w:r>
        <w:rPr>
          <w:rFonts w:hint="eastAsia" w:ascii="仿宋" w:hAnsi="仿宋" w:eastAsia="仿宋" w:cs="仿宋"/>
          <w:kern w:val="0"/>
          <w:sz w:val="24"/>
          <w:lang w:eastAsia="zh-CN"/>
        </w:rPr>
        <w:t>质保期</w:t>
      </w:r>
      <w:r>
        <w:rPr>
          <w:rFonts w:hint="eastAsia" w:ascii="仿宋" w:hAnsi="仿宋" w:eastAsia="仿宋" w:cs="仿宋"/>
          <w:kern w:val="0"/>
          <w:sz w:val="24"/>
        </w:rPr>
        <w:t>、投标总报价等招标文件规定的需要宣布的其他内容；</w:t>
      </w:r>
      <w:r>
        <w:rPr>
          <w:rFonts w:hint="eastAsia" w:ascii="仿宋" w:hAnsi="仿宋" w:eastAsia="仿宋" w:cs="仿宋"/>
          <w:kern w:val="0"/>
          <w:sz w:val="24"/>
          <w:lang w:val="en-US" w:eastAsia="zh-CN"/>
        </w:rPr>
        <w:t>连线</w:t>
      </w:r>
      <w:r>
        <w:rPr>
          <w:rFonts w:hint="eastAsia" w:ascii="仿宋" w:hAnsi="仿宋" w:eastAsia="仿宋" w:cs="仿宋"/>
          <w:kern w:val="0"/>
          <w:sz w:val="24"/>
        </w:rPr>
        <w:t>投标人代表</w:t>
      </w:r>
      <w:r>
        <w:rPr>
          <w:rFonts w:hint="eastAsia" w:ascii="仿宋" w:hAnsi="仿宋" w:eastAsia="仿宋" w:cs="仿宋"/>
          <w:kern w:val="0"/>
          <w:sz w:val="24"/>
          <w:lang w:val="en-US" w:eastAsia="zh-CN"/>
        </w:rPr>
        <w:t>确认</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4</w:t>
      </w:r>
      <w:r>
        <w:rPr>
          <w:rFonts w:hint="eastAsia" w:ascii="仿宋" w:hAnsi="仿宋" w:eastAsia="仿宋" w:cs="仿宋"/>
          <w:kern w:val="0"/>
          <w:sz w:val="24"/>
        </w:rPr>
        <w:t>投标人代表对开标过程和开标记录有疑义，以及认为采购人、采购代理机构相关工作人员有需要回避的情形的，应当场提出询问或者回避申请。</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pPr>
        <w:shd w:val="clear" w:color="auto" w:fill="FFFFFF"/>
        <w:spacing w:line="400" w:lineRule="exact"/>
        <w:ind w:firstLine="487" w:firstLineChars="202"/>
        <w:outlineLvl w:val="0"/>
        <w:rPr>
          <w:rFonts w:hint="eastAsia" w:ascii="仿宋" w:hAnsi="仿宋" w:eastAsia="仿宋" w:cs="仿宋"/>
          <w:b/>
          <w:kern w:val="0"/>
          <w:sz w:val="24"/>
        </w:rPr>
      </w:pPr>
      <w:bookmarkStart w:id="9" w:name="_Toc12275"/>
      <w:r>
        <w:rPr>
          <w:rFonts w:hint="eastAsia" w:ascii="仿宋" w:hAnsi="仿宋" w:eastAsia="仿宋" w:cs="仿宋"/>
          <w:b/>
          <w:kern w:val="0"/>
          <w:sz w:val="24"/>
        </w:rPr>
        <w:t>（六） 评标</w:t>
      </w:r>
      <w:bookmarkEnd w:id="9"/>
    </w:p>
    <w:p>
      <w:pPr>
        <w:shd w:val="clear" w:color="auto" w:fill="FFFFFF"/>
        <w:spacing w:line="400" w:lineRule="exact"/>
        <w:ind w:firstLine="487" w:firstLineChars="202"/>
        <w:outlineLvl w:val="0"/>
        <w:rPr>
          <w:rFonts w:hint="eastAsia" w:ascii="仿宋" w:hAnsi="仿宋" w:eastAsia="仿宋" w:cs="仿宋"/>
          <w:b/>
          <w:kern w:val="0"/>
          <w:sz w:val="24"/>
        </w:rPr>
      </w:pPr>
      <w:bookmarkStart w:id="10" w:name="_Toc26065"/>
      <w:r>
        <w:rPr>
          <w:rFonts w:hint="eastAsia" w:ascii="仿宋" w:hAnsi="仿宋" w:eastAsia="仿宋" w:cs="仿宋"/>
          <w:b/>
          <w:kern w:val="0"/>
          <w:sz w:val="24"/>
          <w:lang w:val="en-US" w:eastAsia="zh-CN"/>
        </w:rPr>
        <w:t>29</w:t>
      </w:r>
      <w:r>
        <w:rPr>
          <w:rFonts w:hint="eastAsia" w:ascii="仿宋" w:hAnsi="仿宋" w:eastAsia="仿宋" w:cs="仿宋"/>
          <w:b/>
          <w:kern w:val="0"/>
          <w:sz w:val="24"/>
        </w:rPr>
        <w:t>. 评标委员会与评标</w:t>
      </w:r>
      <w:bookmarkEnd w:id="10"/>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评标工作由采购人依法组建的评标委员会负责。评标委员会的名单在评标结果公告前应当保密。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本项目评标委员会由</w:t>
      </w:r>
      <w:r>
        <w:rPr>
          <w:rFonts w:hint="eastAsia" w:ascii="仿宋" w:hAnsi="仿宋" w:eastAsia="仿宋" w:cs="仿宋"/>
          <w:kern w:val="0"/>
          <w:sz w:val="24"/>
          <w:lang w:val="en-US" w:eastAsia="zh-CN"/>
        </w:rPr>
        <w:t>7</w:t>
      </w:r>
      <w:r>
        <w:rPr>
          <w:rFonts w:hint="eastAsia" w:ascii="仿宋" w:hAnsi="仿宋" w:eastAsia="仿宋" w:cs="仿宋"/>
          <w:kern w:val="0"/>
          <w:sz w:val="24"/>
        </w:rPr>
        <w:t>人</w:t>
      </w:r>
      <w:r>
        <w:rPr>
          <w:rFonts w:hint="eastAsia" w:ascii="仿宋" w:hAnsi="仿宋" w:eastAsia="仿宋" w:cs="仿宋"/>
          <w:kern w:val="0"/>
          <w:sz w:val="24"/>
          <w:lang w:eastAsia="zh-CN"/>
        </w:rPr>
        <w:t>或</w:t>
      </w:r>
      <w:r>
        <w:rPr>
          <w:rFonts w:hint="eastAsia" w:ascii="仿宋" w:hAnsi="仿宋" w:eastAsia="仿宋" w:cs="仿宋"/>
          <w:kern w:val="0"/>
          <w:sz w:val="24"/>
          <w:lang w:val="en-US" w:eastAsia="zh-CN"/>
        </w:rPr>
        <w:t>7人以上单数</w:t>
      </w:r>
      <w:r>
        <w:rPr>
          <w:rFonts w:hint="eastAsia" w:ascii="仿宋" w:hAnsi="仿宋" w:eastAsia="仿宋" w:cs="仿宋"/>
          <w:kern w:val="0"/>
          <w:sz w:val="24"/>
        </w:rPr>
        <w:t>组成；</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.3 开标结束后，开始评标，评标采用保密方式进行。</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.4 评标委员会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由评标委员会成员推举产生，并与评标委员会其他成员有同等的权利和义务。采购人代表不得担任评标委员会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.5 评标委员会成员应当客观、公正地履行职责，遵守职业道德，对所提出的评审意见承担个人责任。</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.6 评标委员会根据招标文件确定的评比标准和方法，对投标文件进行系统地评审和比较。招标文件中没有规定的标准和方法不得作为评标的依据。</w:t>
      </w:r>
    </w:p>
    <w:p>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lang w:val="en-US" w:eastAsia="zh-CN"/>
        </w:rPr>
        <w:t>29</w:t>
      </w:r>
      <w:r>
        <w:rPr>
          <w:rFonts w:hint="eastAsia" w:ascii="仿宋" w:hAnsi="仿宋" w:eastAsia="仿宋" w:cs="仿宋"/>
          <w:kern w:val="0"/>
          <w:sz w:val="24"/>
        </w:rPr>
        <w:t>.7 在评标过程中，评标委员会发现投标人以他人的名义投标、串通投标、以行贿手段谋取中标或者以其他弄虚作假方式投标的，该投标人的投标应作无效标处理。</w:t>
      </w:r>
    </w:p>
    <w:p>
      <w:pPr>
        <w:shd w:val="clear" w:color="auto" w:fill="FFFFFF"/>
        <w:spacing w:line="400" w:lineRule="exact"/>
        <w:ind w:firstLine="487" w:firstLineChars="202"/>
        <w:outlineLvl w:val="0"/>
        <w:rPr>
          <w:rFonts w:hint="eastAsia" w:ascii="仿宋" w:hAnsi="仿宋" w:eastAsia="仿宋" w:cs="仿宋"/>
          <w:b/>
          <w:kern w:val="0"/>
          <w:sz w:val="24"/>
        </w:rPr>
      </w:pPr>
      <w:bookmarkStart w:id="11" w:name="_Toc30759"/>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投标文件的澄清</w:t>
      </w:r>
      <w:bookmarkEnd w:id="11"/>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.1 对有效响应文件中含义不明确、同类问题前后表述不一致或者有明显文字和计算错误的内容，评标委员会可以线上要求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供应商在规定的时间内作出必要的澄清、说明或者纠正，</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供应商应在要求的时间内以线上形式澄清、说明或者补正，且不得超出响应文件的范围或者改变响应文件的实质性内容。</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.2 投标人未按照要求对投标文件进行澄清、说明或者补正的，评标委员会可以否决其投标。</w:t>
      </w:r>
    </w:p>
    <w:p>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1</w:t>
      </w:r>
      <w:r>
        <w:rPr>
          <w:rFonts w:hint="eastAsia" w:ascii="仿宋" w:hAnsi="仿宋" w:eastAsia="仿宋" w:cs="仿宋"/>
          <w:b/>
          <w:kern w:val="0"/>
          <w:sz w:val="24"/>
        </w:rPr>
        <w:t>. 投标文件的评审、比较</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.1 投标文件符合性审查</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 xml:space="preserve"> </w:t>
      </w:r>
      <w:r>
        <w:rPr>
          <w:rFonts w:hint="eastAsia" w:ascii="仿宋" w:hAnsi="仿宋" w:eastAsia="仿宋" w:cs="仿宋"/>
          <w:b/>
          <w:bCs/>
          <w:kern w:val="0"/>
          <w:sz w:val="24"/>
        </w:rPr>
        <w:t>投标文件的详细评审</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评审中，评标委员会可对投标文件中含义不明确、同类问题表述不一致或者有明显文字和计算错误的内容，评标委员会可以线上要求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w:t>
      </w:r>
      <w:r>
        <w:rPr>
          <w:rFonts w:hint="eastAsia" w:ascii="仿宋" w:hAnsi="仿宋" w:eastAsia="仿宋" w:cs="仿宋"/>
          <w:kern w:val="0"/>
          <w:sz w:val="24"/>
          <w:lang w:val="en-US" w:eastAsia="zh-CN"/>
        </w:rPr>
        <w:t>的</w:t>
      </w:r>
      <w:r>
        <w:rPr>
          <w:rFonts w:hint="eastAsia" w:ascii="仿宋" w:hAnsi="仿宋" w:eastAsia="仿宋" w:cs="仿宋"/>
          <w:kern w:val="0"/>
          <w:sz w:val="24"/>
        </w:rPr>
        <w:t>说明或者补正。</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2</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评标结果汇总完成后，除下列情形外，任何人不得修改评标结果：</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w:t>
      </w:r>
      <w:r>
        <w:rPr>
          <w:rFonts w:hint="eastAsia" w:ascii="仿宋" w:hAnsi="仿宋" w:eastAsia="仿宋" w:cs="仿宋"/>
          <w:bCs/>
          <w:kern w:val="0"/>
          <w:sz w:val="24"/>
          <w:lang w:eastAsia="zh-CN"/>
        </w:rPr>
        <w:t>部分</w:t>
      </w:r>
      <w:r>
        <w:rPr>
          <w:rFonts w:hint="eastAsia" w:ascii="仿宋" w:hAnsi="仿宋" w:eastAsia="仿宋" w:cs="仿宋"/>
          <w:bCs/>
          <w:kern w:val="0"/>
          <w:sz w:val="24"/>
        </w:rPr>
        <w:t>、技术</w:t>
      </w:r>
      <w:r>
        <w:rPr>
          <w:rFonts w:hint="eastAsia" w:ascii="仿宋" w:hAnsi="仿宋" w:eastAsia="仿宋" w:cs="仿宋"/>
          <w:bCs/>
          <w:kern w:val="0"/>
          <w:sz w:val="24"/>
          <w:lang w:eastAsia="zh-CN"/>
        </w:rPr>
        <w:t>部分</w:t>
      </w:r>
      <w:r>
        <w:rPr>
          <w:rFonts w:hint="eastAsia" w:ascii="仿宋" w:hAnsi="仿宋" w:eastAsia="仿宋" w:cs="仿宋"/>
          <w:bCs/>
          <w:kern w:val="0"/>
          <w:sz w:val="24"/>
        </w:rPr>
        <w:t>、</w:t>
      </w:r>
      <w:r>
        <w:rPr>
          <w:rFonts w:hint="eastAsia" w:ascii="仿宋" w:hAnsi="仿宋" w:eastAsia="仿宋" w:cs="仿宋"/>
          <w:bCs/>
          <w:kern w:val="0"/>
          <w:sz w:val="24"/>
          <w:lang w:eastAsia="zh-CN"/>
        </w:rPr>
        <w:t>报价部分</w:t>
      </w:r>
      <w:r>
        <w:rPr>
          <w:rFonts w:hint="eastAsia" w:ascii="仿宋" w:hAnsi="仿宋" w:eastAsia="仿宋" w:cs="仿宋"/>
          <w:bCs/>
          <w:kern w:val="0"/>
          <w:sz w:val="24"/>
        </w:rPr>
        <w:t>得分之和。评标委员会确定投标人最终得分向采购人提出书面报告，并推荐合格的中标候选人。</w:t>
      </w:r>
      <w:r>
        <w:rPr>
          <w:rFonts w:hint="eastAsia" w:ascii="仿宋" w:hAnsi="仿宋" w:eastAsia="仿宋" w:cs="仿宋"/>
          <w:bCs/>
          <w:color w:val="auto"/>
          <w:kern w:val="0"/>
          <w:sz w:val="24"/>
          <w:highlight w:val="none"/>
          <w:lang w:eastAsia="zh-CN"/>
        </w:rPr>
        <w:t>评标委员会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名次。投标文件满足招标文件全部实质性要求，且按照评审因素的量化指标评审得分最高的投标人为排名第一的中标候选人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r>
        <w:rPr>
          <w:rFonts w:hint="eastAsia" w:ascii="仿宋" w:hAnsi="仿宋" w:eastAsia="仿宋" w:cs="仿宋"/>
          <w:bCs/>
          <w:color w:val="auto"/>
          <w:kern w:val="0"/>
          <w:sz w:val="24"/>
          <w:highlight w:val="none"/>
        </w:rPr>
        <w:t>。</w:t>
      </w:r>
    </w:p>
    <w:p>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2"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2"/>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w:t>
      </w:r>
      <w:r>
        <w:rPr>
          <w:rFonts w:hint="eastAsia" w:ascii="仿宋" w:hAnsi="仿宋" w:eastAsia="仿宋" w:cs="仿宋"/>
          <w:kern w:val="0"/>
          <w:sz w:val="24"/>
          <w:lang w:eastAsia="zh-CN"/>
        </w:rPr>
        <w:t>部分</w:t>
      </w:r>
      <w:r>
        <w:rPr>
          <w:rFonts w:hint="eastAsia" w:ascii="仿宋" w:hAnsi="仿宋" w:eastAsia="仿宋" w:cs="仿宋"/>
          <w:kern w:val="0"/>
          <w:sz w:val="24"/>
        </w:rPr>
        <w:t>、技术</w:t>
      </w:r>
      <w:r>
        <w:rPr>
          <w:rFonts w:hint="eastAsia" w:ascii="仿宋" w:hAnsi="仿宋" w:eastAsia="仿宋" w:cs="仿宋"/>
          <w:kern w:val="0"/>
          <w:sz w:val="24"/>
          <w:lang w:eastAsia="zh-CN"/>
        </w:rPr>
        <w:t>部分</w:t>
      </w:r>
      <w:r>
        <w:rPr>
          <w:rFonts w:hint="eastAsia" w:ascii="仿宋" w:hAnsi="仿宋" w:eastAsia="仿宋" w:cs="仿宋"/>
          <w:kern w:val="0"/>
          <w:sz w:val="24"/>
        </w:rPr>
        <w:t>等，能否最大限度满足招标文件中规定的各项要求和评价标准进行评估。</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w:t>
      </w:r>
      <w:r>
        <w:rPr>
          <w:rFonts w:hint="eastAsia" w:ascii="仿宋" w:hAnsi="仿宋" w:eastAsia="仿宋" w:cs="仿宋"/>
          <w:kern w:val="0"/>
          <w:sz w:val="24"/>
          <w:lang w:eastAsia="zh-CN"/>
        </w:rPr>
        <w:t>资格性和</w:t>
      </w:r>
      <w:r>
        <w:rPr>
          <w:rFonts w:hint="eastAsia" w:ascii="仿宋" w:hAnsi="仿宋" w:eastAsia="仿宋" w:cs="仿宋"/>
          <w:kern w:val="0"/>
          <w:sz w:val="24"/>
        </w:rPr>
        <w:t>符合性审查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pPr>
        <w:pStyle w:val="2"/>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w:t>
      </w:r>
      <w:r>
        <w:rPr>
          <w:rFonts w:hint="eastAsia" w:ascii="仿宋" w:hAnsi="仿宋" w:eastAsia="仿宋" w:cs="仿宋"/>
          <w:b/>
          <w:kern w:val="0"/>
          <w:sz w:val="24"/>
          <w:lang w:eastAsia="zh-CN"/>
        </w:rPr>
        <w:t>.</w:t>
      </w:r>
      <w:r>
        <w:rPr>
          <w:rFonts w:hint="eastAsia" w:ascii="仿宋" w:hAnsi="仿宋" w:eastAsia="仿宋" w:cs="仿宋"/>
          <w:b/>
          <w:kern w:val="0"/>
          <w:sz w:val="24"/>
        </w:rPr>
        <w:t>质疑处理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2</w:t>
      </w:r>
      <w:r>
        <w:rPr>
          <w:rFonts w:hint="eastAsia" w:ascii="仿宋" w:hAnsi="仿宋" w:eastAsia="仿宋" w:cs="仿宋"/>
          <w:kern w:val="0"/>
          <w:sz w:val="24"/>
        </w:rPr>
        <w:t>.3对中标或者成交结果提出质疑的，为中标或者成交结果公告期限届满之日。</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pPr>
        <w:pStyle w:val="3"/>
        <w:rPr>
          <w:rStyle w:val="72"/>
          <w:rFonts w:hint="eastAsia"/>
          <w:b/>
        </w:rPr>
      </w:pPr>
      <w:r>
        <w:rPr>
          <w:rFonts w:hint="eastAsia" w:cs="仿宋"/>
          <w:b w:val="0"/>
          <w:bCs/>
          <w:szCs w:val="32"/>
        </w:rPr>
        <w:br w:type="page"/>
      </w:r>
      <w:bookmarkStart w:id="13"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3"/>
    </w:p>
    <w:p>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lang w:eastAsia="zh-CN"/>
        </w:rPr>
        <w:t>资格性和</w:t>
      </w:r>
      <w:r>
        <w:rPr>
          <w:rFonts w:hint="eastAsia" w:ascii="仿宋" w:hAnsi="仿宋" w:eastAsia="仿宋" w:cs="仿宋"/>
          <w:b/>
          <w:sz w:val="24"/>
        </w:rPr>
        <w:t>符合性审查</w:t>
      </w:r>
    </w:p>
    <w:p>
      <w:pPr>
        <w:spacing w:line="520" w:lineRule="exact"/>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noWrap w:val="0"/>
            <w:vAlign w:val="center"/>
          </w:tcPr>
          <w:p>
            <w:pPr>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noWrap w:val="0"/>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SA"/>
              </w:rPr>
              <w:t>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是企业（包括合伙企业），应提供在工商部门注册的有效“企业法人营业执照”或“营业执照”；如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是事业单位，应提供有效的“事业单位法人证书”；</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是非企业专业服务机构的，应提供执业许可证等证明文件；如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是个体工商户，应提供有效的“个体工商户营业执照”；如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pPr>
              <w:jc w:val="center"/>
              <w:rPr>
                <w:rFonts w:ascii="仿宋" w:hAnsi="仿宋" w:eastAsia="仿宋" w:cs="仿宋"/>
                <w:color w:val="auto"/>
                <w:sz w:val="24"/>
                <w:szCs w:val="24"/>
                <w:highlight w:val="none"/>
              </w:rPr>
            </w:pPr>
          </w:p>
        </w:tc>
        <w:tc>
          <w:tcPr>
            <w:tcW w:w="968" w:type="dxa"/>
            <w:vMerge w:val="continue"/>
            <w:noWrap w:val="0"/>
            <w:vAlign w:val="center"/>
          </w:tcPr>
          <w:p>
            <w:pPr>
              <w:rPr>
                <w:rFonts w:ascii="仿宋" w:hAnsi="仿宋" w:eastAsia="仿宋" w:cs="仿宋"/>
                <w:color w:val="auto"/>
                <w:sz w:val="24"/>
                <w:szCs w:val="24"/>
                <w:highlight w:val="none"/>
              </w:rPr>
            </w:pPr>
          </w:p>
        </w:tc>
        <w:tc>
          <w:tcPr>
            <w:tcW w:w="2221" w:type="dxa"/>
            <w:noWrap w:val="0"/>
            <w:vAlign w:val="center"/>
          </w:tcPr>
          <w:p>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“信用中国”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中国政府采购网</w:t>
            </w:r>
            <w:r>
              <w:rPr>
                <w:rFonts w:hint="eastAsia" w:ascii="仿宋" w:hAnsi="仿宋" w:eastAsia="仿宋" w:cs="仿宋"/>
                <w:b w:val="0"/>
                <w:bCs/>
                <w:sz w:val="24"/>
                <w:szCs w:val="24"/>
                <w:lang w:val="en-US" w:eastAsia="zh-CN"/>
              </w:rPr>
              <w:t>网站截图</w:t>
            </w:r>
          </w:p>
        </w:tc>
        <w:tc>
          <w:tcPr>
            <w:tcW w:w="5815" w:type="dxa"/>
            <w:noWrap w:val="0"/>
            <w:vAlign w:val="center"/>
          </w:tcPr>
          <w:p>
            <w:pPr>
              <w:jc w:val="left"/>
              <w:rPr>
                <w:rFonts w:hint="eastAsia" w:ascii="仿宋" w:hAnsi="仿宋" w:eastAsia="仿宋" w:cs="仿宋"/>
                <w:color w:val="auto"/>
                <w:sz w:val="24"/>
                <w:szCs w:val="24"/>
                <w:highlight w:val="none"/>
                <w:lang w:eastAsia="zh-CN" w:bidi="ar-SA"/>
              </w:rPr>
            </w:pPr>
            <w:r>
              <w:rPr>
                <w:rFonts w:hint="eastAsia" w:ascii="仿宋" w:hAnsi="仿宋" w:eastAsia="仿宋" w:cs="仿宋"/>
                <w:b w:val="0"/>
                <w:bCs/>
                <w:sz w:val="24"/>
                <w:szCs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w:t>
            </w:r>
            <w:r>
              <w:rPr>
                <w:rFonts w:hint="eastAsia" w:ascii="仿宋" w:hAnsi="仿宋" w:eastAsia="仿宋" w:cs="仿宋"/>
                <w:b w:val="0"/>
                <w:bCs/>
                <w:sz w:val="24"/>
                <w:szCs w:val="24"/>
                <w:lang w:val="en-US" w:eastAsia="zh-CN"/>
              </w:rPr>
              <w:t>公</w:t>
            </w:r>
            <w:r>
              <w:rPr>
                <w:rFonts w:hint="eastAsia" w:ascii="仿宋" w:hAnsi="仿宋" w:eastAsia="仿宋" w:cs="仿宋"/>
                <w:b w:val="0"/>
                <w:bCs/>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pPr>
              <w:jc w:val="center"/>
              <w:rPr>
                <w:rFonts w:ascii="仿宋" w:hAnsi="仿宋" w:eastAsia="仿宋" w:cs="仿宋"/>
                <w:color w:val="auto"/>
                <w:sz w:val="24"/>
                <w:szCs w:val="24"/>
                <w:highlight w:val="none"/>
              </w:rPr>
            </w:pPr>
          </w:p>
        </w:tc>
        <w:tc>
          <w:tcPr>
            <w:tcW w:w="968" w:type="dxa"/>
            <w:vMerge w:val="continue"/>
            <w:noWrap w:val="0"/>
            <w:vAlign w:val="center"/>
          </w:tcPr>
          <w:p>
            <w:pPr>
              <w:rPr>
                <w:rFonts w:ascii="仿宋" w:hAnsi="仿宋" w:eastAsia="仿宋" w:cs="仿宋"/>
                <w:color w:val="auto"/>
                <w:sz w:val="24"/>
                <w:szCs w:val="24"/>
                <w:highlight w:val="none"/>
              </w:rPr>
            </w:pPr>
          </w:p>
        </w:tc>
        <w:tc>
          <w:tcPr>
            <w:tcW w:w="2221"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w:t>
            </w:r>
          </w:p>
        </w:tc>
        <w:tc>
          <w:tcPr>
            <w:tcW w:w="5815" w:type="dxa"/>
            <w:noWrap w:val="0"/>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应提供上一年度财务报告，或其基本开户银行出具的资信证明。其他组织和自然人，没有财务报告，提供银行出具的资信证明。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noWrap w:val="0"/>
            <w:vAlign w:val="center"/>
          </w:tcPr>
          <w:p>
            <w:pPr>
              <w:jc w:val="center"/>
              <w:rPr>
                <w:rFonts w:ascii="仿宋" w:hAnsi="仿宋" w:eastAsia="仿宋" w:cs="仿宋"/>
                <w:color w:val="auto"/>
                <w:sz w:val="24"/>
                <w:szCs w:val="24"/>
                <w:highlight w:val="none"/>
              </w:rPr>
            </w:pPr>
          </w:p>
        </w:tc>
        <w:tc>
          <w:tcPr>
            <w:tcW w:w="968" w:type="dxa"/>
            <w:vMerge w:val="continue"/>
            <w:noWrap w:val="0"/>
            <w:vAlign w:val="center"/>
          </w:tcPr>
          <w:p>
            <w:pPr>
              <w:rPr>
                <w:rFonts w:ascii="仿宋" w:hAnsi="仿宋" w:eastAsia="仿宋" w:cs="仿宋"/>
                <w:color w:val="auto"/>
                <w:sz w:val="24"/>
                <w:szCs w:val="24"/>
                <w:highlight w:val="none"/>
              </w:rPr>
            </w:pPr>
          </w:p>
        </w:tc>
        <w:tc>
          <w:tcPr>
            <w:tcW w:w="2221"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）具有履行合同所必须的设备和专业技术能力</w:t>
            </w:r>
          </w:p>
        </w:tc>
        <w:tc>
          <w:tcPr>
            <w:tcW w:w="5815" w:type="dxa"/>
            <w:noWrap w:val="0"/>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pPr>
              <w:jc w:val="center"/>
              <w:rPr>
                <w:rFonts w:ascii="仿宋" w:hAnsi="仿宋" w:eastAsia="仿宋" w:cs="仿宋"/>
                <w:color w:val="auto"/>
                <w:sz w:val="24"/>
                <w:szCs w:val="24"/>
                <w:highlight w:val="none"/>
              </w:rPr>
            </w:pPr>
          </w:p>
        </w:tc>
        <w:tc>
          <w:tcPr>
            <w:tcW w:w="968" w:type="dxa"/>
            <w:vMerge w:val="continue"/>
            <w:noWrap w:val="0"/>
            <w:vAlign w:val="center"/>
          </w:tcPr>
          <w:p>
            <w:pPr>
              <w:rPr>
                <w:rFonts w:ascii="仿宋" w:hAnsi="仿宋" w:eastAsia="仿宋" w:cs="仿宋"/>
                <w:color w:val="auto"/>
                <w:sz w:val="24"/>
                <w:szCs w:val="24"/>
                <w:highlight w:val="none"/>
              </w:rPr>
            </w:pPr>
          </w:p>
        </w:tc>
        <w:tc>
          <w:tcPr>
            <w:tcW w:w="2221"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按时、足额缴纳投标保证金</w:t>
            </w:r>
          </w:p>
        </w:tc>
        <w:tc>
          <w:tcPr>
            <w:tcW w:w="5815" w:type="dxa"/>
            <w:noWrap w:val="0"/>
            <w:vAlign w:val="center"/>
          </w:tcPr>
          <w:p>
            <w:pP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投标保证金缴纳凭证</w:t>
            </w:r>
            <w:r>
              <w:rPr>
                <w:rFonts w:hint="eastAsia" w:ascii="仿宋" w:hAnsi="仿宋" w:eastAsia="仿宋" w:cs="仿宋"/>
                <w:color w:val="auto"/>
                <w:sz w:val="24"/>
                <w:szCs w:val="24"/>
                <w:highlight w:val="none"/>
                <w:lang w:val="en-US" w:eastAsia="zh-CN" w:bidi="ar-SA"/>
              </w:rPr>
              <w:t>或收据复印件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pPr>
              <w:jc w:val="center"/>
              <w:rPr>
                <w:rFonts w:ascii="仿宋" w:hAnsi="仿宋" w:eastAsia="仿宋" w:cs="仿宋"/>
                <w:color w:val="auto"/>
                <w:sz w:val="24"/>
                <w:szCs w:val="24"/>
                <w:highlight w:val="none"/>
              </w:rPr>
            </w:pPr>
          </w:p>
        </w:tc>
        <w:tc>
          <w:tcPr>
            <w:tcW w:w="968" w:type="dxa"/>
            <w:vMerge w:val="continue"/>
            <w:noWrap w:val="0"/>
            <w:vAlign w:val="center"/>
          </w:tcPr>
          <w:p>
            <w:pPr>
              <w:rPr>
                <w:rFonts w:ascii="仿宋" w:hAnsi="仿宋" w:eastAsia="仿宋" w:cs="仿宋"/>
                <w:color w:val="auto"/>
                <w:sz w:val="24"/>
                <w:szCs w:val="24"/>
                <w:highlight w:val="none"/>
              </w:rPr>
            </w:pPr>
          </w:p>
        </w:tc>
        <w:tc>
          <w:tcPr>
            <w:tcW w:w="2221"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）有依法缴纳税收和社会保障金的良好记录</w:t>
            </w:r>
          </w:p>
        </w:tc>
        <w:tc>
          <w:tcPr>
            <w:tcW w:w="5815" w:type="dxa"/>
            <w:noWrap w:val="0"/>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依法缴纳税收的证明材料：本项目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截止时间前6个月内（至少提供1个月）缴纳税收的凭据（完税证、缴款书、印花税票、银行代扣（代缴）转账凭证等均可）；</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依法缴纳社会保障资金的证明材料：本项目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截止时间时间前6个月内（至少提供1个月）缴纳社会保险的凭据（专用收据或社会保险交纳清单）；</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为其他组织或自然人的，也需要按此项规定提供缴纳税收的凭据和交纳社会保险的凭据。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noWrap w:val="0"/>
            <w:vAlign w:val="center"/>
          </w:tcPr>
          <w:p>
            <w:pPr>
              <w:jc w:val="center"/>
              <w:rPr>
                <w:rFonts w:ascii="仿宋" w:hAnsi="仿宋" w:eastAsia="仿宋" w:cs="仿宋"/>
                <w:color w:val="auto"/>
                <w:sz w:val="24"/>
                <w:szCs w:val="24"/>
                <w:highlight w:val="none"/>
              </w:rPr>
            </w:pPr>
          </w:p>
        </w:tc>
        <w:tc>
          <w:tcPr>
            <w:tcW w:w="968" w:type="dxa"/>
            <w:vMerge w:val="continue"/>
            <w:noWrap w:val="0"/>
            <w:vAlign w:val="center"/>
          </w:tcPr>
          <w:p>
            <w:pPr>
              <w:rPr>
                <w:rFonts w:ascii="仿宋" w:hAnsi="仿宋" w:eastAsia="仿宋" w:cs="仿宋"/>
                <w:color w:val="auto"/>
                <w:sz w:val="24"/>
                <w:szCs w:val="24"/>
                <w:highlight w:val="none"/>
              </w:rPr>
            </w:pPr>
          </w:p>
        </w:tc>
        <w:tc>
          <w:tcPr>
            <w:tcW w:w="2221"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）参加政府采购活动近3年内，在经营活动中没有重大违法记录</w:t>
            </w:r>
          </w:p>
        </w:tc>
        <w:tc>
          <w:tcPr>
            <w:tcW w:w="5815" w:type="dxa"/>
            <w:noWrap w:val="0"/>
            <w:vAlign w:val="center"/>
          </w:tcPr>
          <w:p>
            <w:pP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bl>
    <w:p>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w:t>
      </w:r>
      <w:r>
        <w:rPr>
          <w:rFonts w:hint="eastAsia" w:ascii="仿宋" w:hAnsi="仿宋" w:eastAsia="仿宋" w:cs="仿宋"/>
          <w:b/>
          <w:sz w:val="24"/>
          <w:lang w:eastAsia="zh-CN"/>
        </w:rPr>
        <w:t>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noWrap w:val="0"/>
            <w:vAlign w:val="center"/>
          </w:tcPr>
          <w:p>
            <w:pPr>
              <w:jc w:val="center"/>
              <w:rPr>
                <w:rFonts w:hint="eastAsia" w:ascii="仿宋" w:hAnsi="仿宋" w:eastAsia="仿宋" w:cs="仿宋"/>
                <w:color w:val="auto"/>
                <w:sz w:val="24"/>
                <w:szCs w:val="24"/>
                <w:highlight w:val="none"/>
              </w:rPr>
            </w:pPr>
          </w:p>
        </w:tc>
        <w:tc>
          <w:tcPr>
            <w:tcW w:w="993" w:type="dxa"/>
            <w:vMerge w:val="continue"/>
            <w:noWrap w:val="0"/>
            <w:vAlign w:val="center"/>
          </w:tcPr>
          <w:p>
            <w:pPr>
              <w:jc w:val="center"/>
              <w:rPr>
                <w:rFonts w:hint="eastAsia" w:ascii="仿宋" w:hAnsi="仿宋" w:eastAsia="仿宋" w:cs="仿宋"/>
                <w:color w:val="auto"/>
                <w:sz w:val="24"/>
                <w:szCs w:val="24"/>
                <w:highlight w:val="none"/>
              </w:rPr>
            </w:pP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noWrap w:val="0"/>
            <w:vAlign w:val="center"/>
          </w:tcPr>
          <w:p>
            <w:pPr>
              <w:jc w:val="center"/>
              <w:rPr>
                <w:rFonts w:hint="eastAsia" w:ascii="仿宋" w:hAnsi="仿宋" w:eastAsia="仿宋" w:cs="仿宋"/>
                <w:color w:val="auto"/>
                <w:sz w:val="24"/>
                <w:szCs w:val="24"/>
                <w:highlight w:val="none"/>
              </w:rPr>
            </w:pPr>
          </w:p>
        </w:tc>
        <w:tc>
          <w:tcPr>
            <w:tcW w:w="993" w:type="dxa"/>
            <w:vMerge w:val="continue"/>
            <w:noWrap w:val="0"/>
            <w:vAlign w:val="center"/>
          </w:tcPr>
          <w:p>
            <w:pPr>
              <w:jc w:val="center"/>
              <w:rPr>
                <w:rFonts w:hint="eastAsia" w:ascii="仿宋" w:hAnsi="仿宋" w:eastAsia="仿宋" w:cs="仿宋"/>
                <w:color w:val="auto"/>
                <w:sz w:val="24"/>
                <w:szCs w:val="24"/>
                <w:highlight w:val="none"/>
              </w:rPr>
            </w:pP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5"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87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pPr>
              <w:jc w:val="center"/>
              <w:rPr>
                <w:rFonts w:hint="eastAsia" w:ascii="仿宋" w:hAnsi="仿宋" w:eastAsia="仿宋" w:cs="仿宋"/>
                <w:color w:val="auto"/>
                <w:sz w:val="24"/>
                <w:szCs w:val="24"/>
                <w:highlight w:val="none"/>
              </w:rPr>
            </w:pPr>
          </w:p>
        </w:tc>
        <w:tc>
          <w:tcPr>
            <w:tcW w:w="993" w:type="dxa"/>
            <w:vMerge w:val="continue"/>
            <w:noWrap w:val="0"/>
            <w:vAlign w:val="center"/>
          </w:tcPr>
          <w:p>
            <w:pPr>
              <w:rPr>
                <w:rFonts w:hint="eastAsia" w:ascii="仿宋" w:hAnsi="仿宋" w:eastAsia="仿宋" w:cs="仿宋"/>
                <w:color w:val="auto"/>
                <w:sz w:val="24"/>
                <w:szCs w:val="24"/>
                <w:highlight w:val="none"/>
              </w:rPr>
            </w:pPr>
          </w:p>
        </w:tc>
        <w:tc>
          <w:tcPr>
            <w:tcW w:w="2268" w:type="dxa"/>
            <w:noWrap w:val="0"/>
            <w:vAlign w:val="center"/>
          </w:tcPr>
          <w:p>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交货期、质保期</w:t>
            </w:r>
          </w:p>
        </w:tc>
        <w:tc>
          <w:tcPr>
            <w:tcW w:w="587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noWrap w:val="0"/>
            <w:vAlign w:val="center"/>
          </w:tcPr>
          <w:p>
            <w:pPr>
              <w:jc w:val="center"/>
              <w:rPr>
                <w:rFonts w:hint="eastAsia" w:ascii="仿宋" w:hAnsi="仿宋" w:eastAsia="仿宋" w:cs="仿宋"/>
                <w:color w:val="auto"/>
                <w:sz w:val="24"/>
                <w:szCs w:val="24"/>
                <w:highlight w:val="none"/>
              </w:rPr>
            </w:pPr>
          </w:p>
        </w:tc>
        <w:tc>
          <w:tcPr>
            <w:tcW w:w="993" w:type="dxa"/>
            <w:vMerge w:val="continue"/>
            <w:noWrap w:val="0"/>
            <w:vAlign w:val="center"/>
          </w:tcPr>
          <w:p>
            <w:pPr>
              <w:rPr>
                <w:rFonts w:hint="eastAsia" w:ascii="仿宋" w:hAnsi="仿宋" w:eastAsia="仿宋" w:cs="仿宋"/>
                <w:color w:val="auto"/>
                <w:sz w:val="24"/>
                <w:szCs w:val="24"/>
                <w:highlight w:val="none"/>
              </w:rPr>
            </w:pP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方案</w:t>
            </w:r>
          </w:p>
        </w:tc>
        <w:tc>
          <w:tcPr>
            <w:tcW w:w="587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pPr>
              <w:jc w:val="center"/>
              <w:rPr>
                <w:rFonts w:hint="eastAsia" w:ascii="仿宋" w:hAnsi="仿宋" w:eastAsia="仿宋" w:cs="仿宋"/>
                <w:color w:val="auto"/>
                <w:sz w:val="24"/>
                <w:szCs w:val="24"/>
                <w:highlight w:val="none"/>
              </w:rPr>
            </w:pPr>
          </w:p>
        </w:tc>
        <w:tc>
          <w:tcPr>
            <w:tcW w:w="993" w:type="dxa"/>
            <w:vMerge w:val="continue"/>
            <w:noWrap w:val="0"/>
            <w:vAlign w:val="center"/>
          </w:tcPr>
          <w:p>
            <w:pPr>
              <w:rPr>
                <w:rFonts w:hint="eastAsia" w:ascii="仿宋" w:hAnsi="仿宋" w:eastAsia="仿宋" w:cs="仿宋"/>
                <w:color w:val="auto"/>
                <w:sz w:val="24"/>
                <w:szCs w:val="24"/>
                <w:highlight w:val="none"/>
              </w:rPr>
            </w:pP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noWrap w:val="0"/>
            <w:vAlign w:val="center"/>
          </w:tcPr>
          <w:p>
            <w:pPr>
              <w:jc w:val="center"/>
              <w:rPr>
                <w:rFonts w:hint="eastAsia" w:ascii="仿宋" w:hAnsi="仿宋" w:eastAsia="仿宋" w:cs="仿宋"/>
                <w:color w:val="auto"/>
                <w:sz w:val="24"/>
                <w:szCs w:val="24"/>
                <w:highlight w:val="none"/>
              </w:rPr>
            </w:pPr>
          </w:p>
        </w:tc>
        <w:tc>
          <w:tcPr>
            <w:tcW w:w="993" w:type="dxa"/>
            <w:vMerge w:val="continue"/>
            <w:noWrap w:val="0"/>
            <w:vAlign w:val="center"/>
          </w:tcPr>
          <w:p>
            <w:pPr>
              <w:rPr>
                <w:rFonts w:hint="eastAsia" w:ascii="仿宋" w:hAnsi="仿宋" w:eastAsia="仿宋" w:cs="仿宋"/>
                <w:color w:val="auto"/>
                <w:sz w:val="24"/>
                <w:szCs w:val="24"/>
                <w:highlight w:val="none"/>
              </w:rPr>
            </w:pPr>
          </w:p>
        </w:tc>
        <w:tc>
          <w:tcPr>
            <w:tcW w:w="2268"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pPr>
        <w:shd w:val="clear" w:color="auto" w:fill="FFFFFF"/>
        <w:spacing w:line="400" w:lineRule="exact"/>
        <w:jc w:val="both"/>
        <w:rPr>
          <w:rFonts w:hint="eastAsia" w:ascii="仿宋" w:hAnsi="仿宋" w:eastAsia="仿宋" w:cs="仿宋"/>
          <w:b/>
          <w:bCs/>
          <w:sz w:val="32"/>
          <w:szCs w:val="32"/>
        </w:rPr>
      </w:pPr>
    </w:p>
    <w:p>
      <w:pPr>
        <w:shd w:val="clear" w:color="auto" w:fill="FFFFFF"/>
        <w:spacing w:line="400" w:lineRule="exact"/>
        <w:ind w:firstLine="482" w:firstLineChars="200"/>
        <w:jc w:val="center"/>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p>
      <w:pPr>
        <w:rPr>
          <w:rFonts w:hint="eastAsia" w:ascii="仿宋" w:hAnsi="仿宋" w:eastAsia="仿宋" w:cs="仿宋"/>
          <w:sz w:val="24"/>
          <w:szCs w:val="24"/>
          <w:lang w:val="en-US" w:eastAsia="zh-CN"/>
        </w:rPr>
      </w:pPr>
      <w:bookmarkStart w:id="14" w:name="_Toc20898"/>
      <w:r>
        <w:rPr>
          <w:rFonts w:hint="eastAsia" w:ascii="仿宋" w:hAnsi="仿宋" w:eastAsia="仿宋" w:cs="仿宋"/>
          <w:sz w:val="24"/>
          <w:szCs w:val="24"/>
          <w:lang w:val="en-US" w:eastAsia="zh-CN"/>
        </w:rPr>
        <w:t>第一包评分标准：</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6"/>
        <w:gridCol w:w="1134"/>
        <w:gridCol w:w="1786"/>
        <w:gridCol w:w="368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pct"/>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评分因素</w:t>
            </w:r>
          </w:p>
        </w:tc>
        <w:tc>
          <w:tcPr>
            <w:tcW w:w="968"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评分点</w:t>
            </w:r>
          </w:p>
        </w:tc>
        <w:tc>
          <w:tcPr>
            <w:tcW w:w="200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评分标准</w:t>
            </w:r>
          </w:p>
        </w:tc>
        <w:tc>
          <w:tcPr>
            <w:tcW w:w="100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15" w:type="pct"/>
            <w:vMerge w:val="restar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详细评审</w:t>
            </w:r>
          </w:p>
        </w:tc>
        <w:tc>
          <w:tcPr>
            <w:tcW w:w="615"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价格评审</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30 分）</w:t>
            </w:r>
          </w:p>
        </w:tc>
        <w:tc>
          <w:tcPr>
            <w:tcW w:w="968"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2000" w:type="pct"/>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评标基准价=有效投标报价的最低值，有效投标报价等于基准值的得满分，投标报价得分=（评标基准价/投标报价）×价格权重×100。有效投标报价为通过初步审查的供应商报价</w:t>
            </w:r>
          </w:p>
        </w:tc>
        <w:tc>
          <w:tcPr>
            <w:tcW w:w="100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415" w:type="pct"/>
            <w:vMerge w:val="continue"/>
            <w:noWrap w:val="0"/>
            <w:vAlign w:val="center"/>
          </w:tcPr>
          <w:p>
            <w:pPr>
              <w:jc w:val="left"/>
              <w:rPr>
                <w:rFonts w:hint="eastAsia" w:ascii="仿宋" w:hAnsi="仿宋" w:eastAsia="仿宋" w:cs="仿宋"/>
                <w:color w:val="auto"/>
                <w:sz w:val="24"/>
                <w:szCs w:val="24"/>
              </w:rPr>
            </w:pPr>
          </w:p>
        </w:tc>
        <w:tc>
          <w:tcPr>
            <w:tcW w:w="615" w:type="pct"/>
            <w:vMerge w:val="restar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商务标评审</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968" w:type="pct"/>
            <w:noWrap w:val="0"/>
            <w:vAlign w:val="center"/>
          </w:tcPr>
          <w:p>
            <w:pPr>
              <w:snapToGrid w:val="0"/>
              <w:spacing w:before="0" w:beforeAutospacing="0" w:after="0" w:afterAutospacing="0" w:line="240" w:lineRule="exact"/>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rPr>
              <w:t>类似</w:t>
            </w:r>
            <w:r>
              <w:rPr>
                <w:rFonts w:hint="eastAsia" w:ascii="仿宋" w:hAnsi="仿宋" w:eastAsia="仿宋" w:cs="仿宋"/>
                <w:b w:val="0"/>
                <w:i w:val="0"/>
                <w:caps w:val="0"/>
                <w:color w:val="auto"/>
                <w:spacing w:val="0"/>
                <w:w w:val="100"/>
                <w:sz w:val="24"/>
                <w:szCs w:val="24"/>
                <w:lang w:val="en-US" w:eastAsia="zh-CN"/>
              </w:rPr>
              <w:t>业绩</w:t>
            </w:r>
            <w:r>
              <w:rPr>
                <w:rFonts w:hint="eastAsia" w:ascii="仿宋" w:hAnsi="仿宋" w:eastAsia="仿宋" w:cs="仿宋"/>
                <w:b w:val="0"/>
                <w:i w:val="0"/>
                <w:caps w:val="0"/>
                <w:color w:val="auto"/>
                <w:spacing w:val="0"/>
                <w:w w:val="100"/>
                <w:sz w:val="24"/>
                <w:szCs w:val="24"/>
              </w:rPr>
              <w:t>（</w:t>
            </w:r>
            <w:r>
              <w:rPr>
                <w:rFonts w:hint="eastAsia" w:ascii="仿宋" w:hAnsi="仿宋" w:eastAsia="仿宋" w:cs="仿宋"/>
                <w:b w:val="0"/>
                <w:i w:val="0"/>
                <w:caps w:val="0"/>
                <w:color w:val="auto"/>
                <w:spacing w:val="0"/>
                <w:w w:val="100"/>
                <w:sz w:val="24"/>
                <w:szCs w:val="24"/>
                <w:lang w:val="en-US" w:eastAsia="zh-CN"/>
              </w:rPr>
              <w:t>17</w:t>
            </w:r>
            <w:r>
              <w:rPr>
                <w:rFonts w:hint="eastAsia" w:ascii="仿宋" w:hAnsi="仿宋" w:eastAsia="仿宋" w:cs="仿宋"/>
                <w:b w:val="0"/>
                <w:i w:val="0"/>
                <w:caps w:val="0"/>
                <w:color w:val="auto"/>
                <w:spacing w:val="0"/>
                <w:w w:val="100"/>
                <w:sz w:val="24"/>
                <w:szCs w:val="24"/>
              </w:rPr>
              <w:t xml:space="preserve"> 分）</w:t>
            </w:r>
          </w:p>
        </w:tc>
        <w:tc>
          <w:tcPr>
            <w:tcW w:w="2000" w:type="pct"/>
            <w:noWrap w:val="0"/>
            <w:vAlign w:val="center"/>
          </w:tcPr>
          <w:p>
            <w:pPr>
              <w:snapToGrid w:val="0"/>
              <w:spacing w:before="0" w:beforeAutospacing="0" w:after="0" w:afterAutospacing="0" w:line="24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投标人 201</w:t>
            </w:r>
            <w:r>
              <w:rPr>
                <w:rFonts w:hint="eastAsia" w:ascii="仿宋" w:hAnsi="仿宋" w:eastAsia="仿宋" w:cs="仿宋"/>
                <w:color w:val="auto"/>
                <w:sz w:val="24"/>
                <w:szCs w:val="24"/>
                <w:lang w:val="en-US"/>
              </w:rPr>
              <w:t>8</w:t>
            </w:r>
            <w:r>
              <w:rPr>
                <w:rFonts w:hint="eastAsia" w:ascii="仿宋" w:hAnsi="仿宋" w:eastAsia="仿宋" w:cs="仿宋"/>
                <w:color w:val="auto"/>
                <w:sz w:val="24"/>
                <w:szCs w:val="24"/>
              </w:rPr>
              <w:t xml:space="preserve"> 年 1 月 1 日以来同类项目合同，每有一份得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分，此项最多得</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分（同类合同指：合同范围内包含与本次采购货物相同或相近的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须提供</w:t>
            </w:r>
            <w:r>
              <w:rPr>
                <w:rFonts w:hint="eastAsia" w:ascii="仿宋" w:hAnsi="仿宋" w:eastAsia="仿宋" w:cs="仿宋"/>
                <w:color w:val="auto"/>
                <w:sz w:val="24"/>
                <w:szCs w:val="24"/>
                <w:lang w:val="en-US"/>
              </w:rPr>
              <w:t>中标通知书或</w:t>
            </w:r>
            <w:r>
              <w:rPr>
                <w:rFonts w:hint="eastAsia" w:ascii="仿宋" w:hAnsi="仿宋" w:eastAsia="仿宋" w:cs="仿宋"/>
                <w:color w:val="auto"/>
                <w:sz w:val="24"/>
                <w:szCs w:val="24"/>
              </w:rPr>
              <w:t>供货合同</w:t>
            </w:r>
            <w:r>
              <w:rPr>
                <w:rFonts w:hint="eastAsia" w:ascii="仿宋" w:hAnsi="仿宋" w:eastAsia="仿宋" w:cs="仿宋"/>
                <w:color w:val="auto"/>
                <w:sz w:val="24"/>
                <w:szCs w:val="24"/>
                <w:lang w:val="en-US" w:eastAsia="zh-CN"/>
              </w:rPr>
              <w:t>及验收报告复印件，并</w:t>
            </w:r>
            <w:r>
              <w:rPr>
                <w:rFonts w:hint="eastAsia" w:ascii="仿宋" w:hAnsi="仿宋" w:eastAsia="仿宋" w:cs="仿宋"/>
                <w:color w:val="auto"/>
                <w:sz w:val="24"/>
                <w:szCs w:val="24"/>
                <w:lang w:eastAsia="zh-CN"/>
              </w:rPr>
              <w:t>提供客户信息及联系方式，</w:t>
            </w:r>
            <w:r>
              <w:rPr>
                <w:rFonts w:hint="eastAsia" w:ascii="仿宋" w:hAnsi="仿宋" w:eastAsia="仿宋" w:cs="仿宋"/>
                <w:color w:val="auto"/>
                <w:sz w:val="24"/>
                <w:szCs w:val="24"/>
                <w:lang w:val="en-US" w:eastAsia="zh-CN"/>
              </w:rPr>
              <w:t>缺一不可</w:t>
            </w:r>
            <w:r>
              <w:rPr>
                <w:rFonts w:hint="eastAsia" w:ascii="仿宋" w:hAnsi="仿宋" w:eastAsia="仿宋" w:cs="仿宋"/>
                <w:color w:val="auto"/>
                <w:sz w:val="24"/>
                <w:szCs w:val="24"/>
              </w:rPr>
              <w:t>，没有提供的不得分）</w:t>
            </w:r>
          </w:p>
        </w:tc>
        <w:tc>
          <w:tcPr>
            <w:tcW w:w="1000" w:type="pct"/>
            <w:vMerge w:val="restar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415" w:type="pct"/>
            <w:vMerge w:val="continue"/>
            <w:noWrap w:val="0"/>
            <w:vAlign w:val="center"/>
          </w:tcPr>
          <w:p>
            <w:pPr>
              <w:jc w:val="left"/>
              <w:rPr>
                <w:rFonts w:hint="eastAsia" w:ascii="仿宋" w:hAnsi="仿宋" w:eastAsia="仿宋" w:cs="仿宋"/>
                <w:color w:val="auto"/>
                <w:sz w:val="24"/>
                <w:szCs w:val="24"/>
              </w:rPr>
            </w:pPr>
          </w:p>
        </w:tc>
        <w:tc>
          <w:tcPr>
            <w:tcW w:w="615" w:type="pct"/>
            <w:vMerge w:val="continue"/>
            <w:noWrap w:val="0"/>
            <w:vAlign w:val="center"/>
          </w:tcPr>
          <w:p>
            <w:pPr>
              <w:rPr>
                <w:rFonts w:hint="eastAsia" w:ascii="仿宋" w:hAnsi="仿宋" w:eastAsia="仿宋" w:cs="仿宋"/>
                <w:color w:val="auto"/>
                <w:sz w:val="24"/>
                <w:szCs w:val="24"/>
              </w:rPr>
            </w:pPr>
          </w:p>
        </w:tc>
        <w:tc>
          <w:tcPr>
            <w:tcW w:w="968" w:type="pct"/>
            <w:noWrap w:val="0"/>
            <w:vAlign w:val="center"/>
          </w:tcPr>
          <w:p>
            <w:pPr>
              <w:snapToGrid w:val="0"/>
              <w:spacing w:before="0" w:beforeAutospacing="0" w:after="0" w:afterAutospacing="0" w:line="240" w:lineRule="exact"/>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rPr>
              <w:t>付款承诺与供货时间承诺（</w:t>
            </w:r>
            <w:r>
              <w:rPr>
                <w:rFonts w:hint="eastAsia" w:ascii="仿宋" w:hAnsi="仿宋" w:eastAsia="仿宋" w:cs="仿宋"/>
                <w:b w:val="0"/>
                <w:i w:val="0"/>
                <w:caps w:val="0"/>
                <w:color w:val="auto"/>
                <w:spacing w:val="0"/>
                <w:w w:val="100"/>
                <w:sz w:val="24"/>
                <w:szCs w:val="24"/>
                <w:lang w:val="en-US" w:eastAsia="zh-CN"/>
              </w:rPr>
              <w:t>3</w:t>
            </w:r>
            <w:r>
              <w:rPr>
                <w:rFonts w:hint="eastAsia" w:ascii="仿宋" w:hAnsi="仿宋" w:eastAsia="仿宋" w:cs="仿宋"/>
                <w:b w:val="0"/>
                <w:i w:val="0"/>
                <w:caps w:val="0"/>
                <w:color w:val="auto"/>
                <w:spacing w:val="0"/>
                <w:w w:val="100"/>
                <w:sz w:val="24"/>
                <w:szCs w:val="24"/>
                <w:lang w:val="en-US"/>
              </w:rPr>
              <w:t>分</w:t>
            </w:r>
            <w:r>
              <w:rPr>
                <w:rFonts w:hint="eastAsia" w:ascii="仿宋" w:hAnsi="仿宋" w:eastAsia="仿宋" w:cs="仿宋"/>
                <w:b w:val="0"/>
                <w:i w:val="0"/>
                <w:caps w:val="0"/>
                <w:color w:val="auto"/>
                <w:spacing w:val="0"/>
                <w:w w:val="100"/>
                <w:sz w:val="24"/>
                <w:szCs w:val="24"/>
              </w:rPr>
              <w:t>）</w:t>
            </w:r>
          </w:p>
        </w:tc>
        <w:tc>
          <w:tcPr>
            <w:tcW w:w="2000" w:type="pct"/>
            <w:noWrap w:val="0"/>
            <w:vAlign w:val="center"/>
          </w:tcPr>
          <w:p>
            <w:pPr>
              <w:snapToGrid w:val="0"/>
              <w:spacing w:before="0" w:beforeAutospacing="0" w:after="0" w:afterAutospacing="0" w:line="240" w:lineRule="exact"/>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rPr>
              <w:t>付款</w:t>
            </w:r>
            <w:r>
              <w:rPr>
                <w:rFonts w:hint="eastAsia" w:ascii="仿宋" w:hAnsi="仿宋" w:eastAsia="仿宋" w:cs="仿宋"/>
                <w:b w:val="0"/>
                <w:i w:val="0"/>
                <w:caps w:val="0"/>
                <w:color w:val="auto"/>
                <w:spacing w:val="0"/>
                <w:w w:val="100"/>
                <w:sz w:val="24"/>
                <w:szCs w:val="24"/>
                <w:lang w:val="en-US" w:eastAsia="zh-CN"/>
              </w:rPr>
              <w:t>承诺</w:t>
            </w:r>
            <w:r>
              <w:rPr>
                <w:rFonts w:hint="eastAsia" w:ascii="仿宋" w:hAnsi="仿宋" w:eastAsia="仿宋" w:cs="仿宋"/>
                <w:b w:val="0"/>
                <w:i w:val="0"/>
                <w:caps w:val="0"/>
                <w:color w:val="auto"/>
                <w:spacing w:val="0"/>
                <w:w w:val="100"/>
                <w:sz w:val="24"/>
                <w:szCs w:val="24"/>
              </w:rPr>
              <w:t>与供货时间优于招标文件要求得</w:t>
            </w:r>
            <w:r>
              <w:rPr>
                <w:rFonts w:hint="eastAsia" w:ascii="仿宋" w:hAnsi="仿宋" w:eastAsia="仿宋" w:cs="仿宋"/>
                <w:b w:val="0"/>
                <w:i w:val="0"/>
                <w:caps w:val="0"/>
                <w:color w:val="auto"/>
                <w:spacing w:val="0"/>
                <w:w w:val="100"/>
                <w:sz w:val="24"/>
                <w:szCs w:val="24"/>
                <w:lang w:val="en-US" w:eastAsia="zh-CN"/>
              </w:rPr>
              <w:t>3</w:t>
            </w:r>
            <w:r>
              <w:rPr>
                <w:rFonts w:hint="eastAsia" w:ascii="仿宋" w:hAnsi="仿宋" w:eastAsia="仿宋" w:cs="仿宋"/>
                <w:b w:val="0"/>
                <w:i w:val="0"/>
                <w:caps w:val="0"/>
                <w:color w:val="auto"/>
                <w:spacing w:val="0"/>
                <w:w w:val="100"/>
                <w:sz w:val="24"/>
                <w:szCs w:val="24"/>
                <w:lang w:val="en-US"/>
              </w:rPr>
              <w:t>分，满足招标文件要求得</w:t>
            </w:r>
            <w:r>
              <w:rPr>
                <w:rFonts w:hint="eastAsia" w:ascii="仿宋" w:hAnsi="仿宋" w:eastAsia="仿宋" w:cs="仿宋"/>
                <w:b w:val="0"/>
                <w:i w:val="0"/>
                <w:caps w:val="0"/>
                <w:color w:val="auto"/>
                <w:spacing w:val="0"/>
                <w:w w:val="100"/>
                <w:sz w:val="24"/>
                <w:szCs w:val="24"/>
                <w:lang w:val="en-US" w:eastAsia="zh-CN"/>
              </w:rPr>
              <w:t>1</w:t>
            </w:r>
            <w:r>
              <w:rPr>
                <w:rFonts w:hint="eastAsia" w:ascii="仿宋" w:hAnsi="仿宋" w:eastAsia="仿宋" w:cs="仿宋"/>
                <w:b w:val="0"/>
                <w:i w:val="0"/>
                <w:caps w:val="0"/>
                <w:color w:val="auto"/>
                <w:spacing w:val="0"/>
                <w:w w:val="100"/>
                <w:sz w:val="24"/>
                <w:szCs w:val="24"/>
                <w:lang w:val="en-US"/>
              </w:rPr>
              <w:t>分，不满足得0分。</w:t>
            </w:r>
          </w:p>
        </w:tc>
        <w:tc>
          <w:tcPr>
            <w:tcW w:w="1000" w:type="pct"/>
            <w:vMerge w:val="continue"/>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trPr>
        <w:tc>
          <w:tcPr>
            <w:tcW w:w="415" w:type="pct"/>
            <w:vMerge w:val="continue"/>
            <w:noWrap w:val="0"/>
            <w:vAlign w:val="center"/>
          </w:tcPr>
          <w:p>
            <w:pPr>
              <w:jc w:val="left"/>
              <w:rPr>
                <w:rFonts w:hint="eastAsia" w:ascii="仿宋" w:hAnsi="仿宋" w:eastAsia="仿宋" w:cs="仿宋"/>
                <w:color w:val="auto"/>
                <w:sz w:val="24"/>
                <w:szCs w:val="24"/>
              </w:rPr>
            </w:pPr>
          </w:p>
        </w:tc>
        <w:tc>
          <w:tcPr>
            <w:tcW w:w="615" w:type="pct"/>
            <w:vMerge w:val="restart"/>
            <w:noWrap w:val="0"/>
            <w:vAlign w:val="center"/>
          </w:tcPr>
          <w:p>
            <w:pPr>
              <w:pStyle w:val="776"/>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技术标评审</w:t>
            </w:r>
          </w:p>
          <w:p>
            <w:pPr>
              <w:pStyle w:val="776"/>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c>
          <w:tcPr>
            <w:tcW w:w="968" w:type="pct"/>
            <w:noWrap w:val="0"/>
            <w:vAlign w:val="center"/>
          </w:tcPr>
          <w:p>
            <w:pPr>
              <w:snapToGrid w:val="0"/>
              <w:spacing w:before="0" w:beforeAutospacing="0" w:after="0" w:afterAutospacing="0" w:line="240" w:lineRule="auto"/>
              <w:textAlignment w:val="baseline"/>
              <w:rPr>
                <w:rFonts w:hint="eastAsia" w:ascii="仿宋" w:hAnsi="仿宋" w:eastAsia="仿宋" w:cs="仿宋"/>
                <w:color w:val="auto"/>
                <w:sz w:val="24"/>
                <w:szCs w:val="24"/>
                <w:lang w:val="en-US" w:bidi="ar-SA"/>
              </w:rPr>
            </w:pPr>
            <w:r>
              <w:rPr>
                <w:rFonts w:hint="eastAsia" w:ascii="仿宋" w:hAnsi="仿宋" w:eastAsia="仿宋" w:cs="仿宋"/>
                <w:b w:val="0"/>
                <w:i w:val="0"/>
                <w:caps w:val="0"/>
                <w:color w:val="auto"/>
                <w:spacing w:val="0"/>
                <w:w w:val="100"/>
                <w:sz w:val="24"/>
                <w:szCs w:val="24"/>
                <w:lang w:val="en-US"/>
              </w:rPr>
              <w:t>响应产品对采购文件技术需求响应程度</w:t>
            </w:r>
            <w:r>
              <w:rPr>
                <w:rFonts w:hint="eastAsia" w:ascii="仿宋" w:hAnsi="仿宋" w:eastAsia="仿宋" w:cs="仿宋"/>
                <w:b w:val="0"/>
                <w:i w:val="0"/>
                <w:caps w:val="0"/>
                <w:color w:val="auto"/>
                <w:spacing w:val="0"/>
                <w:w w:val="100"/>
                <w:sz w:val="24"/>
                <w:szCs w:val="24"/>
              </w:rPr>
              <w:t>（</w:t>
            </w:r>
            <w:r>
              <w:rPr>
                <w:rFonts w:hint="eastAsia" w:ascii="仿宋" w:hAnsi="仿宋" w:eastAsia="仿宋" w:cs="仿宋"/>
                <w:b w:val="0"/>
                <w:i w:val="0"/>
                <w:caps w:val="0"/>
                <w:color w:val="auto"/>
                <w:spacing w:val="0"/>
                <w:w w:val="100"/>
                <w:sz w:val="24"/>
                <w:szCs w:val="24"/>
                <w:lang w:val="en-US" w:eastAsia="zh-CN"/>
              </w:rPr>
              <w:t>30</w:t>
            </w:r>
            <w:r>
              <w:rPr>
                <w:rFonts w:hint="eastAsia" w:ascii="仿宋" w:hAnsi="仿宋" w:eastAsia="仿宋" w:cs="仿宋"/>
                <w:b w:val="0"/>
                <w:i w:val="0"/>
                <w:caps w:val="0"/>
                <w:color w:val="auto"/>
                <w:spacing w:val="0"/>
                <w:w w:val="100"/>
                <w:sz w:val="24"/>
                <w:szCs w:val="24"/>
                <w:lang w:val="en-US"/>
              </w:rPr>
              <w:t>分</w:t>
            </w:r>
            <w:r>
              <w:rPr>
                <w:rFonts w:hint="eastAsia" w:ascii="仿宋" w:hAnsi="仿宋" w:eastAsia="仿宋" w:cs="仿宋"/>
                <w:b w:val="0"/>
                <w:i w:val="0"/>
                <w:caps w:val="0"/>
                <w:color w:val="auto"/>
                <w:spacing w:val="0"/>
                <w:w w:val="100"/>
                <w:sz w:val="24"/>
                <w:szCs w:val="24"/>
              </w:rPr>
              <w:t>）</w:t>
            </w:r>
          </w:p>
        </w:tc>
        <w:tc>
          <w:tcPr>
            <w:tcW w:w="2000" w:type="pct"/>
            <w:noWrap w:val="0"/>
            <w:vAlign w:val="top"/>
          </w:tcPr>
          <w:p>
            <w:pPr>
              <w:snapToGrid w:val="0"/>
              <w:spacing w:before="0" w:beforeAutospacing="0" w:after="0" w:afterAutospacing="0" w:line="240" w:lineRule="auto"/>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b w:val="0"/>
                <w:i w:val="0"/>
                <w:caps w:val="0"/>
                <w:color w:val="auto"/>
                <w:spacing w:val="0"/>
                <w:w w:val="100"/>
                <w:sz w:val="24"/>
                <w:szCs w:val="24"/>
                <w:lang w:val="en-US"/>
              </w:rPr>
              <w:t>响应产品对采购文件中详细参数的响应程度：根据投标文件技术参数和指标的响应程度完全满足招标文件技术需求得</w:t>
            </w:r>
            <w:r>
              <w:rPr>
                <w:rFonts w:hint="eastAsia" w:ascii="仿宋" w:hAnsi="仿宋" w:eastAsia="仿宋" w:cs="仿宋"/>
                <w:b w:val="0"/>
                <w:i w:val="0"/>
                <w:caps w:val="0"/>
                <w:color w:val="auto"/>
                <w:spacing w:val="0"/>
                <w:w w:val="100"/>
                <w:sz w:val="24"/>
                <w:szCs w:val="24"/>
                <w:lang w:val="en-US" w:eastAsia="zh-CN"/>
              </w:rPr>
              <w:t>30</w:t>
            </w:r>
            <w:r>
              <w:rPr>
                <w:rFonts w:hint="eastAsia" w:ascii="仿宋" w:hAnsi="仿宋" w:eastAsia="仿宋" w:cs="仿宋"/>
                <w:b w:val="0"/>
                <w:i w:val="0"/>
                <w:caps w:val="0"/>
                <w:color w:val="auto"/>
                <w:spacing w:val="0"/>
                <w:w w:val="100"/>
                <w:sz w:val="24"/>
                <w:szCs w:val="24"/>
                <w:lang w:val="en-US"/>
              </w:rPr>
              <w:t>分，带</w:t>
            </w:r>
            <w:r>
              <w:rPr>
                <w:rFonts w:hint="eastAsia" w:ascii="仿宋" w:hAnsi="仿宋" w:eastAsia="仿宋" w:cs="仿宋"/>
                <w:b w:val="0"/>
                <w:i w:val="0"/>
                <w:caps w:val="0"/>
                <w:color w:val="auto"/>
                <w:spacing w:val="0"/>
                <w:w w:val="100"/>
                <w:sz w:val="24"/>
                <w:szCs w:val="24"/>
                <w:lang w:val="en-US" w:eastAsia="zh-CN"/>
              </w:rPr>
              <w:t>※</w:t>
            </w:r>
            <w:r>
              <w:rPr>
                <w:rFonts w:hint="eastAsia" w:ascii="仿宋" w:hAnsi="仿宋" w:eastAsia="仿宋" w:cs="仿宋"/>
                <w:b w:val="0"/>
                <w:i w:val="0"/>
                <w:caps w:val="0"/>
                <w:color w:val="auto"/>
                <w:spacing w:val="0"/>
                <w:w w:val="100"/>
                <w:sz w:val="24"/>
                <w:szCs w:val="24"/>
                <w:lang w:val="en-US"/>
              </w:rPr>
              <w:t>标识</w:t>
            </w:r>
            <w:r>
              <w:rPr>
                <w:rFonts w:hint="eastAsia" w:ascii="仿宋" w:hAnsi="仿宋" w:eastAsia="仿宋" w:cs="仿宋"/>
                <w:b w:val="0"/>
                <w:i w:val="0"/>
                <w:caps w:val="0"/>
                <w:color w:val="auto"/>
                <w:spacing w:val="0"/>
                <w:w w:val="100"/>
                <w:sz w:val="24"/>
                <w:szCs w:val="24"/>
                <w:lang w:val="en-US" w:eastAsia="zh-CN"/>
              </w:rPr>
              <w:t>每项负偏离扣5分</w:t>
            </w:r>
            <w:r>
              <w:rPr>
                <w:rFonts w:hint="eastAsia" w:ascii="仿宋" w:hAnsi="仿宋" w:eastAsia="仿宋" w:cs="仿宋"/>
                <w:b w:val="0"/>
                <w:i w:val="0"/>
                <w:caps w:val="0"/>
                <w:color w:val="auto"/>
                <w:spacing w:val="0"/>
                <w:w w:val="100"/>
                <w:sz w:val="24"/>
                <w:szCs w:val="24"/>
                <w:lang w:val="en-US"/>
              </w:rPr>
              <w:t>；</w:t>
            </w:r>
            <w:r>
              <w:rPr>
                <w:rFonts w:hint="eastAsia" w:ascii="仿宋" w:hAnsi="仿宋" w:eastAsia="仿宋" w:cs="仿宋"/>
                <w:b w:val="0"/>
                <w:i w:val="0"/>
                <w:caps w:val="0"/>
                <w:color w:val="auto"/>
                <w:spacing w:val="0"/>
                <w:w w:val="100"/>
                <w:sz w:val="24"/>
                <w:szCs w:val="24"/>
                <w:lang w:val="en-US" w:eastAsia="zh-CN"/>
              </w:rPr>
              <w:t>其它</w:t>
            </w:r>
            <w:r>
              <w:rPr>
                <w:rFonts w:hint="eastAsia" w:ascii="仿宋" w:hAnsi="仿宋" w:eastAsia="仿宋" w:cs="仿宋"/>
                <w:b w:val="0"/>
                <w:i w:val="0"/>
                <w:caps w:val="0"/>
                <w:color w:val="auto"/>
                <w:spacing w:val="0"/>
                <w:w w:val="100"/>
                <w:sz w:val="24"/>
                <w:szCs w:val="24"/>
                <w:lang w:val="en-US"/>
              </w:rPr>
              <w:t>参数每项负偏离扣</w:t>
            </w:r>
            <w:r>
              <w:rPr>
                <w:rFonts w:hint="eastAsia" w:ascii="仿宋" w:hAnsi="仿宋" w:eastAsia="仿宋" w:cs="仿宋"/>
                <w:b w:val="0"/>
                <w:i w:val="0"/>
                <w:caps w:val="0"/>
                <w:color w:val="auto"/>
                <w:spacing w:val="0"/>
                <w:w w:val="100"/>
                <w:sz w:val="24"/>
                <w:szCs w:val="24"/>
                <w:lang w:val="en-US" w:eastAsia="zh-CN"/>
              </w:rPr>
              <w:t>2</w:t>
            </w:r>
            <w:r>
              <w:rPr>
                <w:rFonts w:hint="eastAsia" w:ascii="仿宋" w:hAnsi="仿宋" w:eastAsia="仿宋" w:cs="仿宋"/>
                <w:b w:val="0"/>
                <w:i w:val="0"/>
                <w:caps w:val="0"/>
                <w:color w:val="auto"/>
                <w:spacing w:val="0"/>
                <w:w w:val="100"/>
                <w:sz w:val="24"/>
                <w:szCs w:val="24"/>
                <w:lang w:val="en-US"/>
              </w:rPr>
              <w:t>分，</w:t>
            </w:r>
            <w:r>
              <w:rPr>
                <w:rFonts w:hint="eastAsia" w:ascii="仿宋" w:hAnsi="仿宋" w:eastAsia="仿宋" w:cs="仿宋"/>
                <w:b w:val="0"/>
                <w:i w:val="0"/>
                <w:caps w:val="0"/>
                <w:color w:val="auto"/>
                <w:spacing w:val="0"/>
                <w:w w:val="100"/>
                <w:sz w:val="24"/>
                <w:szCs w:val="24"/>
                <w:lang w:val="en-US" w:eastAsia="zh-CN"/>
              </w:rPr>
              <w:t>扣完为止。          （</w:t>
            </w:r>
            <w:r>
              <w:rPr>
                <w:rFonts w:hint="eastAsia" w:ascii="仿宋" w:hAnsi="仿宋" w:eastAsia="仿宋" w:cs="仿宋"/>
                <w:b w:val="0"/>
                <w:i w:val="0"/>
                <w:caps w:val="0"/>
                <w:color w:val="auto"/>
                <w:spacing w:val="0"/>
                <w:w w:val="100"/>
                <w:sz w:val="24"/>
                <w:szCs w:val="24"/>
                <w:lang w:val="en-US"/>
              </w:rPr>
              <w:t>注：投标人须对本采购文件技术要求进行点对点应答，必须在引用本采购文件的基础上, 进行逐条逐项答复、说明和解释, 特别对有具体参数要求的指标，投标人必须提供所投设备的具体</w:t>
            </w:r>
            <w:r>
              <w:rPr>
                <w:rFonts w:hint="eastAsia" w:ascii="仿宋" w:hAnsi="仿宋" w:eastAsia="仿宋" w:cs="仿宋"/>
                <w:b w:val="0"/>
                <w:i w:val="0"/>
                <w:caps w:val="0"/>
                <w:color w:val="auto"/>
                <w:spacing w:val="0"/>
                <w:w w:val="100"/>
                <w:sz w:val="24"/>
                <w:szCs w:val="24"/>
                <w:lang w:val="en-US" w:eastAsia="zh-CN"/>
              </w:rPr>
              <w:t>对应</w:t>
            </w:r>
            <w:r>
              <w:rPr>
                <w:rFonts w:hint="eastAsia" w:ascii="仿宋" w:hAnsi="仿宋" w:eastAsia="仿宋" w:cs="仿宋"/>
                <w:b w:val="0"/>
                <w:i w:val="0"/>
                <w:caps w:val="0"/>
                <w:color w:val="auto"/>
                <w:spacing w:val="0"/>
                <w:w w:val="100"/>
                <w:sz w:val="24"/>
                <w:szCs w:val="24"/>
                <w:lang w:val="en-US"/>
              </w:rPr>
              <w:t>参数值</w:t>
            </w:r>
            <w:r>
              <w:rPr>
                <w:rFonts w:hint="eastAsia" w:ascii="仿宋" w:hAnsi="仿宋" w:eastAsia="仿宋" w:cs="仿宋"/>
                <w:b w:val="0"/>
                <w:i w:val="0"/>
                <w:caps w:val="0"/>
                <w:color w:val="auto"/>
                <w:spacing w:val="0"/>
                <w:w w:val="100"/>
                <w:sz w:val="24"/>
                <w:szCs w:val="24"/>
                <w:lang w:val="en-US" w:eastAsia="zh-CN"/>
              </w:rPr>
              <w:t>及证明文件。）</w:t>
            </w:r>
          </w:p>
        </w:tc>
        <w:tc>
          <w:tcPr>
            <w:tcW w:w="1000" w:type="pct"/>
            <w:vMerge w:val="restar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415" w:type="pct"/>
            <w:vMerge w:val="continue"/>
            <w:noWrap w:val="0"/>
            <w:vAlign w:val="center"/>
          </w:tcPr>
          <w:p>
            <w:pPr>
              <w:jc w:val="left"/>
              <w:rPr>
                <w:rFonts w:hint="eastAsia" w:ascii="仿宋" w:hAnsi="仿宋" w:eastAsia="仿宋" w:cs="仿宋"/>
                <w:color w:val="auto"/>
                <w:sz w:val="24"/>
                <w:szCs w:val="24"/>
              </w:rPr>
            </w:pPr>
          </w:p>
        </w:tc>
        <w:tc>
          <w:tcPr>
            <w:tcW w:w="615" w:type="pct"/>
            <w:vMerge w:val="continue"/>
            <w:noWrap w:val="0"/>
            <w:vAlign w:val="center"/>
          </w:tcPr>
          <w:p>
            <w:pPr>
              <w:pStyle w:val="776"/>
              <w:rPr>
                <w:rFonts w:hint="eastAsia" w:ascii="仿宋" w:hAnsi="仿宋" w:eastAsia="仿宋" w:cs="仿宋"/>
                <w:color w:val="auto"/>
                <w:sz w:val="24"/>
                <w:szCs w:val="24"/>
              </w:rPr>
            </w:pPr>
          </w:p>
        </w:tc>
        <w:tc>
          <w:tcPr>
            <w:tcW w:w="968" w:type="pct"/>
            <w:noWrap w:val="0"/>
            <w:vAlign w:val="center"/>
          </w:tcPr>
          <w:p>
            <w:pPr>
              <w:snapToGrid w:val="0"/>
              <w:spacing w:before="0" w:beforeAutospacing="0" w:after="0" w:afterAutospacing="0" w:line="240" w:lineRule="auto"/>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rPr>
              <w:t>产品稳定性、可靠性（</w:t>
            </w:r>
            <w:r>
              <w:rPr>
                <w:rFonts w:hint="eastAsia" w:ascii="仿宋" w:hAnsi="仿宋" w:eastAsia="仿宋" w:cs="仿宋"/>
                <w:b w:val="0"/>
                <w:i w:val="0"/>
                <w:caps w:val="0"/>
                <w:color w:val="auto"/>
                <w:spacing w:val="0"/>
                <w:w w:val="100"/>
                <w:sz w:val="24"/>
                <w:szCs w:val="24"/>
                <w:lang w:val="en-US" w:eastAsia="zh-CN"/>
              </w:rPr>
              <w:t>10</w:t>
            </w:r>
            <w:r>
              <w:rPr>
                <w:rFonts w:hint="eastAsia" w:ascii="仿宋" w:hAnsi="仿宋" w:eastAsia="仿宋" w:cs="仿宋"/>
                <w:b w:val="0"/>
                <w:i w:val="0"/>
                <w:caps w:val="0"/>
                <w:color w:val="auto"/>
                <w:spacing w:val="0"/>
                <w:w w:val="100"/>
                <w:sz w:val="24"/>
                <w:szCs w:val="24"/>
                <w:lang w:val="en-US"/>
              </w:rPr>
              <w:t>分</w:t>
            </w:r>
            <w:r>
              <w:rPr>
                <w:rFonts w:hint="eastAsia" w:ascii="仿宋" w:hAnsi="仿宋" w:eastAsia="仿宋" w:cs="仿宋"/>
                <w:b w:val="0"/>
                <w:i w:val="0"/>
                <w:caps w:val="0"/>
                <w:color w:val="auto"/>
                <w:spacing w:val="0"/>
                <w:w w:val="100"/>
                <w:sz w:val="24"/>
                <w:szCs w:val="24"/>
              </w:rPr>
              <w:t>）</w:t>
            </w:r>
          </w:p>
        </w:tc>
        <w:tc>
          <w:tcPr>
            <w:tcW w:w="2000" w:type="pct"/>
            <w:noWrap w:val="0"/>
            <w:vAlign w:val="top"/>
          </w:tcPr>
          <w:p>
            <w:pPr>
              <w:snapToGrid w:val="0"/>
              <w:spacing w:before="0" w:beforeAutospacing="0" w:after="0" w:afterAutospacing="0" w:line="240" w:lineRule="auto"/>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lang w:val="en-US"/>
              </w:rPr>
              <w:t>根据供应商投标文件中对产品稳定性、可靠性的描述、论证（需提供相关证明材料），稳定性</w:t>
            </w:r>
            <w:r>
              <w:rPr>
                <w:rFonts w:hint="eastAsia" w:ascii="仿宋" w:hAnsi="仿宋" w:eastAsia="仿宋" w:cs="仿宋"/>
                <w:b w:val="0"/>
                <w:i w:val="0"/>
                <w:caps w:val="0"/>
                <w:color w:val="auto"/>
                <w:spacing w:val="0"/>
                <w:w w:val="100"/>
                <w:sz w:val="24"/>
                <w:szCs w:val="24"/>
                <w:lang w:val="en-US" w:eastAsia="zh-CN"/>
              </w:rPr>
              <w:t>好</w:t>
            </w:r>
            <w:r>
              <w:rPr>
                <w:rFonts w:hint="eastAsia" w:ascii="仿宋" w:hAnsi="仿宋" w:eastAsia="仿宋" w:cs="仿宋"/>
                <w:b w:val="0"/>
                <w:i w:val="0"/>
                <w:caps w:val="0"/>
                <w:color w:val="auto"/>
                <w:spacing w:val="0"/>
                <w:w w:val="100"/>
                <w:sz w:val="24"/>
                <w:szCs w:val="24"/>
                <w:lang w:val="en-US"/>
              </w:rPr>
              <w:t>、可靠性</w:t>
            </w:r>
            <w:r>
              <w:rPr>
                <w:rFonts w:hint="eastAsia" w:ascii="仿宋" w:hAnsi="仿宋" w:eastAsia="仿宋" w:cs="仿宋"/>
                <w:b w:val="0"/>
                <w:i w:val="0"/>
                <w:caps w:val="0"/>
                <w:color w:val="auto"/>
                <w:spacing w:val="0"/>
                <w:w w:val="100"/>
                <w:sz w:val="24"/>
                <w:szCs w:val="24"/>
                <w:lang w:val="en-US" w:eastAsia="zh-CN"/>
              </w:rPr>
              <w:t>强</w:t>
            </w:r>
            <w:r>
              <w:rPr>
                <w:rFonts w:hint="eastAsia" w:ascii="仿宋" w:hAnsi="仿宋" w:eastAsia="仿宋" w:cs="仿宋"/>
                <w:b w:val="0"/>
                <w:i w:val="0"/>
                <w:caps w:val="0"/>
                <w:color w:val="auto"/>
                <w:spacing w:val="0"/>
                <w:w w:val="100"/>
                <w:sz w:val="24"/>
                <w:szCs w:val="24"/>
                <w:lang w:val="en-US"/>
              </w:rPr>
              <w:t>的得</w:t>
            </w:r>
            <w:r>
              <w:rPr>
                <w:rFonts w:hint="eastAsia" w:ascii="仿宋" w:hAnsi="仿宋" w:eastAsia="仿宋" w:cs="仿宋"/>
                <w:b w:val="0"/>
                <w:i w:val="0"/>
                <w:caps w:val="0"/>
                <w:color w:val="auto"/>
                <w:spacing w:val="0"/>
                <w:w w:val="100"/>
                <w:sz w:val="24"/>
                <w:szCs w:val="24"/>
                <w:lang w:val="en-US" w:eastAsia="zh-CN"/>
              </w:rPr>
              <w:t>10</w:t>
            </w:r>
            <w:r>
              <w:rPr>
                <w:rFonts w:hint="eastAsia" w:ascii="仿宋" w:hAnsi="仿宋" w:eastAsia="仿宋" w:cs="仿宋"/>
                <w:b w:val="0"/>
                <w:i w:val="0"/>
                <w:caps w:val="0"/>
                <w:color w:val="auto"/>
                <w:spacing w:val="0"/>
                <w:w w:val="100"/>
                <w:sz w:val="24"/>
                <w:szCs w:val="24"/>
                <w:lang w:val="en-US"/>
              </w:rPr>
              <w:t xml:space="preserve"> 分，稳定性</w:t>
            </w:r>
            <w:r>
              <w:rPr>
                <w:rFonts w:hint="eastAsia" w:ascii="仿宋" w:hAnsi="仿宋" w:eastAsia="仿宋" w:cs="仿宋"/>
                <w:b w:val="0"/>
                <w:i w:val="0"/>
                <w:caps w:val="0"/>
                <w:color w:val="auto"/>
                <w:spacing w:val="0"/>
                <w:w w:val="100"/>
                <w:sz w:val="24"/>
                <w:szCs w:val="24"/>
                <w:lang w:val="en-US" w:eastAsia="zh-CN"/>
              </w:rPr>
              <w:t>较好</w:t>
            </w:r>
            <w:r>
              <w:rPr>
                <w:rFonts w:hint="eastAsia" w:ascii="仿宋" w:hAnsi="仿宋" w:eastAsia="仿宋" w:cs="仿宋"/>
                <w:b w:val="0"/>
                <w:i w:val="0"/>
                <w:caps w:val="0"/>
                <w:color w:val="auto"/>
                <w:spacing w:val="0"/>
                <w:w w:val="100"/>
                <w:sz w:val="24"/>
                <w:szCs w:val="24"/>
                <w:lang w:val="en-US"/>
              </w:rPr>
              <w:t>、可靠性</w:t>
            </w:r>
            <w:r>
              <w:rPr>
                <w:rFonts w:hint="eastAsia" w:ascii="仿宋" w:hAnsi="仿宋" w:eastAsia="仿宋" w:cs="仿宋"/>
                <w:b w:val="0"/>
                <w:i w:val="0"/>
                <w:caps w:val="0"/>
                <w:color w:val="auto"/>
                <w:spacing w:val="0"/>
                <w:w w:val="100"/>
                <w:sz w:val="24"/>
                <w:szCs w:val="24"/>
                <w:lang w:val="en-US" w:eastAsia="zh-CN"/>
              </w:rPr>
              <w:t>较强</w:t>
            </w:r>
            <w:r>
              <w:rPr>
                <w:rFonts w:hint="eastAsia" w:ascii="仿宋" w:hAnsi="仿宋" w:eastAsia="仿宋" w:cs="仿宋"/>
                <w:b w:val="0"/>
                <w:i w:val="0"/>
                <w:caps w:val="0"/>
                <w:color w:val="auto"/>
                <w:spacing w:val="0"/>
                <w:w w:val="100"/>
                <w:sz w:val="24"/>
                <w:szCs w:val="24"/>
                <w:lang w:val="en-US"/>
              </w:rPr>
              <w:t>得</w:t>
            </w:r>
            <w:r>
              <w:rPr>
                <w:rFonts w:hint="eastAsia" w:ascii="仿宋" w:hAnsi="仿宋" w:eastAsia="仿宋" w:cs="仿宋"/>
                <w:b w:val="0"/>
                <w:i w:val="0"/>
                <w:caps w:val="0"/>
                <w:color w:val="auto"/>
                <w:spacing w:val="0"/>
                <w:w w:val="100"/>
                <w:sz w:val="24"/>
                <w:szCs w:val="24"/>
                <w:lang w:val="en-US" w:eastAsia="zh-CN"/>
              </w:rPr>
              <w:t>6</w:t>
            </w:r>
            <w:r>
              <w:rPr>
                <w:rFonts w:hint="eastAsia" w:ascii="仿宋" w:hAnsi="仿宋" w:eastAsia="仿宋" w:cs="仿宋"/>
                <w:b w:val="0"/>
                <w:i w:val="0"/>
                <w:caps w:val="0"/>
                <w:color w:val="auto"/>
                <w:spacing w:val="0"/>
                <w:w w:val="100"/>
                <w:sz w:val="24"/>
                <w:szCs w:val="24"/>
                <w:lang w:val="en-US"/>
              </w:rPr>
              <w:t>分，稳定性</w:t>
            </w:r>
            <w:r>
              <w:rPr>
                <w:rFonts w:hint="eastAsia" w:ascii="仿宋" w:hAnsi="仿宋" w:eastAsia="仿宋" w:cs="仿宋"/>
                <w:b w:val="0"/>
                <w:i w:val="0"/>
                <w:caps w:val="0"/>
                <w:color w:val="auto"/>
                <w:spacing w:val="0"/>
                <w:w w:val="100"/>
                <w:sz w:val="24"/>
                <w:szCs w:val="24"/>
                <w:lang w:val="en-US" w:eastAsia="zh-CN"/>
              </w:rPr>
              <w:t>一般</w:t>
            </w:r>
            <w:r>
              <w:rPr>
                <w:rFonts w:hint="eastAsia" w:ascii="仿宋" w:hAnsi="仿宋" w:eastAsia="仿宋" w:cs="仿宋"/>
                <w:b w:val="0"/>
                <w:i w:val="0"/>
                <w:caps w:val="0"/>
                <w:color w:val="auto"/>
                <w:spacing w:val="0"/>
                <w:w w:val="100"/>
                <w:sz w:val="24"/>
                <w:szCs w:val="24"/>
                <w:lang w:val="en-US"/>
              </w:rPr>
              <w:t>、可靠性</w:t>
            </w:r>
            <w:r>
              <w:rPr>
                <w:rFonts w:hint="eastAsia" w:ascii="仿宋" w:hAnsi="仿宋" w:eastAsia="仿宋" w:cs="仿宋"/>
                <w:b w:val="0"/>
                <w:i w:val="0"/>
                <w:caps w:val="0"/>
                <w:color w:val="auto"/>
                <w:spacing w:val="0"/>
                <w:w w:val="100"/>
                <w:sz w:val="24"/>
                <w:szCs w:val="24"/>
                <w:lang w:val="en-US" w:eastAsia="zh-CN"/>
              </w:rPr>
              <w:t>较弱</w:t>
            </w:r>
            <w:r>
              <w:rPr>
                <w:rFonts w:hint="eastAsia" w:ascii="仿宋" w:hAnsi="仿宋" w:eastAsia="仿宋" w:cs="仿宋"/>
                <w:b w:val="0"/>
                <w:i w:val="0"/>
                <w:caps w:val="0"/>
                <w:color w:val="auto"/>
                <w:spacing w:val="0"/>
                <w:w w:val="100"/>
                <w:sz w:val="24"/>
                <w:szCs w:val="24"/>
                <w:lang w:val="en-US"/>
              </w:rPr>
              <w:t>得</w:t>
            </w:r>
            <w:r>
              <w:rPr>
                <w:rFonts w:hint="eastAsia" w:ascii="仿宋" w:hAnsi="仿宋" w:eastAsia="仿宋" w:cs="仿宋"/>
                <w:b w:val="0"/>
                <w:i w:val="0"/>
                <w:caps w:val="0"/>
                <w:color w:val="auto"/>
                <w:spacing w:val="0"/>
                <w:w w:val="100"/>
                <w:sz w:val="24"/>
                <w:szCs w:val="24"/>
                <w:lang w:val="en-US" w:eastAsia="zh-CN"/>
              </w:rPr>
              <w:t>3</w:t>
            </w:r>
            <w:r>
              <w:rPr>
                <w:rFonts w:hint="eastAsia" w:ascii="仿宋" w:hAnsi="仿宋" w:eastAsia="仿宋" w:cs="仿宋"/>
                <w:b w:val="0"/>
                <w:i w:val="0"/>
                <w:caps w:val="0"/>
                <w:color w:val="auto"/>
                <w:spacing w:val="0"/>
                <w:w w:val="100"/>
                <w:sz w:val="24"/>
                <w:szCs w:val="24"/>
                <w:lang w:val="en-US"/>
              </w:rPr>
              <w:t>分，未描述未提供相关证明材料的不得分。</w:t>
            </w:r>
          </w:p>
        </w:tc>
        <w:tc>
          <w:tcPr>
            <w:tcW w:w="1000" w:type="pct"/>
            <w:vMerge w:val="continue"/>
            <w:noWrap w:val="0"/>
            <w:vAlign w:val="center"/>
          </w:tcPr>
          <w:p>
            <w:pPr>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415" w:type="pct"/>
            <w:vMerge w:val="continue"/>
            <w:noWrap w:val="0"/>
            <w:vAlign w:val="center"/>
          </w:tcPr>
          <w:p>
            <w:pPr>
              <w:jc w:val="left"/>
              <w:rPr>
                <w:rFonts w:hint="eastAsia" w:ascii="仿宋" w:hAnsi="仿宋" w:eastAsia="仿宋" w:cs="仿宋"/>
                <w:color w:val="auto"/>
                <w:sz w:val="24"/>
                <w:szCs w:val="24"/>
              </w:rPr>
            </w:pPr>
          </w:p>
        </w:tc>
        <w:tc>
          <w:tcPr>
            <w:tcW w:w="615" w:type="pct"/>
            <w:vMerge w:val="continue"/>
            <w:noWrap w:val="0"/>
            <w:vAlign w:val="center"/>
          </w:tcPr>
          <w:p>
            <w:pPr>
              <w:pStyle w:val="776"/>
              <w:rPr>
                <w:rFonts w:hint="eastAsia" w:ascii="仿宋" w:hAnsi="仿宋" w:eastAsia="仿宋" w:cs="仿宋"/>
                <w:color w:val="auto"/>
                <w:sz w:val="24"/>
                <w:szCs w:val="24"/>
              </w:rPr>
            </w:pPr>
          </w:p>
        </w:tc>
        <w:tc>
          <w:tcPr>
            <w:tcW w:w="968" w:type="pct"/>
            <w:noWrap w:val="0"/>
            <w:vAlign w:val="center"/>
          </w:tcPr>
          <w:p>
            <w:pPr>
              <w:snapToGrid w:val="0"/>
              <w:spacing w:before="0" w:beforeAutospacing="0" w:after="0" w:afterAutospacing="0" w:line="240" w:lineRule="auto"/>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rPr>
              <w:t>技术及项目实施方案 （</w:t>
            </w:r>
            <w:r>
              <w:rPr>
                <w:rFonts w:hint="eastAsia" w:ascii="仿宋" w:hAnsi="仿宋" w:eastAsia="仿宋" w:cs="仿宋"/>
                <w:b w:val="0"/>
                <w:i w:val="0"/>
                <w:caps w:val="0"/>
                <w:color w:val="auto"/>
                <w:spacing w:val="0"/>
                <w:w w:val="100"/>
                <w:sz w:val="24"/>
                <w:szCs w:val="24"/>
                <w:lang w:val="en-US" w:eastAsia="zh-CN"/>
              </w:rPr>
              <w:t>10</w:t>
            </w:r>
            <w:r>
              <w:rPr>
                <w:rFonts w:hint="eastAsia" w:ascii="仿宋" w:hAnsi="仿宋" w:eastAsia="仿宋" w:cs="仿宋"/>
                <w:b w:val="0"/>
                <w:i w:val="0"/>
                <w:caps w:val="0"/>
                <w:color w:val="auto"/>
                <w:spacing w:val="0"/>
                <w:w w:val="100"/>
                <w:sz w:val="24"/>
                <w:szCs w:val="24"/>
                <w:lang w:val="en-US"/>
              </w:rPr>
              <w:t>分</w:t>
            </w:r>
            <w:r>
              <w:rPr>
                <w:rFonts w:hint="eastAsia" w:ascii="仿宋" w:hAnsi="仿宋" w:eastAsia="仿宋" w:cs="仿宋"/>
                <w:b w:val="0"/>
                <w:i w:val="0"/>
                <w:caps w:val="0"/>
                <w:color w:val="auto"/>
                <w:spacing w:val="0"/>
                <w:w w:val="100"/>
                <w:sz w:val="24"/>
                <w:szCs w:val="24"/>
              </w:rPr>
              <w:t>）</w:t>
            </w:r>
          </w:p>
        </w:tc>
        <w:tc>
          <w:tcPr>
            <w:tcW w:w="2000" w:type="pct"/>
            <w:noWrap w:val="0"/>
            <w:vAlign w:val="top"/>
          </w:tcPr>
          <w:p>
            <w:pPr>
              <w:snapToGrid w:val="0"/>
              <w:spacing w:before="0" w:beforeAutospacing="0" w:after="0" w:afterAutospacing="0" w:line="240" w:lineRule="auto"/>
              <w:textAlignment w:val="baseline"/>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color w:val="auto"/>
                <w:spacing w:val="0"/>
                <w:w w:val="100"/>
                <w:sz w:val="24"/>
                <w:szCs w:val="24"/>
              </w:rPr>
              <w:t>方案详细完善，包含管理措施、具体实施流程进度安排、质量保证措施、风险防范措施，整体方案针对性强，可行性高</w:t>
            </w:r>
            <w:r>
              <w:rPr>
                <w:rFonts w:hint="eastAsia" w:ascii="仿宋" w:hAnsi="仿宋" w:eastAsia="仿宋" w:cs="仿宋"/>
                <w:b w:val="0"/>
                <w:i w:val="0"/>
                <w:caps w:val="0"/>
                <w:color w:val="auto"/>
                <w:spacing w:val="0"/>
                <w:w w:val="100"/>
                <w:sz w:val="24"/>
                <w:szCs w:val="24"/>
                <w:lang w:val="en-US" w:eastAsia="zh-CN"/>
              </w:rPr>
              <w:t>得10分</w:t>
            </w:r>
            <w:r>
              <w:rPr>
                <w:rFonts w:hint="eastAsia" w:ascii="仿宋" w:hAnsi="仿宋" w:eastAsia="仿宋" w:cs="仿宋"/>
                <w:b w:val="0"/>
                <w:i w:val="0"/>
                <w:caps w:val="0"/>
                <w:color w:val="auto"/>
                <w:spacing w:val="0"/>
                <w:w w:val="100"/>
                <w:sz w:val="24"/>
                <w:szCs w:val="24"/>
              </w:rPr>
              <w:t>；</w:t>
            </w:r>
          </w:p>
          <w:p>
            <w:pPr>
              <w:snapToGrid w:val="0"/>
              <w:spacing w:before="0" w:beforeAutospacing="0" w:after="0" w:afterAutospacing="0" w:line="240" w:lineRule="auto"/>
              <w:textAlignment w:val="baseline"/>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color w:val="auto"/>
                <w:spacing w:val="0"/>
                <w:w w:val="100"/>
                <w:sz w:val="24"/>
                <w:szCs w:val="24"/>
              </w:rPr>
              <w:t>方案</w:t>
            </w:r>
            <w:r>
              <w:rPr>
                <w:rFonts w:hint="eastAsia" w:ascii="仿宋" w:hAnsi="仿宋" w:eastAsia="仿宋" w:cs="仿宋"/>
                <w:b w:val="0"/>
                <w:i w:val="0"/>
                <w:caps w:val="0"/>
                <w:color w:val="auto"/>
                <w:spacing w:val="0"/>
                <w:w w:val="100"/>
                <w:sz w:val="24"/>
                <w:szCs w:val="24"/>
                <w:lang w:val="en-US" w:eastAsia="zh-CN"/>
              </w:rPr>
              <w:t>较为</w:t>
            </w:r>
            <w:r>
              <w:rPr>
                <w:rFonts w:hint="eastAsia" w:ascii="仿宋" w:hAnsi="仿宋" w:eastAsia="仿宋" w:cs="仿宋"/>
                <w:b w:val="0"/>
                <w:i w:val="0"/>
                <w:caps w:val="0"/>
                <w:color w:val="auto"/>
                <w:spacing w:val="0"/>
                <w:w w:val="100"/>
                <w:sz w:val="24"/>
                <w:szCs w:val="24"/>
              </w:rPr>
              <w:t>详细全面完善</w:t>
            </w:r>
            <w:r>
              <w:rPr>
                <w:rFonts w:hint="eastAsia" w:ascii="仿宋" w:hAnsi="仿宋" w:eastAsia="仿宋" w:cs="仿宋"/>
                <w:b w:val="0"/>
                <w:i w:val="0"/>
                <w:caps w:val="0"/>
                <w:color w:val="auto"/>
                <w:spacing w:val="0"/>
                <w:w w:val="100"/>
                <w:sz w:val="24"/>
                <w:szCs w:val="24"/>
                <w:lang w:eastAsia="zh-CN"/>
              </w:rPr>
              <w:t>，</w:t>
            </w:r>
            <w:r>
              <w:rPr>
                <w:rFonts w:hint="eastAsia" w:ascii="仿宋" w:hAnsi="仿宋" w:eastAsia="仿宋" w:cs="仿宋"/>
                <w:b w:val="0"/>
                <w:i w:val="0"/>
                <w:caps w:val="0"/>
                <w:color w:val="auto"/>
                <w:spacing w:val="0"/>
                <w:w w:val="100"/>
                <w:sz w:val="24"/>
                <w:szCs w:val="24"/>
              </w:rPr>
              <w:t>包含管理措施、具体实施流程、进度安排、质量保证措施、设备验收措施培训措施、风险防范措施，整体方案针对性较强，可行性较高</w:t>
            </w:r>
            <w:r>
              <w:rPr>
                <w:rFonts w:hint="eastAsia" w:ascii="仿宋" w:hAnsi="仿宋" w:eastAsia="仿宋" w:cs="仿宋"/>
                <w:b w:val="0"/>
                <w:i w:val="0"/>
                <w:caps w:val="0"/>
                <w:color w:val="auto"/>
                <w:spacing w:val="0"/>
                <w:w w:val="100"/>
                <w:sz w:val="24"/>
                <w:szCs w:val="24"/>
                <w:lang w:val="en-US" w:eastAsia="zh-CN"/>
              </w:rPr>
              <w:t>得7分；</w:t>
            </w:r>
            <w:r>
              <w:rPr>
                <w:rFonts w:hint="eastAsia" w:ascii="仿宋" w:hAnsi="仿宋" w:eastAsia="仿宋" w:cs="仿宋"/>
                <w:b w:val="0"/>
                <w:i w:val="0"/>
                <w:caps w:val="0"/>
                <w:color w:val="auto"/>
                <w:spacing w:val="0"/>
                <w:w w:val="100"/>
                <w:sz w:val="24"/>
                <w:szCs w:val="24"/>
              </w:rPr>
              <w:t xml:space="preserve"> </w:t>
            </w:r>
          </w:p>
          <w:p>
            <w:pPr>
              <w:snapToGrid w:val="0"/>
              <w:spacing w:before="0" w:beforeAutospacing="0" w:after="0" w:afterAutospacing="0" w:line="240" w:lineRule="auto"/>
              <w:textAlignment w:val="baseline"/>
              <w:rPr>
                <w:rFonts w:hint="eastAsia" w:ascii="仿宋" w:hAnsi="仿宋" w:eastAsia="仿宋" w:cs="仿宋"/>
                <w:b w:val="0"/>
                <w:i w:val="0"/>
                <w:caps w:val="0"/>
                <w:color w:val="auto"/>
                <w:spacing w:val="0"/>
                <w:w w:val="100"/>
                <w:sz w:val="24"/>
                <w:szCs w:val="24"/>
                <w:lang w:val="en-US" w:eastAsia="zh-CN"/>
              </w:rPr>
            </w:pPr>
            <w:r>
              <w:rPr>
                <w:rFonts w:hint="eastAsia" w:ascii="仿宋" w:hAnsi="仿宋" w:eastAsia="仿宋" w:cs="仿宋"/>
                <w:b w:val="0"/>
                <w:i w:val="0"/>
                <w:caps w:val="0"/>
                <w:color w:val="auto"/>
                <w:spacing w:val="0"/>
                <w:w w:val="100"/>
                <w:sz w:val="24"/>
                <w:szCs w:val="24"/>
              </w:rPr>
              <w:t>方案</w:t>
            </w:r>
            <w:r>
              <w:rPr>
                <w:rFonts w:hint="eastAsia" w:ascii="仿宋" w:hAnsi="仿宋" w:eastAsia="仿宋" w:cs="仿宋"/>
                <w:b w:val="0"/>
                <w:i w:val="0"/>
                <w:caps w:val="0"/>
                <w:color w:val="auto"/>
                <w:spacing w:val="0"/>
                <w:w w:val="100"/>
                <w:sz w:val="24"/>
                <w:szCs w:val="24"/>
                <w:lang w:val="en-US" w:eastAsia="zh-CN"/>
              </w:rPr>
              <w:t>不够详细</w:t>
            </w:r>
            <w:r>
              <w:rPr>
                <w:rFonts w:hint="eastAsia" w:ascii="仿宋" w:hAnsi="仿宋" w:eastAsia="仿宋" w:cs="仿宋"/>
                <w:b w:val="0"/>
                <w:i w:val="0"/>
                <w:caps w:val="0"/>
                <w:color w:val="auto"/>
                <w:spacing w:val="0"/>
                <w:w w:val="100"/>
                <w:sz w:val="24"/>
                <w:szCs w:val="24"/>
                <w:lang w:eastAsia="zh-CN"/>
              </w:rPr>
              <w:t>，</w:t>
            </w:r>
            <w:r>
              <w:rPr>
                <w:rFonts w:hint="eastAsia" w:ascii="仿宋" w:hAnsi="仿宋" w:eastAsia="仿宋" w:cs="仿宋"/>
                <w:b w:val="0"/>
                <w:i w:val="0"/>
                <w:caps w:val="0"/>
                <w:color w:val="auto"/>
                <w:spacing w:val="0"/>
                <w:w w:val="100"/>
                <w:sz w:val="24"/>
                <w:szCs w:val="24"/>
              </w:rPr>
              <w:t>包含管理措施、具体实施流程、进度安排、质量保证措施、设备验收措施培训措施、风险防范措施，整体方案针对性较</w:t>
            </w:r>
            <w:r>
              <w:rPr>
                <w:rFonts w:hint="eastAsia" w:ascii="仿宋" w:hAnsi="仿宋" w:eastAsia="仿宋" w:cs="仿宋"/>
                <w:b w:val="0"/>
                <w:i w:val="0"/>
                <w:caps w:val="0"/>
                <w:color w:val="auto"/>
                <w:spacing w:val="0"/>
                <w:w w:val="100"/>
                <w:sz w:val="24"/>
                <w:szCs w:val="24"/>
                <w:lang w:val="en-US" w:eastAsia="zh-CN"/>
              </w:rPr>
              <w:t>弱</w:t>
            </w:r>
            <w:r>
              <w:rPr>
                <w:rFonts w:hint="eastAsia" w:ascii="仿宋" w:hAnsi="仿宋" w:eastAsia="仿宋" w:cs="仿宋"/>
                <w:b w:val="0"/>
                <w:i w:val="0"/>
                <w:caps w:val="0"/>
                <w:color w:val="auto"/>
                <w:spacing w:val="0"/>
                <w:w w:val="100"/>
                <w:sz w:val="24"/>
                <w:szCs w:val="24"/>
              </w:rPr>
              <w:t>，可行性较</w:t>
            </w:r>
            <w:r>
              <w:rPr>
                <w:rFonts w:hint="eastAsia" w:ascii="仿宋" w:hAnsi="仿宋" w:eastAsia="仿宋" w:cs="仿宋"/>
                <w:b w:val="0"/>
                <w:i w:val="0"/>
                <w:caps w:val="0"/>
                <w:color w:val="auto"/>
                <w:spacing w:val="0"/>
                <w:w w:val="100"/>
                <w:sz w:val="24"/>
                <w:szCs w:val="24"/>
                <w:lang w:val="en-US" w:eastAsia="zh-CN"/>
              </w:rPr>
              <w:t>差得5分；</w:t>
            </w:r>
          </w:p>
          <w:p>
            <w:pPr>
              <w:snapToGrid w:val="0"/>
              <w:spacing w:before="0" w:beforeAutospacing="0" w:after="0" w:afterAutospacing="0" w:line="240" w:lineRule="auto"/>
              <w:textAlignment w:val="baseline"/>
              <w:rPr>
                <w:rFonts w:hint="eastAsia" w:ascii="仿宋" w:hAnsi="仿宋" w:eastAsia="仿宋" w:cs="仿宋"/>
                <w:color w:val="auto"/>
                <w:sz w:val="24"/>
                <w:szCs w:val="24"/>
              </w:rPr>
            </w:pPr>
            <w:r>
              <w:rPr>
                <w:rFonts w:hint="eastAsia" w:ascii="仿宋" w:hAnsi="仿宋" w:eastAsia="仿宋" w:cs="仿宋"/>
                <w:b w:val="0"/>
                <w:i w:val="0"/>
                <w:caps w:val="0"/>
                <w:color w:val="auto"/>
                <w:spacing w:val="0"/>
                <w:w w:val="100"/>
                <w:sz w:val="24"/>
                <w:szCs w:val="24"/>
              </w:rPr>
              <w:t>方案</w:t>
            </w:r>
            <w:r>
              <w:rPr>
                <w:rFonts w:hint="eastAsia" w:ascii="仿宋" w:hAnsi="仿宋" w:eastAsia="仿宋" w:cs="仿宋"/>
                <w:b w:val="0"/>
                <w:i w:val="0"/>
                <w:caps w:val="0"/>
                <w:color w:val="auto"/>
                <w:spacing w:val="0"/>
                <w:w w:val="100"/>
                <w:sz w:val="24"/>
                <w:szCs w:val="24"/>
                <w:lang w:val="en-US" w:eastAsia="zh-CN"/>
              </w:rPr>
              <w:t>极不详细</w:t>
            </w:r>
            <w:r>
              <w:rPr>
                <w:rFonts w:hint="eastAsia" w:ascii="仿宋" w:hAnsi="仿宋" w:eastAsia="仿宋" w:cs="仿宋"/>
                <w:b w:val="0"/>
                <w:i w:val="0"/>
                <w:caps w:val="0"/>
                <w:color w:val="auto"/>
                <w:spacing w:val="0"/>
                <w:w w:val="100"/>
                <w:sz w:val="24"/>
                <w:szCs w:val="24"/>
                <w:lang w:eastAsia="zh-CN"/>
              </w:rPr>
              <w:t>，</w:t>
            </w:r>
            <w:r>
              <w:rPr>
                <w:rFonts w:hint="eastAsia" w:ascii="仿宋" w:hAnsi="仿宋" w:eastAsia="仿宋" w:cs="仿宋"/>
                <w:b w:val="0"/>
                <w:i w:val="0"/>
                <w:caps w:val="0"/>
                <w:color w:val="auto"/>
                <w:spacing w:val="0"/>
                <w:w w:val="100"/>
                <w:sz w:val="24"/>
                <w:szCs w:val="24"/>
              </w:rPr>
              <w:t>管理措施、具体实施流程、进度安排、质量保证措施、设备验收措施培训措施、风险防范措施，整体方案</w:t>
            </w:r>
            <w:r>
              <w:rPr>
                <w:rFonts w:hint="eastAsia" w:ascii="仿宋" w:hAnsi="仿宋" w:eastAsia="仿宋" w:cs="仿宋"/>
                <w:b w:val="0"/>
                <w:i w:val="0"/>
                <w:caps w:val="0"/>
                <w:color w:val="auto"/>
                <w:spacing w:val="0"/>
                <w:w w:val="100"/>
                <w:sz w:val="24"/>
                <w:szCs w:val="24"/>
                <w:lang w:val="en-US" w:eastAsia="zh-CN"/>
              </w:rPr>
              <w:t>缺项</w:t>
            </w:r>
            <w:r>
              <w:rPr>
                <w:rFonts w:hint="eastAsia" w:ascii="仿宋" w:hAnsi="仿宋" w:eastAsia="仿宋" w:cs="仿宋"/>
                <w:b w:val="0"/>
                <w:i w:val="0"/>
                <w:caps w:val="0"/>
                <w:color w:val="auto"/>
                <w:spacing w:val="0"/>
                <w:w w:val="100"/>
                <w:sz w:val="24"/>
                <w:szCs w:val="24"/>
              </w:rPr>
              <w:t>，可行性</w:t>
            </w:r>
            <w:r>
              <w:rPr>
                <w:rFonts w:hint="eastAsia" w:ascii="仿宋" w:hAnsi="仿宋" w:eastAsia="仿宋" w:cs="仿宋"/>
                <w:b w:val="0"/>
                <w:i w:val="0"/>
                <w:caps w:val="0"/>
                <w:color w:val="auto"/>
                <w:spacing w:val="0"/>
                <w:w w:val="100"/>
                <w:sz w:val="24"/>
                <w:szCs w:val="24"/>
                <w:lang w:val="en-US" w:eastAsia="zh-CN"/>
              </w:rPr>
              <w:t>极差得1分，</w:t>
            </w:r>
            <w:r>
              <w:rPr>
                <w:rFonts w:hint="eastAsia" w:ascii="仿宋" w:hAnsi="仿宋" w:eastAsia="仿宋" w:cs="仿宋"/>
                <w:b w:val="0"/>
                <w:i w:val="0"/>
                <w:caps w:val="0"/>
                <w:color w:val="auto"/>
                <w:spacing w:val="0"/>
                <w:w w:val="100"/>
                <w:sz w:val="24"/>
                <w:szCs w:val="24"/>
              </w:rPr>
              <w:t>不提供方案不得分。</w:t>
            </w:r>
          </w:p>
        </w:tc>
        <w:tc>
          <w:tcPr>
            <w:tcW w:w="1000" w:type="pct"/>
            <w:vMerge w:val="continue"/>
            <w:noWrap w:val="0"/>
            <w:vAlign w:val="center"/>
          </w:tcPr>
          <w:p>
            <w:pPr>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5" w:type="pct"/>
            <w:vMerge w:val="continue"/>
            <w:noWrap w:val="0"/>
            <w:vAlign w:val="center"/>
          </w:tcPr>
          <w:p>
            <w:pPr>
              <w:jc w:val="center"/>
              <w:rPr>
                <w:rFonts w:hint="eastAsia" w:ascii="仿宋" w:hAnsi="仿宋" w:eastAsia="仿宋" w:cs="仿宋"/>
                <w:color w:val="auto"/>
                <w:sz w:val="24"/>
                <w:szCs w:val="24"/>
              </w:rPr>
            </w:pPr>
          </w:p>
        </w:tc>
        <w:tc>
          <w:tcPr>
            <w:tcW w:w="615" w:type="pct"/>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968" w:type="pct"/>
            <w:noWrap w:val="0"/>
            <w:vAlign w:val="center"/>
          </w:tcPr>
          <w:p>
            <w:pPr>
              <w:rPr>
                <w:rFonts w:hint="eastAsia" w:ascii="仿宋" w:hAnsi="仿宋" w:eastAsia="仿宋" w:cs="仿宋"/>
                <w:color w:val="auto"/>
                <w:sz w:val="24"/>
                <w:szCs w:val="24"/>
              </w:rPr>
            </w:pPr>
          </w:p>
        </w:tc>
        <w:tc>
          <w:tcPr>
            <w:tcW w:w="2000" w:type="pct"/>
            <w:noWrap w:val="0"/>
            <w:vAlign w:val="center"/>
          </w:tcPr>
          <w:p>
            <w:pPr>
              <w:rPr>
                <w:rFonts w:hint="eastAsia" w:ascii="仿宋" w:hAnsi="仿宋" w:eastAsia="仿宋" w:cs="仿宋"/>
                <w:color w:val="auto"/>
                <w:sz w:val="24"/>
                <w:szCs w:val="24"/>
              </w:rPr>
            </w:pPr>
          </w:p>
        </w:tc>
        <w:tc>
          <w:tcPr>
            <w:tcW w:w="1000" w:type="pct"/>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5" w:type="pct"/>
            <w:vMerge w:val="continue"/>
            <w:noWrap w:val="0"/>
            <w:vAlign w:val="center"/>
          </w:tcPr>
          <w:p>
            <w:pPr>
              <w:jc w:val="center"/>
              <w:rPr>
                <w:rFonts w:hint="eastAsia" w:ascii="仿宋" w:hAnsi="仿宋" w:eastAsia="仿宋" w:cs="仿宋"/>
                <w:color w:val="auto"/>
                <w:sz w:val="24"/>
                <w:szCs w:val="24"/>
              </w:rPr>
            </w:pPr>
          </w:p>
        </w:tc>
        <w:tc>
          <w:tcPr>
            <w:tcW w:w="4584" w:type="pct"/>
            <w:gridSpan w:val="4"/>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注：评分分值计算保留小数点后两位，小数点后第三位“四舍五入”</w:t>
            </w:r>
          </w:p>
        </w:tc>
      </w:tr>
    </w:tbl>
    <w:p>
      <w:pPr>
        <w:rPr>
          <w:rFonts w:hint="default"/>
          <w:lang w:val="en-US" w:eastAsia="zh-CN"/>
        </w:rPr>
      </w:pPr>
    </w:p>
    <w:p>
      <w:pPr>
        <w:pStyle w:val="3"/>
        <w:numPr>
          <w:ilvl w:val="0"/>
          <w:numId w:val="0"/>
        </w:numPr>
        <w:jc w:val="center"/>
        <w:rPr>
          <w:rFonts w:hint="eastAsia" w:cs="仿宋"/>
          <w:szCs w:val="32"/>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第二包评分标准：</w:t>
      </w:r>
    </w:p>
    <w:tbl>
      <w:tblPr>
        <w:tblStyle w:val="6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581"/>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75" w:type="pct"/>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w:t>
            </w:r>
          </w:p>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308" w:type="pct"/>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权重值%</w:t>
            </w:r>
          </w:p>
        </w:tc>
        <w:tc>
          <w:tcPr>
            <w:tcW w:w="4115" w:type="pct"/>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000" w:type="pct"/>
            <w:gridSpan w:val="3"/>
            <w:noWrap w:val="0"/>
            <w:vAlign w:val="center"/>
          </w:tcPr>
          <w:p>
            <w:pPr>
              <w:keepNext w:val="0"/>
              <w:keepLines w:val="0"/>
              <w:pageBreakBefore w:val="0"/>
              <w:widowControl/>
              <w:kinsoku/>
              <w:wordWrap/>
              <w:overflowPunct/>
              <w:topLinePunct w:val="0"/>
              <w:autoSpaceDE/>
              <w:autoSpaceDN/>
              <w:bidi w:val="0"/>
              <w:snapToGrid w:val="0"/>
              <w:spacing w:after="0" w:line="460" w:lineRule="exact"/>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一、价格部分30分</w:t>
            </w:r>
            <w:r>
              <w:rPr>
                <w:rFonts w:hint="eastAsia" w:ascii="仿宋" w:hAnsi="仿宋" w:eastAsia="仿宋" w:cs="仿宋"/>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575" w:type="pct"/>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308" w:type="pct"/>
            <w:noWrap w:val="0"/>
            <w:vAlign w:val="center"/>
          </w:tcPr>
          <w:p>
            <w:pPr>
              <w:keepNext w:val="0"/>
              <w:keepLines w:val="0"/>
              <w:pageBreakBefore w:val="0"/>
              <w:widowControl/>
              <w:kinsoku/>
              <w:wordWrap/>
              <w:overflowPunct/>
              <w:topLinePunct w:val="0"/>
              <w:autoSpaceDE/>
              <w:autoSpaceDN/>
              <w:bidi w:val="0"/>
              <w:snapToGrid w:val="0"/>
              <w:spacing w:after="0" w:line="460" w:lineRule="exac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4115" w:type="pct"/>
            <w:noWrap w:val="0"/>
            <w:vAlign w:val="center"/>
          </w:tcPr>
          <w:p>
            <w:pPr>
              <w:keepNext w:val="0"/>
              <w:keepLines w:val="0"/>
              <w:pageBreakBefore w:val="0"/>
              <w:widowControl/>
              <w:kinsoku/>
              <w:wordWrap/>
              <w:overflowPunct/>
              <w:topLinePunct w:val="0"/>
              <w:autoSpaceDE/>
              <w:autoSpaceDN/>
              <w:bidi w:val="0"/>
              <w:snapToGrid w:val="0"/>
              <w:spacing w:after="0" w:line="460" w:lineRule="exac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财库[2007]2号文件规定，综合评分法中的价格分统一采用低价优先法计算，即满足招标文件要求且投标价格最低的投标报价为评标基准价，其价格分为满分30分，其它投标报价得分=评标基准价/投标报价*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得分保留两位</w:t>
            </w:r>
            <w:r>
              <w:rPr>
                <w:rFonts w:hint="eastAsia" w:ascii="仿宋" w:hAnsi="仿宋" w:eastAsia="仿宋" w:cs="仿宋"/>
                <w:color w:val="auto"/>
                <w:sz w:val="24"/>
                <w:szCs w:val="24"/>
                <w:highlight w:val="none"/>
                <w:lang w:eastAsia="zh-CN"/>
              </w:rPr>
              <w:t>小数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采用</w:t>
            </w:r>
            <w:r>
              <w:rPr>
                <w:rFonts w:hint="eastAsia" w:ascii="仿宋" w:hAnsi="仿宋" w:eastAsia="仿宋" w:cs="仿宋"/>
                <w:color w:val="auto"/>
                <w:sz w:val="24"/>
                <w:szCs w:val="24"/>
                <w:highlight w:val="none"/>
              </w:rPr>
              <w:t>四舍五入</w:t>
            </w:r>
            <w:r>
              <w:rPr>
                <w:rFonts w:hint="eastAsia" w:ascii="仿宋" w:hAnsi="仿宋" w:eastAsia="仿宋" w:cs="仿宋"/>
                <w:color w:val="auto"/>
                <w:sz w:val="24"/>
                <w:szCs w:val="24"/>
                <w:highlight w:val="none"/>
                <w:lang w:eastAsia="zh-CN"/>
              </w:rPr>
              <w:t>法</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二、商务部分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textAlignment w:val="auto"/>
              <w:outlineLvl w:val="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供应商提供近三年以来完成</w:t>
            </w:r>
            <w:r>
              <w:rPr>
                <w:rFonts w:hint="eastAsia" w:ascii="仿宋" w:hAnsi="仿宋" w:eastAsia="仿宋" w:cs="仿宋"/>
                <w:color w:val="auto"/>
                <w:sz w:val="24"/>
                <w:szCs w:val="24"/>
                <w:highlight w:val="none"/>
                <w:lang w:val="en-US" w:eastAsia="zh-CN"/>
              </w:rPr>
              <w:t>的类似</w:t>
            </w:r>
            <w:r>
              <w:rPr>
                <w:rFonts w:hint="eastAsia" w:ascii="仿宋" w:hAnsi="仿宋" w:eastAsia="仿宋" w:cs="仿宋"/>
                <w:color w:val="auto"/>
                <w:sz w:val="24"/>
                <w:szCs w:val="24"/>
                <w:highlight w:val="none"/>
              </w:rPr>
              <w:t>项目业绩，以中标通知书</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合同视有效业绩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每份1分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分（需提供中标通知书</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w:t>
            </w:r>
          </w:p>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3"/>
              </w:numPr>
              <w:kinsoku/>
              <w:wordWrap/>
              <w:overflowPunct/>
              <w:topLinePunct w:val="0"/>
              <w:autoSpaceDE/>
              <w:autoSpaceDN/>
              <w:bidi w:val="0"/>
              <w:snapToGrid w:val="0"/>
              <w:spacing w:after="0" w:line="46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从</w:t>
            </w:r>
            <w:r>
              <w:rPr>
                <w:rFonts w:hint="eastAsia" w:ascii="仿宋" w:hAnsi="仿宋" w:eastAsia="仿宋" w:cs="仿宋"/>
                <w:color w:val="auto"/>
                <w:sz w:val="24"/>
                <w:szCs w:val="24"/>
                <w:highlight w:val="none"/>
              </w:rPr>
              <w:t>售后服务承诺、应急措施、实施周期、保修期、售后服务方案，服务响应时间、修复时间等</w:t>
            </w:r>
            <w:r>
              <w:rPr>
                <w:rFonts w:hint="eastAsia" w:ascii="仿宋" w:hAnsi="仿宋" w:eastAsia="仿宋" w:cs="仿宋"/>
                <w:color w:val="auto"/>
                <w:sz w:val="24"/>
                <w:szCs w:val="24"/>
                <w:highlight w:val="none"/>
                <w:lang w:val="en-US" w:eastAsia="zh-CN"/>
              </w:rPr>
              <w:t>指标、</w:t>
            </w:r>
            <w:r>
              <w:rPr>
                <w:rFonts w:hint="eastAsia" w:ascii="仿宋" w:hAnsi="仿宋" w:eastAsia="仿宋" w:cs="仿宋"/>
                <w:color w:val="auto"/>
                <w:sz w:val="24"/>
                <w:szCs w:val="24"/>
                <w:highlight w:val="none"/>
              </w:rPr>
              <w:t>培训方案完整性和效果、组织</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合理、支撑力量</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足够，对</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方案综合分析评比。售后</w:t>
            </w:r>
            <w:r>
              <w:rPr>
                <w:rFonts w:hint="eastAsia" w:ascii="仿宋" w:hAnsi="仿宋" w:eastAsia="仿宋" w:cs="仿宋"/>
                <w:color w:val="auto"/>
                <w:sz w:val="24"/>
                <w:szCs w:val="24"/>
                <w:highlight w:val="none"/>
                <w:lang w:val="en-US" w:eastAsia="zh-CN"/>
              </w:rPr>
              <w:t>服务承诺方案</w:t>
            </w:r>
            <w:r>
              <w:rPr>
                <w:rFonts w:hint="eastAsia" w:ascii="仿宋" w:hAnsi="仿宋" w:eastAsia="仿宋" w:cs="仿宋"/>
                <w:color w:val="auto"/>
                <w:sz w:val="24"/>
                <w:szCs w:val="24"/>
                <w:highlight w:val="none"/>
              </w:rPr>
              <w:t>符合本项目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售后保障完整，人员设备</w:t>
            </w:r>
            <w:r>
              <w:rPr>
                <w:rFonts w:hint="eastAsia" w:ascii="仿宋" w:hAnsi="仿宋" w:eastAsia="仿宋" w:cs="仿宋"/>
                <w:color w:val="auto"/>
                <w:sz w:val="24"/>
                <w:szCs w:val="24"/>
                <w:highlight w:val="none"/>
                <w:lang w:val="en-US" w:eastAsia="zh-CN"/>
              </w:rPr>
              <w:t>技术支撑力量</w:t>
            </w:r>
            <w:r>
              <w:rPr>
                <w:rFonts w:hint="eastAsia" w:ascii="仿宋" w:hAnsi="仿宋" w:eastAsia="仿宋" w:cs="仿宋"/>
                <w:color w:val="auto"/>
                <w:sz w:val="24"/>
                <w:szCs w:val="24"/>
                <w:highlight w:val="none"/>
              </w:rPr>
              <w:t>合理齐全的</w:t>
            </w:r>
            <w:r>
              <w:rPr>
                <w:rFonts w:hint="eastAsia" w:ascii="仿宋" w:hAnsi="仿宋" w:eastAsia="仿宋" w:cs="仿宋"/>
                <w:color w:val="auto"/>
                <w:sz w:val="24"/>
                <w:szCs w:val="24"/>
                <w:highlight w:val="none"/>
                <w:lang w:val="en-US" w:eastAsia="zh-CN"/>
              </w:rPr>
              <w:t>得10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服务承诺方案较为</w:t>
            </w:r>
            <w:r>
              <w:rPr>
                <w:rFonts w:hint="eastAsia" w:ascii="仿宋" w:hAnsi="仿宋" w:eastAsia="仿宋" w:cs="仿宋"/>
                <w:color w:val="auto"/>
                <w:sz w:val="24"/>
                <w:szCs w:val="24"/>
                <w:highlight w:val="none"/>
              </w:rPr>
              <w:t>符合本项目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售后保障</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完整，人员设备</w:t>
            </w:r>
            <w:r>
              <w:rPr>
                <w:rFonts w:hint="eastAsia" w:ascii="仿宋" w:hAnsi="仿宋" w:eastAsia="仿宋" w:cs="仿宋"/>
                <w:color w:val="auto"/>
                <w:sz w:val="24"/>
                <w:szCs w:val="24"/>
                <w:highlight w:val="none"/>
                <w:lang w:val="en-US" w:eastAsia="zh-CN"/>
              </w:rPr>
              <w:t>技术支撑力量较为</w:t>
            </w:r>
            <w:r>
              <w:rPr>
                <w:rFonts w:hint="eastAsia" w:ascii="仿宋" w:hAnsi="仿宋" w:eastAsia="仿宋" w:cs="仿宋"/>
                <w:color w:val="auto"/>
                <w:sz w:val="24"/>
                <w:szCs w:val="24"/>
                <w:highlight w:val="none"/>
              </w:rPr>
              <w:t>合理齐全的</w:t>
            </w:r>
            <w:r>
              <w:rPr>
                <w:rFonts w:hint="eastAsia" w:ascii="仿宋" w:hAnsi="仿宋" w:eastAsia="仿宋" w:cs="仿宋"/>
                <w:color w:val="auto"/>
                <w:sz w:val="24"/>
                <w:szCs w:val="24"/>
                <w:highlight w:val="none"/>
                <w:lang w:val="en-US" w:eastAsia="zh-CN"/>
              </w:rPr>
              <w:t>得7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服务承诺方案符合性较差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售后保障完整</w:t>
            </w:r>
            <w:r>
              <w:rPr>
                <w:rFonts w:hint="eastAsia" w:ascii="仿宋" w:hAnsi="仿宋" w:eastAsia="仿宋" w:cs="仿宋"/>
                <w:color w:val="auto"/>
                <w:sz w:val="24"/>
                <w:szCs w:val="24"/>
                <w:highlight w:val="none"/>
                <w:lang w:val="en-US" w:eastAsia="zh-CN"/>
              </w:rPr>
              <w:t>性较差</w:t>
            </w:r>
            <w:r>
              <w:rPr>
                <w:rFonts w:hint="eastAsia" w:ascii="仿宋" w:hAnsi="仿宋" w:eastAsia="仿宋" w:cs="仿宋"/>
                <w:color w:val="auto"/>
                <w:sz w:val="24"/>
                <w:szCs w:val="24"/>
                <w:highlight w:val="none"/>
              </w:rPr>
              <w:t>，人员设备</w:t>
            </w:r>
            <w:r>
              <w:rPr>
                <w:rFonts w:hint="eastAsia" w:ascii="仿宋" w:hAnsi="仿宋" w:eastAsia="仿宋" w:cs="仿宋"/>
                <w:color w:val="auto"/>
                <w:sz w:val="24"/>
                <w:szCs w:val="24"/>
                <w:highlight w:val="none"/>
                <w:lang w:val="en-US" w:eastAsia="zh-CN"/>
              </w:rPr>
              <w:t>技术支撑力量不足</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服务承诺方案符合性极差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售后保障完整</w:t>
            </w:r>
            <w:r>
              <w:rPr>
                <w:rFonts w:hint="eastAsia" w:ascii="仿宋" w:hAnsi="仿宋" w:eastAsia="仿宋" w:cs="仿宋"/>
                <w:color w:val="auto"/>
                <w:sz w:val="24"/>
                <w:szCs w:val="24"/>
                <w:highlight w:val="none"/>
                <w:lang w:val="en-US" w:eastAsia="zh-CN"/>
              </w:rPr>
              <w:t>性极差</w:t>
            </w:r>
            <w:r>
              <w:rPr>
                <w:rFonts w:hint="eastAsia" w:ascii="仿宋" w:hAnsi="仿宋" w:eastAsia="仿宋" w:cs="仿宋"/>
                <w:color w:val="auto"/>
                <w:sz w:val="24"/>
                <w:szCs w:val="24"/>
                <w:highlight w:val="none"/>
              </w:rPr>
              <w:t>，人员设备</w:t>
            </w:r>
            <w:r>
              <w:rPr>
                <w:rFonts w:hint="eastAsia" w:ascii="仿宋" w:hAnsi="仿宋" w:eastAsia="仿宋" w:cs="仿宋"/>
                <w:color w:val="auto"/>
                <w:sz w:val="24"/>
                <w:szCs w:val="24"/>
                <w:highlight w:val="none"/>
                <w:lang w:val="en-US" w:eastAsia="zh-CN"/>
              </w:rPr>
              <w:t>技术支撑力量极其不足</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得1分；未提供不得分。</w:t>
            </w:r>
          </w:p>
          <w:p>
            <w:pPr>
              <w:keepNext w:val="0"/>
              <w:keepLines w:val="0"/>
              <w:pageBreakBefore w:val="0"/>
              <w:widowControl/>
              <w:numPr>
                <w:ilvl w:val="0"/>
                <w:numId w:val="13"/>
              </w:numPr>
              <w:kinsoku/>
              <w:wordWrap/>
              <w:overflowPunct/>
              <w:topLinePunct w:val="0"/>
              <w:autoSpaceDE/>
              <w:autoSpaceDN/>
              <w:bidi w:val="0"/>
              <w:snapToGrid w:val="0"/>
              <w:spacing w:after="0" w:line="46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售后服务网点便捷性好、完全满足项目需求</w:t>
            </w:r>
            <w:r>
              <w:rPr>
                <w:rFonts w:hint="eastAsia" w:ascii="仿宋" w:hAnsi="仿宋" w:eastAsia="仿宋" w:cs="仿宋"/>
                <w:color w:val="auto"/>
                <w:sz w:val="24"/>
                <w:szCs w:val="24"/>
                <w:highlight w:val="none"/>
              </w:rPr>
              <w:t>且</w:t>
            </w:r>
            <w:r>
              <w:rPr>
                <w:rFonts w:hint="eastAsia" w:ascii="仿宋" w:hAnsi="仿宋" w:eastAsia="仿宋" w:cs="仿宋"/>
                <w:color w:val="auto"/>
                <w:sz w:val="24"/>
                <w:szCs w:val="24"/>
                <w:highlight w:val="none"/>
                <w:lang w:val="en-US" w:eastAsia="zh-CN"/>
              </w:rPr>
              <w:t>有证明材料的得2分。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本地化服务</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ind w:firstLine="480" w:firstLineChars="200"/>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1、供应商在新疆具有固定的售后服务网点，并提供有效的证明资料（租赁或购房合同，当地人员配备），得0.5分；</w:t>
            </w:r>
          </w:p>
          <w:p>
            <w:pPr>
              <w:keepNext w:val="0"/>
              <w:keepLines w:val="0"/>
              <w:pageBreakBefore w:val="0"/>
              <w:widowControl/>
              <w:kinsoku/>
              <w:wordWrap/>
              <w:overflowPunct/>
              <w:topLinePunct w:val="0"/>
              <w:autoSpaceDE/>
              <w:autoSpaceDN/>
              <w:bidi w:val="0"/>
              <w:snapToGrid w:val="0"/>
              <w:spacing w:after="0" w:line="460" w:lineRule="exact"/>
              <w:ind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2、供应商有农业部门售后优秀评价反馈证明资料每份得0.5分，最高得2.5分。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  措施</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sz w:val="24"/>
                <w:szCs w:val="24"/>
                <w:lang w:val="en-US" w:eastAsia="zh-CN"/>
              </w:rPr>
              <w:t>应急措施贴合项目实际情况，符合本次项目需求，可实施性强得2分；应急措施不贴合实际情况得0分。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575"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w:t>
            </w:r>
          </w:p>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参数</w:t>
            </w:r>
          </w:p>
        </w:tc>
        <w:tc>
          <w:tcPr>
            <w:tcW w:w="308"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根据投标文件</w:t>
            </w:r>
            <w:r>
              <w:rPr>
                <w:rFonts w:hint="eastAsia" w:ascii="仿宋" w:hAnsi="仿宋" w:eastAsia="仿宋" w:cs="仿宋"/>
                <w:color w:val="auto"/>
                <w:sz w:val="24"/>
                <w:szCs w:val="24"/>
                <w:highlight w:val="none"/>
                <w:lang w:val="en-US" w:eastAsia="zh-CN"/>
              </w:rPr>
              <w:t>货物参数</w:t>
            </w:r>
            <w:r>
              <w:rPr>
                <w:rFonts w:hint="eastAsia" w:ascii="仿宋" w:hAnsi="仿宋" w:eastAsia="仿宋" w:cs="仿宋"/>
                <w:color w:val="auto"/>
                <w:sz w:val="24"/>
                <w:szCs w:val="24"/>
                <w:highlight w:val="none"/>
              </w:rPr>
              <w:t>的响应情况打分，完全满足技术参数要求，并提供符合要求的证明材料</w:t>
            </w:r>
            <w:r>
              <w:rPr>
                <w:rFonts w:hint="eastAsia" w:ascii="仿宋" w:hAnsi="仿宋" w:eastAsia="仿宋" w:cs="仿宋"/>
                <w:color w:val="auto"/>
                <w:sz w:val="24"/>
                <w:szCs w:val="24"/>
                <w:highlight w:val="none"/>
                <w:lang w:val="en-US" w:eastAsia="zh-CN"/>
              </w:rPr>
              <w:t>得25</w:t>
            </w:r>
            <w:r>
              <w:rPr>
                <w:rFonts w:hint="eastAsia" w:ascii="仿宋" w:hAnsi="仿宋" w:eastAsia="仿宋" w:cs="仿宋"/>
                <w:color w:val="auto"/>
                <w:sz w:val="24"/>
                <w:szCs w:val="24"/>
                <w:highlight w:val="none"/>
              </w:rPr>
              <w:t>分；加</w:t>
            </w:r>
            <w:r>
              <w:rPr>
                <w:rFonts w:hint="eastAsia" w:ascii="仿宋" w:hAnsi="仿宋" w:eastAsia="仿宋" w:cs="仿宋"/>
                <w:kern w:val="0"/>
                <w:sz w:val="24"/>
                <w:szCs w:val="24"/>
                <w:highlight w:val="none"/>
              </w:rPr>
              <w:t>▲</w:t>
            </w:r>
            <w:r>
              <w:rPr>
                <w:rFonts w:hint="eastAsia" w:ascii="仿宋" w:hAnsi="仿宋" w:eastAsia="仿宋" w:cs="仿宋"/>
                <w:color w:val="auto"/>
                <w:sz w:val="24"/>
                <w:szCs w:val="24"/>
                <w:highlight w:val="none"/>
                <w:lang w:val="en-US" w:eastAsia="zh-CN"/>
              </w:rPr>
              <w:t>重要条款技术参数不符合</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每条</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条款</w:t>
            </w:r>
            <w:r>
              <w:rPr>
                <w:rFonts w:hint="eastAsia" w:ascii="仿宋" w:hAnsi="仿宋" w:eastAsia="仿宋" w:cs="仿宋"/>
                <w:color w:val="auto"/>
                <w:sz w:val="24"/>
                <w:szCs w:val="24"/>
                <w:highlight w:val="none"/>
              </w:rPr>
              <w:t>不符合的，每一条扣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w:t>
            </w:r>
          </w:p>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整体供货方案科学合理可行，实施方案内容全面、明确重点，安装、调试、验收方案合理、针对性强、贴近项目需求，为该项目提出合理化建议，得6分；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供货方案可行，项目方案内容充实，针对性一般，得3分；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供货方案不合理性、实施方案内容叙述简单、针对性差，得1分；</w:t>
            </w:r>
          </w:p>
          <w:p>
            <w:pPr>
              <w:keepNext w:val="0"/>
              <w:keepLines w:val="0"/>
              <w:pageBreakBefore w:val="0"/>
              <w:widowControl/>
              <w:kinsoku/>
              <w:wordWrap/>
              <w:overflowPunct/>
              <w:topLinePunct w:val="0"/>
              <w:autoSpaceDE/>
              <w:autoSpaceDN/>
              <w:bidi w:val="0"/>
              <w:adjustRightInd/>
              <w:snapToGrid w:val="0"/>
              <w:spacing w:after="0" w:line="46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未提供供货方案的及实施方案，得0分。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w:t>
            </w:r>
          </w:p>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w:t>
            </w:r>
          </w:p>
        </w:tc>
        <w:tc>
          <w:tcPr>
            <w:tcW w:w="41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1、投标人获得质量管理体系、职业健康安全管理体系、环境管理体系认证证书且在有效期内的得2分，缺项或未提供均不得分；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2、虫情、气象、鼠害、蝗虫、视频监控、性诱等物联网监测设备有带CNAS 标识的检验报告，每有一项得1分，最高得4分，所有检验报告日期在招标公告发布前一年内的加2分，本项共计得6分；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3、农田鼠害监测设备监测数据接入中国鼠害网数据中心进行鼠种识别服务，有中国鼠害网第三方运营商的数据接入授权证书的得2分；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4、投标人自有物联网管理系统软件著作权登记证书得1分；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5、物联网设备采集数据实现疆内存储（数据不出疆）、且物联网软件平台ICP备案在新疆的得2分（提供证明材料）；</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6、提供所有投标产品制造商出具的针对本项目授权书（自有产品除外）得2分。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75"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质量性能及技术资料</w:t>
            </w:r>
          </w:p>
        </w:tc>
        <w:tc>
          <w:tcPr>
            <w:tcW w:w="308"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after="0" w:line="46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11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napToGrid w:val="0"/>
              <w:spacing w:after="0"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根据各供应商投标文件提供的产品相互比较后进行打分：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产品的功能、先进性、兼容性、可维护性等优得4分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产品的功能、先进性、兼容性、可维护性等良得2分</w:t>
            </w:r>
          </w:p>
          <w:p>
            <w:pPr>
              <w:keepNext w:val="0"/>
              <w:keepLines w:val="0"/>
              <w:pageBreakBefore w:val="0"/>
              <w:widowControl/>
              <w:suppressLineNumbers w:val="0"/>
              <w:kinsoku/>
              <w:wordWrap/>
              <w:overflowPunct/>
              <w:topLinePunct w:val="0"/>
              <w:autoSpaceDE/>
              <w:autoSpaceDN/>
              <w:bidi w:val="0"/>
              <w:snapToGrid w:val="0"/>
              <w:spacing w:after="0"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产品的功能、先进性、兼容性、可维护性等一般得1分</w:t>
            </w:r>
          </w:p>
          <w:p>
            <w:pPr>
              <w:keepNext w:val="0"/>
              <w:keepLines w:val="0"/>
              <w:pageBreakBefore w:val="0"/>
              <w:widowControl/>
              <w:numPr>
                <w:ilvl w:val="0"/>
                <w:numId w:val="0"/>
              </w:numPr>
              <w:suppressLineNumbers w:val="0"/>
              <w:kinsoku/>
              <w:wordWrap/>
              <w:overflowPunct/>
              <w:topLinePunct w:val="0"/>
              <w:autoSpaceDE/>
              <w:autoSpaceDN/>
              <w:bidi w:val="0"/>
              <w:snapToGrid w:val="0"/>
              <w:spacing w:after="0" w:line="4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不提供不得分</w:t>
            </w:r>
            <w:r>
              <w:rPr>
                <w:rFonts w:hint="eastAsia" w:ascii="仿宋" w:hAnsi="仿宋" w:eastAsia="仿宋" w:cs="仿宋"/>
                <w:color w:val="auto"/>
                <w:sz w:val="24"/>
                <w:szCs w:val="24"/>
                <w:highlight w:val="none"/>
                <w:lang w:val="en-US" w:eastAsia="zh-CN"/>
              </w:rPr>
              <w:t>。</w:t>
            </w:r>
          </w:p>
        </w:tc>
      </w:tr>
    </w:tbl>
    <w:p>
      <w:pPr>
        <w:rPr>
          <w:rFonts w:hint="default" w:cs="仿宋"/>
          <w:szCs w:val="32"/>
          <w:lang w:val="en-US" w:eastAsia="zh-CN"/>
        </w:rPr>
      </w:pPr>
    </w:p>
    <w:p>
      <w:pPr>
        <w:pStyle w:val="3"/>
        <w:numPr>
          <w:ilvl w:val="0"/>
          <w:numId w:val="0"/>
        </w:numPr>
        <w:jc w:val="center"/>
        <w:rPr>
          <w:rFonts w:hint="eastAsia" w:cs="仿宋"/>
          <w:color w:val="auto"/>
          <w:szCs w:val="32"/>
          <w:lang w:val="en-US" w:eastAsia="zh-CN"/>
        </w:rPr>
      </w:pPr>
    </w:p>
    <w:p>
      <w:pPr>
        <w:rPr>
          <w:rFonts w:hint="eastAsia" w:cs="仿宋"/>
          <w:color w:val="auto"/>
          <w:szCs w:val="32"/>
          <w:lang w:val="en-US" w:eastAsia="zh-CN"/>
        </w:rPr>
      </w:pPr>
    </w:p>
    <w:p>
      <w:pPr>
        <w:pStyle w:val="4"/>
        <w:rPr>
          <w:rFonts w:hint="eastAsia" w:cs="仿宋"/>
          <w:color w:val="auto"/>
          <w:szCs w:val="32"/>
          <w:lang w:val="en-US" w:eastAsia="zh-CN"/>
        </w:rPr>
      </w:pPr>
    </w:p>
    <w:p>
      <w:pPr>
        <w:rPr>
          <w:rFonts w:hint="eastAsia" w:cs="仿宋"/>
          <w:color w:val="auto"/>
          <w:szCs w:val="32"/>
          <w:lang w:val="en-US" w:eastAsia="zh-CN"/>
        </w:rPr>
      </w:pPr>
    </w:p>
    <w:p>
      <w:pPr>
        <w:pStyle w:val="4"/>
        <w:rPr>
          <w:rFonts w:hint="eastAsia" w:cs="仿宋"/>
          <w:color w:val="auto"/>
          <w:szCs w:val="32"/>
          <w:lang w:val="en-US" w:eastAsia="zh-CN"/>
        </w:rPr>
      </w:pPr>
    </w:p>
    <w:p>
      <w:pPr>
        <w:rPr>
          <w:rFonts w:hint="eastAsia" w:cs="仿宋"/>
          <w:color w:val="auto"/>
          <w:szCs w:val="32"/>
          <w:lang w:val="en-US" w:eastAsia="zh-CN"/>
        </w:rPr>
      </w:pPr>
    </w:p>
    <w:p>
      <w:pPr>
        <w:pStyle w:val="4"/>
        <w:rPr>
          <w:rFonts w:hint="eastAsia" w:cs="仿宋"/>
          <w:color w:val="auto"/>
          <w:szCs w:val="32"/>
          <w:lang w:val="en-US" w:eastAsia="zh-CN"/>
        </w:rPr>
      </w:pPr>
    </w:p>
    <w:p>
      <w:pPr>
        <w:rPr>
          <w:rFonts w:hint="eastAsia" w:cs="仿宋"/>
          <w:color w:val="auto"/>
          <w:szCs w:val="32"/>
          <w:lang w:val="en-US" w:eastAsia="zh-CN"/>
        </w:rPr>
      </w:pPr>
    </w:p>
    <w:p>
      <w:pPr>
        <w:pStyle w:val="4"/>
        <w:rPr>
          <w:rFonts w:hint="eastAsia"/>
          <w:lang w:val="en-US" w:eastAsia="zh-CN"/>
        </w:rPr>
      </w:pPr>
    </w:p>
    <w:p>
      <w:pPr>
        <w:pStyle w:val="3"/>
        <w:numPr>
          <w:ilvl w:val="0"/>
          <w:numId w:val="0"/>
        </w:numPr>
        <w:jc w:val="center"/>
        <w:rPr>
          <w:rFonts w:hint="eastAsia" w:cs="仿宋"/>
          <w:color w:val="auto"/>
          <w:szCs w:val="32"/>
          <w:lang w:val="en-US" w:eastAsia="zh-CN"/>
        </w:rPr>
      </w:pPr>
      <w:r>
        <w:rPr>
          <w:rFonts w:hint="eastAsia" w:cs="仿宋"/>
          <w:color w:val="auto"/>
          <w:szCs w:val="32"/>
          <w:lang w:val="en-US" w:eastAsia="zh-CN"/>
        </w:rPr>
        <w:t xml:space="preserve">第四章  </w:t>
      </w:r>
      <w:r>
        <w:rPr>
          <w:rFonts w:hint="eastAsia" w:cs="仿宋"/>
          <w:color w:val="auto"/>
          <w:szCs w:val="32"/>
        </w:rPr>
        <w:t>采购需求</w:t>
      </w:r>
    </w:p>
    <w:p>
      <w:pPr>
        <w:widowControl/>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第一包项目概况表</w:t>
      </w:r>
    </w:p>
    <w:bookmarkEnd w:id="14"/>
    <w:tbl>
      <w:tblPr>
        <w:tblStyle w:val="60"/>
        <w:tblpPr w:leftFromText="180" w:rightFromText="180" w:vertAnchor="text" w:horzAnchor="page" w:tblpXSpec="center" w:tblpY="610"/>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0"/>
        <w:gridCol w:w="1441"/>
        <w:gridCol w:w="4532"/>
        <w:gridCol w:w="1011"/>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0"/>
                <w:szCs w:val="20"/>
                <w:u w:val="none"/>
              </w:rPr>
            </w:pPr>
            <w:bookmarkStart w:id="15" w:name="_Toc6343"/>
            <w:r>
              <w:rPr>
                <w:rFonts w:hint="eastAsia" w:ascii="仿宋" w:hAnsi="仿宋" w:eastAsia="仿宋" w:cs="仿宋"/>
                <w:b/>
                <w:bCs/>
                <w:i w:val="0"/>
                <w:iCs w:val="0"/>
                <w:color w:val="000000"/>
                <w:kern w:val="0"/>
                <w:sz w:val="20"/>
                <w:szCs w:val="20"/>
                <w:u w:val="none"/>
                <w:lang w:val="en-US" w:eastAsia="zh-CN" w:bidi="ar"/>
              </w:rPr>
              <w:t>序号</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0"/>
                <w:szCs w:val="20"/>
                <w:u w:val="none"/>
              </w:rPr>
            </w:pP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Style w:val="217"/>
                <w:rFonts w:hint="eastAsia" w:ascii="仿宋" w:hAnsi="仿宋" w:eastAsia="仿宋" w:cs="仿宋"/>
                <w:lang w:val="en-US" w:eastAsia="zh-CN" w:bidi="ar"/>
              </w:rPr>
              <w:t>名</w:t>
            </w:r>
            <w:r>
              <w:rPr>
                <w:rStyle w:val="775"/>
                <w:rFonts w:hint="eastAsia" w:ascii="仿宋" w:hAnsi="仿宋" w:eastAsia="仿宋" w:cs="仿宋"/>
                <w:lang w:val="en-US" w:eastAsia="zh-CN" w:bidi="ar"/>
              </w:rPr>
              <w:t xml:space="preserve">      </w:t>
            </w:r>
            <w:r>
              <w:rPr>
                <w:rStyle w:val="217"/>
                <w:rFonts w:hint="eastAsia" w:ascii="仿宋" w:hAnsi="仿宋" w:eastAsia="仿宋" w:cs="仿宋"/>
                <w:lang w:val="en-US" w:eastAsia="zh-CN" w:bidi="ar"/>
              </w:rPr>
              <w:t>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0"/>
                <w:szCs w:val="20"/>
                <w:u w:val="none"/>
              </w:rPr>
            </w:pP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田间安装工程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物联网卡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围栏</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延米</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基础安装、预埋件</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硬化铺装</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标识牌</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3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田间监测设备及配套硬件设备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硬件</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重点监测点田间监测设备及配套硬件设备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物联网病虫害监测设备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农作物病虫害自动测控系统物联网设备（农作物田间四情综合管理系统）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频振式物联网太阳能测报灯</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病虫害调查工具箱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高空测报设备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高空诱控系统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高空测报灯</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微小昆虫远程智能监测系统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一般监测点监测设备及配套硬件设备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物联网测报灯</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虫情信息自动采集系统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智能虫情测报灯</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远程监测系统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农境生态系统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性诱监测设备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2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害虫性诱自动诱捕器带摄像头</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昆虫性诱智能测报系统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物联网远程测报系统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害虫性诱智能测报系统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蝗虫远程实时监测系统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鼠害采集系统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鼠害云智能采集系统（一拖一）</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2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定量风流孢子捕捉仪</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r>
    </w:tbl>
    <w:p>
      <w:pPr>
        <w:widowControl/>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28"/>
          <w:szCs w:val="28"/>
          <w:highlight w:val="none"/>
          <w:lang w:val="en-US" w:eastAsia="zh-CN"/>
        </w:rPr>
        <w:t>第一包项目采购清单及参数一览表</w:t>
      </w:r>
    </w:p>
    <w:p>
      <w:pPr>
        <w:widowControl/>
        <w:rPr>
          <w:rFonts w:hint="eastAsia" w:ascii="仿宋" w:hAnsi="仿宋" w:eastAsia="仿宋" w:cs="仿宋"/>
          <w:color w:val="auto"/>
          <w:szCs w:val="21"/>
        </w:rPr>
      </w:pPr>
      <w:r>
        <w:rPr>
          <w:rStyle w:val="203"/>
          <w:rFonts w:hint="eastAsia" w:ascii="仿宋" w:hAnsi="仿宋" w:eastAsia="仿宋" w:cs="仿宋"/>
          <w:b/>
          <w:color w:val="auto"/>
          <w:sz w:val="21"/>
          <w:szCs w:val="21"/>
          <w:lang w:bidi="ar"/>
        </w:rPr>
        <w:t>带</w:t>
      </w:r>
      <w:r>
        <w:rPr>
          <w:rStyle w:val="63"/>
          <w:rFonts w:hint="eastAsia" w:ascii="仿宋" w:hAnsi="仿宋" w:eastAsia="仿宋" w:cs="仿宋"/>
          <w:b w:val="0"/>
          <w:bCs/>
          <w:color w:val="auto"/>
          <w:sz w:val="21"/>
          <w:szCs w:val="21"/>
          <w:shd w:val="clear" w:color="auto" w:fill="FFFFFF"/>
          <w:lang w:eastAsia="zh-CN"/>
        </w:rPr>
        <w:t>※</w:t>
      </w:r>
      <w:r>
        <w:rPr>
          <w:rStyle w:val="203"/>
          <w:rFonts w:hint="eastAsia" w:ascii="仿宋" w:hAnsi="仿宋" w:eastAsia="仿宋" w:cs="仿宋"/>
          <w:b/>
          <w:color w:val="auto"/>
          <w:sz w:val="21"/>
          <w:szCs w:val="21"/>
          <w:lang w:bidi="ar"/>
        </w:rPr>
        <w:t>的</w:t>
      </w:r>
      <w:r>
        <w:rPr>
          <w:rStyle w:val="203"/>
          <w:rFonts w:hint="eastAsia" w:ascii="仿宋" w:hAnsi="仿宋" w:eastAsia="仿宋" w:cs="仿宋"/>
          <w:b/>
          <w:color w:val="auto"/>
          <w:sz w:val="21"/>
          <w:szCs w:val="21"/>
          <w:lang w:val="en-US" w:eastAsia="zh-CN" w:bidi="ar"/>
        </w:rPr>
        <w:t>条款为重要参数</w:t>
      </w:r>
      <w:r>
        <w:rPr>
          <w:rStyle w:val="203"/>
          <w:rFonts w:hint="eastAsia" w:ascii="仿宋" w:hAnsi="仿宋" w:eastAsia="仿宋" w:cs="仿宋"/>
          <w:b/>
          <w:color w:val="auto"/>
          <w:sz w:val="21"/>
          <w:szCs w:val="21"/>
          <w:lang w:bidi="ar"/>
        </w:rPr>
        <w:t>。</w:t>
      </w:r>
    </w:p>
    <w:p>
      <w:pPr>
        <w:ind w:left="0" w:leftChars="0" w:firstLine="0" w:firstLineChars="0"/>
        <w:jc w:val="center"/>
        <w:rPr>
          <w:rFonts w:hint="eastAsia" w:ascii="仿宋" w:hAnsi="仿宋" w:eastAsia="仿宋" w:cs="仿宋"/>
          <w:b/>
          <w:bCs/>
          <w:color w:val="auto"/>
          <w:sz w:val="28"/>
          <w:szCs w:val="28"/>
          <w:highlight w:val="none"/>
          <w:lang w:val="en-US" w:eastAsia="zh-CN"/>
        </w:rPr>
      </w:pPr>
    </w:p>
    <w:tbl>
      <w:tblPr>
        <w:tblStyle w:val="6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
        <w:gridCol w:w="1375"/>
        <w:gridCol w:w="695"/>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名      称</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规格</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000000"/>
                <w:kern w:val="0"/>
                <w:sz w:val="20"/>
                <w:szCs w:val="20"/>
                <w:u w:val="none"/>
                <w:lang w:val="en-US" w:eastAsia="zh-CN" w:bidi="ar"/>
              </w:rPr>
              <w:t>一</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田间安装工程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72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物联网卡</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一般监测站点物联网卡及物联网数据传输流量费。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72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专线</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条</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重点监测站点互联网专线租赁费。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72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围栏</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延米</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通透围栏高度为1.8米，重点站点单个围栏长度40延米，共2个计80米，一般监测站点单个24米，共8个监测站点计192米，建设围栏合计272延米。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w:t>
            </w:r>
          </w:p>
        </w:tc>
        <w:tc>
          <w:tcPr>
            <w:tcW w:w="72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基础安装、预埋件</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设备基础安装、预埋件。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w:t>
            </w:r>
          </w:p>
        </w:tc>
        <w:tc>
          <w:tcPr>
            <w:tcW w:w="72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硬化铺装</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重点站点单个硬化铺装面积14 m</w:t>
            </w:r>
            <w:r>
              <w:rPr>
                <w:rFonts w:hint="eastAsia" w:ascii="仿宋" w:hAnsi="仿宋" w:eastAsia="仿宋" w:cs="仿宋"/>
                <w:i w:val="0"/>
                <w:iCs w:val="0"/>
                <w:color w:val="auto"/>
                <w:kern w:val="0"/>
                <w:sz w:val="18"/>
                <w:szCs w:val="18"/>
                <w:u w:val="none"/>
                <w:vertAlign w:val="superscript"/>
                <w:lang w:val="en-US" w:eastAsia="zh-CN" w:bidi="ar"/>
              </w:rPr>
              <w:t>2</w:t>
            </w:r>
            <w:r>
              <w:rPr>
                <w:rFonts w:hint="eastAsia" w:ascii="仿宋" w:hAnsi="仿宋" w:eastAsia="仿宋" w:cs="仿宋"/>
                <w:i w:val="0"/>
                <w:iCs w:val="0"/>
                <w:color w:val="auto"/>
                <w:kern w:val="0"/>
                <w:sz w:val="18"/>
                <w:szCs w:val="18"/>
                <w:u w:val="none"/>
                <w:lang w:val="en-US" w:eastAsia="zh-CN" w:bidi="ar"/>
              </w:rPr>
              <w:t>，2个站点计28 m</w:t>
            </w:r>
            <w:r>
              <w:rPr>
                <w:rFonts w:hint="eastAsia" w:ascii="仿宋" w:hAnsi="仿宋" w:eastAsia="仿宋" w:cs="仿宋"/>
                <w:i w:val="0"/>
                <w:iCs w:val="0"/>
                <w:color w:val="auto"/>
                <w:kern w:val="0"/>
                <w:sz w:val="18"/>
                <w:szCs w:val="18"/>
                <w:u w:val="none"/>
                <w:vertAlign w:val="superscript"/>
                <w:lang w:val="en-US" w:eastAsia="zh-CN" w:bidi="ar"/>
              </w:rPr>
              <w:t>2</w:t>
            </w:r>
            <w:r>
              <w:rPr>
                <w:rFonts w:hint="eastAsia" w:ascii="仿宋" w:hAnsi="仿宋" w:eastAsia="仿宋" w:cs="仿宋"/>
                <w:i w:val="0"/>
                <w:iCs w:val="0"/>
                <w:color w:val="auto"/>
                <w:kern w:val="0"/>
                <w:sz w:val="18"/>
                <w:szCs w:val="18"/>
                <w:u w:val="none"/>
                <w:lang w:val="en-US" w:eastAsia="zh-CN" w:bidi="ar"/>
              </w:rPr>
              <w:t>，一般监测站点单个硬化铺装面积12 m</w:t>
            </w:r>
            <w:r>
              <w:rPr>
                <w:rFonts w:hint="eastAsia" w:ascii="仿宋" w:hAnsi="仿宋" w:eastAsia="仿宋" w:cs="仿宋"/>
                <w:i w:val="0"/>
                <w:iCs w:val="0"/>
                <w:color w:val="auto"/>
                <w:kern w:val="0"/>
                <w:sz w:val="18"/>
                <w:szCs w:val="18"/>
                <w:u w:val="none"/>
                <w:vertAlign w:val="superscript"/>
                <w:lang w:val="en-US" w:eastAsia="zh-CN" w:bidi="ar"/>
              </w:rPr>
              <w:t>2</w:t>
            </w:r>
            <w:r>
              <w:rPr>
                <w:rFonts w:hint="eastAsia" w:ascii="仿宋" w:hAnsi="仿宋" w:eastAsia="仿宋" w:cs="仿宋"/>
                <w:i w:val="0"/>
                <w:iCs w:val="0"/>
                <w:color w:val="auto"/>
                <w:kern w:val="0"/>
                <w:sz w:val="18"/>
                <w:szCs w:val="18"/>
                <w:u w:val="none"/>
                <w:lang w:val="en-US" w:eastAsia="zh-CN" w:bidi="ar"/>
              </w:rPr>
              <w:t>，8个站点计96 m</w:t>
            </w:r>
            <w:r>
              <w:rPr>
                <w:rFonts w:hint="eastAsia" w:ascii="仿宋" w:hAnsi="仿宋" w:eastAsia="仿宋" w:cs="仿宋"/>
                <w:i w:val="0"/>
                <w:iCs w:val="0"/>
                <w:color w:val="auto"/>
                <w:kern w:val="0"/>
                <w:sz w:val="18"/>
                <w:szCs w:val="18"/>
                <w:u w:val="none"/>
                <w:vertAlign w:val="superscript"/>
                <w:lang w:val="en-US" w:eastAsia="zh-CN" w:bidi="ar"/>
              </w:rPr>
              <w:t>2</w:t>
            </w:r>
            <w:r>
              <w:rPr>
                <w:rFonts w:hint="eastAsia" w:ascii="仿宋" w:hAnsi="仿宋" w:eastAsia="仿宋" w:cs="仿宋"/>
                <w:i w:val="0"/>
                <w:iCs w:val="0"/>
                <w:color w:val="auto"/>
                <w:kern w:val="0"/>
                <w:sz w:val="18"/>
                <w:szCs w:val="18"/>
                <w:u w:val="none"/>
                <w:lang w:val="en-US" w:eastAsia="zh-CN" w:bidi="ar"/>
              </w:rPr>
              <w:t>，总面积合计124 m</w:t>
            </w:r>
            <w:r>
              <w:rPr>
                <w:rFonts w:hint="eastAsia" w:ascii="仿宋" w:hAnsi="仿宋" w:eastAsia="仿宋" w:cs="仿宋"/>
                <w:i w:val="0"/>
                <w:iCs w:val="0"/>
                <w:color w:val="auto"/>
                <w:kern w:val="0"/>
                <w:sz w:val="18"/>
                <w:szCs w:val="18"/>
                <w:u w:val="none"/>
                <w:vertAlign w:val="superscript"/>
                <w:lang w:val="en-US" w:eastAsia="zh-CN" w:bidi="ar"/>
              </w:rPr>
              <w:t>2</w:t>
            </w:r>
            <w:r>
              <w:rPr>
                <w:rFonts w:hint="eastAsia" w:ascii="仿宋" w:hAnsi="仿宋" w:eastAsia="仿宋" w:cs="仿宋"/>
                <w:i w:val="0"/>
                <w:iCs w:val="0"/>
                <w:color w:val="auto"/>
                <w:kern w:val="0"/>
                <w:sz w:val="18"/>
                <w:szCs w:val="18"/>
                <w:u w:val="none"/>
                <w:lang w:val="en-US" w:eastAsia="zh-CN" w:bidi="ar"/>
              </w:rPr>
              <w:t>。80 mm混凝土面砖、30 mm M10水泥砂浆、120 mm级配碎石、素土夯实。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w:t>
            </w:r>
          </w:p>
        </w:tc>
        <w:tc>
          <w:tcPr>
            <w:tcW w:w="72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标识牌</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i w:val="0"/>
                <w:iCs w:val="0"/>
                <w:color w:val="auto"/>
                <w:kern w:val="0"/>
                <w:sz w:val="18"/>
                <w:szCs w:val="18"/>
                <w:u w:val="none"/>
                <w:lang w:val="en-US" w:eastAsia="zh-CN" w:bidi="ar"/>
              </w:rPr>
              <w:t>尺寸60*80cm或定制，厚度0.7mm，折边厚度2.2cm，不锈钢/钛金，安装于通透围栏上，户外防腐蚀。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4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lang w:eastAsia="zh-CN"/>
              </w:rPr>
            </w:pPr>
            <w:r>
              <w:rPr>
                <w:rFonts w:hint="eastAsia" w:ascii="仿宋" w:hAnsi="仿宋" w:eastAsia="仿宋" w:cs="仿宋"/>
                <w:b/>
                <w:bCs/>
                <w:i w:val="0"/>
                <w:iCs w:val="0"/>
                <w:color w:val="auto"/>
                <w:sz w:val="20"/>
                <w:szCs w:val="20"/>
                <w:highlight w:val="none"/>
                <w:u w:val="none"/>
                <w:lang w:eastAsia="zh-CN"/>
              </w:rPr>
              <w:t>三</w:t>
            </w:r>
          </w:p>
        </w:tc>
        <w:tc>
          <w:tcPr>
            <w:tcW w:w="4557" w:type="pct"/>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田间监测设备及配套硬件设备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（一）</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重点监测点田间监测设备及配套硬件设备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物联网病虫害监测设备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4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农作物病虫害自动测控系统物联网设备（农作物田间四情综合管理系统）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4"/>
              </w:numPr>
              <w:suppressLineNumbers w:val="0"/>
              <w:shd w:val="clear" w:color="auto" w:fill="auto"/>
              <w:kinsoku/>
              <w:wordWrap/>
              <w:overflowPunct/>
              <w:topLinePunct w:val="0"/>
              <w:autoSpaceDE/>
              <w:autoSpaceDN/>
              <w:bidi w:val="0"/>
              <w:adjustRightInd/>
              <w:snapToGrid/>
              <w:spacing w:afterAutospacing="0" w:line="240" w:lineRule="exact"/>
              <w:ind w:left="270" w:leftChars="0" w:firstLine="0" w:firstLineChars="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无线农业气象综合监测站： 1.供电系统：太阳能板功率60W，蓄电池：38AH (可根据不同地区及需求配置太阳能板和蓄电池,连续阴雨条件下可正常工作≥30天。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2.主机功能：支持配置TF卡（16G/32G/64G/128G），容量可根据实际需要进行配置，可以存储传感器数据，确保长期存储数据不丢失。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数据采集与展示：设备具有数据采集及上传功能，采集数据要求：可采集土壤墒情(4层)、土壤温度(4层)、空气温度、空气湿度、光照强度、风向、风速、降水量、大气压、土壤氧气、苗情图片、等并通过无线网络通讯方式上传至服务器，最终在云平台上进行数据呈现及分析；可通过云管理系统远程设置数据采集、存储和上传时间间隔，5分钟到24小时采集时间间隔自由设定。</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4.土壤墒情采集模块：土壤温度，水分，盐分一体非金属式传感器，通过PVC导管进行测量， 与土壤无需直接接触。（提供具有检验资质的第三方检测机构出具的带有CNAS标识的检测报告）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5.海拔及防盗定位功能：可测海拔高度，自动获取海拔参数和GPS坐标信息，可获取设备及数据采集点具体的地理位置，防盗防位移。（提供具有检验资质的第三方检测机构出具的带有CNAS标识的检测报告）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手机APP远程监控：Web和APP端都有电池电量检测、太阳能电压检测、数据采集间隔、故障报警等功能；具有手机APP软件(适用安卓及苹果系统) 、云数据平台。手机上随时查看数据和曲线图；和物联网云平台上的其他设备(所有具有云平台功能的设备)的数据进行相互关联分析。历史数据永不丢失，数据可上传到物联网云平台并可接入国家级、省级、市级、县级等相关信息监测平台（中国农作物有害生物监控信息系统、全国土壤墒情监测系统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8.传输模式：系统支持电信、移动、联通等运营商GPRS\CDMA\NBIOT\GSM\4G\5G\WIFI\光纤\网络等方式（提供具有检验资质的第三方检测机构出具的带有CNAS标识的检测报告）  9.生长模型：由设备采集的作物生长环境气象墒情数据，加上根据作物的特性通过历史数据建立作物生长模型，根据时间及特性实时显示当下作物的生长期，对当下作物提供适应的农事操作提醒，对每一个提醒项可以操作处理并记录，</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通过生长模型的标准数据与现阶段环境的数据做对比并提醒。（提供具有检验资质的第三方检测机构出具的带有CNAS标识的检测报告）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作物需水分析：根据每日气象数据（最高最低温度、最高最低湿度、风速、经纬度、海拔等）、作物信息（各生育周期及对应的基础KC系数）、土壤信息（田间持水量、土水含量）、降水和灌溉信息等，来预测每日的作物参考作物蒸腾量（ETO），每日的作物蒸腾量，未来土壤含水量的预测，缺水时的需灌水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积温积光：由设备采集的温度以及光照度形成大田历史积温积光数据，可通过时间区间查看历史曲线及数据，包括累计有效积温、累计日照时数等。可结合作物生长模型设置作物的种植制度，设定生长及生长周期，温度及光照上限下限，有效辐射值等。（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根系分析：支持根据传感器数据，采用数据模型算法，对土壤各层水分消耗占比情况分析，自动判断作物根系生长触及深度及需水灌溉时长分析；（提供国家网络软件设备质量监督检验机构出具的带CMA、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墒情趋势预测：支持通过收集历史墒情数据、天气数据、土壤温度等于土壤墒情相关的数据，运用数据挖掘建模，可预测出各墒情监测区域的未来墒情数据。（提供国家网络软件设备质量监督检验机构出具的带CMA、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14.传感器参数：（提供具有检验资质的第三方检测机构出具的带有CNAS标识的检测报告）</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afterAutospacing="0" w:line="240" w:lineRule="exact"/>
              <w:ind w:left="270" w:left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土壤温度：监测指标支持4层土壤温度监测：0-20cm、 20-40cm、 40-60cm、 60-100cm)：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测量范围：-40℃～85℃、分辨率：0.1℃、误差：±0.3℃；</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土壤水分：监测指标支持4层土壤水分监测：0-20cm、 20-40cm、 40-60cm、 60-100cm)：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测量范围：0～100%（体积含水量）；分辨率：0.1%；误差：±2%室内、±2%室外）</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土壤电导率测量范围：0-23mS/cm(bulk)； 精度：土2%，分辨率：0.01mS/cm；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空气温度：测量范围：-50℃～+70℃；分辨率：0.1℃；误差：±0.2℃；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空气湿度：测量范围：0～100%RH；分辨率:0.1%；误差：±3%）； 光照强度：测量范围：0～200000lux；分辨率：1Lux；误差：±2%FS；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超声波风向：测量范围：0～360°；分辨率：1°；误差：±3°；</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超声波风速：测量范围：0-60m/s；分辨率：0.1m/s；误差：±（0.5+0.03×风速）m/s；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降 雨 量：翻斗式雨量传感器，防堵疏通设计，大小雨补偿更精准，防堵报警，维护疏通便捷； 测量范围：0～4mm/min；分辨率：0.1mm；误差：±0.4mm（≤10mm），±4%（&gt;10mm）；大 气 压：测量范围：300-1100hPa；分辨率：≤0.1hPa；误差：±0.3hPa；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土壤氧气：测量范围O₂%：0-30%；误差：0.1%；（提供具有检验资质的第三方检测机构出具的带有CNAS标识的检测报告）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扩展传感器：（可选配扩展其它传感器：蒸发、二氧化碳、叶面湿度、土壤pH、紫外辐射、土壤紧实度、土壤水势、土壤热通量、光合有效辐射、PM2.5、负氧离子、叶面温度、叶面积LAI、归一化植被指数NDVI、叶冠层指数(CC)、茎杆微变化、土壤多参数、果实膨大传感器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15.摄像头：摄像头≥250W像素，2.7英寸图像传感器，可在线查看实时情况，360°查看并且通过摄像头图像采集自动识别所在监控范围内作物种类。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.冠层覆盖率分析：本设备自带高清摄像系统，可对作物进行冠层覆盖率的识别，通过对作物冠层覆盖率数据的计算，可分析出作物长势信息。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支持选配与机身一体化LED屏：系统支持配置P5户外单色显示屏，LED屏支持实时现场显示设备传感器的数据，在平台端可以远程开关LED屏显功能，亦可通过设置屏显的工作时段。（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远程固件升级：支持远程固件升级，通过物联网云平台管理端下发升级固件程序可直接远程对硬件设备进行固件升级，亦支持设备现场程序升级。（提供具有检验资质的第三方检测机构出具的带有CNAS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19.故障上报：当设备出现电池亏电、传感器故障、信号故障时，自动上传故障信息至平台。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20.故障在线诊断：设备支持远程故障在线诊断，当设备发生故障，可通过远程在线故障诊断功能进行故障排查。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21.数据补传：当设备网络出现问题时，可自动存储采集信息，待有网时自动补传，确保数据不会丢失。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22..数据查看及评价功能：可通过网页查看实时数据、设备状态；可显示每种参数过程曲线趋势，最大值、最小值、平均值显示查看，放大、缩小功能；可以设置最低最高超限值，可自动进行数据预警分析。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4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农作物病虫害自动测控系统物联网设备（农作物田间四情综合管理系统）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rPr>
                <w:rFonts w:hint="eastAsia" w:ascii="仿宋" w:hAnsi="仿宋" w:eastAsia="仿宋" w:cs="仿宋"/>
                <w:i w:val="0"/>
                <w:iCs w:val="0"/>
                <w:color w:val="auto"/>
                <w:sz w:val="20"/>
                <w:szCs w:val="20"/>
                <w:highlight w:val="none"/>
                <w:u w:val="none"/>
              </w:rPr>
            </w:pP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23.超限预警：当各个采集指标超过预设值时，将会进行预警提示。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统计分析：支持用户为设备设置最低最高超限值，超限报警提醒，平台为设备数据提供曲线与表格等报表形式，平台内数据、图表均可下载，进行数据对比分析及打印，且数据可导出excel、pdf等格式数据；管理平台支持传感器实时数据及预警状态可视化，可显示每种参数过程曲线趋势，最大值、最小值、平均值显示查看，放大、缩小功能；可进行区域气象数据分析应用-气象指标统计，可统计活动积温、可照时数、有效积温、到达有效温度天数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25.设备管理：设备管理支持在后台配置管理和在用户使用前台进行基础配置（查看设备工作状态、设备网络使用情况、设备远程控制、设备网络信号等）；可以通过系统用户管理，按权限进行分配管理者的 管理权限及设备使用、查看权限；同一台设备支持多人管理。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26.</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可提供历史至未来5天的参考蒸发蒸腾量、历史至未来5天的天气预测、全年极端气候分析。（提供国家网络软件设备质量监督检验机构出具的带CMA、CNAS标识的检验报告）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27.</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灌溉行为判断：可根据对各层土壤水分数据及天气数据的综合判断，是否有灌溉行为并识别灌溉触达深度及灌溉时长。（提供国家网络软件设备质量监督检验机构出具的带CMA、CNAS标识的检验报告）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28.</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提供省级及以上耕地质量或土肥管理部门的测试评价报告.                                                                                                                                                                                               二、智能虫情测报灯：                                                                                                                                                                                                                                1.能自动拍照、上传害虫图片，可自动清理死虫体，自动分析相关数据，历史数据可实时在线免费存储、查阅、下载；支持电脑客户端、网页版、移动端版数据共享；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整体结构：须采用304不锈钢材质或不锈钢喷塑，撞击屏互成120度夹角；3.虫体处理：须远红外虫体处理，仓温度85±5℃，虫体处理致死率≥98%，虫体完整率≥95%；虫体分散可实现虫体≥98%分散平铺；（提供具有检测资质的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4.保护要求：设备带有防雨棚和防雨百叶，下雨天可以正常工作，正常捕虫；具防雷击功能；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5.虫情图像拍照要求：内置≥2000万像素高清工业摄像机，显示屏≥7寸触摸屏；（提供具有检测资质的机构出具的带CNAS 标识的检测报告）6.远程查询监控：可在电脑端和手机端远程监控平台对虫情自动采集系统的控制，包括但不限于指令发布执行、系统参数设置、采集信息的查询分析、远程手动控制换位、诱虫灯开启、加热管通断、杀虫仓和烘干仓清空、震动电机开关、传送带开关等功能；7.自动识别功能：对农林常见虫害做自动识别计数，包含：草地贪夜蛾、粘虫、棉铃虫、金龟子、草地螟、玉米螟、大螟、二化螟、稻纵卷叶螟、褐飞虱属、白背飞虱、蝼蛄、甜菜夜蛾、二点委夜蛾、茶尺蠖、小绿叶蝉、烟青虫等常见害虫，识别准确率≥85%。（提供具有检测资质的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识别辅助：系统具有比例尺用以辅助判断虫体大小，并且具有害虫标记功能，不同害虫用不同的颜色区别标注，害虫种类与颜色一一对应；（提供具有检测资质的机构出具的带CNAS 标识的检测报告）                                                                     9.特定害虫识别：对一、二类农作物病虫害名录中趋光性害虫的单一种类识别计数准确率≥90%；（提供具有检测资质的机构出具的带CNAS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10.虫子收集储存功能：对拍完照的虫子，需要保留标本的留在储存仓内，人工定期去收集： 对于不需要标本的，虫子直接排出机器外部，避免人工去现场维护；不需要收集标本的情况下，可以不用人工去现场，只要定期去检修即可；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11.网络支持：支持网关/5G/4G/网线/网桥/WIFI等选择；（提供具有检测资质的机构出具的带CNAS 标识的检测报告）12.防盗要求：内置GPS定位功能，在PC云端地图中查看设备站点等数据，被盗可追踪；（提供具有检测资质的机构出具的带CNAS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13.中控系统：采用四核安卓微型电脑中控，灯管开关、转仓、工作模式、拍照间隔、联网信息、远程启动/重启、设备位置报警、电量提醒、流量提醒等设备的运行状态可以通过中控远程监控；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14.自动调节拍照时间：可通过照片自动识别虫子数量多少来自动调节拍照间隔时间。（提供具有检测资质的机构出具的带CNAS 标识的检测报告）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15.工作环境：温度-20℃～70℃、湿度≤98℃。16.供电系统：太阳能板功率640W，蓄电池：400AH (可根据不同地区及需求配置太阳能板和蓄电池,连续阴雨条件下可正常工作≥15天)；17.其他：诱虫光源≤20W诱虫灯管，主波长360±5nm，灯管启动时间≤5秒，绝缘电阻≥2.5MΩ，Android4.0以上操作系统；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18通过部署在不同地方的虫情测报灯，将捕获到的昆虫进行统计分析，可绘制出虫害的发生趋势与发生轨迹，并确定其发生源头，以此为数据基础来做好虫害的预测预警，为病虫害的防治提供数据支撑。</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提供省级或省级以上植保部门出具两年四地的试验报告（机器自动识别数据与人工鉴定数据的动态趋势拟合度大于85%）；19.数据可接入全国“农作物重大病虫害数字化监测预警系统”。                     20.</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 xml:space="preserve"> 所投智能虫情测报灯设备厂家，获得植保站委托独立第三方机构出具的2017年以来的设备试验鉴定报告（须满足一个生长季），鉴定报告日期须在本项目招标公告发布日期之前为准                                                                                                                                                                                       三、智能孢子捕捉系统：                                                                                                                                                                                                                              1. 收集的病菌孢子处理方式：采用风扇采集空气中随风传播的孢子，集中到载波带上拍照；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2.气体采样：采集流量≤120L/分钟，采集时间60～1200分钟（设置范围）可采集面积：长×宽（mm）50×8mm；（提供具有检测资质的第三方检测机构出具的带CNAS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3.载玻系管理：内置载波带，一次更换最长可连续使用≥500天，每天拍报次数≥3次，照片数量1-100张；系统自动更换无需手动更换；（提供具有检测资质的第三方检测机构出具的带CNAS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 防盗功能：内置GPS定位功能，可在网页与手机APP端地图中查看设备站点等数据（提供具有检测资质的第三方检测机构出具的带CNAS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5.孢子拍摄要求：电子显微镜线性自动快速对焦，自动移动视场，采集图片，融合上传；具备千倍放大，可采集拍摄清楚5～80微米之间的特征体；</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6.孢子照片选取：系统可自动选取具备最优图片进行自动融合，自动融合成最清晰的照片通过网络上传至云服务器,设备自带10.4寸的触摸屏可实时查看对焦及拍照过程，并且可以现场控制；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控制功能：通过网页端及手机APP端远程设置工作模式，如开关机，自动拍照，拍照张数，拍照采集时间，工作时段等；远程查看流量、位置、剩余可拍照数量显示；（提供具有检测资质的第三方检测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8.拍摄图像信息及发送：要求图像jpg格式，通过网络自动上传；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9.联网方式：网关/4G/5G/网线/网桥/WIFI等多种联网方式选择；（提供具有检测资质的第三方检测机构出具的带CNAS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10.断电保护：内置UPS，支持断电保护，断电可运行8小时；11.其他：摄像头≥500万像素，显示屏≥10寸，工作环境温度-30～70℃，工作环境湿度≤ 98%RH，系统：WINDOWS ；（提供具有检测资质的第三方检测机构出具的带CNAS 标识的检测报告）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11.供电系统：太阳能板功率320W，蓄电池：200AH (可根据不同地区及需求配置太阳能板和蓄电池,连续阴雨条件下可正常工作≥15天)。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农作物病虫害自动测控系统物联网设备（农作物田间四情综合管理系统）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rPr>
                <w:rFonts w:hint="eastAsia" w:ascii="仿宋" w:hAnsi="仿宋" w:eastAsia="仿宋" w:cs="仿宋"/>
                <w:i w:val="0"/>
                <w:iCs w:val="0"/>
                <w:color w:val="auto"/>
                <w:sz w:val="20"/>
                <w:szCs w:val="20"/>
                <w:highlight w:val="none"/>
                <w:u w:val="none"/>
              </w:rPr>
            </w:pP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r>
              <w:rPr>
                <w:rStyle w:val="63"/>
                <w:rFonts w:hint="eastAsia" w:ascii="仿宋" w:hAnsi="仿宋" w:eastAsia="仿宋" w:cs="仿宋"/>
                <w:b w:val="0"/>
                <w:bCs/>
                <w:color w:val="auto"/>
                <w:sz w:val="21"/>
                <w:szCs w:val="21"/>
                <w:shd w:val="clear" w:color="auto" w:fill="FFFFFF"/>
                <w:lang w:eastAsia="zh-CN"/>
              </w:rPr>
              <w:t>※</w:t>
            </w:r>
            <w:r>
              <w:rPr>
                <w:rFonts w:hint="eastAsia" w:ascii="仿宋" w:hAnsi="仿宋" w:eastAsia="仿宋" w:cs="仿宋"/>
                <w:i w:val="0"/>
                <w:iCs w:val="0"/>
                <w:color w:val="auto"/>
                <w:kern w:val="0"/>
                <w:sz w:val="18"/>
                <w:szCs w:val="18"/>
                <w:highlight w:val="none"/>
                <w:u w:val="none"/>
                <w:lang w:val="en-US" w:eastAsia="zh-CN" w:bidi="ar"/>
              </w:rPr>
              <w:t>可接入全国农作物重大病虫害数字化监测预警系统；支持云台优先级控制，RS485与网络可设置不同优先级，支持守望功能，当球机待机时间达到设置值时，可自动运行调预置位、自动巡航、自动扫描、模式路径等功能；支持屏幕字符显示功能，最多支持4行字符显示，字体大小、颜色可设；支持断电记忆功能；支持定时抓图、报警联动抓图上传ftp功能；球机应具备本地存储功能，支持SD卡热插拔，最大支持128GB；支持通过菜单进行感兴趣区域编码设置，最多可支持8块区域；支持48kHz音频采样率；支持码流平滑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三码流同时输出；支持标准Onvif协议；支持黑白名单过滤功能；支持区域入侵、越界入侵、徘徊、物品移除、物品遗留、人员聚集、人脸侦测，并联动报警。支持音频异常侦测，具有音频陡升检测、音频陡降检测、音频输入异常检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具备较好的电源适应性，电压在AC24V±30%范围内变化时，设备可正常工作；具备较好的环境适应性，工作温度范围可达-45℃-70℃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含摄像头立杆及支架各一套，硬盘录相机一套。                                                                                                                                                                                                           </w:t>
            </w:r>
            <w:r>
              <w:rPr>
                <w:rFonts w:hint="eastAsia" w:ascii="仿宋" w:hAnsi="仿宋" w:eastAsia="仿宋" w:cs="仿宋"/>
                <w:b/>
                <w:bCs/>
                <w:i w:val="0"/>
                <w:iCs w:val="0"/>
                <w:color w:val="auto"/>
                <w:kern w:val="0"/>
                <w:sz w:val="18"/>
                <w:szCs w:val="18"/>
                <w:highlight w:val="none"/>
                <w:u w:val="none"/>
                <w:lang w:val="en-US" w:eastAsia="zh-CN" w:bidi="ar"/>
              </w:rPr>
              <w:t xml:space="preserve">四、农境生态系统：                                                                                                                                                                                                                                             </w:t>
            </w:r>
            <w:r>
              <w:rPr>
                <w:rFonts w:hint="eastAsia" w:ascii="仿宋" w:hAnsi="仿宋" w:eastAsia="仿宋" w:cs="仿宋"/>
                <w:i w:val="0"/>
                <w:iCs w:val="0"/>
                <w:color w:val="auto"/>
                <w:kern w:val="0"/>
                <w:sz w:val="18"/>
                <w:szCs w:val="18"/>
                <w:highlight w:val="none"/>
                <w:u w:val="none"/>
                <w:lang w:val="en-US" w:eastAsia="zh-CN" w:bidi="ar"/>
              </w:rPr>
              <w:t xml:space="preserve"> 1视频输出支持1920×1080@60fps，分辨力不小于1100TVL，红外距离可达240米。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2支持20倍光学变焦；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3支持最低照度可达彩色0.001Lux，黑白0.0001Lux；</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4支持透雾、强光抑制、电子防抖、数字降噪、防红外过曝功能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5动态范围不小于105dB；</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6信噪比≥57dB，网络延时不大于110ms；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7网络传输能力满足发送1000个数据包，重复测试3次，每次丢包数不大于2个。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8具备较强的网络自适应能力，在丢包率为5%的网络环境下，仍可正常显示监视画面。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9支持区域遮盖功能，支持最多24块多边形区域，支持多种颜色可设置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10支持水平手控速度不小于450°/S，云台定位精度为±0.1°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11垂直手控速度不小于120°/S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12支持用鼠标在图像画面中选定的任意区域，移动放大或缩小至画面中心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13水平旋转范围为360°连续旋转，垂直旋转范围为-20°～90°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14支持300个预置位，支持18条巡航扫描，支持7条以上的模式路径设置，支持预置位视频冻结功能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15支持云台优先级控制，RS485与网络可设置不同优先级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16支持守望功能，当球机待机时间达到设置值时，可自动运行调预置位、自动巡航、自动扫描、模式路径等功能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17支持屏幕字符显示功能，最多支持4行字符显示，字体大小、颜色可设</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18支持断电记忆功能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19支持定时抓图、报警联动抓图上传ftp功能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20球机应具备本地存储功能，支持SD卡热插拔，最大支持128GB</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21支持通过菜单进行感兴趣区域编码设置，最多可支持8块区域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22支持48kHz音频采样率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23支持码流平滑设置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24支持三码流同时输出；支持标准Onvif协议；支持黑白名单过滤功能；支持区域入侵、越界入侵、徘徊、物品移除、物品遗留、人员聚集、人脸侦测，并联动报警。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25支持音频异常侦测，具有音频陡升检测、音频陡降检测、音频输入异常检测。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26具备较好的电源适应性，电压在AC24V±30%范围内变化时，设备可正常工作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27具备较好的环境适应性，工作温度范围可达-45℃-70℃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28含摄像头立杆及支架各一套，硬盘录相机一套；                                                                                                                                                                                                                29供电系统：太阳能板功率240W，蓄电池：100AH (可根据不同地区及需求配置太阳能板和蓄电池,连续阴雨条件下可正常工作≥15天)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频振式物联网太阳能测报灯</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1.频振式测报灯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1.1灯体高度：2.5米，灯杆材质不锈钢；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1.2供电方式：太阳能 40W，蓄电池 24Ah；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1.3连接病虫害自动测控系统，按受信息控制中心发出的工作指令；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1.4安全保护措施，确保人机安全；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2.远程控制无线传输系统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2.1无线传输方式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2.2工作方式：全天候无人值守自动工作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2.3防护：IP65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3、终端控制系统功能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3.1功能有：设备控制（远程控制灯的工作状态）、设备详情（能对控制区域内没有正常工作的设备进行排查）、击虫次数、温度湿度显示、定位等功能。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3.2设备详情界面显示控制区域内每台设备的编号、工作状态、光控状态、雨控状态、倾倒状态、定时时长、充电压压等，方便远程控制管理；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3.3控制和显示方式有电脑端和手机APP端。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病虫害调查工具箱</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1.病虫调查装置，进行病虫的检查。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配备便携式水桶、指南针、签字笔、检疫手套、检疫口罩、不锈钢水杯、多用小刀、油性记号笔、解剖刀、昆虫针钳、医用剪刀、解剖刀、昆虫钳、拉拔式袖珍捕虫网、照明电光放大镜、毒瓶(带药剂)折叠锯、折叠板凳、活虫采集养虫管、昆虫采集记录本、小型叶笼、昆虫针、尖嘴钳子、枝条养虫笼、充电式手电、吸虫管、试管、注射器、标本瓶、卷尺、三角纸袋、弯解剖针、直解剖针、直医用镊子、弯医用镊子、样品采集器、手动计数器、养虫盒、望远镜、微型显微镜、水果刀、小铲、多用斧头、10米围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4</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高空测报设备</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bCs/>
                <w:i w:val="0"/>
                <w:iCs w:val="0"/>
                <w:color w:val="auto"/>
                <w:sz w:val="20"/>
                <w:szCs w:val="20"/>
                <w:highlight w:val="none"/>
                <w:u w:val="none"/>
              </w:rPr>
            </w:pPr>
          </w:p>
        </w:tc>
        <w:tc>
          <w:tcPr>
            <w:tcW w:w="3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高空诱控系统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1、供电电源:太阳能供电：太阳能板功率640W，蓄电池：400AH。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2、诱集光源：按需求可选取适应靶标昆虫光源—高压汞灯、金属卤化物灯光源；光源功率：400Ｗ；</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4、绝缘电阻：≥2.5MΩ，并能承受频率为50Hz/60Hz，电压为1500V耐高压试验，历时 1min无击穿现象；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5、设备尺寸：直径约1000mm×高约1900mm；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6、根据昼夜环境变化自动开启引诱高空昆虫，晚上自动开灯，白天自动关灯（待机）。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7、远红外虫体处理：远红外虫体处理仓内温度30℃～90℃可调，设备启动约15分钟后可达到85±5℃，处理时间可调，虫体处理致死率不小于98%，虫体完整率不小于95%；（提供检验报告）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8、排水装置：按外界雨量变化自动控制整灯工作，能有效将雨、虫分离；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9、为保证昆虫的诱集率，撞击面积不小于0.58㎡。</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10、不锈钢集虫箱，虫体大小可分离；主体采用不锈材质，不锈钢符合GB/T4237；</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11、工作环境：在温度为0℃～40℃、湿度不大于95%RH的环境下正常工作；在-20℃～60℃环境温度下存放后不影响正常使用；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12、电气外壳结构设计及防护等级，IP65。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13、应整齐美观，表面平整光洁，色泽均匀，无裂痕、缺陷,整体应牢固，无松动。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14、设备应具有防雷击功能，当结构设计不能保证有效避雷时，应安装避雷装置。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可升级后与病虫害自动测控物联网联接，无线遥控指令，联接ATCSP监测系统后，应能实现全天候无人值守连续自动工作，并且根据ATCSP监测系统监测某区域的昆虫发生高峰期时段，可以进行手动开关操作，也可以无线遥控智能开关、批量开关、定位、故障排查等功能，同时将昆虫相关数据传送至中央控制室。（提供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高空测报灯</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用于农林虫害测报，如草地贪夜蛾等迁飞性害虫监测防治，有效监测迁飞性害虫的种群动态，起飞迁出、过境、迁入降落等虫害发生发展监测。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1、使用温度及越冬要求-40-70℃；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2、诱虫光源：按国家农业农村部关于印发的方案选取适应靶标昆虫光源1000w金属卤化物灯光源；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3、光源功率：1000w；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4、供电系统：太阳能板功率1200W，蓄电池：1000AH (可根据不同地区及需求配置太阳能板和蓄电池,连续阴雨条件下可正常工作≥15天),频率：50HZ；</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5、设备具有定位功能，可实现在GIS地图上查看所有安装的设备，可在GIS地图上直接选择进入设备查看状态，实现对设备的统一管理；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6、排水装置：有雨控功能，按外界雨量变化自动控制整灯工作，能有效将雨、虫分离；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7、接虫装置：不锈钢集虫箱；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8、整体结构采用不锈钢材料，采用防雨设计，雨天正常捕虫，不会错过迁飞性害虫；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9、防水等级：IP65；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10、远红外虫体处理：仓温度控制工作15分钟后达到85±5℃，处理时间可调，虫体处理致死率不小于98%，虫体完整率不小于95%；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11、设备具有光控模式、时控模式、休眠模式三种工作状态。光控模式下，设备白天自动关灯，夜间自动开灯，工作时间长度可设定； 时控模式下，设备在时段内自动开灯，在时段外自动关灯；休眠模式下，设备关灯，仍然通讯；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12、可通过Web端与APP远程控制，提供手机APP或Web端账户及密码，可指导用户操作使用；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13、一个账户可远程控制多台不同编号的设备，配置方法由服务人员后台设置；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14、可通过手机APP及WEB端远程设置设备的开关、工程调试模式，查看信号、电量强度、通讯卡有效时间；远程设置光控、雨控、休眠模式；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15、防堵报警检测：虫量太大，灾害发生时，虫子漫出机器内部，自动监测并报警提醒设备管理人员进行清理；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16、设备告警：可提示设备亏电、信号不足、需要维修等状态报警，可显示设备编号及告警时间，通过Web端及APP端提示；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17、自动计数：可通过设备自动计算捕虫数量，并自动上报到手机APP及Web端；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18、设备具有360°撞击屏，无死角撞击捕虫，提升捕虫效率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微小昆虫远程智能监测系统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一、监测数据自动采集系统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诱捕采集装置：相机与粘虫板间具有自动隔板，增加粘虫板效率，防止害虫污染镜头；隔板上层单独带锁，放置相机、控制器和无线传输模块；下层底部放置色板和引诱剂；下层底部四向进虫口，高5cm，长32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图像采集系统：采用2000 万像素 1" CMOS 千兆以太网工业相机；分辨率5472×3648，12V供电，功耗4W，工作温度0-50℃，储藏温度-30-70℃；镜头接口C-Mount。</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镜头：采用12mm焦距、F2.8-F16光圈，尺寸Φ 47×56.99 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终端智能控制器：24V供电，采用Inter E3845 SoC，1.91GHz CPU，4GB DDR3L内存搭载128GB 高可靠性SSD存储。千兆网口，增强的防浪涌设计，保证相机稳定运行；光源接口可控制补光灯开关及亮度。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补光系统：条形光源，24V供电。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2、配置害虫特定波长粘板和引诱剂，支持定期自动更换。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太阳能板：单晶硅x2、铝合金边框；单片功率：55W；工作温度：-40℃-85℃；单片最大工作电压19.08V，最大工作电流2.88A，开路电压20.16V，开路电流3.59A；串联最大工作电压38v,最大工作电流2.88A。锂电池24V，30ah；工作温度：-40℃-65℃；工作湿度：20-90%R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二、监测数据自动传输系统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系统采用4G移动网络传输数据，无需布线。带有节能模式，降低功耗，增加阴雨天阳光不足情况下的运行时间。定时向服务器发送数据。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三、昆虫性诱智能测报系统软件系统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  网络云平台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1）查看各时间段诱虫量统计，并能够按地区，害虫类别筛选，统计累计总数、平均数之趋势图和占比图；可手动导出并下载EXCEL格式数据、趋势图片；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2）各地区数据对比，各诱捕器相互数据对比，自定义分组数据对比，以及设备和历史年度同期时间段内的对比。</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3）设备地理分布图，可以能按省、市、区等行政区域或不同生态、种植区域筛选显示，按监测害虫种类筛选显示。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可以基于历史数据、气象预报数据、温度与昆虫发育之间的关系，建立数学模型，预测短期、中长期害虫发生程度和发生时间，并自动产生病虫情报；预测模型具备自我学习功能，能够随着数据量的增大自主训练更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5）具备自动拍照、准确区别昆虫种的典型分类特征，并准确计数。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6）提供全国或各省市农作物有害生物预警系统等平台对接的数据接口。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7）云平台具有软件著作权登记证书、信息安全测试报告。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2、手机APP 软件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手机终端APP（支持Harmony鸿蒙、IOS苹果和Android安卓系统）以图形曲线方式显示实时和历史诱虫量等动态变化，并可以查询各项记录数值及趋势图；预测未来2个月诱虫量，预测下一代幼虫的发生动态，并指导施药时间；定位设备位置并进行导航，诱芯到期更换短信和app通知提醒，设备异常提醒等功能。APP应具有软件著作证书。 监测害虫种类：梨小食心虫、香梨优斑螟、小菜蛾、苹果蠹蛾、番茄潜叶蛾、柑桔潜叶蛾、桃潜叶蛾、桃小食心虫、金纹细蛾等微小昆虫。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（二）</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一般监测点监测设备及配套硬件设备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物联网测报灯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虫情信息自动采集系统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本功能：虫情信息自动采集系统采用远程控制、自动诱虫处理、自动图像采集、自动识别病虫种类并自动计数、自动清理虫体，完成对虫情信息远程自动监测，实现全天候无人值守连续自动工作，与农林物联网系统联网，达到国家、省、市、县、乡各级信息采集站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1.符合 GB/T 24689.1-2009 植物保护机械 虫情测报灯 (提供符合 GB/T24689.1-2009 国家标准的检验报告)，整体结构采用不锈钢白色喷塑工艺。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2.光控功能：晚上自动开灯，白天自动关灯（待机），在夜间工作状态下，不受瞬间强光照射改变工作状态；带雨控装置，根据外界雨量变化自动控制整灯工作，实现虫水分离；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3.诱集光源：主波长365nm ，20W黑光灯管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4.虫体处理：上下两层远红外虫体处理仓温度控制：工作 15 分钟后达到 85±5℃，处理时间可调（15 种处理时间调整），虫体完整率95%以上；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5.虫情信息采集：高清晰图像拍摄装置，带网络和手动拍照功能，可设置10分钟--2小时任意时间段传输，并对采集的虫情图片信息按天保存，能随时查看。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6.虫情识别：能识别不同农作物和林业害虫种类最少达到45种，对每张虫情图片信息的种类、数量自动识别并统计数量，自动汇总一天所诱到的昆虫种类和数量，达到自动汇总每月、每年数据；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数据传输：内置有线和无线网络传输模块，支持(2/3/4/5G/WIFT/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落虫装置：平面网格落虫装置，虫体不易堆叠，易分析昆虫体积大小；带自动扫虫系统，能自动将虫体排到灯体外部（如需制作标本，可在落虫通道下放置收集箱），扫虫时间与虫情图片传输时间一致，不会造成不同时间段的虫情混淆，避免人工定期处理灯体内的落虫，完全实现野外无人值守自动完成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9.灯管启动时间：≤5s；撞击屏：互成120°角，单屏尺寸：长595±2mm，宽213±2mm，厚5mm；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10.供电系统：太阳能供电，太阳能板功率340W，蓄电池：240AH；设备具有高低温保护功能，自行设定高低温保护阈值，在冬季自动待机休眠，延长设备使用寿命。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11.具有高低温保护功能，低于5℃，高于70℃机器处于保护状态，可远程调节，延长设备使用寿命；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12.语音播报：实时播报设备的工作状态进程。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13.传输方式：5G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智能虫情测报灯</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1.能自动拍照、上传害虫图片，可自动清理死虫体，可接入中国农作物有害生物监控信息系统、自动分析相关数据，历史数据可实时在线免费存储、查阅、下载；支持电脑客户端、网页版、移动端版数据共享；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2.整体结构：须采用304不锈钢材质或不锈钢喷塑，撞击屏互成120度夹角；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3.虫体处理：须远红外虫体处理，仓温度85±5℃，虫体处理致死率≥98%，虫体完整率≥95%；虫体分散可实现虫体≥98%分散平铺；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4.保护要求：设备带有防雨棚和防雨百叶，下雨天可以正常工作，正常捕虫；具防雷击功能；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5.虫情图像拍照要求：内置≥1200W高清工业摄像机，显示屏≥7寸触摸屏；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远程查询监控：可在电脑端和手机端远程监控平台对虫情自动采集系统的控制，包括但不限于指令发布执行、系统参数设置、采集信息的查询分析、远程手动控制换位、诱虫灯开启、加热管通断、杀虫仓和烘干仓清空、震动电机开关、传送带开关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7.虫子收集储存功能：对拍完照的虫子，需要保留标本的留在储存仓内，人工定期去收集： 对于不需要标本的，虫子直接排出机器外部，避免人工去现场维护；不需要收集标本的 情况下，可以不用人工去现场，只要定期去检修即可；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8.网络支持：支持网关/5G/4G/网线/网桥/WIFI等选择； （提供国家软件设备质量监督检验机构出具的带CNAS标识的检验报告）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9.防盗要求：内置GPS定位功能，在PC云端地图中查看设备站点等数据，被盗可追踪；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10.中控系统：采用四核安卓微型电脑中控，灯管开关、转仓、工作模式、拍照间隔、联网信息、远程启动/重启、设备位置报警、电量提醒、流量提醒等设备的运行状态可以通过中控远程监控；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11.自动调节拍照时间：可根据瞬间虫子数量自动判断拍照间隔时间，保证虫体100%无堆叠；（提供国家软件设备质量监督检验机构出具的带CNAS标识的检验报告）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12.可通过时间筛选虫情照片及人工添加虫子类别，也可远程手动实时进行拍照；（提供国家软件设备质量监督检验机构出具的带CNAS标识的检验报告）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13.其他：诱虫光源≤20W诱虫灯管，主波长360±5nm，灯管启动时间≤5秒，绝缘电阻≥2.5MΩ，Android4.0以上操作系统。                                                                                                 14.供电系统：太阳能板功率600W，蓄电池：400AH (可根据不同地区及需求配置太阳能板和蓄电池,连续阴雨条件下可正常工作≥15天)。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远程监测系统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农境生态系统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1.视频输出支持1920×1080@60fps，分辨力不小于1100TVL，红外距离可达240米。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2.支持20倍光学变焦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3.支持最低照度可达彩色0.001Lux，黑白0.0001Lux</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4.支持透雾、强光抑制、电子防抖、数字降噪、防红外过曝功能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5.动态范围不小于105dB</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6.信噪比≥57dB，网络延时不大于110ms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7.网络传输能力满足发送1000个数据包，重复测试3次，每次丢包数不大于2个。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6.具备较强的网络自适应能力，在丢包率为5%的网络环境下，仍可正常显示监视画面。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7.支持区域遮盖功能，支持最多24块多边形区域，支持多种颜色可设置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8.支持水平手控速度不小于450°/S，云台定位精度为±0.1°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9.垂直手控速度不小于120°/S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10.支持用鼠标在图像画面中选定的任意区域，移动放大或缩小至画面中心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11.水平旋转范围为360°连续旋转，垂直旋转范围为-20°～90°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12.支持300个预置位，支持18条巡航扫描，支持7条以上的模式路径设置，支持预置位视频冻结功能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13.支持云台优先级控制，RS485与网络可设置不同优先级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14.支持守望功能，当球机待机时间达到设置值时，可自动运行调预置位、自动巡航、自动扫描、模式路径等功能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15.支持屏幕字符显示功能，最多支持4行字符显示，字体大小、颜色可设</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16.支持断电记忆功能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17.支持定时抓图、报警联动抓图上传ftp功能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18.球机应具备本地存储功能，支持SD卡热插拔，最大支持128GB</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19.支持通过菜单进行感兴趣区域编码设置，最多可支持8块区域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20.支持48kHz音频采样率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21.支持码流平滑设置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22.支持三码流同时输出；支持标准Onvif协议；支持黑白名单过滤功能；支持区域入侵、越界入侵、徘徊、物品移除、物品遗留、人员聚集、人脸侦测，并联动报警。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23.支持音频异常侦测，具有音频陡升检测、音频陡降检测、音频输入异常检测。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24.具备较好的电源适应性，电压在AC24V±30%范围内变化时，设备可正常工作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25.具备较好的环境适应性，工作温度范围可达-45℃-70℃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26.含摄像头立杆及支架各一套，硬盘录相机一套                                                                                                                                                                                    27.供电系统：太阳能板功率240W，蓄电池：100AH (可根据不同地区及需求配置太阳能板和蓄电池,连续阴雨条件下可正常工作≥15天)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性诱监测设备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5"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害虫性诱自动诱捕器带摄像头</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1.支架及供电系统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1.1不锈钢支架，防水防锈，高3-4.5米，可调节。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1.2太阳能电池板功率≥50W；锂电池容量≥60Ah。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2.害虫自动诱捕感应计数系统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2.1自动计数诱捕器外形尺寸:长(37±0.2)cm;宽(25±0.2)cm;高(25±0.2)cm.结构尺寸:顶部进虫口直径(11±0.1)cm;底部出虫口直径(12±0.1)cm.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害虫自动感应检测系统包括电流感应装置，电机驱动运行装置，电路调节装置，循环清洁装置，错误排除装置，信号识别装置，数据统计装置，人体安全限流装置。其中电流感应装置由环形金属电极和电流感应盘组成，感应盘外圈直径14.8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2.3电机驱动运行装置由电机和扫除装置组成。害虫扫除装置材料：聚氨酯。固定在电阻感应盘上，并可沿固定轴转动，功率30瓦，转速可调。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2.4自动计数诱捕器下方有害虫诱捕盒，具备虫体定时清扫功能，加装的专用图像采集器，可根据用户需求按规定时间上传图片。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2.5图像采集器参数：广角，200万像素，焦距2.8mm,3.6mm,6mm可选，防水等级IP66。</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3.主机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3.1主机箱材质:304不锈钢.(防水防锈)外形尺寸:长(40±0.1)cm;宽(22±0.1)cm;高(45±0.1)cm.工作温度：-20℃-70℃；工作湿度：0-95%。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3.2具备数据远程自动报传功能，数据应涵盖：害虫数量、诱捕时间、GPS信息、温湿度等内容。数据报传方式支持短信和无线数据网络两种，数据上传端口不低于5个，并可根据上传数据包大小在两种方式之间任意切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3.3具有中国农业机械化研究院出具的检测报告.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4.系统服务平台软件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4.1系统服务软件具有害虫远程监控数据分析管理系统软件著作权。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4.2可通过软件远程设置以下报传方式：①根据害虫阈值自动上传 ②固定时间自动上传 ③在任意时间点，远程发送命令自动上传。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4.3系统服务平台软件可分级管理，根据不同的权限管理不同的设备。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4.4数据列表查看功能支持不同设备之间、不同区域之间的监测数据一键对比分析。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4.5数据可接入全国农作物病虫害监测预警系统平台。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5.技术服务要求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含免费安装调试。含5年免费售后，5年数据传输费。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昆虫性诱智能测报系统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一、监测数据自动采集系统（云终端）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 诱捕器（反向三漏斗飞蛾类诱捕器）：诱捕系统为倒置漏斗式飞蛾诱捕器，内有防逃逸结构，基于飞蛾类昆虫多感觉通道的行为特点设计诱捕器颜色、反光度、形状和结构，具有高效诱虫功能。诱捕器材质为聚碳酸酯（PC）,经氙灯及淋雨测试后，不出现变形，破裂，腐蚀等情况。执行NY/T 2732-2015 农作物害虫性诱监测技术规范（螟蛾类）。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双计数系统：采用电子自动计数。上下集虫器各带一个三层4对红外计数装置，通过多路传感算法匹配靶标昆虫体表面积、移动速度和轨迹等参数，自动计数进入集虫器的昆虫，间隔＜1S，计算总数后发送至服务器数据库，避免重复计数、漏计，自动计数准确率≥95%。双计数通道结构可分别记录运动能力强和弱的所有诱捕到的昆虫，整体反映田间害虫种群大小及其动态变化。</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3.太阳能板：单晶硅、铝合金边框；功率：55W；工作温度：-40℃-85℃；锂电池12V，40Ah，连续阴雨天≥20天稳定运行。</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 结构件：支架：太阳能主杆喷塑铝管材质； 防电箱: 表面喷塑304不锈钢材质，内含双层，可调节高度位置，外盖标防电标识；底座：8边型喷塑铸铁材质；金属结构件具有足够的机械强度，整机外壳机械强度试验后不出现破、裂等破损现象。在IP56（防尘、防水）测试环境下，不影响正常工作。在10级台风环境下，不影响正常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 终端储存器：实时记录和存储诱捕器监测数据，本地储存时间≥12月。定时向网关发送监测数据，并具有定时自检及自动重启纠错功能，默认白天为省电模式，提高电池利用率，亦可人工配置省电时间段。终端参数：工作温度： 0℃-60℃；工作湿度: 0-99%；工作电压：DC12V；正常平均功率：&lt;1W。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 测报诱芯:持效时间不低于2个月,杂虫率&lt;1%，应具有农药生产许可证。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二、监测数据自动传输系统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采用网关局域网互连技术，网关定时接收自动采集系统记录存储器中的监测数据，并通过无线通讯（4G）将所有监测数据定时传输到云服务器。一个网关最多可局域连接8个监测数据自动采集系统（终端），网关局域网作用距离在无障碍物情况下为3公里。网关具有软件远程升级，离线后可自动重启上线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系统监测的数据包括：</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诱虫量：实时诱虫量数据及历史诱虫量数据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设备状态：传感器状态、网络状态等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气象数据采集：温湿度参数(标配)，风速，土壤温湿度，光照度，降雨量等(选配)。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系统参数：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工作温度： 0℃-60℃。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工作湿度:  0-99%。</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工作电压： DC12V。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平均功率:  &lt;2W。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数据通信网参数：4G网络，支持FDD-LTE/TDD-LTE，向下兼容GSM/GPRS/EDGE，最大上传速率5Mbps，下载速率10Mbps；局域网参数：ISM 433MHz。</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终端配置：可远程灵活配置云终端设备，最多可配置8个。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远程控制：可远程下发指令，实现即时上传数据，重启等控制。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物联网远程测报系统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1、AIM3.0S性诱虫情测报系统功能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1、测报硬件采用太阳能板、昆虫性诱剂及互联网组合而成，测报系统整体高2.3米，进虫孔高度1.3-2米范围内任意调节高度。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2、内置设备云协议，支持远程升级服务。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3、太阳能板参数：太阳能光伏板≥功率40W 、电压18V 、电流2A；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4、磷酸铁锂电池容量≥25AH阴雨天可持续工作5-7天，主板配有备用电池。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5、电网工作时段控制：根据靶向害虫的生活习性规律，自定义电网的工作时间。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6、软件后台结合太阳光照强弱自动调节一天计数开启时长，支持手控每天计数开启关闭时长。排除阶段性杂虫干扰。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7、.图像功能：根椐需求，在平台上自由定时控制设备每天拍摄集虫箱内捕虫效果图并在平台上展示，可随时查阅历史图片。（图片清晰度依据需求800--1200像素）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8、设备自诊断与告警输出；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9、GPS实时定位，4G网络无线数据传输。</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10、诱芯更换提醒，显示下次更换日期；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11、用户可自主手动输入当日单台设备捕虫数，自主导出平台原始数据。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12、支持多频段网络传输。</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13、控制器：雨控、时控、充放电自动保护，对插式防水插头，工作环境温度：（-25℃）-（+60℃）。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14、防盗措施：结构上设置防拆卸螺丝、倾倒报警、电子围栏（预留手机号可收到告警短讯提示）。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15、捕虫大数据平台图样展示方式:折线/饼图/柱状图，分别为害虫逐日种群动态图、各省累计（逐日平均）监测虫口比值、各省当日监测虫口数累计比。</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监测系统大数据平台：显示风向、风力、温度、湿度、光照度、及雨感环境监测检测数据，支持第三方环境设备关联（二氧化碳，土壤等）。根据需求导出实时相关气象数据。害虫数量统计能按照时、日、月、年统计形成曲线图，数据并且能在线导出；数据平台能同时关联多台测报设备，显示设备总数、自动计算害虫数量平均值，在地图上可查看关联设备地理位置，选中后能查看单台设备详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17、运用昆虫性诱剂吸引害虫，通过进虫孔进入诱捕容器内利用三重电网阻击害虫（双高压网：高压6000V、低压2000V两种电网更精准捕捉、计数）.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18、双通道红外脉冲，采用透镜增强、扩大红外效果，大小虫体都能准确计数。数量统计准确率大于95%，可远程控制高压电网开关防止害虫逃逸，可根据害虫种类替换相对应的昆虫性诱剂和进虫孔形状。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19、进虫口：开放式，最大量捕捉害虫数量。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20、虫害报警：可依据需求自定义设备日捕捉害虫数量告警值，平台将自动以黄色、红色方式告警提示。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21、气象环境维度，虫情分析报告：始见期，当年第1头出现的时间。终见期，当年最后1头虫出现的时间。始盛、高峰和盛末三个时期的捕虫曲线，及诱虫量。当年害虫代数显示.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大数据气象后台监测，全国｜省｜市｜个人以分级账户显示，账户分级授权管理，各级主管部门可以按照级别来划分管理.区域点击可以跳转至下一级行政区域。地图省、市级颜色动态预警（依据捕捉害虫总量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配套专用昆虫信息素设备如下：苹果蠹蛾诱芯、梨小食心虫诱芯、桃小食心虫诱芯、核桃举肢蛾诱芯、云杉八齿小蠹引诱剂、横坑切梢小蠹引诱剂、纵坑切梢小蠹引诱剂、杨干透翅蛾诱芯、白杨透翅蛾诱芯、落叶松鞘蛾诱芯、双条杉天牛引诱剂、光肩星天牛引诱剂、云杉大小蠹引诱剂、舞毒蛾诱芯等（根据实际需求选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24、数据对接：可与国家级或省级农作物有害生物监控信息系统对接，实现相关数据填报同步填报；具备标准化数据接口，可与指定的病虫测报物联网系统或其他相关系统进行进。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害虫性诱智能测报系统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一、硬件部分：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1.采用太阳能板太阳能电池板≥功率30W、电压17.5V 、电流1.14A；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2.测报系统整体高2.3米，进虫孔高度1.3-2米范围内任意调节高度。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运用昆虫性诱剂吸引害虫，通过进虫孔进入诱捕容器内利用三重电网阻击害虫，双通道红外脉冲监测，数量统计准确率大于95%，可远程控制高压电网开关，可根据害虫种类替换相对应的昆虫性诱剂和进虫孔形状。进虫孔单孔大小为65mm×25mm，分上下2层，阵列270°分布，总共6孔，进虫孔有上下2层防雨屋檐状设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4.锂电池容量≥20Ah雨天可持续工作5-7天，主板配有备用电池。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5.防盗措施：结构上设置防拆卸螺丝、倾倒报警、电子围栏（预留手机号可收到告警短讯提示）。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6.具备风向、风力、温度、湿度、光照度、及雨感功能传感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安装方案：配备预制水泥底座，方便安装.水泥基座采用上小下大台阶设计，整体尺寸为：500mm×500mm×180mm,上台阶尺寸：350mm×350mm×100mm，下台阶尺寸：500mm×500mm×80mm，中间一个直径200mm的通孔，上部预埋4个M12的螺栓（260MM×260mm间距分布），下部浇筑有4个直径16的通孔来固定钢钉用。水泥基座采用内预埋螺栓和加强钢筋整体浇筑完成，整体重量60-65KG。</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二、软件部分：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 测报对象，草地贪夜蛾、棉铃虫、玉米螟、苹果蠹蛾、桔小实蝇、美国白蛾等。大数据云端服务器储存，显示风向、风力、温度、湿度、光照度、及雨感环境监测检测数据，根据需求导出实时相关气象数据。害虫数量统计能按照时、日、月、年统计形成曲线图，数据并且能在线导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2.数据平台能同时关联多台测报设备，显示设备总数、自动计算害虫数量平均值，在地图上可查看关联设备地理位置，选中后能查看单台设备详情。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3.内置设备云协议，支持远程升级服务。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4.时段控制：根据靶向害虫的生活习性规律，自定义电网的工作时间。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5.设备自诊断与告警输出。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6.GPS实时定位，无线数据传输。</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7.支持多频段网络传输。电子围栏，客户手机能收取设备防盗短讯。2.多频段网络包括：移动、电信、联通信号都可用。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8.支持本地串口调试。</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9.控制器：雨控、时控、充放电自动保护，对插式防水插头，工作环境温度：（-20℃）-（+70℃）。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10.账户分级管理。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11.技术服务要求：含5年免费售后，5年数据传输费，含免费安装调试。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4</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蝗虫远程实时监测系统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（1）由特异性引诱系统、机器视觉系统，边缘计算数据处理系统，数据传输系统和可视化展示系统组成，蝗虫远程实时监控系统根据蝗虫行为学设计，适用于监测诱集状态下的种群密度；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（2）通过蝗虫特异性引诱剂引诱及双光引诱两种方式；引诱剂具有常见蝗虫的引诱能力;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红黄双光波长580-620nm，双光互换频率10分钟；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（3）机器视觉系统：由控制系统、200万像素摄像系统、0.5×0.5米虚拟样框组成，能够清晰采集蝗虫运动状态视频和静止状态照片。视频和照片最大分辨率支持1920×1080；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（4）支持边缘计算技术：通过现场数据采集与分析计算，可实时得出蝗虫种群密度，具备无网状态数据分析处理能力；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（5）处理能力：25帧/秒的实时视频流数据处理，自动监测进出虚拟样框蝗虫轨迹和数量，自动计算样框内蝗虫密度，时间覆盖蝗虫全天活动周期；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（6）支持蝗虫活动生境音轨抓取录制；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（7）太阳能直流供电，太阳能板峰值功率150W，磷酸铁锂电池容量100AH，保证最低使用5年，具有实时充电电压电流和放电电压电流参数监测，工作电压：12v；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（8）支持4G网络传输报警数据，支持可以扩展升级5G传输端口。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（9）Web端监控蝗虫报警数据和报警视频、照片，支持微信公众号推送报警数据；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（10）支持GPS卫星定位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（11）一体化设计，拼接式安装；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（12）外形尺寸：903×703×1274（毫米），虚拟采样框0.5×0.5米，符合国家蝗虫调查规范要求；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（13）具有蝗虫监测识别数据库，可提供蝗虫动态视频和静态照片样例总计大于2000个。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5</w:t>
            </w:r>
          </w:p>
        </w:tc>
        <w:tc>
          <w:tcPr>
            <w:tcW w:w="45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鼠害采集系统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鼠害云智能采集系统（一拖一）</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设备构成：含鼠害数据远程采集终端二部，免费使用鼠害数据分析软件系统。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采集数据类型：视频</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视频质量：全高清800TVL</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P存储格式(采集数据格式)：AVI/WMV/MP4,BMP/JPGE</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有效像素640×480,1280×720,1920×1080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实时数据分析：30×24小时实时数据采集，人工智能图像识别，提取害鼠身体、毛色、轮廓及活动等特征，实现鼠种鉴别，身体指标等分析，分析数据可视化展示。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可视化参数：鼠类分布主题分析，鼠类群落结构整体分析，害鼠种群数量动态分析，数据对比关联分析，年报数据分析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历史数据展示：支持历史数据导入系统分析，可视化展示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数据接口：USB2.0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通信频段：7模全网通</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通信模式：TCP/IP HTTP FTP</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工作模式：定时唤醒、红外组合唤醒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参数设置：支持远程密码保护，远程故障诊断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侦测功能：红外侦测，移动侦测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防护等级：IP67</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使用环境：野外直流供电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待机时间：30×24小时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工作电压：4.75-5.25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工作电流&lt;800Ma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工作温度：-35-75°C</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设备尺寸：330×270×280mm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仿鼠洞横截面积：7000±5%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数据可接入中国鼠害信息网,需提供软件端现场演示，需提供中国鼠害数据管理系统软件及数据库第三方运营单位官方授权原件。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6</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定量风流孢子捕捉仪</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w:t>
            </w:r>
          </w:p>
        </w:tc>
        <w:tc>
          <w:tcPr>
            <w:tcW w:w="34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用于监测病害孢子存量及其扩散动态，实现:                                                                                                                                                                                1、生产及检验标准符合GB/T 24689.3-2009 植物保护机械 孢子捕捉仪；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2、采用电、数控技术；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3、供电系统：太阳能板100W，蓄电池76AH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4、功率：180W；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5、材料：GB32080-92不锈钢；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6、定时：可设置8个时间段；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7、集气口风速：0.3-5m/s；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8、载玻片规格：长：76.2mm；宽：25.4mm；厚：1-1.2mm；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9、绝缘电阻：≥2.5MΩ。 </w:t>
            </w:r>
          </w:p>
        </w:tc>
      </w:tr>
    </w:tbl>
    <w:p>
      <w:pPr>
        <w:rPr>
          <w:rFonts w:hint="eastAsia" w:ascii="仿宋" w:hAnsi="仿宋" w:eastAsia="仿宋" w:cs="仿宋"/>
        </w:rPr>
      </w:pPr>
    </w:p>
    <w:p>
      <w:pPr>
        <w:pStyle w:val="2"/>
        <w:rPr>
          <w:rFonts w:hint="eastAsia" w:ascii="仿宋" w:hAnsi="仿宋" w:eastAsia="仿宋" w:cs="仿宋"/>
        </w:rPr>
      </w:pPr>
    </w:p>
    <w:p>
      <w:pPr>
        <w:bidi w:val="0"/>
        <w:jc w:val="center"/>
        <w:rPr>
          <w:rFonts w:hint="eastAsia" w:ascii="仿宋" w:hAnsi="仿宋" w:eastAsia="仿宋" w:cs="仿宋"/>
          <w:b/>
          <w:bCs/>
          <w:color w:val="000000"/>
          <w:sz w:val="32"/>
          <w:szCs w:val="32"/>
        </w:rPr>
      </w:pPr>
    </w:p>
    <w:p>
      <w:pPr>
        <w:bidi w:val="0"/>
        <w:jc w:val="center"/>
        <w:rPr>
          <w:rFonts w:hint="eastAsia" w:ascii="仿宋" w:hAnsi="仿宋" w:eastAsia="仿宋" w:cs="仿宋"/>
          <w:b/>
          <w:bCs/>
          <w:color w:val="000000"/>
          <w:sz w:val="32"/>
          <w:szCs w:val="32"/>
        </w:rPr>
      </w:pPr>
    </w:p>
    <w:p>
      <w:pPr>
        <w:bidi w:val="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第二包项目概况表</w:t>
      </w:r>
    </w:p>
    <w:p>
      <w:pPr>
        <w:pStyle w:val="2"/>
        <w:rPr>
          <w:rFonts w:hint="eastAsia" w:ascii="仿宋" w:hAnsi="仿宋" w:eastAsia="仿宋" w:cs="仿宋"/>
          <w:lang w:val="en-US"/>
        </w:rPr>
      </w:pPr>
    </w:p>
    <w:tbl>
      <w:tblPr>
        <w:tblStyle w:val="60"/>
        <w:tblpPr w:leftFromText="180" w:rightFromText="180" w:vertAnchor="text" w:horzAnchor="page" w:tblpXSpec="center" w:tblpY="604"/>
        <w:tblOverlap w:val="never"/>
        <w:tblW w:w="45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1"/>
        <w:gridCol w:w="1301"/>
        <w:gridCol w:w="4087"/>
        <w:gridCol w:w="911"/>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0"/>
                <w:szCs w:val="20"/>
                <w:u w:val="none"/>
              </w:rPr>
            </w:pP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Style w:val="217"/>
                <w:rFonts w:hint="eastAsia" w:ascii="仿宋" w:hAnsi="仿宋" w:eastAsia="仿宋" w:cs="仿宋"/>
                <w:lang w:val="en-US" w:eastAsia="zh-CN" w:bidi="ar"/>
              </w:rPr>
              <w:t>名</w:t>
            </w:r>
            <w:r>
              <w:rPr>
                <w:rStyle w:val="775"/>
                <w:rFonts w:hint="eastAsia" w:ascii="仿宋" w:hAnsi="仿宋" w:eastAsia="仿宋" w:cs="仿宋"/>
                <w:lang w:val="en-US" w:eastAsia="zh-CN" w:bidi="ar"/>
              </w:rPr>
              <w:t xml:space="preserve">      </w:t>
            </w:r>
            <w:r>
              <w:rPr>
                <w:rStyle w:val="217"/>
                <w:rFonts w:hint="eastAsia" w:ascii="仿宋" w:hAnsi="仿宋" w:eastAsia="仿宋" w:cs="仿宋"/>
                <w:lang w:val="en-US" w:eastAsia="zh-CN" w:bidi="ar"/>
              </w:rPr>
              <w:t>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0"/>
                <w:szCs w:val="20"/>
                <w:u w:val="none"/>
              </w:rPr>
            </w:pP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田间安装工程</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物联网卡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专线</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围栏</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延米</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基础安装、预埋件</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硬化铺装</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标识牌</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3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田间监测设备及配套硬件设备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硬件</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重点监测点田间监测设备及配套硬件设备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物联网病虫害监测设备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农作物病虫害自动测控系统物联网设备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高智能远程监测终端（含高智能远程测报平台及附属设备）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频振式物联网太阳能测报灯</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病虫害调查工具箱</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高空测报设备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高空诱控系统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迁飞性害虫探测系统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高空测报灯</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小麦条锈病自动监测预警系统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蝗虫远程实时监测系统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微小昆虫远程智能监测系统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一般监测点监测设备及配套硬件设备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物联网测报灯</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虫情信息自动采集系统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智能虫情测报灯</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物联网虫情测报系统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远程监测系统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生态远程实时监测系统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农境生态系统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性诱监测设备</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2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害虫性诱自动诱捕器带摄像头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昆虫性诱智能测报系统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害虫性诱智能测报系统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蝗虫远程实时监测系统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鼠害采集系统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鼠害云智能采集系统（一拖二）</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鼠害云智能采集系统（一拖一）</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定量风流孢子捕捉仪</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0"/>
                <w:szCs w:val="20"/>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小麦条锈病自动监测预警系统</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r>
    </w:tbl>
    <w:p>
      <w:pPr>
        <w:rPr>
          <w:rFonts w:hint="eastAsia" w:ascii="仿宋" w:hAnsi="仿宋" w:eastAsia="仿宋" w:cs="仿宋"/>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ind w:left="0" w:leftChars="0" w:firstLine="0" w:firstLine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第二包项目采购清单及参数一览表</w:t>
      </w:r>
    </w:p>
    <w:p>
      <w:pPr>
        <w:widowControl/>
        <w:rPr>
          <w:rFonts w:hint="eastAsia" w:ascii="仿宋" w:hAnsi="仿宋" w:eastAsia="仿宋" w:cs="仿宋"/>
          <w:color w:val="auto"/>
          <w:szCs w:val="21"/>
        </w:rPr>
      </w:pPr>
      <w:r>
        <w:rPr>
          <w:rStyle w:val="203"/>
          <w:rFonts w:hint="eastAsia" w:ascii="仿宋" w:hAnsi="仿宋" w:eastAsia="仿宋" w:cs="仿宋"/>
          <w:b/>
          <w:color w:val="auto"/>
          <w:sz w:val="21"/>
          <w:szCs w:val="21"/>
          <w:lang w:bidi="ar"/>
        </w:rPr>
        <w:t>带</w:t>
      </w:r>
      <w:r>
        <w:rPr>
          <w:rFonts w:hint="eastAsia" w:ascii="仿宋" w:hAnsi="仿宋" w:eastAsia="仿宋" w:cs="仿宋"/>
          <w:i w:val="0"/>
          <w:iCs w:val="0"/>
          <w:color w:val="auto"/>
          <w:kern w:val="0"/>
          <w:sz w:val="18"/>
          <w:szCs w:val="18"/>
          <w:highlight w:val="none"/>
          <w:u w:val="none"/>
          <w:lang w:val="en-US" w:eastAsia="zh-CN" w:bidi="ar"/>
        </w:rPr>
        <w:t>▲</w:t>
      </w:r>
      <w:r>
        <w:rPr>
          <w:rStyle w:val="203"/>
          <w:rFonts w:hint="eastAsia" w:ascii="仿宋" w:hAnsi="仿宋" w:eastAsia="仿宋" w:cs="仿宋"/>
          <w:b/>
          <w:color w:val="auto"/>
          <w:sz w:val="21"/>
          <w:szCs w:val="21"/>
          <w:lang w:bidi="ar"/>
        </w:rPr>
        <w:t>的</w:t>
      </w:r>
      <w:r>
        <w:rPr>
          <w:rStyle w:val="203"/>
          <w:rFonts w:hint="eastAsia" w:ascii="仿宋" w:hAnsi="仿宋" w:eastAsia="仿宋" w:cs="仿宋"/>
          <w:b/>
          <w:color w:val="auto"/>
          <w:sz w:val="21"/>
          <w:szCs w:val="21"/>
          <w:lang w:val="en-US" w:eastAsia="zh-CN" w:bidi="ar"/>
        </w:rPr>
        <w:t>条款为重要参数</w:t>
      </w:r>
      <w:r>
        <w:rPr>
          <w:rStyle w:val="203"/>
          <w:rFonts w:hint="eastAsia" w:ascii="仿宋" w:hAnsi="仿宋" w:eastAsia="仿宋" w:cs="仿宋"/>
          <w:b/>
          <w:color w:val="auto"/>
          <w:sz w:val="21"/>
          <w:szCs w:val="21"/>
          <w:lang w:bidi="ar"/>
        </w:rPr>
        <w:t>。</w:t>
      </w:r>
    </w:p>
    <w:tbl>
      <w:tblPr>
        <w:tblStyle w:val="60"/>
        <w:tblpPr w:leftFromText="180" w:rightFromText="180" w:vertAnchor="text" w:horzAnchor="page" w:tblpX="1801" w:tblpY="595"/>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1373"/>
        <w:gridCol w:w="694"/>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名      称</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规格型号</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一</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田间安装工程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物联网卡</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一般监测站点物联网卡及物联网数据传输流量费。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专线</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条</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重点监测站点互联网专线租赁费。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围栏</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延米</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通透围栏高度为1.8米，重点站点单个围栏长度40延米，共4个计160米，一般监测站点单个24米，共16个监测站点计384米，建设围栏合计544延米。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4</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基础安装、预埋件</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设备基础安装、预埋件。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5</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硬化铺装</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重点站点单个硬化铺装面积14 m</w:t>
            </w:r>
            <w:r>
              <w:rPr>
                <w:rFonts w:hint="eastAsia" w:ascii="仿宋" w:hAnsi="仿宋" w:eastAsia="仿宋" w:cs="仿宋"/>
                <w:i w:val="0"/>
                <w:iCs w:val="0"/>
                <w:color w:val="auto"/>
                <w:kern w:val="0"/>
                <w:sz w:val="18"/>
                <w:szCs w:val="18"/>
                <w:highlight w:val="none"/>
                <w:u w:val="none"/>
                <w:vertAlign w:val="superscript"/>
                <w:lang w:val="en-US" w:eastAsia="zh-CN" w:bidi="ar"/>
              </w:rPr>
              <w:t>2</w:t>
            </w:r>
            <w:r>
              <w:rPr>
                <w:rFonts w:hint="eastAsia" w:ascii="仿宋" w:hAnsi="仿宋" w:eastAsia="仿宋" w:cs="仿宋"/>
                <w:i w:val="0"/>
                <w:iCs w:val="0"/>
                <w:color w:val="auto"/>
                <w:kern w:val="0"/>
                <w:sz w:val="18"/>
                <w:szCs w:val="18"/>
                <w:highlight w:val="none"/>
                <w:u w:val="none"/>
                <w:lang w:val="en-US" w:eastAsia="zh-CN" w:bidi="ar"/>
              </w:rPr>
              <w:t>，4个站点计56 m</w:t>
            </w:r>
            <w:r>
              <w:rPr>
                <w:rFonts w:hint="eastAsia" w:ascii="仿宋" w:hAnsi="仿宋" w:eastAsia="仿宋" w:cs="仿宋"/>
                <w:i w:val="0"/>
                <w:iCs w:val="0"/>
                <w:color w:val="auto"/>
                <w:kern w:val="0"/>
                <w:sz w:val="18"/>
                <w:szCs w:val="18"/>
                <w:highlight w:val="none"/>
                <w:u w:val="none"/>
                <w:vertAlign w:val="superscript"/>
                <w:lang w:val="en-US" w:eastAsia="zh-CN" w:bidi="ar"/>
              </w:rPr>
              <w:t>2</w:t>
            </w:r>
            <w:r>
              <w:rPr>
                <w:rFonts w:hint="eastAsia" w:ascii="仿宋" w:hAnsi="仿宋" w:eastAsia="仿宋" w:cs="仿宋"/>
                <w:i w:val="0"/>
                <w:iCs w:val="0"/>
                <w:color w:val="auto"/>
                <w:kern w:val="0"/>
                <w:sz w:val="18"/>
                <w:szCs w:val="18"/>
                <w:highlight w:val="none"/>
                <w:u w:val="none"/>
                <w:lang w:val="en-US" w:eastAsia="zh-CN" w:bidi="ar"/>
              </w:rPr>
              <w:t>，一般监测站点单个硬化铺装面积12 m</w:t>
            </w:r>
            <w:r>
              <w:rPr>
                <w:rFonts w:hint="eastAsia" w:ascii="仿宋" w:hAnsi="仿宋" w:eastAsia="仿宋" w:cs="仿宋"/>
                <w:i w:val="0"/>
                <w:iCs w:val="0"/>
                <w:color w:val="auto"/>
                <w:kern w:val="0"/>
                <w:sz w:val="18"/>
                <w:szCs w:val="18"/>
                <w:highlight w:val="none"/>
                <w:u w:val="none"/>
                <w:vertAlign w:val="superscript"/>
                <w:lang w:val="en-US" w:eastAsia="zh-CN" w:bidi="ar"/>
              </w:rPr>
              <w:t>2</w:t>
            </w:r>
            <w:r>
              <w:rPr>
                <w:rFonts w:hint="eastAsia" w:ascii="仿宋" w:hAnsi="仿宋" w:eastAsia="仿宋" w:cs="仿宋"/>
                <w:i w:val="0"/>
                <w:iCs w:val="0"/>
                <w:color w:val="auto"/>
                <w:kern w:val="0"/>
                <w:sz w:val="18"/>
                <w:szCs w:val="18"/>
                <w:highlight w:val="none"/>
                <w:u w:val="none"/>
                <w:lang w:val="en-US" w:eastAsia="zh-CN" w:bidi="ar"/>
              </w:rPr>
              <w:t>，16个站点计192 m</w:t>
            </w:r>
            <w:r>
              <w:rPr>
                <w:rFonts w:hint="eastAsia" w:ascii="仿宋" w:hAnsi="仿宋" w:eastAsia="仿宋" w:cs="仿宋"/>
                <w:i w:val="0"/>
                <w:iCs w:val="0"/>
                <w:color w:val="auto"/>
                <w:kern w:val="0"/>
                <w:sz w:val="18"/>
                <w:szCs w:val="18"/>
                <w:highlight w:val="none"/>
                <w:u w:val="none"/>
                <w:vertAlign w:val="superscript"/>
                <w:lang w:val="en-US" w:eastAsia="zh-CN" w:bidi="ar"/>
              </w:rPr>
              <w:t>2</w:t>
            </w:r>
            <w:r>
              <w:rPr>
                <w:rFonts w:hint="eastAsia" w:ascii="仿宋" w:hAnsi="仿宋" w:eastAsia="仿宋" w:cs="仿宋"/>
                <w:i w:val="0"/>
                <w:iCs w:val="0"/>
                <w:color w:val="auto"/>
                <w:kern w:val="0"/>
                <w:sz w:val="18"/>
                <w:szCs w:val="18"/>
                <w:highlight w:val="none"/>
                <w:u w:val="none"/>
                <w:lang w:val="en-US" w:eastAsia="zh-CN" w:bidi="ar"/>
              </w:rPr>
              <w:t>，总面积合计248 m</w:t>
            </w:r>
            <w:r>
              <w:rPr>
                <w:rFonts w:hint="eastAsia" w:ascii="仿宋" w:hAnsi="仿宋" w:eastAsia="仿宋" w:cs="仿宋"/>
                <w:i w:val="0"/>
                <w:iCs w:val="0"/>
                <w:color w:val="auto"/>
                <w:kern w:val="0"/>
                <w:sz w:val="18"/>
                <w:szCs w:val="18"/>
                <w:highlight w:val="none"/>
                <w:u w:val="none"/>
                <w:vertAlign w:val="superscript"/>
                <w:lang w:val="en-US" w:eastAsia="zh-CN" w:bidi="ar"/>
              </w:rPr>
              <w:t>2</w:t>
            </w:r>
            <w:r>
              <w:rPr>
                <w:rFonts w:hint="eastAsia" w:ascii="仿宋" w:hAnsi="仿宋" w:eastAsia="仿宋" w:cs="仿宋"/>
                <w:i w:val="0"/>
                <w:iCs w:val="0"/>
                <w:color w:val="auto"/>
                <w:kern w:val="0"/>
                <w:sz w:val="18"/>
                <w:szCs w:val="18"/>
                <w:highlight w:val="none"/>
                <w:u w:val="none"/>
                <w:lang w:val="en-US" w:eastAsia="zh-CN" w:bidi="ar"/>
              </w:rPr>
              <w:t>。80 mm混凝土面砖、30 mm M10水泥砂浆、120 mm级配碎石、素土夯实。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6</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标识牌</w:t>
            </w:r>
          </w:p>
        </w:tc>
        <w:tc>
          <w:tcPr>
            <w:tcW w:w="36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i w:val="0"/>
                <w:iCs w:val="0"/>
                <w:color w:val="auto"/>
                <w:kern w:val="0"/>
                <w:sz w:val="18"/>
                <w:szCs w:val="18"/>
                <w:highlight w:val="none"/>
                <w:u w:val="none"/>
                <w:lang w:val="en-US" w:eastAsia="zh-CN" w:bidi="ar"/>
              </w:rPr>
              <w:t>尺寸60*80cm或定制，厚度0.7mm，折边厚度2.2cm，不锈钢/钛金，安装于通透围栏上，户外防腐蚀。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4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lang w:eastAsia="zh-CN"/>
              </w:rPr>
            </w:pPr>
            <w:r>
              <w:rPr>
                <w:rFonts w:hint="eastAsia" w:ascii="仿宋" w:hAnsi="仿宋" w:eastAsia="仿宋" w:cs="仿宋"/>
                <w:b/>
                <w:bCs/>
                <w:i w:val="0"/>
                <w:iCs w:val="0"/>
                <w:color w:val="auto"/>
                <w:sz w:val="20"/>
                <w:szCs w:val="20"/>
                <w:highlight w:val="none"/>
                <w:u w:val="none"/>
                <w:lang w:eastAsia="zh-CN"/>
              </w:rPr>
              <w:t>三</w:t>
            </w:r>
          </w:p>
        </w:tc>
        <w:tc>
          <w:tcPr>
            <w:tcW w:w="4559" w:type="pct"/>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田间监测设备及配套硬件设备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（一）</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重点监测点田间监测设备及配套硬件设备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物联网病虫害监测设备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农作物病虫害自动测控系统物联网设备</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一、物联网信息管理平台                                                                                                                                                                                                                      1、信息管理平台有电脑PC端和APP端。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2、数据采集：平台采集气象信息、虫情信息、孢子信息、视频监控、图像采集、物理诱控、蝗虫监测、性诱监测、鼠害监测、智能滴灌等，并可根据用户需求定制。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3、设备定位：定位信息传输模块，支持GPS／Beidou／GLONASS／Galileo／QZSS／SBAS六种定位方式。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4、监测站点设备展示：地图展示设备安装坐标，对区域内设备布置情况清晰明了。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5、图像展示：按天列表，天内时间段展示，查看方便。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6、数据展示：有但不限于图片、视频、曲线、表格等形式。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7、远程控制：平台远程可调配设备工作参数。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▲8、虫情识别模型：通用模型和专业模型，即增加识别种类又提高识别准确率。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▲9、数据填报：有自动识别和人工修正功能，PC端或APP端任一端修正后另一端同步更新。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10、数据汇总：能够对虫情信息当天数据和时间段数据进行自动汇总，方便测报人员上报；对气象信息数据的最高值、最低值、平均值进行自动计算，对历年数据进行曲线对比。</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11、设备数据存储：多功能网络传输设备存储和相机存储两种方式，不仅存储量大又具备通讯故障恢复后数据断点续传功能。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12、数据导出：平台对采集数据具有导出功能，满足分析、统计、预测、打印等功能。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13、账号权限管理：可分配村、乡、县、市、省、国家级账号，满足不同级别使用，实现农业工作的自动化、网络化、信息化和现代化。</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14、可按要求接入国家级、省级或当地相关农作物有害生物监控信息系统。                                                                                                                                                                                                                                           二、虫情信息自动采集系统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    基本功能：虫情信息自动采集系统采用远程控制、自动诱虫处理、自动图像采集、自动识别病虫种类并自动计数、自动清理虫体，完成对虫情信息远程自动监测，实现全天候无人值守连续自动工作，与农林物联网系统联网，达到国家、省、市、县、乡各级信息采集站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1、执行标准:符合GB/T 24689.1-2009植物保护机械 虫情测报灯，(提供符合 GB/T24689.1-2009 标准的国家级检验报告)。2、整体结构:采用不锈钢+喷塑防腐工艺,正常使用寿命≥15年。3、诱集光源：20W黑光灯,主波长365nm;灯管周围无影响光线发散的遮挡物。5、撞击屏:三块撞击屏互成120°角,尺寸为长595mm±2mm,宽213±2mm,厚度≥5mm。6、供电系统：太阳能板功率640W，蓄电池：400AH (可根据不同地区及需求配置太阳能板和蓄电池,连续阴雨条件下可正常工作≥15天)。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7、功率：≤200W  待机≤5W。8、绝缘电阻：≥2.5MΩ。▲9、电路保护装置: 具有稳压、漏电保护、电压自动检测、过压欠压防误接保护 (可自行恢复) 、具有避雷、防雨装置（提供检验报告）。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配备子母延伸防雨帽,具备防风稳固设计,保证不受阴雨天影响,雨天可正常工作,集虫箱内不积水,设备数据不停断。11、远红外虫体处理仓温度控制：工作5分钟后达到85±5℃（处理温度0-150℃可调），处理时间0-120分钟可调,设有温度高精度传感器,提高温度精准度; 远红外虫体处理致死率100%，虫体完整率100%。▲12、落虫系统:可多维度自由调整、拆卸落虫系统,内设双层防逃逸及下落震动缓冲装置,保证虫体落位精准不流失（提供检验报告）。13、可增设标靶虫体筛选装置,防止非目标体进入机器内部,影响靶标昆虫识别（提供检验报告）。▲14、接虫装置:接虫盘直径350±10mm,盘面具有判断虫体大小比例尺和自动旋转、定期清除功能，保证虫体均匀平铺,避免虫体堆叠（提供检验报告）。15、集虫装置:尺寸≥470×480×195mm, 内部采用空气对流结构设计和排水结构设计,保证虫体新鲜度和避免积水;可选配按天收虫功能。16、防堆积功能:接虫装置与集虫箱互成110°阴阳对冲角,虫体在力学作用下分散,避免虫体堆积,增大集虫量。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17、光控、时控：采用光控和时控开关设置开灯时间,光控既按外界光线强弱自动控制开关(不受瞬间强光照射改变工作状态),时控既根据害虫昼夜活动节律预设开关,均可远程及手动自由调整。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18、雨控装置：采用上下错落多层雨控装置,根据外界雨量变化自动控制整灯工作, 可远程及手动自由调整。19、排水装置：能有效将雨、虫分离。20、语音播报：可实时播报设备的每个装置的全部工作状态进程（播报内容及详细度可调整）。可增设语音识别，人机语音交互功能，可通过语音对设备进行各项操作控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▲21、显示屏:全中文液晶显示, 尺寸≥10.1寸液晶,具有防水功能,可远程上传/下载/控制,在线监控排查故障,远程对设备进行升级维护,可自由手动调整设备全部工作状态及一键报修（具有相关计算机软件著作权登记证书）。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图像采集功能：内置高清照相机(图片像素≥1500万像素)，可自动拍照和手动拍照,可通过PC端和手机端操作系统远程控制;可根据虫体数量自动调节拍照间隔时间;自动拍摄的图片以无线发送至物联网监测平台，平台自动记录每个时间段采集的图片数据，保证每个时间段拍摄的虫体不混淆;目标害虫盛发期的图片采集率≥90%（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数据传输：内置有线和无线网络传输模块，支持(2/3/4/5G/WIFT/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提供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▲24、自动识别和计数:具有自动识别和计数功能,能够识别害虫种类不少于128种,其中,对一、二类农作物病虫害名录中趋光性害虫的单一种类识别计数准确率≥90%（提供检验报告）。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25、传输方式：互联网专线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三、小气候信息自动采集系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基本功能：采用先进的传感器、微型控制器，实现病虫害测报必需的区域性气象数据的定点自动采集、储存、打印，单机累计存储365天，数据随时为生物动态提供环境因子依据，导入Excel进行编辑分析。全天候无人值守连续自动工作，可与农林物联网系统联网，达到国家、省、市、县、乡各级信息采集站无线传输，远程控制，信息数据共享。</w:t>
            </w: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技术参数：</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1.符合GB/T 24689.6-2009植物保护机械  农林小气候信息采集系统标准系统(必须提供符合GB/T 24689.6-2009标准的检验报告)；</w:t>
            </w:r>
            <w:r>
              <w:rPr>
                <w:rFonts w:hint="eastAsia" w:ascii="仿宋" w:hAnsi="仿宋" w:eastAsia="仿宋" w:cs="仿宋"/>
                <w:i w:val="0"/>
                <w:iCs w:val="0"/>
                <w:color w:val="auto"/>
                <w:kern w:val="0"/>
                <w:sz w:val="18"/>
                <w:szCs w:val="18"/>
                <w:highlight w:val="none"/>
                <w:u w:val="none"/>
                <w:lang w:val="en-US" w:eastAsia="zh-CN" w:bidi="ar"/>
              </w:rPr>
              <w:br w:type="page"/>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2.采用304不锈钢或以上质量材质+喷塑防腐工艺, 支架横臂采用托臂式结构,正常使用寿命≥15年；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3.采集器：采用工业级处理芯片、搭配金属外壳、可配≥7寸液晶显示屏幕、支持无线和有线传输、支持对接第三方开发平台；</w:t>
            </w:r>
            <w:r>
              <w:rPr>
                <w:rFonts w:hint="eastAsia" w:ascii="仿宋" w:hAnsi="仿宋" w:eastAsia="仿宋" w:cs="仿宋"/>
                <w:i w:val="0"/>
                <w:iCs w:val="0"/>
                <w:color w:val="auto"/>
                <w:kern w:val="0"/>
                <w:sz w:val="18"/>
                <w:szCs w:val="18"/>
                <w:highlight w:val="none"/>
                <w:u w:val="none"/>
                <w:lang w:val="en-US" w:eastAsia="zh-CN" w:bidi="ar"/>
              </w:rPr>
              <w:br w:type="page"/>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4.供电系统：太阳能供电，太阳能板60W、蓄电池38AH；</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5.存储和传输:每小时储存一次测量参数,可储存≥10万条数据，可通过移动存储设备或网络传输将数据转存到计算机或者物联网软件平台，具有专用的信息处理设备进行数据存储（具有相关计算机软件著作权登记证书）；</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功率≤60W，绝缘电阻：≥2.5MΩ；                                                                                                                                          7. 采集数据范围及分辩率：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项目       测量范围    显示分辨率    允差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空气温度 －40～60℃     0.1℃       ±0.3℃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空气湿度 0～100%RH      1%RH        ±3%RH</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土壤温度 －40～60℃     0.1℃       ±0.3℃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土壤含水率 0～100%      1%          ±10%</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蒸发量    0～10mm/h     0.1mm         ±0.1%</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降雨量   0～200mm/h     0.1mm         ±4%</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风速     0.2～35m/s     0.2m/s      风速≤10m/s，±（0.2m/s+5%）；风速≥10m/s，±5%</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风向   八个方位      /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光照度 0～2×105Lx    0.1×103Lx     ±8%</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气压 0kPa～110KPa     0.01kPa        ±0.5%</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结露     是/否            /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太阳总辐射 0～2000W     1W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 xml:space="preserve">光合有效辐射 0～2000W   1W           /                                                                                           8.风速风向传感器监测高度 h≥2.5m；                             </w:t>
            </w: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9.蒸发量传感器采用连通、测重技术；</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10.设备带百叶箱，空气温湿度传感器置于百叶箱内；</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仿宋" w:hAnsi="仿宋" w:eastAsia="仿宋" w:cs="仿宋"/>
                <w:i w:val="0"/>
                <w:iCs w:val="0"/>
                <w:color w:val="auto"/>
                <w:kern w:val="0"/>
                <w:sz w:val="18"/>
                <w:szCs w:val="18"/>
                <w:highlight w:val="none"/>
                <w:u w:val="none"/>
                <w:lang w:val="en-US" w:eastAsia="zh-CN" w:bidi="ar"/>
              </w:rPr>
              <w:br w:type="page"/>
            </w:r>
            <w:r>
              <w:rPr>
                <w:rFonts w:hint="eastAsia" w:ascii="仿宋" w:hAnsi="仿宋" w:eastAsia="仿宋" w:cs="仿宋"/>
                <w:i w:val="0"/>
                <w:iCs w:val="0"/>
                <w:color w:val="auto"/>
                <w:kern w:val="0"/>
                <w:sz w:val="18"/>
                <w:szCs w:val="18"/>
                <w:highlight w:val="none"/>
                <w:u w:val="none"/>
                <w:lang w:val="en-US" w:eastAsia="zh-CN" w:bidi="ar"/>
              </w:rPr>
              <w:t xml:space="preserve">11.可设置10分钟--2小时任意时间段传输数据。带数据分析功能，自动对每天所采集的气象因子的平均值，最高和最低值进行统计；并能对每项气象因子的所有历史数据单独显示曲线图，便于数据分析（具有相关计算机软件著作权登记证书）。                                                                               ▲12.数据传输：内置有线和无线网络传输模块，支持(2/3/4/5G/WIFT/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提供检验报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农作物病虫害自动测控系统物联网设备</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rPr>
                <w:rFonts w:hint="eastAsia" w:ascii="仿宋" w:hAnsi="仿宋" w:eastAsia="仿宋" w:cs="仿宋"/>
                <w:i w:val="0"/>
                <w:iCs w:val="0"/>
                <w:color w:val="auto"/>
                <w:sz w:val="20"/>
                <w:szCs w:val="20"/>
                <w:highlight w:val="none"/>
                <w:u w:val="none"/>
              </w:rPr>
            </w:pPr>
          </w:p>
        </w:tc>
        <w:tc>
          <w:tcPr>
            <w:tcW w:w="34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40" w:lineRule="exact"/>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四、孢子培养统计分析系统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基本功能：孢子信息自动捕捉培养系统采用气流定量、定时采集，自动培养、自动成像，远程无线传输、实时显示，存储病菌孢子图像；通过病菌图像信息库，分析田间的病原孢子数量的变化，预测病害的发生时间、发生程度和传播路线，是孢子监测的专用设备，全天候无人值守连续自动工作，本系统可与农林病虫害自动测控系统物联网联网，达到国家、省、市、县、乡各级信息采集站无线传输，远程控制，信息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技术参数：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1.符合 GB/T 24689.3-2009 植物保护机械 孢子捕捉仪 (提供符合 GB/T 24689.3-2009 标准的国家级检验报告);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▲2.具有不低于500万像素的显微成像系统，能够自动对所捕获病菌孢子进行高清显微拍摄，所拍摄图像清晰度能够达到人工识别病菌孢子种类的要求（具有相关计算机软件著作权登记证书）。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3.能够自主实现从载玻片加载、病菌孢子捕捉、孢子恒温培养、显微成像、已使用载玻片回收全过程、全自动化运行;</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4.气体采样：采集流量0.3m/s-0.5m/s，采集时间1--24小时，设置范围：定时启动，24时制，可以任意设置24小时开启时间，抽气时间：1--24小时（后台可根据实际情况设置采集时间范围）;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5.载玻片：通过转盘转动可以实现载玻片自动更换;6.收集：采用风扇采集空气中随风传播的孢子，集中拍照;7.设备具有高低温保护功能，低于5℃，高于70℃机器处于保护状态;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8.设备可以地图上显示实时位置，方便用户查看。可对设备开关、工作状态、工作时间段、图像拍摄频率、上传图像频率等设备管理信息进行远程设置，能够准确的了解设备的实时的工作情况。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▲9.自动选取，计算出图片最清晰的一张通过网络上传至云服务器（具有相关计算机软件著作权登记证书）;10.设备自带不小于7寸液晶显示屏，具有语音播报功能：具有语音播报功能，可以实时播报每一步的进程;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软件功能：通过PC或者手机端可以实现远程拍照、设置工作时段、设置空气采样时间、载玻片到期提醒、培养仓温度设定、设备的运行状态查看等功能，GPS定位，可在网页地图中查看设备站点数据（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控制功能：可触摸屏实现设备重启和恢复、孢子吸入量、一键测试、手动转仓、复位、采集风机测试、散热风机测试、粘附测试（涂抹凡士林）、对焦拍摄、步进电机上行和下行（显微对焦）、拍照间隔、滴培养液、补光测试、加热和制冷测试（恒温仓）、恒温仓培养温度、数据上传频率、采集时间段设置（二十四小时制，可以任意设置开始和结束时间）、滴培养液和培养时间;13.供电系统：太阳能供电，太阳能板功率320W，蓄电池：200AH；14、采集数据实现自动远程传输,并可按要求接入国家级、省级和当地相关农作物有害生物监控信息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五、生态远程实时监测系统：                                                                                                                                                                                                 1、执行标准:符合GB/T24689.5-2009植物保护机械 农林生态远程实时监测系统，(提供符合 GB/T24689.1-2009 标准的国家级检验报告)。2、功率：≤60W。3、绝缘电阻：≥2.5MΩ。4、供电系统：太阳能供电，太阳能板功率240W，蓄电池：100AH (可根据不同地区及需求配置太阳能板和蓄电池,连续阴雨条件下可正常工作≥5天)。5、支柱:采用304不锈钢材质, 具有维护攀登装置,多边形设计,具备抗风能力；对地面的不垂直度不大于1°,悬臂相对于支柱运动自如,无卡滞；正常使用寿命≥15年。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6、镜头高度可调:可根据不同的观测角度、作物生长状态、被观测场景等, 自由调节镜头高度, 调节行程≥2.5米(按需选配)。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高清镜头:视频像素≥500万(或图片像素≥1000万)支持光学变焦≥30倍、水平转角360°、水平方向移动≥3m、垂直旋转≥90°、垂直方向移动≥1.5m；白天可视距离≥500m,当监测半径为20m时可清晰分辨10mm×10mm的物体；当采集距离为8m时,应能清晰辨别1mm×1mm的物体；夜视距离≥50m监测半径8m时可清晰分辨10mm×10mm的物体；当监测半径为1cm时,在夜间应能清晰辨别10 mm ×10mm的物体；水平手控速度≥450°/S，垂直手控速度≥120°/S,云台定位精度为±0.1°（具有相关计算机软件著作权登记证书）。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镜头功能:具备红外夜视、室外防水、电子防抖、电子雾镜、定时任务、一键守望、一键巡航、定时抓图、事件抓图；当球机待机时间达到设置值时，可自动运行调预置位、自动巡航、自动扫描、模式路径；采集的视频帧速、图像大小可调节、断电记忆、视频存储、视频回放等功能；具备数据采集、存储和传输功能。9、远程控制: 可远程操作高清镜头各项参数；实现平台和PC机、手机等终端进行远程控制。10、避雷装置：采用良导材质避雷针的同时接入避雷模块，多方面防护设备安全（具有相关计算机软件著作权登记证书）。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数据传输：内置有线和无线网络传输模块，支持(2/3/4/5G/WIFT/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提供检验报告）。12、采集数据实现自动远程传输,并可按要求接入国家级、省级和当地相关农作物有害生物监控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高智能远程监测终端（含高智能远程测报平台及附属设备）</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（一）高智能远程测报平台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1.大数据量并发接入：支持千万级大数据量同时并发接入和数据调取;2.病虫害模型：病虫害模型种类覆盖林业虫害;3.参数调整：支持模型参数人工调整;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结果展示：支持预测结果表格、图形化及地图形式展示；5.数据录入：支持PC端填报数据并实时同步到移动端;6.数据填报：支持调查数据移动端随时填报，并可同步到PC端;7.任务上报：支持一处填写多级（省级、市级）系统上报;8.任务接收：支持自动接收省级级及市级填报任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文档打印：支持任务的导出和打印，填报报表的导出和打印;10.设备管理：支持设备信息添加、维护，设备状态监控等设备管理，支持监视主要设备的实时数据采集情况、设备状态;11.图片管理：支持物联网设备采集图片的筛选、查看；支持对植保知识数据进行发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12.监测点管理：支持对县域接入的监测点信息进行管理;13.权限管理：支持对测报人员进行管理，对账号进行分配，账号权限进行管理;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数据采集：支持从自动虫情测报灯、性诱监测设备、高智能气候监测站、病害监测预警仪及系统、生态远程实时监测设备等各类病虫害监测预警设备接入数据，数据对接以现场演示对接为准;15.平台兼容：支持有害生物监控信息系统中各种病虫害监测设备对接;16.数据对接：具有标准化数据输出接口，支持与市级、省级平台数据对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17.用户管理：可查看所有系统登录账户的情况及登录记录以及新增不同权限用户。按管理权限分为多个管理级别，上级可浏览到下级所有信息，同级不能浏览他人信息，下级不能浏览上级信息；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设备可以地图上显示位置，方便用户查看。通过三维图形显示，可以查看灯的定时模式、光控、雨控、温控、落虫、加热、仓门开启、信号强度、流量使用情况等工作状态信息，设备具有高低温保护功能，自行设定高低温保护阈值，在冬季自动待机休眠，延长设备使用寿命。有光控和时控两种模式供用户选择。可以自行设定工作时长、落虫时间、加热时长、加热温度、加热仓高低温保护阈值、图片上传时间间隔和图片分辨率选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19.设备可以实时显示空气温度、湿度、加热仓温度、雨控、温控、光控的状态、经纬度数值以及上报的时间。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20.可以查看不同时间段采集的害虫图片和空气温湿度数据，方便用户结合害虫的发生情况，更加准确的对虫害的发生进行趋势进行分析和预警。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21.GIS展示要求：支持通过GIS的方式展示设备的基本信息、地域分布情况和设备运行状态;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22.图形化展示及历史数据检索要求:支持已接病虫监测预警系统设备采集基础数据的图形化展示和历史数据检索；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统计数据要求：支持数据按照月份、年份分别进行统计，使用专业图形化工具图表化展现系统数据,支持县域和设备单点数据分析功能,支持采集数据的导出功能;24.综合展示：支持综合性展示页面，展示病虫监测预警设备状态、基础数据及数据分析图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▲25.其它：包含500种以上病虫害的知识内容；支持监测点、时间、病虫害种类等不同分析因子的自定义筛选功能；支持植保知识库内视频播放功能；支持保留知识内容发布人的信息等。                                                                              （二）虫情信息自动采集系统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1.符合GB/T 24689.1-2009植物保护机械 虫情测报灯；2.采用光、电、数控技术；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▲3.诱集光源：可同时设置3根光源（320～390nm；350～490nm；555～610nm），主波长365nm,18W，三根光源自动同时或分时段循环工作；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4.供电系统：太阳能板功率640W，蓄电池：400AH (可根据不同地区及需求配置太阳能板和蓄电池,连续阴雨条件下可正常工作≥15天)；5.功率：≤450W；6.绝缘电阻：≥2.5MΩ（有漏电保护装置）；7.灯体尺寸：≥650mm×650mm×1950mm；8.设计寿命：5年；9.灯管启动时间：≤5s；10.撞击屏：互成120°角，单屏尺寸：长585mm,宽215mm,厚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11.整体结构采用不锈钢喷塑；12.晚上自动开灯，白天自动关灯（待机）。在夜间工作状态下，不受瞬强光照射改变工作状态；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远红外虫体处理仓温度控制：工作15分钟后达到85±5℃，处理时间可调（处理时间调整）；14.远红外虫体处理致死率不小于98%，虫体完整率不小于95%。虫体完整率不小于95%，加热温度和加热时间可根据实际效果在屏幕上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高智能远程监测终端（含高智能远程测报平台及附属设备）</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i w:val="0"/>
                <w:iCs w:val="0"/>
                <w:color w:val="auto"/>
                <w:sz w:val="20"/>
                <w:szCs w:val="20"/>
                <w:highlight w:val="none"/>
                <w:u w:val="none"/>
              </w:rPr>
            </w:pP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5"/>
              </w:numPr>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集虫器:接虫盘直径350mm,具有震动缓冲装置和自动清扫功能，通过振动将虫体均匀洒落平铺在接虫盘或接虫桶上，使虫子可以均匀散开，不发生堆叠，保证每一个虫子特征都可以被拍得清楚，为自动识别及人工矫正打好基础，分散率100%，无堆叠；16.雨控装置：按外界雨量变化自动控制整灯工作。排水装置：能有效将雨、虫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17.语音播报功能：设备具有语音播报功能，可以实现实时播报每一步的进程；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18.全中文液晶显示，7寸电容触摸屏，通过触摸屏现场控制及软件端远程手动监测控制设备，诱虫灯开启、手动拍照、光控时控切换、拍照间隔时间、有线、无线网络切换功能、流量限流、GPS/北斗定位等功能；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19.拍照装置：内置高清工业摄像机，且摄像头像素不低于2000万；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可以远程查看和控制：灯管开关、清扫、工作模式、拍照间隔、联网信息、远程启动/重启、设备经纬度定位、电量提醒、流量查询、温湿度显示等设备的运行状态；21.设备有光控和时控两种模式供用户选择。可以自行设定工作时长、落虫时间、加热时长、加热温度、加热仓高低温保护阈值、图片上传时间间隔和图片分辨率选择。可以实时显示空气温度、湿度、加热仓温度、雨控、温控、光控的状态、经纬度数值以及上报的时间。能够以图表和折线图的形式展现，短信预警功能。</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▲22.虫情诱捕器：三个同时工作，长5cm×宽3cm×高8cm，孔径≥1mm；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23.接虫盘和接虫桶：接虫盘尺寸；接虫桶尺寸：口径166mm,桶体直径210mm,高度270mm；接虫盘和接虫桶可以交替使用；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24.提供国家级质量监督检验部门出具的《检验报告》。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（三）高智能小气候信息采集系统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大气监测系统：利用温度、湿度、光照和风等气象因素都会影响到病虫害的发生，依据气象资料和近年林业有害生物监测数据对林业有害生物的发生趋势进行整体判研和预测，用于研究林地气候与虫害发生之间的规律，可监测风向、风速、温度、湿度、气压、雨量、土壤温湿度等常规气象要素，具有自动记录、超限报警和数据通讯等功能，自动观测站由气象传感器，气象数据记录仪、气象环境监测软件三部分组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1.1采集器：采用工业级处理芯片，搭配 ABS 外壳，整体轻便、坚固美观。具备 192×64 全点阵液晶显示，可完成图形显示或 12×4 个汉字显示适用于各种恶劣环境，支持无线数据传输。可存储十万条数据，具有外部 U 盘存储扩展功能；1.2传感器：环境温度、湿度、风向、风速、气压、土壤温度、土壤湿度（可根据需求适配）；1.3支架：主杆表面采用热镀锌、经典喷塑工艺处理，抗腐蚀、抗氧化性强，主杆高度 3.5米，配备防风拉索；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1.4供电系统：太阳能板功率60W，蓄电池：38AH (可根据不同地区及需求配置太阳能板和蓄电池,连续阴雨条件下可正常工作≥15天)；1.5传输：GPRS 无线传输或有线传输；1.6避雷：含不锈钢避雷针及地线和角铁；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标配：专业环境监测数据处理软件，实现了多站统一实时监测，方便用户对区域环境监测管理的需求。能够满足多要素气象观测、农业物候观测等多领域的要求；3.数据查询功能：支持任意时间段的各类实时数据、历史数据的查询、导出、打印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4.数据统计功能：支持单要素统计功能：可按年、月、日、小时、10 分钟或任意时间段进行单要素最大值、最小值、平均值的统计；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5.数据图标功能：根据采集的数据可以形成实时曲线， 并可以以柱形图、饼状图等直观的方式呈现。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6.具有超限预警功能；7.具有通过采集控制器和软件平台；8.环境温度——测量范围：-40～+80℃ 分辨率：0.1℃——准确度：±0.5℃；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9.相对湿度——测量范围：0～100%RH 分辨率：0.1%——准确度：±3%RH；10.大气压力—测量范围：10～1100KPa 分辨率：0.1KPa—准确度：±0.3hPa；11.风向—测量范围：0～360°（16 方向） 分辨率：1°—准确度：±5°；12.风速—测量范围：0～70m/s 分辨率：0.1m/s——准确度：±（0.3+0.03V）m/s；13.雨量——测量范围：≤4mm/min 分辨率：0.2mm—准确度：±0.4mm；14.土壤温度—测量范围：-40～+80℃ 分辨率：0.1℃—准确度：±0.5℃；15.土壤湿度—测量范围：0～100%RH 分辨率：0.1%—准确度：±3%RH。                                                                                                                                                                                                                                          （四）生态远程实时监测采集系统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1.最大1920×1080@60fps高清画面输出；2.星光级超低照度，0.005Lux/F1.6(彩色)，0.001Lux/F1.6(黑白)，0 Lux with IR；3.支持1080p@60fps、960p@60fps、720p@60fps高帧率输出；4.三码流技术，每路码流可独立配置分辨率及帧率；5.有23倍光学变倍，16倍数字变倍；6.宽动态范围达 120dB，适合逆光环境监控；7.支持 3D 数字降噪、强光抑制、电子防抖,区域曝光与区域聚焦功能,中心镜像功能;8.红外功能:采用高效红外阵列，低功耗，照射距离最远可达 100m,支持SmartIR，防止夜间红外过曝;9.支持断网续传功能保证录像不丢失，配合 Smart NVR 实现事件录像的二次智能检索、分析和浓缩播放。10.支持360°水平旋转，垂直方向-15°～90°；有300 个预置位，8条巡航扫描；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11.支持3D 定位，可通过鼠标框选目标以实现目标的快速定位与捕捉，定时抓图与事件抓图功能，定时任务、一键守望、一键巡航功能，支持 1 路音频输入和 1 路音频输出；12.供电系统：太阳能板功率240W，蓄电池：100AH (可根据不同地区及需求配置太阳能板和蓄电池,连续阴雨条件下可正常工作≥15天)，配备高度4.0米镀锌管监控专用立杆。                                                                                                                                                                                                                                     （五）孢子培养统计分析系统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1.设备符合GB/T 17626.2-2006标准；2.供电系统：太阳能板功率320W，蓄电池：200AH (可根据不同地区及需求配置太阳能板和蓄电池,连续阴雨条件下可正常工作≥15天)；3.功率：≤150W；4.材料：整体机箱采用不锈钢喷塑。植物病菌孢子捕捉仪分析系统的易损部件应有良好的互换性能；5.定时：可设置24个开关机时间段；6.拍照装置：采用1000万像素高清工业摄像头，通过步进电机自动快速对焦，自动移动视场，可采集拍摄清楚≥5um的特征体，无需人工培养；7.集风口风速：采集流量不低于120L/分钟；8.载玻片自动更换：通过转盘转动实现载玻片的自动更换；9.控制功能：可触摸屏实现设备重启和恢复、孢子吸入量、一键测试、手动转仓、复位、采集风机测试、散热风机测试、粘附测试、（涂抹凡士林）、对焦拍照、步进电机上行和下行（显微对焦）、拍照间隔、滴培养液、补光测试、加热和制冷测试（恒温仓）、恒温仓培养温度、数据上传频率、采集时间段设置（二十四小时制，可以任意设置开始和结束时间）、滴培养液和培养时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语音播报：具有语音播报功能，可以实时播报每一步的进程；11.外观尺寸：≥650×650×1500mm（不包含地笼固定架）；12.孢子收集方式：采用风扇采集空气中随风传播的孢子，集中拍照；采集面积：≥76×25mm(长×宽)；13.载玻片自动更换：通过转盘转动可以实现载波片的自动更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14.联网功能：符合国家标准，能自动拍照，上传孢子图片，自动上传数据，支持电脑客户端、网页版、移动端数据共享、并在网站上传可以对设备进行观察和操作；15.提供国家认可的检验中心出具的检测报告。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频振式物联网太阳能测报灯</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1.频振式测报灯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1.1灯体高度：2.5米，灯杆材质不锈钢；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1.2供电方式：太阳能 40W，蓄电池 24Ah；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1.3连接病虫害自动测控系统，按受信息控制中心发出的工作指令；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1.4安全保护措施，确保人机安全；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2.远程控制无线传输系统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2.1无线传输方式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2.2工作方式：全天候无人值守自动工作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2.3防护：IP65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3、终端控制系统功能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3.1功能有：设备控制（远程控制灯的工作状态）、设备详情（能对控制区域内没有正常工作的设备进行排查）、击虫次数、温度湿度显示、定位等功能。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3.2设备详情界面显示控制区域内每台设备的编号、工作状态、光控状态、雨控状态、倾倒状态、定时时长、充电压压等，方便远程控制管理；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3.3控制和显示方式有电脑端和手机APP端。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病虫害调查工具箱</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1.病虫调查装置，进行病虫的检查。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配备便携式水桶、指南针、签字笔、检疫手套、检疫口罩、不锈钢水杯、多用小刀、油性记号笔、解剖刀、昆虫针钳、医用剪刀、解剖刀、昆虫钳、拉拔式袖珍捕虫网、照明电光放大镜、毒瓶(带药剂)折叠锯、折叠板凳、活虫采集养虫管、昆虫采集记录本、小型叶笼、昆虫针、尖嘴钳子、枝条养虫笼、充电式手电、吸虫管、试管、注射器、标本瓶、卷尺、三角纸袋、弯解剖针、直解剖针、直医用镊子、弯医用镊子、样品采集器、手动计数器、养虫盒、望远镜、微型显微镜、水果刀、小铲、多用斧头、10米围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高空测报设备</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auto"/>
              <w:ind w:firstLine="0" w:firstLineChars="0"/>
              <w:jc w:val="center"/>
              <w:rPr>
                <w:rFonts w:hint="eastAsia" w:ascii="仿宋" w:hAnsi="仿宋" w:eastAsia="仿宋" w:cs="仿宋"/>
                <w:b/>
                <w:bCs/>
                <w:i w:val="0"/>
                <w:iCs w:val="0"/>
                <w:color w:val="auto"/>
                <w:sz w:val="20"/>
                <w:szCs w:val="20"/>
                <w:highlight w:val="none"/>
                <w:u w:val="none"/>
              </w:rPr>
            </w:pPr>
          </w:p>
        </w:tc>
        <w:tc>
          <w:tcPr>
            <w:tcW w:w="3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高空诱控系统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1、供电电源:太阳能供电：太阳能板功率640W，蓄电池：400AH。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2、诱集光源：按需求可选取适应靶标昆虫光源—高压汞灯、金属卤化物灯光源；光源功率：400Ｗ；</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4、绝缘电阻：≥2.5MΩ，并能承受频率为50Hz/60Hz，电压为1500V耐高压试验，历时 1min无击穿现象；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5、设备尺寸：直径约1000mm×高约1900mm；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6、根据昼夜环境变化自动开启引诱高空昆虫，晚上自动开灯，白天自动关灯（待机）。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7、远红外虫体处理：远红外虫体处理仓内温度30℃～90℃可调，设备启动约15分钟后可达到85±5℃，处理时间可调，虫体处理致死率不小于98%，虫体完整率不小于95%；（提供检验报告）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8、排水装置：按外界雨量变化自动控制整灯工作，能有效将雨、虫分离；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9、为保证昆虫的诱集率，撞击面积不小于0.58㎡。</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10、不锈钢集虫箱，虫体大小可分离；主体采用不锈材质，不锈钢符合GB/T4237；</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11、工作环境：在温度为0℃～40℃、湿度不大于95%RH的环境下正常工作；在-20℃～60℃环境温度下存放后不影响正常使用；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12、电气外壳结构设计及防护等级，IP65。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13、应整齐美观，表面平整光洁，色泽均匀，无裂痕、缺陷,整体应牢固，无松动。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14、设备应具有防雷击功能，当结构设计不能保证有效避雷时，应安装避雷装置。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可升级后与病虫害自动测控物联网联接，无线遥控指令，联接ATCSP监测系统后，应能实现全天候无人值守连续自动工作，并且根据ATCSP监测系统监测某区域的昆虫发生高峰期时段，可以进行手动开关操作，也可以无线遥控智能开关、批量开关、定位、故障排查等功能，同时将昆虫相关数据传送至中央控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迁飞性害虫探测系统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1.整体结构： 符合GB/T 24689.1-2009植物保护机械 虫情测报灯技术标准；主体结构采用GB32080-92不锈钢，符合GB/T4237标准，灯箱材料采用GB3280-80不锈钢。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2. 灯管功率: 1000w（2000W可选）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3. 诱集光源:金属卤化物灯管，光源主波波长450-650nm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4. 光柱形状:光柱呈倒圆锥状向空中照射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5. 灯光垂直高度:大于等于500米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6. 顶端半径:大于等于450米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 杀虫功能:能杀虫和虫体烘干，高精度雨水感应系统+DCRI双通道旋转互换式雨虫分离系统。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8.昆虫处理能力:虫子致死率大于等于98%，虫体完整率大于等于95%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 储虫功能:集虫箱体积不小于0.1立方米，灯具内置排水装置，有效将雨、虫分离；在无人清理状态下正常工作时间不低于3天；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10.防护等级:IP65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11. 灯管启动时间:≤5s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12.加热仓温度:工作15分钟后达到85±5℃，处理时间可调，具备加热仓温度监控功能；根据进虫量大小加热仓温度30～150℃可调，正常杀虫温度30-90℃可调，高效杀虫温度85-150℃可调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13.控制功能:按设定规定时间自动开灯、自动关灯，雨天正常工作；可远程开关机功能，同时支持温控、光控、雨控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14.供电系统：太阳能板功率1200W，蓄电池：1000AH (可根据不同地区及需求配置太阳能板和蓄电池,连续阴雨条件下可正常工作≥15天)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15.绝缘电阻:≥2.5MΩ；安装牢固、满足当地抗风要求，防雷击，具漏电保护装置；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16.外观与内饰:不锈钢材质灯体，表面平整、无裂痕，电线布置齐整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 额定功率:小于等于2000W；待机模式:小于10w；节能模式功率:小于1050W；正常模式功率:小于1100W；高效模式功率:小于1200W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 灯具工作（夜间开灯10小时）日耗电不超过20度。正常使用寿命不低于3年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 工作环境:相对湿度：5%～95%R.H.，环境温度：-10～50°C；</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 防雷设置:配置有效避雷设置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 屏幕显示:10.1寸高清电容触摸屏，设备运行指标数据实时显示，状态实时控制。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 设备尺寸:箱体尺寸800mm×800mm×800mm；设备整体尺寸800mm×800mm×1500mm；大漏斗内径950±5mm，漏虫口内径80±5mm，雨水口内径100±5mm;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 软件系统:支持手机APP、web网页远程控制设备，能够实现远程监测设备的工作状态，通讯不受距离限制。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高空测报灯</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用于农林虫害测报，如草地贪夜蛾等迁飞性害虫监测防治，有效监测迁飞性害虫的种群动态，起飞迁出、过境、迁入降落等虫害发生发展监测。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1、使用温度及越冬要求-40-70℃；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2、诱虫光源：按国家农业农村部关于印发的方案选取适应靶标昆虫光源1000w金属卤化物灯光源；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3、光源功率：1000w；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4、供电系统：太阳能板功率1200W，蓄电池：1000AH (可根据不同地区及需求配置太阳能板和蓄电池,连续阴雨条件下可正常工作≥15天),频率：50HZ；</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5、设备具有定位功能，可实现在GIS地图上查看所有安装的设备，可在GIS地图上直接选择进入设备查看状态，实现对设备的统一管理；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6、排水装置：有雨控功能，按外界雨量变化自动控制整灯工作，能有效将雨、虫分离；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7、接虫装置：不锈钢集虫箱；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8、整体结构采用不锈钢材料，采用防雨设计，雨天正常捕虫，不会错过迁飞性害虫；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9、防水等级：IP65；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10、远红外虫体处理：仓温度控制工作15分钟后达到85±5℃，处理时间可调，虫体处理致死率不小于98%，虫体完整率不小于95%；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11、设备具有光控模式、时控模式、休眠模式三种工作状态。光控模式下，设备白天自动关灯，夜间自动开灯，工作时间长度可设定； 时控模式下，设备在时段内自动开灯，在时段外自动关灯；休眠模式下，设备关灯，仍然通讯；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12、可通过Web端与APP远程控制，提供手机APP或Web端账户及密码，可指导用户操作使用；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13、一个账户可远程控制多台不同编号的设备，配置方法由服务人员后台设置；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14、可通过手机APP及WEB端远程设置设备的开关、工程调试模式，查看信号、电量强度、通讯卡有效时间；远程设置光控、雨控、休眠模式；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15、防堵报警检测：虫量太大，灾害发生时，虫子漫出机器内部，自动监测并报警提醒设备管理人员进行清理；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16、设备告警：可提示设备亏电、信号不足、需要维修等状态报警，可显示设备编号及告警时间，通过Web端及APP端提示；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17、自动计数：可通过设备自动计算捕虫数量，并自动上报到手机APP及Web端；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18、设备具有360°撞击屏，无死角撞击捕虫，提升捕虫效率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小麦条锈病自动监测预警系统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①小麦条锈病监测数据处理中心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1.电源：采用太阳能与蓄电池供电。供电系统包括单晶硅太阳能板、充电控制器、12V蓄电池（需采用高原专用电池，输出功率受环境温度影响较小）。电池容量：12V 40A；功耗：20mA；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2.工作时间：在连续阴雨天环境中可持续工作30天；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3.工作温度范围：-30℃～80℃；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4.温度监测范围：范围-40℃～80℃，精度±0.2℃，分辨力0.1°；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5.降雨量监测范围：0～240 mm/h，精度±2%，分辨力0.1mm；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6.相对湿度监测范围：0～100% RH，精度±1%，分辨力0.01°；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7.露点温度监测：-80℃～60℃，精度±0.2℃；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8.叶片表面湿润时间：0～15h，精度±0.5（病虫害监测预测预报的关键指标）；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9.日照强度：0～2000W/㎡，精度±3%；</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10.可监测记录10cm、、20cm土壤温度及土壤含水量；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11.不锈钢机箱，耐酸碱，耐腐蚀，防护等级IP67，抗冲击等级IK08；</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12.温度及降雨量采集传感器：采用光电感应技术，风速风向传感器采用超声波技术；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13.具有远程调试功能，可实现无人值守、无缝监控。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②、离心单逆流孢子捕捉仪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1.支撑板：厚度5 mm的304不锈钢；2.防护罩：厚度1 mm的AL板1060 表面喷塑；3.支撑架：镀锌；</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4.双头螺栓：304不锈钢；5.底盘：ZL102表面喷漆；6.通气管连接支架：PVC；7.收集杯：亚克力；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8.风标、风机罩、挡板：厚度5 mm的AL板，阳极化处理，表面喷漆；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9.风向标使采样器可选择24小时无间断采样；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10.内置真空泵，由7000转/分的电机驱动；11.采样器采集7天更换一次。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③、旋转式孢子捕捉仪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1.单晶硅20A/50W，电源12V50A；2.捕捉棒1.2×35SUS304精抛光；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3.捕捉棒支架210×220SUS304；4.散热板120×120耐高温工程塑料；</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5.捕捉棒连接轴6/6/Cu；6.捕捉棒旋转臂6/100SUS304；7.电机连接轴6/6Cu；8.数据线及航插6/100七芯；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9.采用低功耗无线通讯模块，兼容物联网卡及5G/4G/3G/GPRS通讯，自动将数据上传到服务器。包含安装及5年5G流量卡。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④、供电转换系统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1.光伏阵列极性反接保护、蓄电池极性反接保护、蓄电池超压保护、蓄电池过放保护、蓄电池超温保护、负载过载保护、负载短路保护、温度传感器损坏保护、控制器超温保护；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2.LED指示灯显示；3.额定充电电流：10A；4.空载损耗：＜30Ma/12V；5.充电回路压降：＜0.5V；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6.放电回路压降：＜0.5V；7.工作环境温度：-35℃～85℃；  8.工作环境温度内(-25℃～55℃)能以额定充电电流满载连续运行；9.密封、胶体、锂电三种类型蓄电池充电程序可选；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10.多样的负载控制方式：手动模式、光控模式、调试模式；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11.具有蓄电池温度补偿功能；12.全面的电子保护功能；13.输出电压：DC12V 输出最大功率：120W；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14.箱体采用1.2mm厚镀锌板，外表高温喷塑；15.电芯型号：18650/3.7V/；16.充电温度：-20～45℃；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17.电池外壳：铝外壳；18.充电电流：≤7A；19.放电温度：-20～55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20.锂电保护：短路保护，过充保护，过放保护，过流保护。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▲21.为了保证设备质量和售后服务，该设备提供设备的制造厂家针对本项目的售后服务承诺书。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蝗虫远程实时监测系统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（1）由特异性引诱系统、机器视觉系统，边缘计算数据处理系统，数据传输系统和可视化展示系统组成，蝗虫远程实时监控系统根据蝗虫行为学设计，适用于监测诱集状态下的种群密度；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（2）通过蝗虫特异性引诱剂引诱及双光引诱两种方式；引诱剂具有常见蝗虫的引诱能力;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红黄双光波长580-620nm，双光互换频率10分钟；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（3）机器视觉系统：由控制系统、200万像素摄像系统、0.5×0.5米虚拟样框组成，能够清晰采集蝗虫运动状态视频和静止状态照片。视频和照片最大分辨率支持1920×1080；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（4）支持边缘计算技术：通过现场数据采集与分析计算，可实时得出蝗虫种群密度，具备无网状态数据分析处理能力；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（5）处理能力：25帧/秒的实时视频流数据处理，自动监测进出虚拟样框蝗虫轨迹和数量，自动计算样框内蝗虫密度，时间覆盖蝗虫全天活动周期；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▲（6）支持蝗虫活动生境音轨抓取录制；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（7）太阳能直流供电，太阳能板峰值功率150W，磷酸铁锂电池容量100AH，保证最低使用5年，具有实时充电电压电流和放电电压电流参数监测，工作电压：12v；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（8）支持4G网络传输报警数据，支持可以扩展升级5G传输端口。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（9）Web端监控蝗虫报警数据和报警视频、照片，支持微信公众号推送报警数据；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（10）支持GPS卫星定位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（11）一体化设计，拼接式安装；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（12）外形尺寸：903×703×1274（毫米），虚拟采样框0.5×0.5米，符合国家蝗虫调查规范要求；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▲（13）具有蝗虫监测识别数据库，可提供蝗虫动态视频和静态照片样例总计大于2000个。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微小昆虫远程智能监测系统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一、监测数据自动采集系统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诱捕采集装置：相机与粘虫板间具有自动隔板，增加粘虫板效率，防止害虫污染镜头；隔板上层单独带锁，放置相机、控制器和无线传输模块；下层底部放置色板和引诱剂；下层底部四向进虫口，高5cm，长32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图像采集系统：采用2000 万像素 1" CMOS 千兆以太网工业相机；分辨率5472×3648，12V供电，功耗4W，工作温度0-50℃，储藏温度-30-70℃；镜头接口C-Mount。</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镜头：采用12mm焦距、F2.8-F16光圈，尺寸Φ 47×56.99 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终端智能控制器：24V供电，采用Inter E3845 SoC，1.91GHz CPU，4GB DDR3L内存搭载128GB 高可靠性SSD存储。千兆网口，增强的防浪涌设计，保证相机稳定运行；光源接口可控制补光灯开关及亮度。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补光系统：条形光源，24V供电。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▲2、配置害虫特定波长粘板和引诱剂，支持定期自动更换。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太阳能板：单晶硅x2、铝合金边框；单片功率：55W；工作温度：-40℃-85℃；单片最大工作电压19.08V，最大工作电流2.88A，开路电压20.16V，开路电流3.59A；串联最大工作电压38v,最大工作电流2.88A。锂电池24V，30ah；工作温度：-40℃-65℃；工作湿度：20-90%R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二、监测数据自动传输系统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系统采用4G移动网络传输数据，无需布线。带有节能模式，降低功耗，增加阴雨天阳光不足情况下的运行时间。定时向服务器发送数据。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三、昆虫性诱智能测报系统软件系统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  网络云平台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1）查看各时间段诱虫量统计，并能够按地区，害虫类别筛选，统计累计总数、平均数之趋势图和占比图；可手动导出并下载EXCEL格式数据、趋势图片；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2）各地区数据对比，各诱捕器相互数据对比，自定义分组数据对比，以及设备和历史年度同期时间段内的对比。</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3）设备地理分布图，可以能按省、市、区等行政区域或不同生态、种植区域筛选显示，按监测害虫种类筛选显示。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可以基于历史数据、气象预报数据、温度与昆虫发育之间的关系，建立数学模型，预测短期、中长期害虫发生程度和发生时间，并自动产生病虫情报；预测模型具备自我学习功能，能够随着数据量的增大自主训练更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5）具备自动拍照、准确区别昆虫种的典型分类特征，并准确计数。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6）提供全国或各省市农作物有害生物预警系统等平台对接的数据接口。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▲7）云平台具有软件著作权登记证书、信息安全测试报告。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2、手机APP 软件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手机终端APP（支持Harmony鸿蒙、IOS苹果和Android安卓系统）以图形曲线方式显示实时和历史诱虫量等动态变化，并可以查询各项记录数值及趋势图；预测未来2个月诱虫量，预测下一代幼虫的发生动态，并指导施药时间；定位设备位置并进行导航，诱芯到期更换短信和app通知提醒，设备异常提醒等功能。APP应具有软件著作证书。 监测害虫种类：梨小食心虫、香梨优斑螟、小菜蛾、苹果蠹蛾、番茄潜叶蛾、柑桔潜叶蛾、桃潜叶蛾、桃小食心虫、金纹细蛾等微小昆虫。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（二）</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一般监测点监测设备及配套硬件设备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物联网测报灯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虫情信息自动采集系统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本功能：虫情信息自动采集系统采用远程控制、自动诱虫处理、自动图像采集、自动识别病虫种类并自动计数、自动清理虫体，完成对虫情信息远程自动监测，实现全天候无人值守连续自动工作，与农林物联网系统联网，达到国家、省、市、县、乡各级信息采集站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1.符合 GB/T 24689.1-2009 植物保护机械 虫情测报灯 (提供符合 GB/T24689.1-2009 国家标准的检验报告)，整体结构采用不锈钢白色喷塑工艺。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2.光控功能：晚上自动开灯，白天自动关灯（待机），在夜间工作状态下，不受瞬间强光照射改变工作状态；带雨控装置，根据外界雨量变化自动控制整灯工作，实现虫水分离；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3.诱集光源：主波长365nm ，20W黑光灯管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4.虫体处理：上下两层远红外虫体处理仓温度控制：工作 15 分钟后达到 85±5℃，处理时间可调（15 种处理时间调整），虫体完整率95%以上；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color w:val="000000"/>
                <w:kern w:val="0"/>
                <w:szCs w:val="21"/>
                <w:highlight w:val="none"/>
              </w:rPr>
              <w:t>▲</w:t>
            </w:r>
            <w:r>
              <w:rPr>
                <w:rFonts w:hint="eastAsia" w:ascii="仿宋" w:hAnsi="仿宋" w:eastAsia="仿宋" w:cs="仿宋"/>
                <w:i w:val="0"/>
                <w:iCs w:val="0"/>
                <w:color w:val="auto"/>
                <w:kern w:val="0"/>
                <w:sz w:val="18"/>
                <w:szCs w:val="18"/>
                <w:highlight w:val="none"/>
                <w:u w:val="none"/>
                <w:lang w:val="en-US" w:eastAsia="zh-CN" w:bidi="ar"/>
              </w:rPr>
              <w:t>5.虫情信息采集：高清晰图像拍摄装置，带网络和手动拍照功能，可设置10分钟--2小时任意时间段传输，并对采集的虫情图片信息按天保存，能随时查看（具有相关计算机软件著作权登记证书）。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color w:val="000000"/>
                <w:kern w:val="0"/>
                <w:szCs w:val="21"/>
                <w:highlight w:val="none"/>
              </w:rPr>
              <w:t>▲</w:t>
            </w:r>
            <w:r>
              <w:rPr>
                <w:rFonts w:hint="eastAsia" w:ascii="仿宋" w:hAnsi="仿宋" w:eastAsia="仿宋" w:cs="仿宋"/>
                <w:i w:val="0"/>
                <w:iCs w:val="0"/>
                <w:color w:val="auto"/>
                <w:kern w:val="0"/>
                <w:sz w:val="18"/>
                <w:szCs w:val="18"/>
                <w:highlight w:val="none"/>
                <w:u w:val="none"/>
                <w:lang w:val="en-US" w:eastAsia="zh-CN" w:bidi="ar"/>
              </w:rPr>
              <w:t>6.虫情识别：能识别不同农作物和林业害虫种类最少达到45种，对每张虫情图片信息的种类、数量自动识别并统计数量，自动汇总一天所诱到的昆虫种类和数量，达到自动汇总每月、每年数据（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数据传输：内置有线和无线网络传输模块，支持(2/3/4/5G/WIFT/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落虫装置：平面网格落虫装置，虫体不易堆叠，易分析昆虫体积大小；带自动扫虫系统，能自动将虫体排到灯体外部（如需制作标本，可在落虫通道下放置收集箱），扫虫时间与虫情图片传输时间一致，不会造成不同时间段的虫情混淆，避免人工定期处理灯体内的落虫，完全实现野外无人值守自动完成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9.灯管启动时间：≤5s；撞击屏：互成120°角，单屏尺寸：长595±2mm，宽213±2mm，厚5mm；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10.供电系统：太阳能供电，太阳能板功率340W，蓄电池：240AH；设备具有高低温保护功能，自行设定高低温保护阈值，在冬季自动待机休眠，延长设备使用寿命。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11.具有高低温保护功能，低于5℃，高于70℃机器处于保护状态，可远程调节，延长设备使用寿命；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12.语音播报：实时播报设备的工作状态进程。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13.传输方式：5G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智能虫情测报灯</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1.能自动拍照、上传害虫图片，可自动清理死虫体，可接入中国农作物有害生物监控信息系统、自动分析相关数据，历史数据可实时在线免费存储、查阅、下载；支持电脑客户端、网页版、移动端版数据共享；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2.整体结构：须采用304不锈钢材质或不锈钢喷塑，撞击屏互成120度夹角；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3.虫体处理：须远红外虫体处理，仓温度85±5℃，虫体处理致死率≥98%，虫体完整率≥95%；虫体分散可实现虫体≥98%分散平铺；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4.保护要求：设备带有防雨棚和防雨百叶，下雨天可以正常工作，正常捕虫；具防雷击功能；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5.虫情图像拍照要求：内置≥1200W高清工业摄像机，显示屏≥7寸触摸屏；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远程查询监控：可在电脑端和手机端远程监控平台对虫情自动采集系统的控制，包括但不限于指令发布执行、系统参数设置、采集信息的查询分析、远程手动控制换位、诱虫灯开启、加热管通断、杀虫仓和烘干仓清空、震动电机开关、传送带开关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7.虫子收集储存功能：对拍完照的虫子，需要保留标本的留在储存仓内，人工定期去收集： 对于不需要标本的，虫子直接排出机器外部，避免人工去现场维护；不需要收集标本的 情况下，可以不用人工去现场，只要定期去检修即可；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8.网络支持：支持网关/5G/4G/网线/网桥/WIFI等选择； （提供国家软件设备质量监督检验机构出具的带CNAS标识的检验报告）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9.防盗要求：内置GPS定位功能，在PC云端地图中查看设备站点等数据，被盗可追踪；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10.中控系统：采用四核安卓微型电脑中控，灯管开关、转仓、工作模式、拍照间隔、联网信息、远程启动/重启、设备位置报警、电量提醒、流量提醒等设备的运行状态可以通过中控远程监控；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11.自动调节拍照时间：可根据瞬间虫子数量自动判断拍照间隔时间，保证虫体100%无堆叠；（提供国家软件设备质量监督检验机构出具的带CNAS标识的检验报告）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12.可通过时间筛选虫情照片及人工添加虫子类别，也可远程手动实时进行拍照；（提供国家软件设备质量监督检验机构出具的带CNAS标识的检验报告）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13.其他：诱虫光源≤20W诱虫灯管，主波长360±5nm，灯管启动时间≤5秒，绝缘电阻≥2.5MΩ，Android4.0以上操作系统。                                                                                                 14.供电系统：太阳能板功率600W，蓄电池：400AH (可根据不同地区及需求配置太阳能板和蓄电池,连续阴雨条件下可正常工作≥15天)。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6"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物联网虫情测报系统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1、相关功能模块介绍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（1）环境感应模块：雨水传感器与温湿度传感器，能监测雨水、温湿度与光照等环境因素，雨感迟滞时间≤7s；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（2）诱虫模块：采用主板波段365nm的黑光灯或者荧光灯，配合三块均布的撞击屏进行相关的诱虫；</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（3）百叶窗模块：预防大的昆虫进入设备内，降低设备的堵虫率，理论上能够预防与竖直方向成28°的雨水直接进入设备体内，百叶窗可拆卸的安装方式；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（4）筛虫网模块：可选10×10mm、15×15mm与20×20mm三种网格大小的筛虫网，有选择性的筛选标靶害虫，筛虫网可拆卸的安装方式；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（5）虫雨分离模块：采用三通球阀的方式进行虫雨分离；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（6）加热杀虫模块：双加热仓，加热带配保温棉，持续加热配85℃的温控开关，高效杀虫，采用推杆电机开关上下加热仓门；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（7）GSS滚轮分拣装置：采用直流电机与GSS滚轮的方式进行虫体的均匀分布；（8）履带传输装置：采用直流电机与履带的方式，平稳的输送虫体；</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（9）拍照识别模块：260mm焦距的800W摄像头，最大分辨率3264×2448；（10）集虫装置：抽屉模式的集虫装置。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2、相关硬件配置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（1）触摸屏：展示当前测报灯的工作情况（例如电压、电流值、设备的拍照预览等），以及测报灯的相关功能；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（2）主控板：采用讯为的开发板进行设备的整体智能控制；（3）网络继电器：执行主控板发送的指令，控制各个子系统；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（4）功率检测器：检测设备的电压、电流；（5）推杆电机：控制三通球阀与上下加热仓门；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（6）直流电机：控制GSS滚轮和履带；（7）光照温湿度传感器：检测当前环境光照度、温湿度的值传送给主控板；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（8）雨雪传感器：检测当前环境是否下雨或者下雪，并将相关的参数值传送给主控板；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（9）交流断路器：过流、过压保护（交流设备使用）；直流断路器：过流、过压保护（直流设备使用）；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（10）交流版220V转12V开关电源：给12V设备提供稳定的电流、电压。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3、相关电器参数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供电系统：太阳能板功率340W，蓄电池：200AH (可根据不同地区及需求配置太阳能板和蓄电池,连续阴雨条件下可正常工作≥15天)；设备的额定功率：≤120W；设备的额定电流：≤10A；加热杀虫的功率：≤100W；加热杀虫的温度：持续加热配85℃的温控开关；雨雪传感器常态功率：0.4W；光照温湿度传感器功率：0.4W；光照检测范围：0～65535Lux；</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温湿度量程：-40℃～+60℃，0%RH～80%RH；光照精度：±7%(25℃)；温度精度：±0.5℃（25℃）；湿度精度：±3%RH(60%RH,25℃)。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4、系统服务平台软件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（1）可通过软件远程查看设备的运行情况、及设备上传的相关照片；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（2）系统服务平台软件具备数据查看，地图查看，图表自动生成功能，包括设备维护及安装等相关信息；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（3）系统服务平台软件可分级管理，根据不同的权限管理不同的设备；（4）数据列表查看功能支持不同设备之间、不同区域之间的监测数据一键对比分析。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5、设备的相关尺寸</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（1）测报灯的主体结构大部分采用304不锈钢的材质进行加工制作而成，为上下可拆卸分体结构。符合GB/T 24689.1-2009植物保护机械的虫情测报灯，符合GB10396规定的安全标准。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（2）设备的整体尺寸：800×800×2000mm；（3）撞击屏尺寸：三块互成120°角的钢化玻璃，197×5×592mm；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（4）落虫漏斗的尺寸：上端进虫口φ560mm，下端落虫口φ76mm；（5）配电柜尺寸：530×180×360mm；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（6）主体机柜尺寸：双开门户外机柜，600×600×950mm；（7）加热杀虫管：双层加热，上加热仓78×78×130mm，下加热仓78×78×105mm；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（8）集虫仓尺寸：344×228×187mm；（9）安装固定孔位：548×552mm，配4颗M12的膨胀螺栓进行现场安装紧固。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远程监测系统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生态远程实时监测系统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1、执行标准:符合GB/T24689.5-2009植物保护机械 农林生态远程实时监测系统，(提供符合 GB/T24689.1-2009 标准的国家级检验报告)。2、功率：≤60W。3、绝缘电阻：≥2.5MΩ。4、供电系统：太阳能供电，太阳能板功率240W，蓄电池：100AH (可根据不同地区及需求配置太阳能板和蓄电池,连续阴雨条件下可正常工作≥5天)。5、支柱:采用304不锈钢材质, 具有维护攀登装置,多边形设计,具备抗风能力；对地面的不垂直度不大于1°,悬臂相对于支柱运动自如,无卡滞；正常使用寿命≥15年。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6、镜头高度可调:可根据不同的观测角度、作物生长状态、被观测场景等, 自由调节镜头高度, 调节行程≥2.5米(按需选配)。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高清镜头:视频像素≥500万(或图片像素≥1000万)支持光学变焦≥30倍、水平转角360°、水平方向移动≥3m、垂直旋转≥90°、垂直方向移动≥1.5m；白天可视距离≥500m,当监测半径为20m时可清晰分辨10mm×10mm的物体；当采集距离为8m时,应能清晰辨别1mm×1mm的物体；夜视距离≥50m监测半径8m时可清晰分辨10mm×10mm的物体；当监测半径为1cm时,在夜间应能清晰辨别10 mm ×10mm的物体；水平手控速度≥450°/S，垂直手控速度≥120°/S,云台定位精度为±0.1°（具有相关计算机软件著作权登记证书）。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镜头功能:具备红外夜视、室外防水、电子防抖、电子雾镜、定时任务、一键守望、一键巡航、定时抓图、事件抓图；当球机待机时间达到设置值时，可自动运行调预置位、自动巡航、自动扫描、模式路径；采集的视频帧速、图像大小可调节、断电记忆、视频存储、视频回放等功能；具备数据采集、存储和传输功能。9、远程控制: 可远程操作高清镜头各项参数；实现平台和PC机、手机等终端进行远程控制。10、避雷装置：采用良导材质避雷针的同时接入避雷模块，多方面防护设备安全（具有相关计算机软件著作权登记证书）。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数据传输：内置有线和无线网络传输模块，支持(2/3/4/5G/WIFT/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12、采集数据实现自动远程传输,并可按要求接入国家级、省级和当地相关农作物有害生物监控信息系统（提供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农境生态系统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1.视频输出支持1920×1080@60fps，分辨力不小于1100TVL，红外距离可达240米。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2.支持20倍光学变焦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3.支持最低照度可达彩色0.001Lux，黑白0.0001Lux</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4.支持透雾、强光抑制、电子防抖、数字降噪、防红外过曝功能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5.动态范围不小于105dB</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6.信噪比≥57dB，网络延时不大于110ms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7.网络传输能力满足发送1000个数据包，重复测试3次，每次丢包数不大于2个。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6.具备较强的网络自适应能力，在丢包率为5%的网络环境下，仍可正常显示监视画面。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7.支持区域遮盖功能，支持最多24块多边形区域，支持多种颜色可设置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8.支持水平手控速度不小于450°/S，云台定位精度为±0.1°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9.垂直手控速度不小于120°/S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10.支持用鼠标在图像画面中选定的任意区域，移动放大或缩小至画面中心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11.水平旋转范围为360°连续旋转，垂直旋转范围为-20°～90°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12.支持300个预置位，支持18条巡航扫描，支持7条以上的模式路径设置，支持预置位视频冻结功能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13.支持云台优先级控制，RS485与网络可设置不同优先级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14.支持守望功能，当球机待机时间达到设置值时，可自动运行调预置位、自动巡航、自动扫描、模式路径等功能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15.支持屏幕字符显示功能，最多支持4行字符显示，字体大小、颜色可设</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16.支持断电记忆功能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17.支持定时抓图、报警联动抓图上传ftp功能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18.球机应具备本地存储功能，支持SD卡热插拔，最大支持128GB</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19.支持通过菜单进行感兴趣区域编码设置，最多可支持8块区域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20.支持48kHz音频采样率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21.支持码流平滑设置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22.支持三码流同时输出；支持标准Onvif协议；支持黑白名单过滤功能；支持区域入侵、越界入侵、徘徊、物品移除、物品遗留、人员聚集、人脸侦测，并联动报警。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23.支持音频异常侦测，具有音频陡升检测、音频陡降检测、音频输入异常检测。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24.具备较好的电源适应性，电压在AC24V±30%范围内变化时，设备可正常工作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25.具备较好的环境适应性，工作温度范围可达-45℃-70℃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26.含摄像头立杆及支架各一套，硬盘录相机一套                                                                                                                                                                                    27.供电系统：太阳能板功率240W，蓄电池：100AH (可根据不同地区及需求配置太阳能板和蓄电池,连续阴雨条件下可正常工作≥15天)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性诱监测设备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5"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害虫性诱自动诱捕器带摄像头</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1.支架及供电系统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1.1不锈钢支架，防水防锈，高3-4.5米，可调节。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1.2太阳能电池板功率≥50W；锂电池容量≥60Ah。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2.害虫自动诱捕感应计数系统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2.1自动计数诱捕器外形尺寸:长(37±0.2)cm;宽(25±0.2)cm;高(25±0.2)cm.结构尺寸:顶部进虫口直径(11±0.1)cm;底部出虫口直径(12±0.1)cm.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害虫自动感应检测系统包括电流感应装置，电机驱动运行装置，电路调节装置，循环清洁装置，错误排除装置，信号识别装置，数据统计装置，人体安全限流装置。其中电流感应装置由环形金属电极和电流感应盘组成，感应盘外圈直径14.8c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2.3电机驱动运行装置由电机和扫除装置组成。害虫扫除装置材料：聚氨酯。固定在电阻感应盘上，并可沿固定轴转动，功率30瓦，转速可调。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2.4自动计数诱捕器下方有害虫诱捕盒，具备虫体定时清扫功能，加装的专用图像采集器，可根据用户需求按规定时间上传图片。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2.5图像采集器参数：广角，200万像素，焦距2.8mm,3.6mm,6mm可选，防水等级IP66。</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3.主机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3.1主机箱材质:304不锈钢.(防水防锈)外形尺寸:长(40±0.1)cm;宽(22±0.1)cm;高(45±0.1)cm.工作温度：-20℃-70℃；工作湿度：0-95%。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3.2具备数据远程自动报传功能，数据应涵盖：害虫数量、诱捕时间、GPS信息、温湿度等内容。数据报传方式支持短信和无线数据网络两种，数据上传端口不低于5个，并可根据上传数据包大小在两种方式之间任意切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3.3具有中国农业机械化研究院出具的检测报告.</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4.系统服务平台软件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▲4.1系统服务软件具有害虫远程监控数据分析管理系统软件著作权。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4.2可通过软件远程设置以下报传方式：①根据害虫阈值自动上传 ②固定时间自动上传 ③在任意时间点，远程发送命令自动上传。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4.3系统服务平台软件可分级管理，根据不同的权限管理不同的设备。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4.4数据列表查看功能支持不同设备之间、不同区域之间的监测数据一键对比分析。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4.5数据可接入全国农作物病虫害监测预警系统平台。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5.技术服务要求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含免费安装调试。含5年免费售后，5年数据传输费。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昆虫性诱智能测报系统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一、监测数据自动采集系统（云终端）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 诱捕器（反向三漏斗飞蛾类诱捕器）：诱捕系统为倒置漏斗式飞蛾诱捕器，内有防逃逸结构，基于飞蛾类昆虫多感觉通道的行为特点设计诱捕器颜色、反光度、形状和结构，具有高效诱虫功能。诱捕器材质为聚碳酸酯（PC）,经氙灯及淋雨测试后，不出现变形，破裂，腐蚀等情况。执行NY/T 2732-2015 农作物害虫性诱监测技术规范（螟蛾类）。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双计数系统：采用电子自动计数。上下集虫器各带一个三层4对红外计数装置，通过多路传感算法匹配靶标昆虫体表面积、移动速度和轨迹等参数，自动计数进入集虫器的昆虫，间隔＜1S，计算总数后发送至服务器数据库，避免重复计数、漏计，自动计数准确率≥95%。双计数通道结构可分别记录运动能力强和弱的所有诱捕到的昆虫，整体反映田间害虫种群大小及其动态变化。</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3.太阳能板：单晶硅、铝合金边框；功率：55W；工作温度：-40℃-85℃；锂电池12V，40Ah，连续阴雨天≥20天稳定运行。</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 结构件：支架：太阳能主杆喷塑铝管材质； 防电箱: 表面喷塑304不锈钢材质，内含双层，可调节高度位置，外盖标防电标识；底座：8边型喷塑铸铁材质；金属结构件具有足够的机械强度，整机外壳机械强度试验后不出现破、裂等破损现象。在IP56（防尘、防水）测试环境下，不影响正常工作。在10级台风环境下，不影响正常工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 终端储存器：实时记录和存储诱捕器监测数据，本地储存时间≥12月。定时向网关发送监测数据，并具有定时自检及自动重启纠错功能，默认白天为省电模式，提高电池利用率，亦可人工配置省电时间段。终端参数：工作温度： 0℃-60℃；工作湿度: 0-99%；工作电压：DC12V；正常平均功率：&lt;1W。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 测报诱芯:持效时间不低于2个月,杂虫率&lt;1%，应具有农药生产许可证。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二、监测数据自动传输系统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采用网关局域网互连技术，网关定时接收自动采集系统记录存储器中的监测数据，并通过无线通讯（4G）将所有监测数据定时传输到云服务器。一个网关最多可局域连接8个监测数据自动采集系统（终端），网关局域网作用距离在无障碍物情况下为3公里。网关具有软件远程升级，离线后可自动重启上线功能。</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系统监测的数据包括：</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诱虫量：实时诱虫量数据及历史诱虫量数据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设备状态：传感器状态、网络状态等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气象数据采集：温湿度参数(标配)，风速，土壤温湿度，光照度，降雨量等(选配)。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系统参数：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工作温度： 0℃-60℃。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工作湿度:  0-99%。</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工作电压： DC12V。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平均功率:  &lt;2W。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数据通信网参数：4G网络，支持FDD-LTE/TDD-LTE，向下兼容GSM/GPRS/EDGE，最大上传速率5Mbps，下载速率10Mbps；局域网参数：ISM 433MHz。</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终端配置：可远程灵活配置云终端设备，最多可配置8个。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远程控制：可远程下发指令，实现即时上传数据，重启等控制。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害虫性诱智能测报系统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一、硬件部分：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1.采用太阳能板太阳能电池板≥功率30W、电压17.5V 、电流1.14A；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2.测报系统整体高2.3米，进虫孔高度1.3-2米范围内任意调节高度。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运用昆虫性诱剂吸引害虫，通过进虫孔进入诱捕容器内利用三重电网阻击害虫，双通道红外脉冲监测，数量统计准确率大于95%，可远程控制高压电网开关，可根据害虫种类替换相对应的昆虫性诱剂和进虫孔形状。进虫孔单孔大小为65mm×25mm，分上下2层，阵列270°分布，总共6孔，进虫孔有上下2层防雨屋檐状设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4.锂电池容量≥20Ah雨天可持续工作5-7天，主板配有备用电池。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5.防盗措施：结构上设置防拆卸螺丝、倾倒报警、电子围栏（预留手机号可收到告警短讯提示）。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6.具备风向、风力、温度、湿度、光照度、及雨感功能传感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安装方案：配备预制水泥底座，方便安装.水泥基座采用上小下大台阶设计，整体尺寸为：500mm×500mm×180mm,上台阶尺寸：350mm×350mm×100mm，下台阶尺寸：500mm×500mm×80mm，中间一个直径200mm的通孔，上部预埋4个M12的螺栓（260MM×260mm间距分布），下部浇筑有4个直径16的通孔来固定钢钉用。水泥基座采用内预埋螺栓和加强钢筋整体浇筑完成，整体重量60-65KG。</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二、软件部分：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 测报对象，草地贪夜蛾、棉铃虫、玉米螟、苹果蠹蛾、桔小实蝇、美国白蛾等。大数据云端服务器储存，显示风向、风力、温度、湿度、光照度、及雨感环境监测检测数据，根据需求导出实时相关气象数据。害虫数量统计能按照时、日、月、年统计形成曲线图，数据并且能在线导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2.数据平台能同时关联多台测报设备，显示设备总数、自动计算害虫数量平均值，在地图上可查看关联设备地理位置，选中后能查看单台设备详情。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3.内置设备云协议，支持远程升级服务。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4.时段控制：根据靶向害虫的生活习性规律，自定义电网的工作时间。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5.设备自诊断与告警输出。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6.GPS实时定位，无线数据传输。</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7.支持多频段网络传输。电子围栏，客户手机能收取设备防盗短讯。2.多频段网络包括：移动、电信、联通信号都可用。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8.支持本地串口调试。</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9.控制器：雨控、时控、充放电自动保护，对插式防水插头，工作环境温度：（-20℃）-（+70℃）。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10.账户分级管理。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11.技术服务要求：含5年免费售后，5年数据传输费，含免费安装调试。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蝗虫远程实时监测系统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（1）由特异性引诱系统、机器视觉系统，边缘计算数据处理系统，数据传输系统和可视化展示系统组成，蝗虫远程实时监控系统根据蝗虫行为学设计，适用于监测诱集状态下的种群密度；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（2）通过蝗虫特异性引诱剂引诱及双光引诱两种方式；引诱剂具有常见蝗虫的引诱能力;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红黄双光波长580-620nm，双光互换频率10分钟；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（3）机器视觉系统：由控制系统、200万像素摄像系统、0.5×0.5米虚拟样框组成，能够清晰采集蝗虫运动状态视频和静止状态照片。视频和照片最大分辨率支持1920×1080；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（4）支持边缘计算技术：通过现场数据采集与分析计算，可实时得出蝗虫种群密度，具备无网状态数据分析处理能力；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（5）处理能力：25帧/秒的实时视频流数据处理，自动监测进出虚拟样框蝗虫轨迹和数量，自动计算样框内蝗虫密度，时间覆盖蝗虫全天活动周期；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（6）支持蝗虫活动生境音轨抓取录制；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（7）太阳能直流供电，太阳能板峰值功率150W，磷酸铁锂电池容量100AH，保证最低使用5年，具有实时充电电压电流和放电电压电流参数监测，工作电压：12v；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（8）支持4G网络传输报警数据，支持可以扩展升级5G传输端口。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（9）Web端监控蝗虫报警数据和报警视频、照片，支持微信公众号推送报警数据；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（10）支持GPS卫星定位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（11）一体化设计，拼接式安装；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（12）外形尺寸：903×703×1274（毫米），虚拟采样框0.5×0.5米，符合国家蝗虫调查规范要求；</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（13）具有蝗虫监测识别数据库，可提供蝗虫动态视频和静态照片样例总计大于2000个。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5</w:t>
            </w:r>
          </w:p>
        </w:tc>
        <w:tc>
          <w:tcPr>
            <w:tcW w:w="455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after="0" w:line="240" w:lineRule="exact"/>
              <w:ind w:firstLine="0" w:firstLineChars="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鼠害采集系统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鼠害云智能采集系统（一拖二）</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0"/>
              </w:numPr>
              <w:spacing w:line="240" w:lineRule="auto"/>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设备构成：含鼠害数据远程采集终端三部，免费使用鼠害数据分析软件系统。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▲采集数据类型：</w:t>
            </w:r>
            <w:r>
              <w:rPr>
                <w:rFonts w:hint="eastAsia" w:ascii="仿宋" w:hAnsi="仿宋" w:eastAsia="仿宋" w:cs="仿宋"/>
                <w:i w:val="0"/>
                <w:iCs w:val="0"/>
                <w:color w:val="auto"/>
                <w:kern w:val="0"/>
                <w:sz w:val="21"/>
                <w:szCs w:val="21"/>
                <w:highlight w:val="none"/>
                <w:u w:val="none"/>
                <w:lang w:val="en-US" w:eastAsia="zh-CN" w:bidi="ar"/>
              </w:rPr>
              <w:t>全高清视频影像</w:t>
            </w:r>
            <w:r>
              <w:rPr>
                <w:rFonts w:hint="eastAsia" w:ascii="仿宋" w:hAnsi="仿宋" w:eastAsia="仿宋" w:cs="仿宋"/>
                <w:b/>
                <w:bCs/>
                <w:i w:val="0"/>
                <w:iCs w:val="0"/>
                <w:color w:val="auto"/>
                <w:kern w:val="0"/>
                <w:sz w:val="21"/>
                <w:szCs w:val="21"/>
                <w:highlight w:val="none"/>
                <w:u w:val="none"/>
                <w:lang w:val="en-US" w:eastAsia="zh-CN" w:bidi="ar"/>
              </w:rPr>
              <w:t>（具有无线传感网络的影像智能采集系统软件著作权）</w:t>
            </w:r>
            <w:r>
              <w:rPr>
                <w:rFonts w:hint="eastAsia" w:ascii="仿宋" w:hAnsi="仿宋" w:eastAsia="仿宋" w:cs="仿宋"/>
                <w:b/>
                <w:bCs/>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视频质量：全高清800TVL</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▲P存储格式(采集数据格式)：AVI/WMV/MP4,BMP/JPGE</w:t>
            </w:r>
            <w:r>
              <w:rPr>
                <w:rFonts w:hint="eastAsia" w:ascii="仿宋" w:hAnsi="仿宋" w:eastAsia="仿宋" w:cs="仿宋"/>
                <w:b/>
                <w:bCs/>
                <w:i w:val="0"/>
                <w:iCs w:val="0"/>
                <w:color w:val="auto"/>
                <w:kern w:val="0"/>
                <w:sz w:val="21"/>
                <w:szCs w:val="21"/>
                <w:highlight w:val="none"/>
                <w:u w:val="none"/>
                <w:lang w:val="en-US" w:eastAsia="zh-CN" w:bidi="ar"/>
              </w:rPr>
              <w:t>（具有数据实时存储系统软件著作权）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有效像素640×480,1280×720,1920×1080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▲实时数据分析：30×24小时实时数据采集，人工智能图像识别，提取害鼠身体、毛色、轮廓及活动等特征，实现鼠种鉴别，身体指标等分析，分析数据可视化展示</w:t>
            </w:r>
            <w:r>
              <w:rPr>
                <w:rFonts w:hint="eastAsia" w:ascii="仿宋" w:hAnsi="仿宋" w:eastAsia="仿宋" w:cs="仿宋"/>
                <w:b/>
                <w:bCs/>
                <w:i w:val="0"/>
                <w:iCs w:val="0"/>
                <w:color w:val="auto"/>
                <w:kern w:val="0"/>
                <w:sz w:val="21"/>
                <w:szCs w:val="21"/>
                <w:highlight w:val="none"/>
                <w:u w:val="none"/>
                <w:lang w:val="en-US" w:eastAsia="zh-CN" w:bidi="ar"/>
              </w:rPr>
              <w:t>（具有鼠情分析预警系统软件著作权）</w:t>
            </w:r>
            <w:r>
              <w:rPr>
                <w:rFonts w:hint="eastAsia" w:ascii="仿宋" w:hAnsi="仿宋" w:eastAsia="仿宋" w:cs="仿宋"/>
                <w:i w:val="0"/>
                <w:iCs w:val="0"/>
                <w:color w:val="auto"/>
                <w:kern w:val="0"/>
                <w:sz w:val="18"/>
                <w:szCs w:val="18"/>
                <w:highlight w:val="none"/>
                <w:u w:val="none"/>
                <w:lang w:val="en-US" w:eastAsia="zh-CN" w:bidi="ar"/>
              </w:rPr>
              <w:t>。</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可视化参数：鼠类分布主题分析，鼠类群落结构整体分析，害鼠种群数量动态分析，数据对比关联分析，年报数据分析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历史数据展示：支持历史数据导入系统分析，可视化展示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数据接口：USB2.0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通信频段：7模全网通</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通信模式：TCP/IP HTTP FTP</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工作模式：定时唤醒、红外组合唤醒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参数设置：支持远程密码保护，远程故障诊断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侦测功能：红外侦测，移动侦测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防护等级：IP67</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使用环境：野外直流供电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待机时间：30×24小时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工作电压：4.75-5.25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工作电流&lt;800Ma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工作温度：-35-75°C</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设备尺寸：330×270×280mm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仿鼠洞横截面积：7000±5%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数据可接入中国鼠害信息网,需提供软件端现场演示，需提供中国鼠害数据管理系统软件及数据库第三方运营单位官方授权原件。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鼠害云智能采集系统（一拖一）</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设备构成：含鼠害数据远程采集终端二部，免费使用鼠害数据分析软件系统。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▲采集数据类型：</w:t>
            </w:r>
            <w:r>
              <w:rPr>
                <w:rFonts w:hint="eastAsia" w:ascii="仿宋" w:hAnsi="仿宋" w:eastAsia="仿宋" w:cs="仿宋"/>
                <w:i w:val="0"/>
                <w:iCs w:val="0"/>
                <w:color w:val="auto"/>
                <w:kern w:val="0"/>
                <w:sz w:val="21"/>
                <w:szCs w:val="21"/>
                <w:highlight w:val="none"/>
                <w:u w:val="none"/>
                <w:lang w:val="en-US" w:eastAsia="zh-CN" w:bidi="ar"/>
              </w:rPr>
              <w:t>全高清视频影像</w:t>
            </w:r>
            <w:r>
              <w:rPr>
                <w:rFonts w:hint="eastAsia" w:ascii="仿宋" w:hAnsi="仿宋" w:eastAsia="仿宋" w:cs="仿宋"/>
                <w:b/>
                <w:bCs/>
                <w:i w:val="0"/>
                <w:iCs w:val="0"/>
                <w:color w:val="auto"/>
                <w:kern w:val="0"/>
                <w:sz w:val="21"/>
                <w:szCs w:val="21"/>
                <w:highlight w:val="none"/>
                <w:u w:val="none"/>
                <w:lang w:val="en-US" w:eastAsia="zh-CN" w:bidi="ar"/>
              </w:rPr>
              <w:t>（具有无线传感网络的影像智能采集系统软件著作权）</w:t>
            </w:r>
            <w:r>
              <w:rPr>
                <w:rFonts w:hint="eastAsia" w:ascii="仿宋" w:hAnsi="仿宋" w:eastAsia="仿宋" w:cs="仿宋"/>
                <w:b/>
                <w:bCs/>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视频质量：全高清800TVL</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▲P存储格式(采集数据格式)：AVI/WMV/MP4,BMP/JPGE</w:t>
            </w:r>
            <w:r>
              <w:rPr>
                <w:rFonts w:hint="eastAsia" w:ascii="仿宋" w:hAnsi="仿宋" w:eastAsia="仿宋" w:cs="仿宋"/>
                <w:b/>
                <w:bCs/>
                <w:i w:val="0"/>
                <w:iCs w:val="0"/>
                <w:color w:val="auto"/>
                <w:kern w:val="0"/>
                <w:sz w:val="21"/>
                <w:szCs w:val="21"/>
                <w:highlight w:val="none"/>
                <w:u w:val="none"/>
                <w:lang w:val="en-US" w:eastAsia="zh-CN" w:bidi="ar"/>
              </w:rPr>
              <w:t>（具有数据实时存储系统软件著作权）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有效像素640×480,1280×720,1920×1080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▲实时数据分析：30×24小时实时数据采集，人工智能图像识别，提取害鼠身体、毛色、轮廓及活动等特征，实现鼠种鉴别，身体指标等分析，分析数据可视化展示</w:t>
            </w:r>
            <w:r>
              <w:rPr>
                <w:rFonts w:hint="eastAsia" w:ascii="仿宋" w:hAnsi="仿宋" w:eastAsia="仿宋" w:cs="仿宋"/>
                <w:b/>
                <w:bCs/>
                <w:i w:val="0"/>
                <w:iCs w:val="0"/>
                <w:color w:val="auto"/>
                <w:kern w:val="0"/>
                <w:sz w:val="21"/>
                <w:szCs w:val="21"/>
                <w:highlight w:val="none"/>
                <w:u w:val="none"/>
                <w:lang w:val="en-US" w:eastAsia="zh-CN" w:bidi="ar"/>
              </w:rPr>
              <w:t>（具有鼠情分析预警系统软件著作权）</w:t>
            </w:r>
            <w:r>
              <w:rPr>
                <w:rFonts w:hint="eastAsia" w:ascii="仿宋" w:hAnsi="仿宋" w:eastAsia="仿宋" w:cs="仿宋"/>
                <w:i w:val="0"/>
                <w:iCs w:val="0"/>
                <w:color w:val="auto"/>
                <w:kern w:val="0"/>
                <w:sz w:val="18"/>
                <w:szCs w:val="18"/>
                <w:highlight w:val="none"/>
                <w:u w:val="none"/>
                <w:lang w:val="en-US" w:eastAsia="zh-CN" w:bidi="ar"/>
              </w:rPr>
              <w:t>。</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可视化参数：鼠类分布主题分析，鼠类群落结构整体分析，害鼠种群数量动态分析，数据对比关联分析，年报数据分析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历史数据展示：支持历史数据导入系统分析，可视化展示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数据接口：USB2.0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通信频段：7模全网通</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通信模式：TCP/IP HTTP FTP</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工作模式：定时唤醒、红外组合唤醒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参数设置：支持远程密码保护，远程故障诊断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侦测功能：红外侦测，移动侦测</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防护等级：IP67</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使用环境：野外直流供电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待机时间：30×24小时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工作电压：4.75-5.25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工作电流&lt;800Ma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工作温度：-35-75°C</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设备尺寸：330×270×280mm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仿鼠洞横截面积：7000±5%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数据可接入中国鼠害信息网,需提供软件端现场演示，需提供中国鼠害数据管理系统软件及数据库第三方运营单位官方授权原件。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6</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定量风流孢子捕捉仪</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用于监测病害孢子存量及其扩散动态，实现:                                                                                                                                                                                1、生产及检验标准符合GB/T 24689.3-2009 植物保护机械 孢子捕捉仪；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2、采用电、数控技术；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3、供电系统：太阳能板100W，蓄电池76AH</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4、功率：180W；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5、材料：GB32080-92不锈钢；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6、定时：可设置8个时间段；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7、集气口风速：0.3-5m/s；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8、载玻片规格：长：76.2mm；宽：25.4mm；厚：1-1.2mm；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9、绝缘电阻：≥2.5MΩ。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5" w:hRule="atLeast"/>
        </w:trPr>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小麦条锈病自动监测预警系统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w:t>
            </w:r>
          </w:p>
        </w:tc>
        <w:tc>
          <w:tcPr>
            <w:tcW w:w="3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①小麦条锈病监测数据处理中心</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1.电源：采用太阳能与蓄电池供电。供电系统包括单晶硅太阳能板、充电控制器、12V蓄电池（需采用高原专用电池，输出功率受环境温度影响较小）。电池容量：12V 40A；功耗：20mA；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2.工作时间：在连续阴雨天环境中可持续工作30天；</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3.工作温度范围：-30℃～80℃；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4.温度监测范围：范围-40℃～80℃，精度±0.2℃，分辨力0.1°；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5.降雨量监测范围：0～240 mm/h，精度±2%，分辨力0.1mm；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6.相对湿度监测范围：0～100% RH，精度±1%，分辨力0.01°；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7.露点温度监测：-80℃～60℃，精度±0.2℃；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8.叶片表面湿润时间：0～15h，精度±0.5（病虫害监测预测预报的关键指标）；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9.日照强度：0～2000W/㎡，精度±3%；</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10.可监测记录10cm、、20cm土壤温度及土壤含水量；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11.不锈钢机箱，耐酸碱，耐腐蚀，防护等级IP67，抗冲击等级IK08；</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12.温度及降雨量采集传感器：采用光电感应技术，风速风向传感器采用超声波技术；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13.具有远程调试功能，可实现无人值守、无缝监控。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②、离心单逆流孢子捕捉仪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1.支撑板：厚度5 mm的304不锈钢；2.防护罩：厚度1 mm的AL板1060 表面喷塑；3.支撑架：镀锌；</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4.双头螺栓：304不锈钢；5.底盘：ZL102表面喷漆；6.通气管连接支架：PVC；7.收集杯：亚克力；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8.风标、风机罩、挡板：厚度5 mm的AL板，阳极化处理，表面喷漆；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9.风向标使采样器可选择24小时无间断采样；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10.内置真空泵，由7000转/分的电机驱动；11.采样器采集7天更换一次。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③、旋转式孢子捕捉仪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1.单晶硅20A/50W，电源12V50A；2.捕捉棒1.2×35SUS304精抛光；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3.捕捉棒支架210×220SUS304；4.散热板120×120耐高温工程塑料；</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5.捕捉棒连接轴6/6/Cu；6.捕捉棒旋转臂6/100SUS304；7.电机连接轴6/6Cu；8.数据线及航插6/100七芯；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9.采用低功耗无线通讯模块，兼容物联网卡及5G/4G/3G/GPRS通讯，自动将数据上传到服务器。包含安装及5年5G流量卡。</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④、供电转换系统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1.光伏阵列极性反接保护、蓄电池极性反接保护、蓄电池超压保护、蓄电池过放保护、蓄电池超温保护、负载过载保护、负载短路保护、温度传感器损坏保护、控制器超温保护；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 xml:space="preserve">2.LED指示灯显示；3.额定充电电流：10A；4.空载损耗：＜30Ma/12V；5.充电回路压降：＜0.5V；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6.放电回路压降：＜0.5V；7.工作环境温度：-35℃～85℃；                                                                              8.工作环境温度内(-25℃～55℃)能以额定充电电流满载连续运行；9.密封、胶体、锂电三种类型蓄电池充电程序可选；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10.多样的负载控制方式：手动模式、光控模式、调试模式；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11.具有蓄电池温度补偿功能；12.全面的电子保护功能；13.输出电压：DC12V 输出最大功率：120W；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14.箱体采用1.2mm厚镀锌板，外表高温喷塑；15.电芯型号：18650/3.7V/；16.充电温度：-20～45℃；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17.电池外壳：铝外壳；18.充电电流：≤7A；19.放电温度：-20～55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20.锂电保护：短路保护，过充保护，过放保护，过流保护。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▲21.为了保证设备质量和售后服务，该设备提供设备的制造厂家针对本项目的售后服务承诺书。</w:t>
            </w:r>
          </w:p>
        </w:tc>
      </w:tr>
    </w:tbl>
    <w:p>
      <w:pPr>
        <w:rPr>
          <w:rFonts w:hint="eastAsia" w:ascii="仿宋" w:hAnsi="仿宋" w:eastAsia="仿宋" w:cs="仿宋"/>
        </w:rPr>
      </w:pPr>
    </w:p>
    <w:p>
      <w:pPr>
        <w:bidi w:val="0"/>
        <w:jc w:val="center"/>
        <w:rPr>
          <w:rFonts w:hint="eastAsia" w:ascii="仿宋" w:hAnsi="仿宋" w:eastAsia="仿宋" w:cs="仿宋"/>
          <w:b/>
          <w:bCs/>
          <w:color w:val="000000"/>
          <w:sz w:val="32"/>
          <w:szCs w:val="32"/>
        </w:rPr>
      </w:pPr>
    </w:p>
    <w:p>
      <w:pPr>
        <w:bidi w:val="0"/>
        <w:jc w:val="center"/>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备注：中标单位需严格按照甲方参数提供设备，不得替换。</w:t>
      </w:r>
    </w:p>
    <w:p>
      <w:pPr>
        <w:pStyle w:val="58"/>
        <w:rPr>
          <w:rFonts w:hint="eastAsia" w:ascii="仿宋" w:hAnsi="仿宋" w:eastAsia="仿宋" w:cs="仿宋"/>
          <w:b/>
          <w:bCs/>
          <w:color w:val="000000"/>
          <w:sz w:val="32"/>
          <w:szCs w:val="32"/>
        </w:rPr>
      </w:pPr>
    </w:p>
    <w:p>
      <w:pPr>
        <w:bidi w:val="0"/>
        <w:jc w:val="center"/>
        <w:rPr>
          <w:rFonts w:hint="eastAsia" w:ascii="仿宋" w:hAnsi="仿宋" w:eastAsia="仿宋" w:cs="仿宋"/>
          <w:b/>
          <w:bCs/>
          <w:color w:val="000000"/>
          <w:sz w:val="32"/>
          <w:szCs w:val="32"/>
        </w:rPr>
      </w:pPr>
    </w:p>
    <w:p>
      <w:pPr>
        <w:bidi w:val="0"/>
        <w:jc w:val="center"/>
        <w:rPr>
          <w:rFonts w:hint="eastAsia" w:cs="仿宋"/>
          <w:b w:val="0"/>
          <w:bCs/>
          <w:szCs w:val="32"/>
        </w:rPr>
      </w:pPr>
      <w:r>
        <w:rPr>
          <w:rFonts w:hint="eastAsia" w:ascii="仿宋" w:hAnsi="仿宋" w:eastAsia="仿宋" w:cs="仿宋"/>
          <w:b/>
          <w:bCs/>
          <w:color w:val="000000"/>
          <w:sz w:val="32"/>
          <w:szCs w:val="32"/>
        </w:rPr>
        <w:fldChar w:fldCharType="begin"/>
      </w:r>
      <w:r>
        <w:rPr>
          <w:rFonts w:hint="eastAsia" w:ascii="仿宋" w:hAnsi="仿宋" w:eastAsia="仿宋" w:cs="仿宋"/>
          <w:b/>
          <w:bCs/>
          <w:color w:val="000000"/>
          <w:sz w:val="32"/>
          <w:szCs w:val="32"/>
        </w:rPr>
        <w:instrText xml:space="preserve"> HYPERLINK \l "_Toc15797" </w:instrText>
      </w:r>
      <w:r>
        <w:rPr>
          <w:rFonts w:hint="eastAsia" w:ascii="仿宋" w:hAnsi="仿宋" w:eastAsia="仿宋" w:cs="仿宋"/>
          <w:b/>
          <w:bCs/>
          <w:color w:val="000000"/>
          <w:sz w:val="32"/>
          <w:szCs w:val="32"/>
        </w:rP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5"/>
    </w:p>
    <w:p>
      <w:pPr>
        <w:spacing w:line="360" w:lineRule="auto"/>
        <w:jc w:val="center"/>
        <w:rPr>
          <w:rFonts w:hint="eastAsia" w:ascii="仿宋" w:hAnsi="仿宋" w:eastAsia="仿宋" w:cs="仿宋"/>
          <w:b/>
          <w:bCs/>
          <w:color w:val="000000"/>
          <w:szCs w:val="21"/>
        </w:rPr>
      </w:pPr>
    </w:p>
    <w:p>
      <w:pPr>
        <w:spacing w:line="360" w:lineRule="auto"/>
        <w:jc w:val="center"/>
        <w:rPr>
          <w:rFonts w:hint="eastAsia" w:ascii="仿宋" w:hAnsi="仿宋" w:eastAsia="仿宋" w:cs="仿宋"/>
          <w:b/>
          <w:bCs/>
          <w:color w:val="000000"/>
          <w:szCs w:val="21"/>
        </w:rPr>
      </w:pPr>
    </w:p>
    <w:p>
      <w:pPr>
        <w:spacing w:line="360" w:lineRule="auto"/>
        <w:jc w:val="center"/>
        <w:rPr>
          <w:rFonts w:hint="eastAsia" w:ascii="仿宋" w:hAnsi="仿宋" w:eastAsia="仿宋" w:cs="仿宋"/>
          <w:b/>
          <w:bCs/>
          <w:sz w:val="28"/>
          <w:szCs w:val="21"/>
        </w:rPr>
      </w:pPr>
      <w:r>
        <w:rPr>
          <w:rFonts w:hint="eastAsia" w:ascii="仿宋" w:hAnsi="仿宋" w:eastAsia="仿宋" w:cs="仿宋"/>
          <w:b/>
          <w:bCs/>
          <w:color w:val="000000"/>
          <w:szCs w:val="21"/>
        </w:rPr>
        <w:t>（注：此合同仅供参考，具体的合同签订双方可根据项目的具体要求进行修订）</w:t>
      </w:r>
    </w:p>
    <w:p>
      <w:pPr>
        <w:spacing w:line="300" w:lineRule="exact"/>
        <w:rPr>
          <w:rFonts w:hint="eastAsia" w:ascii="仿宋" w:hAnsi="仿宋" w:eastAsia="仿宋"/>
          <w:color w:val="000000"/>
          <w:sz w:val="28"/>
          <w:szCs w:val="28"/>
        </w:rPr>
      </w:pPr>
    </w:p>
    <w:p>
      <w:pPr>
        <w:spacing w:line="300" w:lineRule="exact"/>
        <w:rPr>
          <w:rFonts w:ascii="仿宋" w:hAnsi="仿宋" w:eastAsia="仿宋"/>
          <w:color w:val="000000"/>
          <w:sz w:val="28"/>
          <w:szCs w:val="28"/>
        </w:rPr>
      </w:pPr>
    </w:p>
    <w:p>
      <w:pPr>
        <w:spacing w:line="300" w:lineRule="exact"/>
        <w:rPr>
          <w:rFonts w:hint="eastAsia" w:ascii="仿宋" w:hAnsi="仿宋" w:eastAsia="仿宋"/>
          <w:color w:val="000000"/>
          <w:sz w:val="28"/>
          <w:szCs w:val="28"/>
        </w:rPr>
      </w:pPr>
    </w:p>
    <w:p>
      <w:pPr>
        <w:spacing w:line="300" w:lineRule="exact"/>
        <w:rPr>
          <w:rFonts w:hint="eastAsia" w:ascii="仿宋" w:hAnsi="仿宋" w:eastAsia="仿宋"/>
          <w:color w:val="000000"/>
          <w:sz w:val="28"/>
          <w:szCs w:val="28"/>
        </w:rPr>
      </w:pPr>
    </w:p>
    <w:p>
      <w:pPr>
        <w:spacing w:line="300" w:lineRule="exact"/>
        <w:rPr>
          <w:rFonts w:hint="eastAsia" w:ascii="仿宋" w:hAnsi="仿宋" w:eastAsia="仿宋"/>
          <w:color w:val="000000"/>
          <w:sz w:val="28"/>
          <w:szCs w:val="28"/>
        </w:rPr>
      </w:pPr>
    </w:p>
    <w:p>
      <w:pPr>
        <w:spacing w:line="300" w:lineRule="exact"/>
        <w:rPr>
          <w:rFonts w:hint="eastAsia" w:ascii="仿宋" w:hAnsi="仿宋" w:eastAsia="仿宋"/>
          <w:color w:val="000000"/>
          <w:sz w:val="28"/>
          <w:szCs w:val="28"/>
        </w:rPr>
      </w:pPr>
    </w:p>
    <w:p>
      <w:pPr>
        <w:spacing w:line="560" w:lineRule="exact"/>
        <w:ind w:firstLine="1350" w:firstLineChars="450"/>
        <w:jc w:val="left"/>
        <w:rPr>
          <w:rFonts w:ascii="仿宋" w:hAnsi="仿宋" w:eastAsia="仿宋"/>
          <w:sz w:val="30"/>
          <w:szCs w:val="30"/>
        </w:rPr>
      </w:pPr>
      <w:r>
        <w:rPr>
          <w:rFonts w:hint="eastAsia" w:ascii="仿宋" w:hAnsi="仿宋" w:eastAsia="仿宋"/>
          <w:sz w:val="30"/>
          <w:szCs w:val="30"/>
        </w:rPr>
        <w:t xml:space="preserve">买 </w:t>
      </w:r>
      <w:r>
        <w:rPr>
          <w:rFonts w:ascii="仿宋" w:hAnsi="仿宋" w:eastAsia="仿宋"/>
          <w:sz w:val="30"/>
          <w:szCs w:val="30"/>
        </w:rPr>
        <w:t xml:space="preserve">   </w:t>
      </w:r>
      <w:r>
        <w:rPr>
          <w:rFonts w:hint="eastAsia" w:ascii="仿宋" w:hAnsi="仿宋" w:eastAsia="仿宋"/>
          <w:sz w:val="30"/>
          <w:szCs w:val="30"/>
        </w:rPr>
        <w:t>方：</w:t>
      </w:r>
    </w:p>
    <w:p>
      <w:pPr>
        <w:spacing w:line="560" w:lineRule="exact"/>
        <w:ind w:firstLine="1350" w:firstLineChars="450"/>
        <w:jc w:val="left"/>
        <w:rPr>
          <w:rFonts w:ascii="仿宋" w:hAnsi="仿宋" w:eastAsia="仿宋"/>
          <w:sz w:val="30"/>
          <w:szCs w:val="30"/>
        </w:rPr>
      </w:pPr>
    </w:p>
    <w:p>
      <w:pPr>
        <w:spacing w:line="560" w:lineRule="exact"/>
        <w:ind w:firstLine="1350" w:firstLineChars="450"/>
        <w:jc w:val="left"/>
        <w:rPr>
          <w:rFonts w:ascii="仿宋" w:hAnsi="仿宋" w:eastAsia="仿宋"/>
          <w:sz w:val="30"/>
          <w:szCs w:val="30"/>
        </w:rPr>
      </w:pPr>
      <w:r>
        <w:rPr>
          <w:rFonts w:hint="eastAsia" w:ascii="仿宋" w:hAnsi="仿宋" w:eastAsia="仿宋"/>
          <w:sz w:val="30"/>
          <w:szCs w:val="30"/>
        </w:rPr>
        <w:t xml:space="preserve">卖  </w:t>
      </w:r>
      <w:r>
        <w:rPr>
          <w:rFonts w:ascii="仿宋" w:hAnsi="仿宋" w:eastAsia="仿宋"/>
          <w:sz w:val="30"/>
          <w:szCs w:val="30"/>
        </w:rPr>
        <w:t xml:space="preserve">  </w:t>
      </w:r>
      <w:r>
        <w:rPr>
          <w:rFonts w:hint="eastAsia" w:ascii="仿宋" w:hAnsi="仿宋" w:eastAsia="仿宋"/>
          <w:sz w:val="30"/>
          <w:szCs w:val="30"/>
        </w:rPr>
        <w:t>方：</w:t>
      </w:r>
    </w:p>
    <w:p>
      <w:pPr>
        <w:spacing w:line="560" w:lineRule="exact"/>
        <w:ind w:firstLine="1350" w:firstLineChars="450"/>
        <w:jc w:val="left"/>
        <w:rPr>
          <w:rFonts w:ascii="仿宋" w:hAnsi="仿宋" w:eastAsia="仿宋"/>
          <w:sz w:val="30"/>
          <w:szCs w:val="30"/>
        </w:rPr>
      </w:pPr>
    </w:p>
    <w:p>
      <w:pPr>
        <w:spacing w:line="560" w:lineRule="exact"/>
        <w:ind w:firstLine="1350" w:firstLineChars="450"/>
        <w:jc w:val="left"/>
        <w:rPr>
          <w:rFonts w:ascii="仿宋" w:hAnsi="仿宋" w:eastAsia="仿宋"/>
          <w:sz w:val="30"/>
          <w:szCs w:val="30"/>
        </w:rPr>
      </w:pPr>
      <w:r>
        <w:rPr>
          <w:rFonts w:hint="eastAsia" w:ascii="仿宋" w:hAnsi="仿宋" w:eastAsia="仿宋"/>
          <w:sz w:val="30"/>
          <w:szCs w:val="30"/>
        </w:rPr>
        <w:t>签约地点：</w:t>
      </w:r>
    </w:p>
    <w:p>
      <w:pPr>
        <w:spacing w:line="560" w:lineRule="exact"/>
        <w:ind w:firstLine="1350" w:firstLineChars="450"/>
        <w:jc w:val="left"/>
        <w:rPr>
          <w:rFonts w:ascii="仿宋" w:hAnsi="仿宋" w:eastAsia="仿宋"/>
          <w:sz w:val="30"/>
          <w:szCs w:val="30"/>
        </w:rPr>
      </w:pPr>
    </w:p>
    <w:p>
      <w:pPr>
        <w:spacing w:line="560" w:lineRule="exact"/>
        <w:ind w:firstLine="1350" w:firstLineChars="450"/>
        <w:jc w:val="left"/>
        <w:rPr>
          <w:rFonts w:ascii="仿宋" w:hAnsi="仿宋" w:eastAsia="仿宋"/>
          <w:sz w:val="30"/>
          <w:szCs w:val="30"/>
        </w:rPr>
      </w:pPr>
      <w:r>
        <w:rPr>
          <w:rFonts w:hint="eastAsia" w:ascii="仿宋" w:hAnsi="仿宋" w:eastAsia="仿宋"/>
          <w:sz w:val="30"/>
          <w:szCs w:val="30"/>
        </w:rPr>
        <w:t>签约日期：  年   月   日</w:t>
      </w:r>
    </w:p>
    <w:p>
      <w:pPr>
        <w:spacing w:line="560" w:lineRule="exact"/>
        <w:ind w:firstLine="1350" w:firstLineChars="450"/>
        <w:jc w:val="left"/>
        <w:rPr>
          <w:rFonts w:ascii="仿宋" w:hAnsi="仿宋" w:eastAsia="仿宋"/>
          <w:sz w:val="30"/>
          <w:szCs w:val="30"/>
        </w:rPr>
      </w:pPr>
    </w:p>
    <w:p>
      <w:pPr>
        <w:spacing w:line="560" w:lineRule="exact"/>
        <w:ind w:firstLine="1350" w:firstLineChars="450"/>
        <w:jc w:val="left"/>
        <w:rPr>
          <w:rFonts w:hint="eastAsia" w:ascii="仿宋" w:hAnsi="仿宋" w:eastAsia="仿宋"/>
          <w:sz w:val="30"/>
          <w:szCs w:val="30"/>
        </w:rPr>
      </w:pPr>
      <w:r>
        <w:rPr>
          <w:rFonts w:hint="eastAsia" w:ascii="仿宋" w:hAnsi="仿宋" w:eastAsia="仿宋"/>
          <w:sz w:val="30"/>
          <w:szCs w:val="30"/>
        </w:rPr>
        <w:t>合同编号：</w:t>
      </w:r>
    </w:p>
    <w:p>
      <w:pPr>
        <w:spacing w:line="560" w:lineRule="exact"/>
        <w:rPr>
          <w:rFonts w:ascii="仿宋" w:hAnsi="仿宋" w:eastAsia="仿宋"/>
          <w:sz w:val="30"/>
          <w:szCs w:val="30"/>
        </w:rPr>
      </w:pPr>
    </w:p>
    <w:p>
      <w:pPr>
        <w:spacing w:line="560" w:lineRule="exact"/>
        <w:rPr>
          <w:rFonts w:ascii="仿宋" w:hAnsi="仿宋" w:eastAsia="仿宋"/>
          <w:sz w:val="24"/>
        </w:rPr>
      </w:pPr>
    </w:p>
    <w:p>
      <w:pPr>
        <w:spacing w:line="560" w:lineRule="exact"/>
        <w:rPr>
          <w:rFonts w:ascii="仿宋" w:hAnsi="仿宋" w:eastAsia="仿宋"/>
          <w:sz w:val="24"/>
        </w:rPr>
      </w:pPr>
    </w:p>
    <w:p>
      <w:pPr>
        <w:spacing w:line="360" w:lineRule="auto"/>
        <w:jc w:val="center"/>
        <w:rPr>
          <w:rFonts w:hint="eastAsia" w:ascii="仿宋" w:hAnsi="仿宋" w:eastAsia="仿宋" w:cs="宋体"/>
          <w:sz w:val="36"/>
          <w:szCs w:val="36"/>
        </w:rPr>
      </w:pPr>
      <w:r>
        <w:rPr>
          <w:rFonts w:hint="eastAsia" w:ascii="仿宋" w:hAnsi="仿宋" w:eastAsia="仿宋" w:cs="宋体"/>
          <w:sz w:val="36"/>
          <w:szCs w:val="36"/>
        </w:rPr>
        <w:t>二零二</w:t>
      </w:r>
      <w:r>
        <w:rPr>
          <w:rFonts w:hint="eastAsia" w:ascii="仿宋" w:hAnsi="仿宋" w:eastAsia="仿宋" w:cs="宋体"/>
          <w:sz w:val="36"/>
          <w:szCs w:val="36"/>
          <w:lang w:val="en-US" w:eastAsia="zh-CN"/>
        </w:rPr>
        <w:t>三</w:t>
      </w:r>
      <w:r>
        <w:rPr>
          <w:rFonts w:hint="eastAsia" w:ascii="仿宋" w:hAnsi="仿宋" w:eastAsia="仿宋" w:cs="宋体"/>
          <w:sz w:val="36"/>
          <w:szCs w:val="36"/>
        </w:rPr>
        <w:t>年  月</w:t>
      </w:r>
    </w:p>
    <w:p>
      <w:pPr>
        <w:spacing w:line="360" w:lineRule="auto"/>
        <w:jc w:val="center"/>
        <w:rPr>
          <w:rFonts w:hint="eastAsia" w:ascii="仿宋" w:hAnsi="仿宋" w:eastAsia="仿宋" w:cs="宋体"/>
          <w:sz w:val="36"/>
          <w:szCs w:val="36"/>
        </w:rPr>
      </w:pPr>
    </w:p>
    <w:p>
      <w:pPr>
        <w:spacing w:line="360" w:lineRule="auto"/>
        <w:jc w:val="center"/>
        <w:rPr>
          <w:rFonts w:hint="eastAsia" w:ascii="仿宋" w:hAnsi="仿宋" w:eastAsia="仿宋" w:cs="宋体"/>
          <w:sz w:val="36"/>
          <w:szCs w:val="36"/>
        </w:rPr>
      </w:pPr>
    </w:p>
    <w:p>
      <w:pPr>
        <w:spacing w:line="360" w:lineRule="auto"/>
        <w:jc w:val="center"/>
        <w:rPr>
          <w:rFonts w:hint="eastAsia" w:ascii="仿宋" w:hAnsi="仿宋" w:eastAsia="仿宋" w:cs="宋体"/>
          <w:sz w:val="36"/>
          <w:szCs w:val="36"/>
        </w:rPr>
      </w:pPr>
      <w:r>
        <w:rPr>
          <w:rFonts w:hint="eastAsia" w:ascii="仿宋" w:hAnsi="仿宋" w:eastAsia="仿宋" w:cs="宋体"/>
          <w:sz w:val="36"/>
          <w:szCs w:val="36"/>
        </w:rPr>
        <w:br w:type="page"/>
      </w:r>
    </w:p>
    <w:p>
      <w:pPr>
        <w:spacing w:line="520" w:lineRule="exact"/>
        <w:rPr>
          <w:rFonts w:ascii="仿宋" w:hAnsi="仿宋" w:eastAsia="仿宋"/>
          <w:sz w:val="24"/>
        </w:rPr>
      </w:pPr>
      <w:r>
        <w:rPr>
          <w:rFonts w:hint="eastAsia" w:ascii="仿宋" w:hAnsi="仿宋" w:eastAsia="仿宋"/>
          <w:sz w:val="24"/>
        </w:rPr>
        <w:t>甲方（买方）：</w:t>
      </w:r>
    </w:p>
    <w:p>
      <w:pPr>
        <w:spacing w:line="520" w:lineRule="exact"/>
        <w:rPr>
          <w:rFonts w:ascii="仿宋" w:hAnsi="仿宋" w:eastAsia="仿宋"/>
          <w:sz w:val="24"/>
        </w:rPr>
      </w:pPr>
      <w:r>
        <w:rPr>
          <w:rFonts w:hint="eastAsia" w:ascii="仿宋" w:hAnsi="仿宋" w:eastAsia="仿宋"/>
          <w:sz w:val="24"/>
        </w:rPr>
        <w:t>地址：</w:t>
      </w:r>
    </w:p>
    <w:p>
      <w:pPr>
        <w:spacing w:line="520" w:lineRule="exact"/>
        <w:rPr>
          <w:rFonts w:hint="eastAsia" w:ascii="仿宋" w:hAnsi="仿宋" w:eastAsia="仿宋"/>
          <w:sz w:val="24"/>
        </w:rPr>
      </w:pPr>
      <w:r>
        <w:rPr>
          <w:rFonts w:hint="eastAsia" w:ascii="仿宋" w:hAnsi="仿宋" w:eastAsia="仿宋"/>
          <w:sz w:val="24"/>
        </w:rPr>
        <w:t>电话：</w:t>
      </w:r>
    </w:p>
    <w:p>
      <w:pPr>
        <w:spacing w:line="520" w:lineRule="exact"/>
        <w:rPr>
          <w:rFonts w:ascii="仿宋" w:hAnsi="仿宋" w:eastAsia="仿宋"/>
          <w:sz w:val="24"/>
        </w:rPr>
      </w:pPr>
    </w:p>
    <w:p>
      <w:pPr>
        <w:spacing w:line="520" w:lineRule="exact"/>
        <w:rPr>
          <w:rFonts w:ascii="仿宋" w:hAnsi="仿宋" w:eastAsia="仿宋"/>
          <w:sz w:val="24"/>
        </w:rPr>
      </w:pPr>
      <w:r>
        <w:rPr>
          <w:rFonts w:hint="eastAsia" w:ascii="仿宋" w:hAnsi="仿宋" w:eastAsia="仿宋"/>
          <w:sz w:val="24"/>
        </w:rPr>
        <w:t>乙方（卖</w:t>
      </w:r>
      <w:r>
        <w:rPr>
          <w:rFonts w:ascii="仿宋" w:hAnsi="仿宋" w:eastAsia="仿宋"/>
          <w:sz w:val="24"/>
        </w:rPr>
        <w:t>方</w:t>
      </w:r>
      <w:r>
        <w:rPr>
          <w:rFonts w:hint="eastAsia" w:ascii="仿宋" w:hAnsi="仿宋" w:eastAsia="仿宋"/>
          <w:sz w:val="24"/>
        </w:rPr>
        <w:t>）</w:t>
      </w:r>
      <w:r>
        <w:rPr>
          <w:rFonts w:ascii="仿宋" w:hAnsi="仿宋" w:eastAsia="仿宋"/>
          <w:sz w:val="24"/>
        </w:rPr>
        <w:t>：</w:t>
      </w:r>
    </w:p>
    <w:p>
      <w:pPr>
        <w:spacing w:line="520" w:lineRule="exact"/>
        <w:rPr>
          <w:rFonts w:ascii="仿宋" w:hAnsi="仿宋" w:eastAsia="仿宋"/>
          <w:sz w:val="24"/>
        </w:rPr>
      </w:pPr>
      <w:r>
        <w:rPr>
          <w:rFonts w:hint="eastAsia" w:ascii="仿宋" w:hAnsi="仿宋" w:eastAsia="仿宋"/>
          <w:sz w:val="24"/>
        </w:rPr>
        <w:t>地址：</w:t>
      </w:r>
    </w:p>
    <w:p>
      <w:pPr>
        <w:spacing w:line="520" w:lineRule="exact"/>
        <w:rPr>
          <w:rFonts w:hint="eastAsia" w:ascii="仿宋" w:hAnsi="仿宋" w:eastAsia="仿宋"/>
          <w:sz w:val="24"/>
        </w:rPr>
      </w:pPr>
      <w:r>
        <w:rPr>
          <w:rFonts w:hint="eastAsia" w:ascii="仿宋" w:hAnsi="仿宋" w:eastAsia="仿宋"/>
          <w:sz w:val="24"/>
        </w:rPr>
        <w:t>电话：</w:t>
      </w:r>
    </w:p>
    <w:p>
      <w:pPr>
        <w:spacing w:line="520" w:lineRule="exact"/>
        <w:rPr>
          <w:rFonts w:hint="eastAsia" w:ascii="仿宋" w:hAnsi="仿宋" w:eastAsia="仿宋"/>
          <w:sz w:val="24"/>
        </w:rPr>
      </w:pPr>
      <w:r>
        <w:rPr>
          <w:rFonts w:hint="eastAsia" w:ascii="仿宋" w:hAnsi="仿宋" w:eastAsia="仿宋"/>
          <w:sz w:val="24"/>
        </w:rPr>
        <w:t xml:space="preserve">                  </w:t>
      </w:r>
    </w:p>
    <w:p>
      <w:pPr>
        <w:spacing w:line="520" w:lineRule="exact"/>
        <w:ind w:firstLine="600" w:firstLineChars="250"/>
        <w:rPr>
          <w:rFonts w:hint="eastAsia" w:ascii="仿宋" w:hAnsi="仿宋" w:eastAsia="仿宋"/>
          <w:sz w:val="24"/>
        </w:rPr>
      </w:pPr>
      <w:r>
        <w:rPr>
          <w:rFonts w:hint="eastAsia" w:ascii="仿宋" w:hAnsi="仿宋" w:eastAsia="仿宋"/>
          <w:sz w:val="24"/>
          <w:u w:val="single"/>
          <w:lang w:eastAsia="zh-CN"/>
        </w:rPr>
        <w:t>新疆维吾尔自治区植物保护站</w:t>
      </w:r>
      <w:r>
        <w:rPr>
          <w:rFonts w:hint="eastAsia" w:ascii="仿宋" w:hAnsi="仿宋" w:eastAsia="仿宋"/>
          <w:sz w:val="24"/>
          <w:u w:val="single"/>
        </w:rPr>
        <w:t>（以下简称甲方）经             组织</w:t>
      </w:r>
      <w:r>
        <w:rPr>
          <w:rFonts w:hint="eastAsia" w:ascii="仿宋" w:hAnsi="仿宋" w:eastAsia="仿宋"/>
          <w:sz w:val="24"/>
          <w:u w:val="none"/>
        </w:rPr>
        <w:t>的</w:t>
      </w:r>
      <w:r>
        <w:rPr>
          <w:rFonts w:hint="eastAsia" w:ascii="仿宋" w:hAnsi="仿宋" w:eastAsia="仿宋"/>
          <w:sz w:val="24"/>
          <w:lang w:val="en-US" w:eastAsia="zh-CN"/>
        </w:rPr>
        <w:t>公开招标</w:t>
      </w:r>
      <w:r>
        <w:rPr>
          <w:rFonts w:hint="eastAsia" w:ascii="仿宋" w:hAnsi="仿宋" w:eastAsia="仿宋"/>
          <w:sz w:val="24"/>
          <w:u w:val="none"/>
        </w:rPr>
        <w:t>采购，</w:t>
      </w:r>
      <w:r>
        <w:rPr>
          <w:rFonts w:hint="eastAsia" w:ascii="仿宋" w:hAnsi="仿宋" w:eastAsia="仿宋"/>
          <w:sz w:val="24"/>
        </w:rPr>
        <w:t xml:space="preserve">选定 </w:t>
      </w:r>
      <w:r>
        <w:rPr>
          <w:rFonts w:hint="eastAsia" w:ascii="仿宋" w:hAnsi="仿宋" w:eastAsia="仿宋"/>
          <w:sz w:val="24"/>
          <w:u w:val="single"/>
        </w:rPr>
        <w:t xml:space="preserve">                （以下简称乙方）</w:t>
      </w:r>
      <w:r>
        <w:rPr>
          <w:rFonts w:hint="eastAsia" w:ascii="仿宋" w:hAnsi="仿宋" w:eastAsia="仿宋"/>
          <w:sz w:val="24"/>
        </w:rPr>
        <w:t>：为提供</w:t>
      </w:r>
      <w:r>
        <w:rPr>
          <w:rFonts w:hint="eastAsia" w:ascii="仿宋" w:hAnsi="仿宋" w:eastAsia="仿宋"/>
          <w:sz w:val="24"/>
          <w:u w:val="single"/>
          <w:lang w:val="en-US" w:eastAsia="zh-CN"/>
        </w:rPr>
        <w:t xml:space="preserve">               </w:t>
      </w:r>
      <w:r>
        <w:rPr>
          <w:rFonts w:hint="eastAsia" w:ascii="仿宋" w:hAnsi="仿宋" w:eastAsia="仿宋"/>
          <w:sz w:val="24"/>
          <w:u w:val="single"/>
        </w:rPr>
        <w:t>产品</w:t>
      </w:r>
      <w:r>
        <w:rPr>
          <w:rFonts w:hint="eastAsia" w:ascii="仿宋" w:hAnsi="仿宋" w:eastAsia="仿宋"/>
          <w:sz w:val="24"/>
        </w:rPr>
        <w:t>的中标单位。依据《中华人民共和国民法典》、《中华人民共和国政府采购法》及相关法律、法规，经甲、乙双方共同协商，按下述条款签署本合同。</w:t>
      </w:r>
    </w:p>
    <w:p>
      <w:pPr>
        <w:spacing w:line="520" w:lineRule="exact"/>
        <w:ind w:firstLine="360" w:firstLineChars="150"/>
        <w:rPr>
          <w:rFonts w:hint="eastAsia" w:ascii="仿宋" w:hAnsi="仿宋" w:eastAsia="仿宋"/>
          <w:sz w:val="24"/>
        </w:rPr>
      </w:pPr>
      <w:r>
        <w:rPr>
          <w:rFonts w:hint="eastAsia" w:ascii="仿宋" w:hAnsi="仿宋" w:eastAsia="仿宋"/>
          <w:sz w:val="24"/>
        </w:rPr>
        <w:t>对货物（产品）的验收由目的地收货人行使甲方的权利，按本合同第二条、第三条、第四条、第五条执行，保修与售后服务按本合同第九条执行。</w:t>
      </w:r>
    </w:p>
    <w:p>
      <w:pPr>
        <w:spacing w:line="520" w:lineRule="exact"/>
        <w:ind w:firstLine="360" w:firstLineChars="150"/>
        <w:rPr>
          <w:rFonts w:hint="eastAsia" w:ascii="仿宋" w:hAnsi="仿宋" w:eastAsia="仿宋"/>
          <w:sz w:val="24"/>
        </w:rPr>
      </w:pPr>
    </w:p>
    <w:p>
      <w:pPr>
        <w:widowControl/>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一、合同标的、规格、数量、单价 </w:t>
      </w:r>
    </w:p>
    <w:tbl>
      <w:tblPr>
        <w:tblStyle w:val="60"/>
        <w:tblW w:w="10419" w:type="dxa"/>
        <w:jc w:val="center"/>
        <w:tblLayout w:type="fixed"/>
        <w:tblCellMar>
          <w:top w:w="0" w:type="dxa"/>
          <w:left w:w="108" w:type="dxa"/>
          <w:bottom w:w="0" w:type="dxa"/>
          <w:right w:w="108" w:type="dxa"/>
        </w:tblCellMar>
      </w:tblPr>
      <w:tblGrid>
        <w:gridCol w:w="855"/>
        <w:gridCol w:w="1266"/>
        <w:gridCol w:w="851"/>
        <w:gridCol w:w="728"/>
        <w:gridCol w:w="242"/>
        <w:gridCol w:w="732"/>
        <w:gridCol w:w="850"/>
        <w:gridCol w:w="1559"/>
        <w:gridCol w:w="1276"/>
        <w:gridCol w:w="996"/>
        <w:gridCol w:w="262"/>
        <w:gridCol w:w="802"/>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项目序号</w:t>
            </w:r>
          </w:p>
        </w:tc>
        <w:tc>
          <w:tcPr>
            <w:tcW w:w="126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名   称</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（通用名）</w:t>
            </w:r>
          </w:p>
        </w:tc>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国产/进口</w:t>
            </w:r>
          </w:p>
        </w:tc>
        <w:tc>
          <w:tcPr>
            <w:tcW w:w="728" w:type="dxa"/>
            <w:tcBorders>
              <w:top w:val="single" w:color="auto" w:sz="4" w:space="0"/>
              <w:left w:val="single" w:color="auto" w:sz="4" w:space="0"/>
              <w:right w:val="single" w:color="auto" w:sz="4" w:space="0"/>
            </w:tcBorders>
          </w:tcPr>
          <w:p>
            <w:pPr>
              <w:adjustRightInd w:val="0"/>
              <w:snapToGrid w:val="0"/>
              <w:spacing w:line="360" w:lineRule="auto"/>
              <w:rPr>
                <w:rFonts w:ascii="仿宋" w:hAnsi="仿宋" w:eastAsia="仿宋" w:cs="仿宋"/>
                <w:szCs w:val="21"/>
              </w:rPr>
            </w:pPr>
          </w:p>
        </w:tc>
        <w:tc>
          <w:tcPr>
            <w:tcW w:w="974"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技术参 数</w:t>
            </w:r>
          </w:p>
        </w:tc>
        <w:tc>
          <w:tcPr>
            <w:tcW w:w="850" w:type="dxa"/>
            <w:tcBorders>
              <w:top w:val="single" w:color="auto" w:sz="4" w:space="0"/>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投标方报价</w:t>
            </w:r>
          </w:p>
          <w:p>
            <w:pPr>
              <w:adjustRightInd w:val="0"/>
              <w:snapToGrid w:val="0"/>
              <w:spacing w:line="360" w:lineRule="auto"/>
              <w:ind w:left="165"/>
              <w:jc w:val="center"/>
              <w:rPr>
                <w:rFonts w:ascii="仿宋" w:hAnsi="仿宋" w:eastAsia="仿宋" w:cs="仿宋"/>
                <w:szCs w:val="21"/>
              </w:rPr>
            </w:pPr>
            <w:r>
              <w:rPr>
                <w:rFonts w:hint="eastAsia" w:ascii="仿宋" w:hAnsi="仿宋" w:eastAsia="仿宋" w:cs="仿宋"/>
                <w:szCs w:val="21"/>
              </w:rPr>
              <w:t>单价（元/</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支）</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99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金额大写</w:t>
            </w:r>
          </w:p>
        </w:tc>
        <w:tc>
          <w:tcPr>
            <w:tcW w:w="262" w:type="dxa"/>
            <w:tcBorders>
              <w:top w:val="single" w:color="auto" w:sz="4" w:space="0"/>
            </w:tcBorders>
          </w:tcPr>
          <w:p>
            <w:pPr>
              <w:widowControl/>
              <w:adjustRightInd w:val="0"/>
              <w:snapToGrid w:val="0"/>
              <w:jc w:val="left"/>
              <w:rPr>
                <w:rFonts w:ascii="仿宋" w:hAnsi="仿宋" w:eastAsia="仿宋" w:cs="仿宋"/>
                <w:szCs w:val="21"/>
              </w:rPr>
            </w:pPr>
          </w:p>
          <w:p>
            <w:pPr>
              <w:widowControl/>
              <w:adjustRightInd w:val="0"/>
              <w:snapToGrid w:val="0"/>
              <w:jc w:val="left"/>
              <w:rPr>
                <w:rFonts w:ascii="仿宋" w:hAnsi="仿宋" w:eastAsia="仿宋" w:cs="仿宋"/>
                <w:szCs w:val="21"/>
              </w:rPr>
            </w:pPr>
          </w:p>
        </w:tc>
        <w:tc>
          <w:tcPr>
            <w:tcW w:w="802" w:type="dxa"/>
            <w:vMerge w:val="restart"/>
            <w:tcBorders>
              <w:top w:val="single" w:color="auto" w:sz="4" w:space="0"/>
              <w:right w:val="single" w:color="auto" w:sz="4" w:space="0"/>
            </w:tcBorders>
            <w:vAlign w:val="center"/>
          </w:tcPr>
          <w:p>
            <w:pPr>
              <w:widowControl/>
              <w:adjustRightInd w:val="0"/>
              <w:snapToGrid w:val="0"/>
              <w:jc w:val="center"/>
              <w:rPr>
                <w:rFonts w:ascii="仿宋" w:hAnsi="仿宋" w:eastAsia="仿宋" w:cs="仿宋"/>
                <w:szCs w:val="21"/>
              </w:rPr>
            </w:pPr>
          </w:p>
          <w:p>
            <w:pPr>
              <w:widowControl/>
              <w:adjustRightInd w:val="0"/>
              <w:snapToGrid w:val="0"/>
              <w:jc w:val="center"/>
              <w:rPr>
                <w:rFonts w:ascii="仿宋" w:hAnsi="仿宋" w:eastAsia="仿宋" w:cs="仿宋"/>
                <w:szCs w:val="21"/>
              </w:rPr>
            </w:pPr>
            <w:r>
              <w:rPr>
                <w:rFonts w:hint="eastAsia" w:ascii="仿宋" w:hAnsi="仿宋" w:eastAsia="仿宋" w:cs="仿宋"/>
                <w:szCs w:val="21"/>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1"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728" w:type="dxa"/>
            <w:tcBorders>
              <w:left w:val="single" w:color="auto" w:sz="4" w:space="0"/>
              <w:right w:val="single" w:color="auto" w:sz="4" w:space="0"/>
            </w:tcBorders>
          </w:tcPr>
          <w:p>
            <w:pPr>
              <w:adjustRightInd w:val="0"/>
              <w:snapToGrid w:val="0"/>
              <w:spacing w:line="360" w:lineRule="auto"/>
              <w:rPr>
                <w:rFonts w:ascii="仿宋" w:hAnsi="仿宋" w:eastAsia="仿宋" w:cs="仿宋"/>
                <w:szCs w:val="21"/>
              </w:rPr>
            </w:pPr>
            <w:r>
              <w:rPr>
                <w:rFonts w:hint="eastAsia" w:ascii="仿宋" w:hAnsi="仿宋" w:eastAsia="仿宋" w:cs="仿宋"/>
                <w:szCs w:val="21"/>
              </w:rPr>
              <w:t>品名型号</w:t>
            </w:r>
          </w:p>
        </w:tc>
        <w:tc>
          <w:tcPr>
            <w:tcW w:w="974" w:type="dxa"/>
            <w:gridSpan w:val="2"/>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99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bottom w:val="single" w:color="auto" w:sz="4" w:space="0"/>
            </w:tcBorders>
          </w:tcPr>
          <w:p>
            <w:pPr>
              <w:widowControl/>
              <w:adjustRightInd w:val="0"/>
              <w:snapToGrid w:val="0"/>
              <w:jc w:val="left"/>
              <w:rPr>
                <w:rFonts w:ascii="仿宋" w:hAnsi="仿宋" w:eastAsia="仿宋" w:cs="仿宋"/>
                <w:szCs w:val="21"/>
              </w:rPr>
            </w:pPr>
          </w:p>
        </w:tc>
        <w:tc>
          <w:tcPr>
            <w:tcW w:w="802" w:type="dxa"/>
            <w:vMerge w:val="continue"/>
            <w:tcBorders>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top w:val="single" w:color="auto" w:sz="4" w:space="0"/>
              <w:left w:val="single" w:color="auto" w:sz="4" w:space="0"/>
            </w:tcBorders>
          </w:tcPr>
          <w:p>
            <w:pPr>
              <w:widowControl/>
              <w:adjustRightInd w:val="0"/>
              <w:snapToGrid w:val="0"/>
              <w:jc w:val="left"/>
              <w:rPr>
                <w:rFonts w:ascii="仿宋" w:hAnsi="仿宋" w:eastAsia="仿宋" w:cs="仿宋"/>
                <w:szCs w:val="21"/>
              </w:rPr>
            </w:pPr>
          </w:p>
        </w:tc>
        <w:tc>
          <w:tcPr>
            <w:tcW w:w="802" w:type="dxa"/>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left"/>
              <w:rPr>
                <w:rFonts w:ascii="仿宋" w:hAnsi="仿宋" w:eastAsia="仿宋" w:cs="仿宋"/>
                <w:szCs w:val="21"/>
              </w:rPr>
            </w:pPr>
          </w:p>
        </w:tc>
        <w:tc>
          <w:tcPr>
            <w:tcW w:w="262" w:type="dxa"/>
            <w:tcBorders>
              <w:top w:val="single" w:color="auto" w:sz="4" w:space="0"/>
              <w:left w:val="single" w:color="auto" w:sz="4" w:space="0"/>
              <w:bottom w:val="single" w:color="auto" w:sz="4" w:space="0"/>
            </w:tcBorders>
            <w:vAlign w:val="center"/>
          </w:tcPr>
          <w:p>
            <w:pPr>
              <w:widowControl/>
              <w:adjustRightInd w:val="0"/>
              <w:snapToGrid w:val="0"/>
              <w:jc w:val="left"/>
              <w:rPr>
                <w:rFonts w:ascii="仿宋" w:hAnsi="仿宋" w:eastAsia="仿宋" w:cs="仿宋"/>
                <w:szCs w:val="21"/>
              </w:rPr>
            </w:pPr>
          </w:p>
        </w:tc>
        <w:tc>
          <w:tcPr>
            <w:tcW w:w="802" w:type="dxa"/>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851"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rPr>
                <w:rFonts w:ascii="仿宋" w:hAnsi="仿宋" w:eastAsia="仿宋" w:cs="仿宋"/>
                <w:szCs w:val="21"/>
              </w:rPr>
            </w:pPr>
          </w:p>
        </w:tc>
        <w:tc>
          <w:tcPr>
            <w:tcW w:w="970" w:type="dxa"/>
            <w:gridSpan w:val="2"/>
            <w:tcBorders>
              <w:top w:val="single" w:color="auto" w:sz="4" w:space="0"/>
              <w:left w:val="single" w:color="auto" w:sz="6" w:space="0"/>
              <w:bottom w:val="single" w:color="auto" w:sz="4" w:space="0"/>
            </w:tcBorders>
          </w:tcPr>
          <w:p>
            <w:pPr>
              <w:adjustRightInd w:val="0"/>
              <w:snapToGrid w:val="0"/>
              <w:spacing w:line="360" w:lineRule="auto"/>
              <w:rPr>
                <w:rFonts w:ascii="仿宋" w:hAnsi="仿宋" w:eastAsia="仿宋" w:cs="仿宋"/>
                <w:szCs w:val="21"/>
              </w:rPr>
            </w:pPr>
          </w:p>
        </w:tc>
        <w:tc>
          <w:tcPr>
            <w:tcW w:w="6477" w:type="dxa"/>
            <w:gridSpan w:val="7"/>
            <w:tcBorders>
              <w:top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kern w:val="0"/>
                <w:szCs w:val="21"/>
              </w:rPr>
            </w:pPr>
          </w:p>
          <w:p>
            <w:pPr>
              <w:adjustRightInd w:val="0"/>
              <w:snapToGrid w:val="0"/>
              <w:spacing w:line="360" w:lineRule="auto"/>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pPr>
              <w:widowControl/>
              <w:adjustRightInd w:val="0"/>
              <w:snapToGrid w:val="0"/>
              <w:jc w:val="left"/>
              <w:rPr>
                <w:rFonts w:ascii="仿宋" w:hAnsi="仿宋" w:eastAsia="仿宋" w:cs="仿宋"/>
                <w:szCs w:val="21"/>
              </w:rPr>
            </w:pPr>
          </w:p>
        </w:tc>
      </w:tr>
    </w:tbl>
    <w:p>
      <w:pPr>
        <w:spacing w:line="520" w:lineRule="exact"/>
        <w:ind w:firstLine="360" w:firstLineChars="150"/>
        <w:rPr>
          <w:rFonts w:hint="eastAsia" w:ascii="仿宋" w:hAnsi="仿宋" w:eastAsia="仿宋"/>
          <w:sz w:val="24"/>
        </w:rPr>
      </w:pPr>
      <w:r>
        <w:rPr>
          <w:rFonts w:hint="eastAsia" w:ascii="仿宋" w:hAnsi="仿宋" w:eastAsia="仿宋"/>
          <w:sz w:val="24"/>
        </w:rPr>
        <w:t>说      明：</w:t>
      </w:r>
    </w:p>
    <w:p>
      <w:pPr>
        <w:spacing w:line="520" w:lineRule="exact"/>
        <w:ind w:firstLine="360" w:firstLineChars="150"/>
        <w:rPr>
          <w:rFonts w:hint="eastAsia" w:ascii="仿宋" w:hAnsi="仿宋" w:eastAsia="仿宋"/>
          <w:sz w:val="24"/>
        </w:rPr>
      </w:pPr>
      <w:r>
        <w:rPr>
          <w:rFonts w:hint="eastAsia" w:ascii="仿宋" w:hAnsi="仿宋" w:eastAsia="仿宋"/>
          <w:sz w:val="24"/>
        </w:rPr>
        <w:t>（一） 合同总价包含到达交货地点的运杂费、技术服务（相关技术指导）、运输费、保险费、培训及其他各项费用。</w:t>
      </w:r>
    </w:p>
    <w:p>
      <w:pPr>
        <w:spacing w:line="520" w:lineRule="exact"/>
        <w:ind w:firstLine="360" w:firstLineChars="150"/>
        <w:rPr>
          <w:rFonts w:hint="eastAsia" w:ascii="仿宋" w:hAnsi="仿宋" w:eastAsia="仿宋"/>
          <w:sz w:val="24"/>
        </w:rPr>
      </w:pPr>
      <w:r>
        <w:rPr>
          <w:rFonts w:hint="eastAsia" w:ascii="仿宋" w:hAnsi="仿宋" w:eastAsia="仿宋"/>
          <w:sz w:val="24"/>
        </w:rPr>
        <w:t>（二）合同总价包括乙方销售本合同产品，国家根据现行税法向乙方征收的与履行合同有关的一切税费。</w:t>
      </w:r>
    </w:p>
    <w:p>
      <w:pPr>
        <w:spacing w:line="520" w:lineRule="exact"/>
        <w:ind w:firstLine="360" w:firstLineChars="150"/>
        <w:rPr>
          <w:rFonts w:hint="eastAsia" w:ascii="仿宋" w:hAnsi="仿宋" w:eastAsia="仿宋"/>
          <w:sz w:val="24"/>
        </w:rPr>
      </w:pPr>
      <w:r>
        <w:rPr>
          <w:rFonts w:hint="eastAsia" w:ascii="仿宋" w:hAnsi="仿宋" w:eastAsia="仿宋"/>
          <w:sz w:val="24"/>
        </w:rPr>
        <w:t>（三） 合同总价一次包死，不受市场价格变化的影响，并作为结算的唯一依据。</w:t>
      </w:r>
    </w:p>
    <w:p>
      <w:pPr>
        <w:spacing w:line="520" w:lineRule="exact"/>
        <w:ind w:firstLine="360" w:firstLineChars="150"/>
        <w:rPr>
          <w:rFonts w:hint="eastAsia" w:ascii="仿宋" w:hAnsi="仿宋" w:eastAsia="仿宋"/>
          <w:sz w:val="24"/>
        </w:rPr>
      </w:pPr>
      <w:r>
        <w:rPr>
          <w:rFonts w:hint="eastAsia" w:ascii="仿宋" w:hAnsi="仿宋" w:eastAsia="仿宋"/>
          <w:sz w:val="24"/>
        </w:rPr>
        <w:t>二、产品质量要求</w:t>
      </w:r>
    </w:p>
    <w:p>
      <w:pPr>
        <w:spacing w:line="520" w:lineRule="exact"/>
        <w:ind w:firstLine="360" w:firstLineChars="150"/>
        <w:rPr>
          <w:rFonts w:hint="eastAsia" w:ascii="仿宋" w:hAnsi="仿宋" w:eastAsia="仿宋"/>
          <w:sz w:val="24"/>
        </w:rPr>
      </w:pPr>
      <w:r>
        <w:rPr>
          <w:rFonts w:hint="eastAsia" w:ascii="仿宋" w:hAnsi="仿宋" w:eastAsia="仿宋"/>
          <w:sz w:val="24"/>
        </w:rPr>
        <w:t>（一） 国家标准：</w:t>
      </w:r>
      <w:r>
        <w:rPr>
          <w:rFonts w:hint="eastAsia" w:ascii="仿宋" w:hAnsi="仿宋" w:eastAsia="仿宋"/>
          <w:sz w:val="24"/>
          <w:u w:val="single"/>
        </w:rPr>
        <w:t xml:space="preserve">  符合国家标准    </w:t>
      </w:r>
      <w:r>
        <w:rPr>
          <w:rFonts w:hint="eastAsia" w:ascii="仿宋" w:hAnsi="仿宋" w:eastAsia="仿宋"/>
          <w:sz w:val="24"/>
        </w:rPr>
        <w:t xml:space="preserve">      </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（二）行业标准： </w:t>
      </w:r>
      <w:r>
        <w:rPr>
          <w:rFonts w:hint="eastAsia" w:ascii="仿宋" w:hAnsi="仿宋" w:eastAsia="仿宋"/>
          <w:sz w:val="24"/>
          <w:u w:val="single"/>
        </w:rPr>
        <w:t xml:space="preserve">   符合行业标准   </w:t>
      </w:r>
      <w:r>
        <w:rPr>
          <w:rFonts w:hint="eastAsia" w:ascii="仿宋" w:hAnsi="仿宋" w:eastAsia="仿宋"/>
          <w:sz w:val="24"/>
        </w:rPr>
        <w:t xml:space="preserve">                                   </w:t>
      </w:r>
    </w:p>
    <w:p>
      <w:pPr>
        <w:spacing w:line="520" w:lineRule="exact"/>
        <w:ind w:firstLine="360" w:firstLineChars="150"/>
        <w:rPr>
          <w:rFonts w:hint="eastAsia" w:ascii="仿宋" w:hAnsi="仿宋" w:eastAsia="仿宋"/>
          <w:sz w:val="24"/>
          <w:u w:val="single"/>
        </w:rPr>
      </w:pPr>
      <w:r>
        <w:rPr>
          <w:rFonts w:hint="eastAsia" w:ascii="仿宋" w:hAnsi="仿宋" w:eastAsia="仿宋"/>
          <w:sz w:val="24"/>
        </w:rPr>
        <w:t>（三） 样品标准：</w:t>
      </w:r>
      <w:r>
        <w:rPr>
          <w:rFonts w:hint="eastAsia" w:ascii="仿宋" w:hAnsi="仿宋" w:eastAsia="仿宋"/>
          <w:sz w:val="24"/>
          <w:u w:val="single"/>
        </w:rPr>
        <w:t xml:space="preserve">  </w:t>
      </w:r>
      <w:r>
        <w:rPr>
          <w:rFonts w:hint="eastAsia" w:ascii="仿宋" w:hAnsi="仿宋" w:eastAsia="仿宋"/>
          <w:sz w:val="24"/>
          <w:u w:val="single"/>
          <w:lang w:val="en-US" w:eastAsia="zh-CN"/>
        </w:rPr>
        <w:t>如果需要，</w:t>
      </w:r>
      <w:r>
        <w:rPr>
          <w:rFonts w:hint="eastAsia" w:ascii="仿宋" w:hAnsi="仿宋" w:eastAsia="仿宋"/>
          <w:sz w:val="24"/>
          <w:u w:val="single"/>
        </w:rPr>
        <w:t xml:space="preserve">乙方按甲方要求制作样品，该样品由甲乙双方封样，由甲方保存 </w:t>
      </w:r>
    </w:p>
    <w:p>
      <w:pPr>
        <w:spacing w:line="520" w:lineRule="exact"/>
        <w:ind w:firstLine="360" w:firstLineChars="150"/>
        <w:rPr>
          <w:rFonts w:hint="eastAsia" w:ascii="仿宋" w:hAnsi="仿宋" w:eastAsia="仿宋"/>
          <w:sz w:val="24"/>
        </w:rPr>
      </w:pPr>
      <w:r>
        <w:rPr>
          <w:rFonts w:hint="eastAsia" w:ascii="仿宋" w:hAnsi="仿宋" w:eastAsia="仿宋"/>
          <w:sz w:val="24"/>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7天内，免费负责更换新的产品。对造成的损失甲方保留索赔的权利。</w:t>
      </w:r>
    </w:p>
    <w:p>
      <w:pPr>
        <w:spacing w:line="520" w:lineRule="exact"/>
        <w:ind w:firstLine="360" w:firstLineChars="150"/>
        <w:rPr>
          <w:rFonts w:hint="eastAsia" w:ascii="仿宋" w:hAnsi="仿宋" w:eastAsia="仿宋"/>
          <w:sz w:val="24"/>
        </w:rPr>
      </w:pPr>
      <w:r>
        <w:rPr>
          <w:rFonts w:hint="eastAsia" w:ascii="仿宋" w:hAnsi="仿宋" w:eastAsia="仿宋"/>
          <w:sz w:val="24"/>
        </w:rPr>
        <w:t>（五）因乙方产品发生知识产权纠纷、质量问题导致的产品被监管部门没收、罚款或召回及因第三方主张民事权利等造成的甲方经济损失和相关费用均由乙方承担。</w:t>
      </w:r>
    </w:p>
    <w:p>
      <w:pPr>
        <w:spacing w:line="520" w:lineRule="exact"/>
        <w:ind w:firstLine="360" w:firstLineChars="150"/>
        <w:rPr>
          <w:rFonts w:hint="eastAsia" w:ascii="仿宋" w:hAnsi="仿宋" w:eastAsia="仿宋"/>
          <w:sz w:val="24"/>
        </w:rPr>
      </w:pPr>
      <w:r>
        <w:rPr>
          <w:rFonts w:hint="eastAsia" w:ascii="仿宋" w:hAnsi="仿宋" w:eastAsia="仿宋"/>
          <w:sz w:val="24"/>
        </w:rPr>
        <w:t>三、包装方式及包装品处理</w:t>
      </w:r>
    </w:p>
    <w:p>
      <w:pPr>
        <w:spacing w:line="520" w:lineRule="exact"/>
        <w:ind w:firstLine="360" w:firstLineChars="150"/>
        <w:rPr>
          <w:rFonts w:hint="eastAsia" w:ascii="仿宋" w:hAnsi="仿宋" w:eastAsia="仿宋"/>
          <w:sz w:val="24"/>
          <w:lang w:eastAsia="zh-CN"/>
        </w:rPr>
      </w:pPr>
      <w:r>
        <w:rPr>
          <w:rFonts w:hint="eastAsia" w:ascii="仿宋" w:hAnsi="仿宋" w:eastAsia="仿宋"/>
          <w:sz w:val="24"/>
        </w:rPr>
        <w:t>（一）包装方式：</w:t>
      </w:r>
      <w:r>
        <w:rPr>
          <w:rFonts w:hint="eastAsia" w:ascii="仿宋" w:hAnsi="仿宋" w:eastAsia="仿宋"/>
          <w:sz w:val="24"/>
          <w:u w:val="single"/>
        </w:rPr>
        <w:t xml:space="preserve">     纸箱/木箱/泡沫   </w:t>
      </w:r>
      <w:r>
        <w:rPr>
          <w:rFonts w:hint="eastAsia" w:ascii="仿宋" w:hAnsi="仿宋" w:eastAsia="仿宋"/>
          <w:sz w:val="24"/>
        </w:rPr>
        <w:t>按合适的包装方式包装，保证运输期间产品质量安全</w:t>
      </w:r>
      <w:r>
        <w:rPr>
          <w:rFonts w:hint="eastAsia" w:ascii="仿宋" w:hAnsi="仿宋" w:eastAsia="仿宋"/>
          <w:sz w:val="24"/>
          <w:lang w:eastAsia="zh-CN"/>
        </w:rPr>
        <w:t>；</w:t>
      </w:r>
    </w:p>
    <w:p>
      <w:pPr>
        <w:spacing w:line="520" w:lineRule="exact"/>
        <w:ind w:firstLine="360" w:firstLineChars="150"/>
        <w:rPr>
          <w:rFonts w:hint="eastAsia" w:ascii="仿宋" w:hAnsi="仿宋" w:eastAsia="仿宋"/>
          <w:sz w:val="24"/>
          <w:u w:val="single"/>
        </w:rPr>
      </w:pPr>
      <w:r>
        <w:rPr>
          <w:rFonts w:hint="eastAsia" w:ascii="仿宋" w:hAnsi="仿宋" w:eastAsia="仿宋"/>
          <w:sz w:val="24"/>
        </w:rPr>
        <w:t>（二）包装品处理：</w:t>
      </w:r>
      <w:r>
        <w:rPr>
          <w:rFonts w:hint="eastAsia" w:ascii="仿宋" w:hAnsi="仿宋" w:eastAsia="仿宋"/>
          <w:sz w:val="24"/>
          <w:u w:val="single"/>
        </w:rPr>
        <w:t xml:space="preserve">   由甲方指定处理           </w:t>
      </w:r>
    </w:p>
    <w:p>
      <w:pPr>
        <w:spacing w:line="520" w:lineRule="exact"/>
        <w:ind w:firstLine="480" w:firstLineChars="200"/>
        <w:rPr>
          <w:rFonts w:hint="eastAsia"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交货方式</w:t>
      </w:r>
    </w:p>
    <w:p>
      <w:pPr>
        <w:spacing w:line="520" w:lineRule="exact"/>
        <w:ind w:firstLine="360" w:firstLineChars="150"/>
        <w:rPr>
          <w:rFonts w:hint="eastAsia" w:ascii="仿宋" w:hAnsi="仿宋" w:eastAsia="仿宋"/>
          <w:sz w:val="24"/>
          <w:u w:val="single"/>
        </w:rPr>
      </w:pPr>
      <w:r>
        <w:rPr>
          <w:rFonts w:hint="eastAsia" w:ascii="仿宋" w:hAnsi="仿宋" w:eastAsia="仿宋"/>
          <w:sz w:val="24"/>
          <w:lang w:eastAsia="zh-CN"/>
        </w:rPr>
        <w:t>（</w:t>
      </w:r>
      <w:r>
        <w:rPr>
          <w:rFonts w:hint="eastAsia" w:ascii="仿宋" w:hAnsi="仿宋" w:eastAsia="仿宋"/>
          <w:sz w:val="24"/>
          <w:lang w:val="en-US" w:eastAsia="zh-CN"/>
        </w:rPr>
        <w:t>一</w:t>
      </w:r>
      <w:r>
        <w:rPr>
          <w:rFonts w:hint="eastAsia" w:ascii="仿宋" w:hAnsi="仿宋" w:eastAsia="仿宋"/>
          <w:sz w:val="24"/>
          <w:lang w:eastAsia="zh-CN"/>
        </w:rPr>
        <w:t>）</w:t>
      </w:r>
      <w:r>
        <w:rPr>
          <w:rFonts w:hint="eastAsia" w:ascii="仿宋" w:hAnsi="仿宋" w:eastAsia="仿宋"/>
          <w:sz w:val="24"/>
        </w:rPr>
        <w:t>交货期限：</w:t>
      </w:r>
      <w:r>
        <w:rPr>
          <w:rFonts w:hint="eastAsia" w:ascii="仿宋" w:hAnsi="仿宋" w:eastAsia="仿宋"/>
          <w:sz w:val="24"/>
          <w:u w:val="single"/>
        </w:rPr>
        <w:t xml:space="preserve">  国产物资自合同签订之日起   日完成交货，进口物资自合同签订之日起   日交货。  </w:t>
      </w:r>
    </w:p>
    <w:p>
      <w:pPr>
        <w:spacing w:line="520" w:lineRule="exact"/>
        <w:ind w:firstLine="360" w:firstLineChars="150"/>
        <w:rPr>
          <w:rFonts w:hint="eastAsia" w:ascii="仿宋" w:hAnsi="仿宋" w:eastAsia="仿宋"/>
          <w:sz w:val="24"/>
          <w:u w:val="single"/>
        </w:rPr>
      </w:pPr>
      <w:r>
        <w:rPr>
          <w:rFonts w:hint="eastAsia" w:ascii="仿宋" w:hAnsi="仿宋" w:eastAsia="仿宋"/>
          <w:sz w:val="24"/>
        </w:rPr>
        <w:t>（</w:t>
      </w:r>
      <w:r>
        <w:rPr>
          <w:rFonts w:hint="eastAsia" w:ascii="仿宋" w:hAnsi="仿宋" w:eastAsia="仿宋"/>
          <w:sz w:val="24"/>
          <w:lang w:val="en-US" w:eastAsia="zh-CN"/>
        </w:rPr>
        <w:t>二</w:t>
      </w:r>
      <w:r>
        <w:rPr>
          <w:rFonts w:hint="eastAsia" w:ascii="仿宋" w:hAnsi="仿宋" w:eastAsia="仿宋"/>
          <w:sz w:val="24"/>
        </w:rPr>
        <w:t>）交货地点：</w:t>
      </w:r>
      <w:r>
        <w:rPr>
          <w:rFonts w:hint="eastAsia" w:ascii="仿宋" w:hAnsi="仿宋" w:eastAsia="仿宋"/>
          <w:sz w:val="24"/>
          <w:u w:val="single"/>
        </w:rPr>
        <w:t xml:space="preserve">   甲方指定地点  </w:t>
      </w:r>
    </w:p>
    <w:p>
      <w:pPr>
        <w:spacing w:line="520" w:lineRule="exact"/>
        <w:ind w:firstLine="360" w:firstLineChars="15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三</w:t>
      </w:r>
      <w:r>
        <w:rPr>
          <w:rFonts w:hint="eastAsia" w:ascii="仿宋" w:hAnsi="仿宋" w:eastAsia="仿宋"/>
          <w:sz w:val="24"/>
        </w:rPr>
        <w:t>）运输方式：</w:t>
      </w:r>
      <w:r>
        <w:rPr>
          <w:rFonts w:hint="eastAsia" w:ascii="仿宋" w:hAnsi="仿宋" w:eastAsia="仿宋"/>
          <w:sz w:val="24"/>
          <w:u w:val="single"/>
        </w:rPr>
        <w:t xml:space="preserve">  乙方负责运输到甲方指定地点 </w:t>
      </w:r>
      <w:r>
        <w:rPr>
          <w:rFonts w:hint="eastAsia" w:ascii="仿宋" w:hAnsi="仿宋" w:eastAsia="仿宋"/>
          <w:sz w:val="24"/>
        </w:rPr>
        <w:t xml:space="preserve">    </w:t>
      </w:r>
    </w:p>
    <w:p>
      <w:pPr>
        <w:spacing w:line="520" w:lineRule="exact"/>
        <w:ind w:firstLine="360" w:firstLineChars="150"/>
        <w:rPr>
          <w:rFonts w:hint="eastAsia" w:ascii="仿宋" w:hAnsi="仿宋" w:eastAsia="仿宋"/>
          <w:sz w:val="24"/>
        </w:rPr>
      </w:pPr>
      <w:r>
        <w:rPr>
          <w:rFonts w:hint="eastAsia" w:ascii="仿宋" w:hAnsi="仿宋" w:eastAsia="仿宋"/>
          <w:sz w:val="24"/>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spacing w:line="520" w:lineRule="exact"/>
        <w:ind w:firstLine="360" w:firstLineChars="15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四</w:t>
      </w:r>
      <w:r>
        <w:rPr>
          <w:rFonts w:hint="eastAsia" w:ascii="仿宋" w:hAnsi="仿宋" w:eastAsia="仿宋"/>
          <w:sz w:val="24"/>
        </w:rPr>
        <w:t>）风险承担：在乙方将产品交付甲方前标的物的毁损、灭失风险由乙方承担。甲方已付乙方的费用中已包含货物的保险费用，乙方应当按规定购买保险。除货物在交付甲方前的损失由乙方承担外，乙方仍应承担货物损失总额</w:t>
      </w:r>
      <w:r>
        <w:rPr>
          <w:rFonts w:hint="eastAsia" w:ascii="仿宋" w:hAnsi="仿宋" w:eastAsia="仿宋"/>
          <w:sz w:val="24"/>
          <w:u w:val="single"/>
          <w:lang w:val="en-US" w:eastAsia="zh-CN"/>
        </w:rPr>
        <w:t xml:space="preserve">   </w:t>
      </w:r>
      <w:r>
        <w:rPr>
          <w:rFonts w:hint="eastAsia" w:ascii="仿宋" w:hAnsi="仿宋" w:eastAsia="仿宋"/>
          <w:sz w:val="24"/>
        </w:rPr>
        <w:t>%的违约金。</w:t>
      </w:r>
    </w:p>
    <w:p>
      <w:pPr>
        <w:spacing w:line="520" w:lineRule="exact"/>
        <w:ind w:firstLine="360" w:firstLineChars="150"/>
        <w:rPr>
          <w:rFonts w:hint="eastAsia" w:ascii="仿宋" w:hAnsi="仿宋" w:eastAsia="仿宋"/>
          <w:sz w:val="24"/>
        </w:rPr>
      </w:pPr>
      <w:r>
        <w:rPr>
          <w:rFonts w:hint="eastAsia" w:ascii="仿宋" w:hAnsi="仿宋" w:eastAsia="仿宋"/>
          <w:sz w:val="24"/>
          <w:lang w:val="en-US" w:eastAsia="zh-CN"/>
        </w:rPr>
        <w:t>五、</w:t>
      </w:r>
      <w:r>
        <w:rPr>
          <w:rFonts w:hint="eastAsia" w:ascii="仿宋" w:hAnsi="仿宋" w:eastAsia="仿宋"/>
          <w:sz w:val="24"/>
        </w:rPr>
        <w:t>验收</w:t>
      </w:r>
    </w:p>
    <w:p>
      <w:pPr>
        <w:spacing w:line="520" w:lineRule="exact"/>
        <w:ind w:firstLine="360" w:firstLineChars="150"/>
        <w:rPr>
          <w:rFonts w:hint="eastAsia" w:ascii="仿宋" w:hAnsi="仿宋" w:eastAsia="仿宋"/>
          <w:sz w:val="24"/>
        </w:rPr>
      </w:pPr>
      <w:r>
        <w:rPr>
          <w:rFonts w:hint="eastAsia" w:ascii="仿宋" w:hAnsi="仿宋" w:eastAsia="仿宋"/>
          <w:sz w:val="24"/>
        </w:rPr>
        <w:t>（一）验收时间：</w:t>
      </w:r>
      <w:r>
        <w:rPr>
          <w:rFonts w:hint="eastAsia" w:ascii="仿宋" w:hAnsi="仿宋" w:eastAsia="仿宋"/>
          <w:sz w:val="24"/>
          <w:u w:val="single"/>
        </w:rPr>
        <w:t xml:space="preserve"> 货到现场验收 。</w:t>
      </w:r>
      <w:r>
        <w:rPr>
          <w:rFonts w:hint="eastAsia" w:ascii="仿宋" w:hAnsi="仿宋" w:eastAsia="仿宋"/>
          <w:sz w:val="24"/>
        </w:rPr>
        <w:t xml:space="preserve">   </w:t>
      </w:r>
    </w:p>
    <w:p>
      <w:pPr>
        <w:spacing w:line="520" w:lineRule="exact"/>
        <w:ind w:firstLine="360" w:firstLineChars="150"/>
        <w:rPr>
          <w:rFonts w:hint="eastAsia" w:ascii="仿宋" w:hAnsi="仿宋" w:eastAsia="仿宋"/>
          <w:sz w:val="24"/>
        </w:rPr>
      </w:pPr>
      <w:r>
        <w:rPr>
          <w:rFonts w:hint="eastAsia" w:ascii="仿宋" w:hAnsi="仿宋" w:eastAsia="仿宋"/>
          <w:sz w:val="24"/>
        </w:rPr>
        <w:t>（二）验收方式：</w:t>
      </w:r>
    </w:p>
    <w:p>
      <w:pPr>
        <w:spacing w:line="520" w:lineRule="exact"/>
        <w:ind w:firstLine="360" w:firstLineChars="150"/>
        <w:rPr>
          <w:rFonts w:hint="eastAsia" w:ascii="仿宋" w:hAnsi="仿宋" w:eastAsia="仿宋"/>
          <w:sz w:val="24"/>
        </w:rPr>
      </w:pPr>
      <w:r>
        <w:rPr>
          <w:rFonts w:hint="eastAsia" w:ascii="仿宋" w:hAnsi="仿宋" w:eastAsia="仿宋"/>
          <w:sz w:val="24"/>
        </w:rPr>
        <w:t>验收按照下列要求验收，如一项不合格，视同产品不合格：</w:t>
      </w:r>
    </w:p>
    <w:p>
      <w:pPr>
        <w:spacing w:line="520" w:lineRule="exact"/>
        <w:ind w:firstLine="240" w:firstLineChars="100"/>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资料验收：供方交货时应按合同规定的要求，提供相关的技术资料。</w:t>
      </w:r>
    </w:p>
    <w:p>
      <w:pPr>
        <w:spacing w:line="520" w:lineRule="exact"/>
        <w:ind w:firstLine="360" w:firstLineChars="15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实物验收：包括产品名称、数量、规格和包装等外观形态。质保期剩余期限不得低于该产品限定质保期的 （按招标文件及中标文件约定执行） 。</w:t>
      </w:r>
    </w:p>
    <w:p>
      <w:pPr>
        <w:spacing w:line="520" w:lineRule="exact"/>
        <w:ind w:firstLine="360" w:firstLineChars="15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产品质量抽检复核。</w:t>
      </w:r>
    </w:p>
    <w:p>
      <w:pPr>
        <w:spacing w:line="520" w:lineRule="exact"/>
        <w:ind w:firstLine="360" w:firstLineChars="150"/>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验收人员可以包括使用部门人员、财务部门人员、乙方人员、代理机构。</w:t>
      </w:r>
    </w:p>
    <w:p>
      <w:pPr>
        <w:spacing w:line="520" w:lineRule="exact"/>
        <w:ind w:firstLine="360" w:firstLineChars="150"/>
        <w:rPr>
          <w:rFonts w:hint="eastAsia" w:ascii="仿宋" w:hAnsi="仿宋" w:eastAsia="仿宋"/>
          <w:sz w:val="24"/>
        </w:rPr>
      </w:pPr>
      <w:r>
        <w:rPr>
          <w:rFonts w:hint="eastAsia" w:ascii="仿宋" w:hAnsi="仿宋" w:eastAsia="仿宋"/>
          <w:sz w:val="24"/>
        </w:rPr>
        <w:t>（三）安装验收：</w:t>
      </w:r>
    </w:p>
    <w:p>
      <w:pPr>
        <w:spacing w:line="520" w:lineRule="exact"/>
        <w:ind w:firstLine="360" w:firstLineChars="150"/>
        <w:rPr>
          <w:rFonts w:hint="eastAsia" w:ascii="仿宋" w:hAnsi="仿宋" w:eastAsia="仿宋"/>
          <w:sz w:val="24"/>
        </w:rPr>
      </w:pPr>
      <w:r>
        <w:rPr>
          <w:rFonts w:hint="eastAsia" w:ascii="仿宋" w:hAnsi="仿宋" w:eastAsia="仿宋"/>
          <w:sz w:val="24"/>
        </w:rPr>
        <w:t>产品如需安装验收，自设备正常运转</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天后，视为验收合格。</w:t>
      </w:r>
    </w:p>
    <w:p>
      <w:pPr>
        <w:spacing w:line="520" w:lineRule="exact"/>
        <w:ind w:firstLine="360" w:firstLineChars="150"/>
        <w:rPr>
          <w:rFonts w:hint="eastAsia" w:ascii="仿宋" w:hAnsi="仿宋" w:eastAsia="仿宋"/>
          <w:sz w:val="24"/>
        </w:rPr>
      </w:pPr>
      <w:r>
        <w:rPr>
          <w:rFonts w:hint="eastAsia" w:ascii="仿宋" w:hAnsi="仿宋" w:eastAsia="仿宋"/>
          <w:sz w:val="24"/>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spacing w:line="520" w:lineRule="exact"/>
        <w:ind w:firstLine="360" w:firstLineChars="150"/>
        <w:rPr>
          <w:rFonts w:hint="eastAsia" w:ascii="仿宋" w:hAnsi="仿宋" w:eastAsia="仿宋"/>
          <w:sz w:val="24"/>
        </w:rPr>
      </w:pPr>
      <w:r>
        <w:rPr>
          <w:rFonts w:hint="eastAsia" w:ascii="仿宋" w:hAnsi="仿宋" w:eastAsia="仿宋"/>
          <w:sz w:val="24"/>
        </w:rPr>
        <w:t>（五）质量争议：对产品质量发生争议由</w:t>
      </w:r>
      <w:r>
        <w:rPr>
          <w:rFonts w:hint="eastAsia" w:ascii="仿宋" w:hAnsi="仿宋" w:eastAsia="仿宋"/>
          <w:sz w:val="24"/>
          <w:u w:val="single"/>
        </w:rPr>
        <w:t xml:space="preserve"> 具有检验资质的第三方 </w:t>
      </w:r>
      <w:r>
        <w:rPr>
          <w:rFonts w:hint="eastAsia" w:ascii="仿宋" w:hAnsi="仿宋" w:eastAsia="仿宋"/>
          <w:sz w:val="24"/>
        </w:rPr>
        <w:t>检验机构进行检验，检验费由</w:t>
      </w:r>
      <w:r>
        <w:rPr>
          <w:rFonts w:hint="eastAsia" w:ascii="仿宋" w:hAnsi="仿宋" w:eastAsia="仿宋"/>
          <w:sz w:val="24"/>
          <w:u w:val="single"/>
        </w:rPr>
        <w:t>乙方</w:t>
      </w:r>
      <w:r>
        <w:rPr>
          <w:rFonts w:hint="eastAsia" w:ascii="仿宋" w:hAnsi="仿宋" w:eastAsia="仿宋"/>
          <w:sz w:val="24"/>
        </w:rPr>
        <w:t xml:space="preserve">承担。  </w:t>
      </w:r>
    </w:p>
    <w:p>
      <w:pPr>
        <w:spacing w:line="520" w:lineRule="exact"/>
        <w:ind w:firstLine="360" w:firstLineChars="150"/>
        <w:rPr>
          <w:rFonts w:hint="eastAsia" w:ascii="仿宋" w:hAnsi="仿宋" w:eastAsia="仿宋"/>
          <w:sz w:val="24"/>
        </w:rPr>
      </w:pPr>
      <w:r>
        <w:rPr>
          <w:rFonts w:hint="eastAsia" w:ascii="仿宋" w:hAnsi="仿宋" w:eastAsia="仿宋"/>
          <w:sz w:val="24"/>
        </w:rPr>
        <w:t>（六）乙方接到甲方对产品质量提出异议的通知后，3天内负责处理并通知甲方处理情况，否则即视为默认甲方提出的异议和处理意见。</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（七）甲方因使用、保管、保养不善等造成产品质量下降的，不得提出异议。 </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（八）货物符合合同约定的技术规范要求和验收标准的，甲方签署验收合格证明 。                    </w:t>
      </w:r>
    </w:p>
    <w:p>
      <w:pPr>
        <w:spacing w:line="520" w:lineRule="exact"/>
        <w:ind w:firstLine="360" w:firstLineChars="150"/>
        <w:rPr>
          <w:rFonts w:hint="eastAsia" w:ascii="仿宋" w:hAnsi="仿宋" w:eastAsia="仿宋"/>
          <w:sz w:val="24"/>
        </w:rPr>
      </w:pPr>
      <w:r>
        <w:rPr>
          <w:rFonts w:hint="eastAsia" w:ascii="仿宋" w:hAnsi="仿宋" w:eastAsia="仿宋"/>
          <w:sz w:val="24"/>
        </w:rPr>
        <w:t>六、款项支付</w:t>
      </w:r>
    </w:p>
    <w:p>
      <w:pPr>
        <w:spacing w:line="520" w:lineRule="exact"/>
        <w:ind w:firstLine="360" w:firstLineChars="150"/>
        <w:rPr>
          <w:rFonts w:hint="eastAsia" w:ascii="仿宋" w:hAnsi="仿宋" w:eastAsia="仿宋"/>
          <w:sz w:val="24"/>
        </w:rPr>
      </w:pPr>
      <w:r>
        <w:rPr>
          <w:rFonts w:hint="eastAsia" w:ascii="仿宋" w:hAnsi="仿宋" w:eastAsia="仿宋"/>
          <w:sz w:val="24"/>
        </w:rPr>
        <w:t>（一）履约保证金</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   为保证乙方能够按合同履约，乙方应交付10%履约保证金</w:t>
      </w:r>
      <w:r>
        <w:rPr>
          <w:rFonts w:hint="eastAsia" w:ascii="仿宋" w:hAnsi="仿宋" w:eastAsia="仿宋"/>
          <w:sz w:val="24"/>
          <w:u w:val="single"/>
          <w:lang w:val="en-US" w:eastAsia="zh-CN"/>
        </w:rPr>
        <w:t xml:space="preserve">   </w:t>
      </w:r>
      <w:r>
        <w:rPr>
          <w:rFonts w:hint="eastAsia" w:ascii="仿宋" w:hAnsi="仿宋" w:eastAsia="仿宋"/>
          <w:sz w:val="24"/>
          <w:u w:val="single"/>
        </w:rPr>
        <w:t>元（￥：元）</w:t>
      </w:r>
      <w:r>
        <w:rPr>
          <w:rFonts w:hint="eastAsia" w:ascii="仿宋" w:hAnsi="仿宋" w:eastAsia="仿宋"/>
          <w:sz w:val="24"/>
          <w:u w:val="single"/>
          <w:lang w:val="en-US" w:eastAsia="zh-CN"/>
        </w:rPr>
        <w:t xml:space="preserve">     </w:t>
      </w:r>
      <w:r>
        <w:rPr>
          <w:rFonts w:hint="eastAsia" w:ascii="仿宋" w:hAnsi="仿宋" w:eastAsia="仿宋"/>
          <w:sz w:val="24"/>
        </w:rPr>
        <w:t>人民币。如物资为设备类，则该履约金自动转为质保金，保证金在质保期开始计算时，转为质保金，待质保期届满（无违约责任）后返还（无息）。如乙方有违约行为，甲方可用该保证金冲抵甲方的损失及乙方的违约金。</w:t>
      </w:r>
    </w:p>
    <w:p>
      <w:pPr>
        <w:spacing w:line="520" w:lineRule="exact"/>
        <w:ind w:firstLine="360" w:firstLineChars="150"/>
        <w:rPr>
          <w:rFonts w:hint="eastAsia" w:ascii="仿宋" w:hAnsi="仿宋" w:eastAsia="仿宋"/>
          <w:sz w:val="24"/>
        </w:rPr>
      </w:pPr>
      <w:r>
        <w:rPr>
          <w:rFonts w:hint="eastAsia" w:ascii="仿宋" w:hAnsi="仿宋" w:eastAsia="仿宋"/>
          <w:sz w:val="24"/>
        </w:rPr>
        <w:t>（二）货款支付：</w:t>
      </w:r>
    </w:p>
    <w:p>
      <w:pPr>
        <w:spacing w:line="520" w:lineRule="exact"/>
        <w:ind w:firstLine="360" w:firstLineChars="150"/>
        <w:rPr>
          <w:rFonts w:hint="eastAsia" w:ascii="仿宋" w:hAnsi="仿宋" w:eastAsia="仿宋"/>
          <w:sz w:val="24"/>
        </w:rPr>
      </w:pPr>
      <w:r>
        <w:rPr>
          <w:rFonts w:hint="eastAsia" w:ascii="仿宋" w:hAnsi="仿宋" w:eastAsia="仿宋"/>
          <w:sz w:val="24"/>
        </w:rPr>
        <w:t>合同总价包含到达交货地点的运杂费、技术服务（相关技术指导）、运输费、保险费、培训、税费及其他各项费用</w:t>
      </w:r>
      <w:r>
        <w:rPr>
          <w:rFonts w:hint="eastAsia" w:ascii="仿宋" w:hAnsi="仿宋" w:eastAsia="仿宋"/>
          <w:sz w:val="24"/>
          <w:u w:val="single"/>
        </w:rPr>
        <w:t>(本合同按 （2）  （5）       执行)</w:t>
      </w:r>
      <w:r>
        <w:rPr>
          <w:rFonts w:hint="eastAsia" w:ascii="仿宋" w:hAnsi="仿宋" w:eastAsia="仿宋"/>
          <w:sz w:val="24"/>
        </w:rPr>
        <w:t>。</w:t>
      </w:r>
    </w:p>
    <w:p>
      <w:pPr>
        <w:spacing w:line="520" w:lineRule="exact"/>
        <w:ind w:firstLine="360" w:firstLineChars="150"/>
        <w:rPr>
          <w:rFonts w:hint="eastAsia" w:ascii="仿宋" w:hAnsi="仿宋" w:eastAsia="仿宋"/>
          <w:sz w:val="24"/>
        </w:rPr>
      </w:pPr>
      <w:r>
        <w:rPr>
          <w:rFonts w:hint="eastAsia" w:ascii="仿宋" w:hAnsi="仿宋" w:eastAsia="仿宋"/>
          <w:sz w:val="24"/>
        </w:rPr>
        <w:t>双方约定，合同签订后，乙方向甲方交纳履约金</w:t>
      </w:r>
      <w:r>
        <w:rPr>
          <w:rFonts w:hint="eastAsia" w:ascii="仿宋" w:hAnsi="仿宋" w:eastAsia="仿宋"/>
          <w:sz w:val="24"/>
          <w:u w:val="single"/>
        </w:rPr>
        <w:t xml:space="preserve">     </w:t>
      </w:r>
      <w:r>
        <w:rPr>
          <w:rFonts w:hint="eastAsia" w:ascii="仿宋" w:hAnsi="仿宋" w:eastAsia="仿宋"/>
          <w:sz w:val="24"/>
        </w:rPr>
        <w:t>元，并向甲方开具合同全额发票，甲方收到履约金和全额发票后向乙方支付全额货款。</w:t>
      </w:r>
    </w:p>
    <w:p>
      <w:pPr>
        <w:spacing w:line="520" w:lineRule="exact"/>
        <w:ind w:firstLine="360" w:firstLineChars="150"/>
        <w:rPr>
          <w:rFonts w:hint="eastAsia" w:ascii="仿宋" w:hAnsi="仿宋" w:eastAsia="仿宋"/>
          <w:sz w:val="24"/>
          <w:u w:val="single"/>
        </w:rPr>
      </w:pPr>
      <w:r>
        <w:rPr>
          <w:rFonts w:hint="eastAsia" w:ascii="仿宋" w:hAnsi="仿宋" w:eastAsia="仿宋"/>
          <w:sz w:val="24"/>
        </w:rPr>
        <w:t>乙方按照甲方需求分批次供货，待所有货物验收合格后，甲方向乙方无息退款10%履约保证金</w:t>
      </w:r>
      <w:r>
        <w:rPr>
          <w:rFonts w:hint="eastAsia" w:ascii="仿宋" w:hAnsi="仿宋" w:eastAsia="仿宋"/>
          <w:sz w:val="24"/>
          <w:u w:val="single"/>
        </w:rPr>
        <w:t xml:space="preserve">       </w:t>
      </w:r>
      <w:r>
        <w:rPr>
          <w:rFonts w:hint="eastAsia" w:ascii="仿宋" w:hAnsi="仿宋" w:eastAsia="仿宋"/>
          <w:sz w:val="24"/>
        </w:rPr>
        <w:t>人民币：</w:t>
      </w:r>
      <w:r>
        <w:rPr>
          <w:rFonts w:hint="eastAsia" w:ascii="仿宋" w:hAnsi="仿宋" w:eastAsia="仿宋"/>
          <w:sz w:val="24"/>
          <w:u w:val="single"/>
        </w:rPr>
        <w:t>（￥：）元</w:t>
      </w:r>
    </w:p>
    <w:p>
      <w:pPr>
        <w:spacing w:line="520" w:lineRule="exact"/>
        <w:ind w:firstLine="360" w:firstLineChars="150"/>
        <w:rPr>
          <w:rFonts w:hint="eastAsia" w:ascii="仿宋" w:hAnsi="仿宋" w:eastAsia="仿宋"/>
          <w:sz w:val="24"/>
        </w:rPr>
      </w:pPr>
      <w:r>
        <w:rPr>
          <w:rFonts w:hint="eastAsia" w:ascii="仿宋" w:hAnsi="仿宋" w:eastAsia="仿宋"/>
          <w:sz w:val="24"/>
        </w:rPr>
        <w:t>（3）双方约定，合同签订后，乙方按照甲方需求一次性供货，所有货物验收合格后，乙方向甲方开具合同全额发票，甲方收到发票后向乙方支付货款</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元</w:t>
      </w:r>
      <w:r>
        <w:rPr>
          <w:rFonts w:hint="eastAsia" w:ascii="仿宋" w:hAnsi="仿宋" w:eastAsia="仿宋"/>
          <w:sz w:val="24"/>
        </w:rPr>
        <w:t>。</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（4）乙方按照甲方需求完成设备类供货，所有设备经甲方验收合格后，退还15%履约保证金 </w:t>
      </w:r>
      <w:r>
        <w:rPr>
          <w:rFonts w:hint="eastAsia" w:ascii="仿宋" w:hAnsi="仿宋" w:eastAsia="仿宋"/>
          <w:sz w:val="24"/>
          <w:u w:val="single"/>
        </w:rPr>
        <w:t xml:space="preserve">             元</w:t>
      </w:r>
      <w:r>
        <w:rPr>
          <w:rFonts w:hint="eastAsia" w:ascii="仿宋" w:hAnsi="仿宋" w:eastAsia="仿宋"/>
          <w:sz w:val="24"/>
        </w:rPr>
        <w:t xml:space="preserve">   ，剩余5%履约保证金</w:t>
      </w:r>
      <w:r>
        <w:rPr>
          <w:rFonts w:hint="eastAsia" w:ascii="仿宋" w:hAnsi="仿宋" w:eastAsia="仿宋"/>
          <w:sz w:val="24"/>
          <w:u w:val="single"/>
        </w:rPr>
        <w:t xml:space="preserve">      元</w:t>
      </w:r>
      <w:r>
        <w:rPr>
          <w:rFonts w:hint="eastAsia" w:ascii="仿宋" w:hAnsi="仿宋" w:eastAsia="仿宋"/>
          <w:sz w:val="24"/>
        </w:rPr>
        <w:t xml:space="preserve">，到质保期届满甲方无异议于  </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个    </w:t>
      </w:r>
      <w:r>
        <w:rPr>
          <w:rFonts w:hint="eastAsia" w:ascii="仿宋" w:hAnsi="仿宋" w:eastAsia="仿宋"/>
          <w:sz w:val="24"/>
        </w:rPr>
        <w:t>工作日返回。</w:t>
      </w:r>
    </w:p>
    <w:p>
      <w:pPr>
        <w:spacing w:line="520" w:lineRule="exact"/>
        <w:ind w:firstLine="360" w:firstLineChars="150"/>
        <w:rPr>
          <w:rFonts w:hint="eastAsia" w:ascii="仿宋" w:hAnsi="仿宋" w:eastAsia="仿宋"/>
          <w:sz w:val="24"/>
        </w:rPr>
      </w:pPr>
      <w:r>
        <w:rPr>
          <w:rFonts w:hint="eastAsia" w:ascii="仿宋" w:hAnsi="仿宋" w:eastAsia="仿宋"/>
          <w:sz w:val="24"/>
        </w:rPr>
        <w:t>（5）付款要求：甲方财务凭下列单据支付货款（按甲乙各方的义务提交）：</w:t>
      </w:r>
    </w:p>
    <w:p>
      <w:pPr>
        <w:spacing w:line="520" w:lineRule="exact"/>
        <w:ind w:firstLine="360" w:firstLineChars="150"/>
        <w:rPr>
          <w:rFonts w:hint="eastAsia" w:ascii="仿宋" w:hAnsi="仿宋" w:eastAsia="仿宋"/>
          <w:sz w:val="24"/>
        </w:rPr>
      </w:pPr>
      <w:r>
        <w:rPr>
          <w:rFonts w:hint="eastAsia" w:ascii="仿宋" w:hAnsi="仿宋" w:eastAsia="仿宋"/>
          <w:sz w:val="24"/>
        </w:rPr>
        <w:t>（a）全额发票（原件及复印件各1份）；（b）中标通知书复印件（1份）（c）自治区疾控中心采购验收单；（d）乙方供货清单（盖章） ； （e）自治区疾控中心物资采购廉洁合同（见附件1）；（f）自治区疾控中心使用科室付款说明  ；（g）供应商评价表（见附件2需由使用科室签字确认）；因乙方提交单据不全导致甲方财务未能付款的，甲方不承担逾期付款责任。</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   （三）付款信息:</w:t>
      </w:r>
    </w:p>
    <w:p>
      <w:pPr>
        <w:spacing w:line="520" w:lineRule="exact"/>
        <w:ind w:firstLine="360" w:firstLineChars="150"/>
        <w:rPr>
          <w:rFonts w:hint="eastAsia" w:ascii="仿宋" w:hAnsi="仿宋" w:eastAsia="仿宋"/>
          <w:sz w:val="24"/>
        </w:rPr>
      </w:pPr>
      <w:r>
        <w:rPr>
          <w:rFonts w:hint="eastAsia" w:ascii="仿宋" w:hAnsi="仿宋" w:eastAsia="仿宋"/>
          <w:sz w:val="24"/>
        </w:rPr>
        <w:t>甲方：</w:t>
      </w:r>
      <w:r>
        <w:rPr>
          <w:rFonts w:hint="eastAsia" w:ascii="仿宋" w:hAnsi="仿宋" w:eastAsia="仿宋"/>
          <w:sz w:val="24"/>
          <w:lang w:eastAsia="zh-CN"/>
        </w:rPr>
        <w:t>新疆维吾尔自治区植物保护站</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乙方：</w:t>
      </w:r>
    </w:p>
    <w:p>
      <w:pPr>
        <w:spacing w:line="520" w:lineRule="exact"/>
        <w:ind w:firstLine="360" w:firstLineChars="150"/>
        <w:rPr>
          <w:rFonts w:hint="eastAsia" w:ascii="仿宋" w:hAnsi="仿宋" w:eastAsia="仿宋"/>
          <w:sz w:val="24"/>
        </w:rPr>
      </w:pPr>
      <w:r>
        <w:rPr>
          <w:rFonts w:hint="eastAsia" w:ascii="仿宋" w:hAnsi="仿宋" w:eastAsia="仿宋"/>
          <w:sz w:val="24"/>
        </w:rPr>
        <w:t>税号：</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税号：   </w:t>
      </w:r>
    </w:p>
    <w:p>
      <w:pPr>
        <w:spacing w:line="520" w:lineRule="exact"/>
        <w:ind w:firstLine="360" w:firstLineChars="150"/>
        <w:rPr>
          <w:rFonts w:hint="eastAsia" w:ascii="仿宋" w:hAnsi="仿宋" w:eastAsia="仿宋"/>
          <w:sz w:val="24"/>
        </w:rPr>
      </w:pPr>
      <w:r>
        <w:rPr>
          <w:rFonts w:hint="eastAsia" w:ascii="仿宋" w:hAnsi="仿宋" w:eastAsia="仿宋"/>
          <w:sz w:val="24"/>
        </w:rPr>
        <w:t>开 户 行：</w:t>
      </w:r>
      <w:r>
        <w:rPr>
          <w:rFonts w:hint="eastAsia" w:ascii="仿宋" w:hAnsi="仿宋" w:eastAsia="仿宋"/>
          <w:sz w:val="24"/>
          <w:lang w:val="en-US" w:eastAsia="zh-CN"/>
        </w:rPr>
        <w:t xml:space="preserve">                     </w:t>
      </w:r>
      <w:r>
        <w:rPr>
          <w:rFonts w:hint="eastAsia" w:ascii="仿宋" w:hAnsi="仿宋" w:eastAsia="仿宋"/>
          <w:sz w:val="24"/>
        </w:rPr>
        <w:t xml:space="preserve">    开户行：</w:t>
      </w:r>
    </w:p>
    <w:p>
      <w:pPr>
        <w:spacing w:line="520" w:lineRule="exact"/>
        <w:ind w:firstLine="360" w:firstLineChars="150"/>
        <w:rPr>
          <w:rFonts w:hint="eastAsia" w:ascii="仿宋" w:hAnsi="仿宋" w:eastAsia="仿宋"/>
          <w:sz w:val="24"/>
        </w:rPr>
      </w:pPr>
      <w:r>
        <w:rPr>
          <w:rFonts w:hint="eastAsia" w:ascii="仿宋" w:hAnsi="仿宋" w:eastAsia="仿宋"/>
          <w:sz w:val="24"/>
        </w:rPr>
        <w:t>开户行号：</w:t>
      </w:r>
      <w:r>
        <w:rPr>
          <w:rFonts w:hint="eastAsia" w:ascii="仿宋" w:hAnsi="仿宋" w:eastAsia="仿宋"/>
          <w:sz w:val="24"/>
          <w:lang w:val="en-US" w:eastAsia="zh-CN"/>
        </w:rPr>
        <w:t xml:space="preserve">      </w:t>
      </w:r>
      <w:r>
        <w:rPr>
          <w:rFonts w:hint="eastAsia" w:ascii="仿宋" w:hAnsi="仿宋" w:eastAsia="仿宋"/>
          <w:sz w:val="24"/>
        </w:rPr>
        <w:t xml:space="preserve">                   开户行号：</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帐   号: </w:t>
      </w:r>
      <w:r>
        <w:rPr>
          <w:rFonts w:hint="eastAsia" w:ascii="仿宋" w:hAnsi="仿宋" w:eastAsia="仿宋"/>
          <w:sz w:val="24"/>
          <w:lang w:val="en-US" w:eastAsia="zh-CN"/>
        </w:rPr>
        <w:t xml:space="preserve">                 </w:t>
      </w:r>
      <w:r>
        <w:rPr>
          <w:rFonts w:hint="eastAsia" w:ascii="仿宋" w:hAnsi="仿宋" w:eastAsia="仿宋"/>
          <w:sz w:val="24"/>
        </w:rPr>
        <w:t xml:space="preserve">         帐   号：</w:t>
      </w:r>
    </w:p>
    <w:p>
      <w:pPr>
        <w:spacing w:line="520" w:lineRule="exact"/>
        <w:ind w:firstLine="360" w:firstLineChars="150"/>
        <w:rPr>
          <w:rFonts w:hint="eastAsia" w:ascii="仿宋" w:hAnsi="仿宋" w:eastAsia="仿宋"/>
          <w:sz w:val="24"/>
        </w:rPr>
      </w:pPr>
    </w:p>
    <w:p>
      <w:pPr>
        <w:spacing w:line="520" w:lineRule="exact"/>
        <w:ind w:firstLine="360" w:firstLineChars="150"/>
        <w:rPr>
          <w:rFonts w:hint="eastAsia" w:ascii="仿宋" w:hAnsi="仿宋" w:eastAsia="仿宋"/>
          <w:sz w:val="24"/>
        </w:rPr>
      </w:pPr>
      <w:r>
        <w:rPr>
          <w:rFonts w:hint="eastAsia" w:ascii="仿宋" w:hAnsi="仿宋" w:eastAsia="仿宋"/>
          <w:sz w:val="24"/>
        </w:rPr>
        <w:t>七、延期交货与核定损失额</w:t>
      </w:r>
    </w:p>
    <w:p>
      <w:pPr>
        <w:spacing w:line="520" w:lineRule="exact"/>
        <w:ind w:firstLine="600" w:firstLineChars="250"/>
        <w:rPr>
          <w:rFonts w:hint="eastAsia" w:ascii="仿宋" w:hAnsi="仿宋" w:eastAsia="仿宋"/>
          <w:sz w:val="24"/>
        </w:rPr>
      </w:pPr>
      <w:r>
        <w:rPr>
          <w:rFonts w:hint="eastAsia" w:ascii="仿宋" w:hAnsi="仿宋" w:eastAsia="仿宋"/>
          <w:sz w:val="24"/>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w:t>
      </w:r>
      <w:r>
        <w:rPr>
          <w:rFonts w:hint="eastAsia" w:ascii="仿宋" w:hAnsi="仿宋" w:eastAsia="仿宋"/>
          <w:color w:val="auto"/>
          <w:sz w:val="24"/>
        </w:rPr>
        <w:t>的</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w:t>
      </w:r>
      <w:r>
        <w:rPr>
          <w:rFonts w:hint="eastAsia" w:ascii="仿宋" w:hAnsi="仿宋" w:eastAsia="仿宋"/>
          <w:sz w:val="24"/>
        </w:rPr>
        <w:t>如果乙方</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none"/>
        </w:rPr>
        <w:t>天</w:t>
      </w:r>
      <w:r>
        <w:rPr>
          <w:rFonts w:hint="eastAsia" w:ascii="仿宋" w:hAnsi="仿宋" w:eastAsia="仿宋"/>
          <w:sz w:val="24"/>
        </w:rPr>
        <w:t>后仍不能交货，甲方有权因乙方违约终止合同，而乙方仍有义务支付上述迟交核定损失金额。</w:t>
      </w:r>
    </w:p>
    <w:p>
      <w:pPr>
        <w:spacing w:line="520" w:lineRule="exact"/>
        <w:ind w:firstLine="360" w:firstLineChars="150"/>
        <w:rPr>
          <w:rFonts w:hint="eastAsia" w:ascii="仿宋" w:hAnsi="仿宋" w:eastAsia="仿宋"/>
          <w:sz w:val="24"/>
        </w:rPr>
      </w:pPr>
      <w:r>
        <w:rPr>
          <w:rFonts w:hint="eastAsia" w:ascii="仿宋" w:hAnsi="仿宋" w:eastAsia="仿宋"/>
          <w:sz w:val="24"/>
        </w:rPr>
        <w:t>八、保密</w:t>
      </w:r>
    </w:p>
    <w:p>
      <w:pPr>
        <w:spacing w:line="520" w:lineRule="exact"/>
        <w:ind w:firstLine="360" w:firstLineChars="150"/>
        <w:rPr>
          <w:rFonts w:hint="eastAsia" w:ascii="仿宋" w:hAnsi="仿宋" w:eastAsia="仿宋"/>
          <w:sz w:val="24"/>
        </w:rPr>
      </w:pPr>
      <w:r>
        <w:rPr>
          <w:rFonts w:hint="eastAsia" w:ascii="仿宋" w:hAnsi="仿宋" w:eastAsia="仿宋"/>
          <w:sz w:val="24"/>
        </w:rPr>
        <w:t>双方保证对从另一方取得且无法自公开渠道获得的商业秘密（技术信息、经济信息及其他商业秘密）予以保密。未经对方同意不得向任何第三方泄露该商业秘密。</w:t>
      </w:r>
    </w:p>
    <w:p>
      <w:pPr>
        <w:spacing w:line="520" w:lineRule="exact"/>
        <w:ind w:firstLine="360" w:firstLineChars="150"/>
        <w:rPr>
          <w:rFonts w:hint="eastAsia" w:ascii="仿宋" w:hAnsi="仿宋" w:eastAsia="仿宋"/>
          <w:sz w:val="24"/>
        </w:rPr>
      </w:pPr>
      <w:r>
        <w:rPr>
          <w:rFonts w:hint="eastAsia" w:ascii="仿宋" w:hAnsi="仿宋" w:eastAsia="仿宋"/>
          <w:sz w:val="24"/>
        </w:rPr>
        <w:t>九、保修与售后服务</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（一）、质保期为 </w:t>
      </w:r>
      <w:r>
        <w:rPr>
          <w:rFonts w:hint="eastAsia" w:ascii="仿宋" w:hAnsi="仿宋" w:eastAsia="仿宋"/>
          <w:sz w:val="24"/>
          <w:lang w:val="en-US" w:eastAsia="zh-CN"/>
        </w:rPr>
        <w:t xml:space="preserve">  </w:t>
      </w:r>
      <w:r>
        <w:rPr>
          <w:rFonts w:hint="eastAsia" w:ascii="仿宋" w:hAnsi="仿宋" w:eastAsia="仿宋"/>
          <w:sz w:val="24"/>
        </w:rPr>
        <w:t>年， 自产品最终验收合格之日起至质保期届满且经甲方确认无任何质量问题时止。在质保期内因产品质量造成产品不能正常使用，影响不能正常工作时间从质保期扣除。</w:t>
      </w:r>
    </w:p>
    <w:p>
      <w:pPr>
        <w:spacing w:line="520" w:lineRule="exact"/>
        <w:ind w:firstLine="360" w:firstLineChars="150"/>
        <w:rPr>
          <w:rFonts w:hint="eastAsia" w:ascii="仿宋" w:hAnsi="仿宋" w:eastAsia="仿宋"/>
          <w:sz w:val="24"/>
        </w:rPr>
      </w:pPr>
      <w:r>
        <w:rPr>
          <w:rFonts w:hint="eastAsia" w:ascii="仿宋" w:hAnsi="仿宋" w:eastAsia="仿宋"/>
          <w:sz w:val="24"/>
        </w:rPr>
        <w:t>（二）、接到甲方通知，乙方应在</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小时</w:t>
      </w:r>
      <w:r>
        <w:rPr>
          <w:rFonts w:hint="eastAsia" w:ascii="仿宋" w:hAnsi="仿宋" w:eastAsia="仿宋"/>
          <w:sz w:val="24"/>
        </w:rPr>
        <w:t>内派遣相关人员到达现场，</w:t>
      </w:r>
      <w:r>
        <w:rPr>
          <w:rFonts w:hint="eastAsia" w:ascii="仿宋" w:hAnsi="仿宋" w:eastAsia="仿宋"/>
          <w:sz w:val="24"/>
          <w:u w:val="single"/>
          <w:lang w:val="en-US" w:eastAsia="zh-CN"/>
        </w:rPr>
        <w:t xml:space="preserve">     </w:t>
      </w:r>
      <w:r>
        <w:rPr>
          <w:rFonts w:hint="eastAsia" w:ascii="仿宋" w:hAnsi="仿宋" w:eastAsia="仿宋"/>
          <w:sz w:val="24"/>
          <w:u w:val="single"/>
        </w:rPr>
        <w:t>小时</w:t>
      </w:r>
      <w:r>
        <w:rPr>
          <w:rFonts w:hint="eastAsia" w:ascii="仿宋" w:hAnsi="仿宋" w:eastAsia="仿宋"/>
          <w:sz w:val="24"/>
        </w:rPr>
        <w:t>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次</w:t>
      </w:r>
      <w:r>
        <w:rPr>
          <w:rFonts w:hint="eastAsia" w:ascii="仿宋" w:hAnsi="仿宋" w:eastAsia="仿宋"/>
          <w:color w:val="auto"/>
          <w:sz w:val="24"/>
        </w:rPr>
        <w:t>维修后</w:t>
      </w:r>
      <w:r>
        <w:rPr>
          <w:rFonts w:hint="eastAsia" w:ascii="仿宋" w:hAnsi="仿宋" w:eastAsia="仿宋"/>
          <w:sz w:val="24"/>
        </w:rPr>
        <w:t>仍不能稳定、可靠运行的，甲方有权要求乙方免费更换。返修或更换部件后的产品保修期应重新计算。</w:t>
      </w:r>
    </w:p>
    <w:p>
      <w:pPr>
        <w:spacing w:line="520" w:lineRule="exact"/>
        <w:ind w:firstLine="360" w:firstLineChars="150"/>
        <w:rPr>
          <w:rFonts w:hint="eastAsia" w:ascii="仿宋" w:hAnsi="仿宋" w:eastAsia="仿宋"/>
          <w:sz w:val="24"/>
        </w:rPr>
      </w:pPr>
      <w:r>
        <w:rPr>
          <w:rFonts w:hint="eastAsia" w:ascii="仿宋" w:hAnsi="仿宋" w:eastAsia="仿宋"/>
          <w:sz w:val="24"/>
        </w:rPr>
        <w:t>（三）、在质保期内，乙方应对产品出现的质量及安全问题负责处理解决并承担一切费用。</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（四）、质保期届满后，乙方对本合同项下产品提供终身维修服务，且维修时只收取所需维修部件的成本费              </w:t>
      </w:r>
    </w:p>
    <w:p>
      <w:pPr>
        <w:spacing w:line="520" w:lineRule="exact"/>
        <w:ind w:firstLine="360" w:firstLineChars="150"/>
        <w:rPr>
          <w:rFonts w:hint="eastAsia" w:ascii="仿宋" w:hAnsi="仿宋" w:eastAsia="仿宋"/>
          <w:sz w:val="24"/>
        </w:rPr>
      </w:pPr>
      <w:r>
        <w:rPr>
          <w:rFonts w:hint="eastAsia" w:ascii="仿宋" w:hAnsi="仿宋" w:eastAsia="仿宋"/>
          <w:sz w:val="24"/>
        </w:rPr>
        <w:t>十、不可抗力</w:t>
      </w:r>
    </w:p>
    <w:p>
      <w:pPr>
        <w:spacing w:line="520" w:lineRule="exact"/>
        <w:ind w:firstLine="360" w:firstLineChars="150"/>
        <w:rPr>
          <w:rFonts w:hint="eastAsia" w:ascii="仿宋" w:hAnsi="仿宋" w:eastAsia="仿宋"/>
          <w:sz w:val="24"/>
        </w:rPr>
      </w:pPr>
      <w:r>
        <w:rPr>
          <w:rFonts w:hint="eastAsia" w:ascii="仿宋" w:hAnsi="仿宋" w:eastAsia="仿宋"/>
          <w:sz w:val="24"/>
        </w:rPr>
        <w:t>本合同所称不可抗力是指不能预见、不能克服、不能避免并对另一方造成重大影响的客观事件。包括但不限于自然灾害如洪水、地震、火灾和风暴等以及社会事件如战争、动乱、政府行为等。</w:t>
      </w:r>
    </w:p>
    <w:p>
      <w:pPr>
        <w:spacing w:line="520" w:lineRule="exact"/>
        <w:ind w:firstLine="600" w:firstLineChars="250"/>
        <w:rPr>
          <w:rFonts w:hint="eastAsia" w:ascii="仿宋" w:hAnsi="仿宋" w:eastAsia="仿宋"/>
          <w:sz w:val="24"/>
        </w:rPr>
      </w:pPr>
      <w:r>
        <w:rPr>
          <w:rFonts w:hint="eastAsia" w:ascii="仿宋" w:hAnsi="仿宋" w:eastAsia="仿宋"/>
          <w:sz w:val="24"/>
        </w:rPr>
        <w:t>如遇不可抗力事件的一方导致合同无法履行时，应立即将事故情况书面告知另一方，并在3天内，提供事故详情。</w:t>
      </w:r>
    </w:p>
    <w:p>
      <w:pPr>
        <w:spacing w:line="520" w:lineRule="exact"/>
        <w:ind w:firstLine="360" w:firstLineChars="150"/>
        <w:rPr>
          <w:rFonts w:hint="eastAsia" w:ascii="仿宋" w:hAnsi="仿宋" w:eastAsia="仿宋"/>
          <w:sz w:val="24"/>
        </w:rPr>
      </w:pPr>
      <w:r>
        <w:rPr>
          <w:rFonts w:hint="eastAsia" w:ascii="仿宋" w:hAnsi="仿宋" w:eastAsia="仿宋"/>
          <w:sz w:val="24"/>
        </w:rPr>
        <w:t>十一、违约责任</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（一）、在补救违约而采取的任何其他措施未能实现的情况下，即在乙方收到甲方发出的违约整改通知后 </w:t>
      </w:r>
      <w:r>
        <w:rPr>
          <w:rFonts w:hint="eastAsia" w:ascii="仿宋" w:hAnsi="仿宋" w:eastAsia="仿宋"/>
          <w:sz w:val="24"/>
          <w:u w:val="single"/>
          <w:lang w:val="en-US" w:eastAsia="zh-CN"/>
        </w:rPr>
        <w:t xml:space="preserve">   </w:t>
      </w:r>
      <w:r>
        <w:rPr>
          <w:rFonts w:hint="eastAsia" w:ascii="仿宋" w:hAnsi="仿宋" w:eastAsia="仿宋"/>
          <w:sz w:val="24"/>
        </w:rPr>
        <w:t>天内(或经甲方书面确认的更长时间内)仍未纠正其下述任何一种违约行为，甲方可向乙方发出书面解除通知，终止全部或部分合同条款：</w:t>
      </w:r>
    </w:p>
    <w:p>
      <w:pPr>
        <w:spacing w:line="520" w:lineRule="exact"/>
        <w:ind w:firstLine="360" w:firstLineChars="150"/>
        <w:rPr>
          <w:rFonts w:hint="eastAsia" w:ascii="仿宋" w:hAnsi="仿宋" w:eastAsia="仿宋"/>
          <w:sz w:val="24"/>
        </w:rPr>
      </w:pPr>
      <w:r>
        <w:rPr>
          <w:rFonts w:hint="eastAsia" w:ascii="仿宋" w:hAnsi="仿宋" w:eastAsia="仿宋"/>
          <w:sz w:val="24"/>
        </w:rPr>
        <w:t>(1)如果乙方未能在合同规定的期限内或甲方准许的任何延期内交付部分或全部产品。</w:t>
      </w:r>
    </w:p>
    <w:p>
      <w:pPr>
        <w:spacing w:line="520" w:lineRule="exact"/>
        <w:ind w:firstLine="360" w:firstLineChars="150"/>
        <w:rPr>
          <w:rFonts w:hint="eastAsia" w:ascii="仿宋" w:hAnsi="仿宋" w:eastAsia="仿宋"/>
          <w:sz w:val="24"/>
        </w:rPr>
      </w:pPr>
      <w:r>
        <w:rPr>
          <w:rFonts w:hint="eastAsia" w:ascii="仿宋" w:hAnsi="仿宋" w:eastAsia="仿宋"/>
          <w:sz w:val="24"/>
        </w:rPr>
        <w:t>(2)乙方未能履行合同项下的其它义务。</w:t>
      </w:r>
    </w:p>
    <w:p>
      <w:pPr>
        <w:spacing w:line="520" w:lineRule="exact"/>
        <w:ind w:firstLine="360" w:firstLineChars="150"/>
        <w:rPr>
          <w:rFonts w:hint="eastAsia" w:ascii="仿宋" w:hAnsi="仿宋" w:eastAsia="仿宋"/>
          <w:sz w:val="24"/>
        </w:rPr>
      </w:pPr>
      <w:r>
        <w:rPr>
          <w:rFonts w:hint="eastAsia" w:ascii="仿宋" w:hAnsi="仿宋" w:eastAsia="仿宋"/>
          <w:sz w:val="24"/>
        </w:rPr>
        <w:t>（二）、因乙方违约致使甲方终止合同时，乙方除退还甲方已付全部货款及资金占用费外，应无条件承担合同总价</w:t>
      </w:r>
      <w:r>
        <w:rPr>
          <w:rFonts w:hint="eastAsia" w:ascii="仿宋" w:hAnsi="仿宋" w:eastAsia="仿宋"/>
          <w:sz w:val="24"/>
          <w:u w:val="single"/>
          <w:lang w:val="en-US" w:eastAsia="zh-CN"/>
        </w:rPr>
        <w:t xml:space="preserve">    </w:t>
      </w:r>
      <w:r>
        <w:rPr>
          <w:rFonts w:hint="eastAsia" w:ascii="仿宋" w:hAnsi="仿宋" w:eastAsia="仿宋"/>
          <w:sz w:val="24"/>
          <w:u w:val="single"/>
        </w:rPr>
        <w:t>%</w:t>
      </w:r>
      <w:r>
        <w:rPr>
          <w:rFonts w:hint="eastAsia" w:ascii="仿宋" w:hAnsi="仿宋" w:eastAsia="仿宋"/>
          <w:sz w:val="24"/>
        </w:rPr>
        <w:t>的违约金。</w:t>
      </w:r>
    </w:p>
    <w:p>
      <w:pPr>
        <w:spacing w:line="520" w:lineRule="exact"/>
        <w:ind w:firstLine="360" w:firstLineChars="150"/>
        <w:rPr>
          <w:rFonts w:hint="eastAsia" w:ascii="仿宋" w:hAnsi="仿宋" w:eastAsia="仿宋"/>
          <w:sz w:val="24"/>
        </w:rPr>
      </w:pPr>
      <w:r>
        <w:rPr>
          <w:rFonts w:hint="eastAsia" w:ascii="仿宋" w:hAnsi="仿宋" w:eastAsia="仿宋"/>
          <w:sz w:val="24"/>
        </w:rPr>
        <w:t>（三）、严禁乙方转让合同，若乙方违约，则甲方有权终止合同，乙方承担合同总价</w:t>
      </w:r>
      <w:r>
        <w:rPr>
          <w:rFonts w:hint="eastAsia" w:ascii="仿宋" w:hAnsi="仿宋" w:eastAsia="仿宋"/>
          <w:sz w:val="24"/>
          <w:u w:val="single"/>
        </w:rPr>
        <w:t>30%</w:t>
      </w:r>
      <w:r>
        <w:rPr>
          <w:rFonts w:hint="eastAsia" w:ascii="仿宋" w:hAnsi="仿宋" w:eastAsia="仿宋"/>
          <w:sz w:val="24"/>
        </w:rPr>
        <w:t>的违约金。</w:t>
      </w:r>
    </w:p>
    <w:p>
      <w:pPr>
        <w:spacing w:line="520" w:lineRule="exact"/>
        <w:ind w:firstLine="360" w:firstLineChars="150"/>
        <w:rPr>
          <w:rFonts w:hint="eastAsia" w:ascii="仿宋" w:hAnsi="仿宋" w:eastAsia="仿宋"/>
          <w:sz w:val="24"/>
        </w:rPr>
      </w:pPr>
      <w:r>
        <w:rPr>
          <w:rFonts w:hint="eastAsia" w:ascii="仿宋" w:hAnsi="仿宋" w:eastAsia="仿宋"/>
          <w:sz w:val="24"/>
        </w:rPr>
        <w:t>（四）、任何一方违约应承担守约方因主张权利而支付的所有费用，包含且不限于误工费、差旅费、住宿费、交通费、律师费等。</w:t>
      </w:r>
    </w:p>
    <w:p>
      <w:pPr>
        <w:spacing w:line="520" w:lineRule="exact"/>
        <w:ind w:firstLine="360" w:firstLineChars="150"/>
        <w:rPr>
          <w:rFonts w:hint="eastAsia" w:ascii="仿宋" w:hAnsi="仿宋" w:eastAsia="仿宋"/>
          <w:sz w:val="24"/>
        </w:rPr>
      </w:pPr>
      <w:r>
        <w:rPr>
          <w:rFonts w:hint="eastAsia" w:ascii="仿宋" w:hAnsi="仿宋" w:eastAsia="仿宋"/>
          <w:sz w:val="24"/>
        </w:rPr>
        <w:t>十二、其它事项</w:t>
      </w:r>
    </w:p>
    <w:p>
      <w:pPr>
        <w:spacing w:line="520" w:lineRule="exact"/>
        <w:ind w:firstLine="360" w:firstLineChars="150"/>
        <w:rPr>
          <w:rFonts w:hint="eastAsia" w:ascii="仿宋" w:hAnsi="仿宋" w:eastAsia="仿宋"/>
          <w:sz w:val="24"/>
        </w:rPr>
      </w:pPr>
      <w:r>
        <w:rPr>
          <w:rFonts w:hint="eastAsia" w:ascii="仿宋" w:hAnsi="仿宋" w:eastAsia="仿宋"/>
          <w:sz w:val="24"/>
        </w:rPr>
        <w:t>（一）、招投标文件均作为合同不可分割的部分。解释顺序为招标文件、投标文件、合同、合同附件。</w:t>
      </w:r>
    </w:p>
    <w:p>
      <w:pPr>
        <w:spacing w:line="520" w:lineRule="exact"/>
        <w:ind w:firstLine="360" w:firstLineChars="150"/>
        <w:rPr>
          <w:rFonts w:hint="eastAsia" w:ascii="仿宋" w:hAnsi="仿宋" w:eastAsia="仿宋"/>
          <w:sz w:val="24"/>
        </w:rPr>
      </w:pPr>
      <w:r>
        <w:rPr>
          <w:rFonts w:hint="eastAsia" w:ascii="仿宋" w:hAnsi="仿宋" w:eastAsia="仿宋"/>
          <w:sz w:val="24"/>
        </w:rPr>
        <w:t>（二）、合同未尽事宜，由甲、乙双方协商，作为合同的补充与原合同具有同等法律效力。</w:t>
      </w:r>
    </w:p>
    <w:p>
      <w:pPr>
        <w:spacing w:line="520" w:lineRule="exact"/>
        <w:ind w:firstLine="360" w:firstLineChars="150"/>
        <w:rPr>
          <w:rFonts w:hint="eastAsia" w:ascii="仿宋" w:hAnsi="仿宋" w:eastAsia="仿宋"/>
          <w:sz w:val="24"/>
        </w:rPr>
      </w:pPr>
      <w:r>
        <w:rPr>
          <w:rFonts w:hint="eastAsia" w:ascii="仿宋" w:hAnsi="仿宋" w:eastAsia="仿宋"/>
          <w:sz w:val="24"/>
        </w:rPr>
        <w:t>（三）、双方如对履行合同发生争执，应友好协商解决，如协商不成，任何一方均可向甲方所在地法院提起诉讼。</w:t>
      </w:r>
    </w:p>
    <w:p>
      <w:pPr>
        <w:spacing w:line="520" w:lineRule="exact"/>
        <w:ind w:firstLine="360" w:firstLineChars="150"/>
        <w:rPr>
          <w:rFonts w:hint="eastAsia" w:ascii="仿宋" w:hAnsi="仿宋" w:eastAsia="仿宋"/>
          <w:sz w:val="24"/>
        </w:rPr>
      </w:pPr>
      <w:r>
        <w:rPr>
          <w:rFonts w:hint="eastAsia" w:ascii="仿宋" w:hAnsi="仿宋" w:eastAsia="仿宋"/>
          <w:sz w:val="24"/>
        </w:rPr>
        <w:t>十三、 通知和送达</w:t>
      </w:r>
    </w:p>
    <w:p>
      <w:pPr>
        <w:spacing w:line="520" w:lineRule="exact"/>
        <w:ind w:firstLine="360" w:firstLineChars="150"/>
        <w:rPr>
          <w:rFonts w:hint="eastAsia" w:ascii="仿宋" w:hAnsi="仿宋" w:eastAsia="仿宋"/>
          <w:sz w:val="24"/>
        </w:rPr>
      </w:pPr>
      <w:r>
        <w:rPr>
          <w:rFonts w:hint="eastAsia" w:ascii="仿宋" w:hAnsi="仿宋" w:eastAsia="仿宋"/>
          <w:sz w:val="24"/>
        </w:rPr>
        <w:t>甲、乙双方因履行本合同而相互发出或者提供的所有通知、文件、材料等均以本合同所列明的地址、电子邮箱、传真送达。一方迁址或者变更邮箱、传真电话的，应当五日内书面通知对方。</w:t>
      </w:r>
    </w:p>
    <w:p>
      <w:pPr>
        <w:spacing w:line="520" w:lineRule="exact"/>
        <w:ind w:firstLine="360" w:firstLineChars="150"/>
        <w:rPr>
          <w:rFonts w:hint="eastAsia" w:ascii="仿宋" w:hAnsi="仿宋" w:eastAsia="仿宋"/>
          <w:sz w:val="24"/>
        </w:rPr>
      </w:pPr>
      <w:r>
        <w:rPr>
          <w:rFonts w:hint="eastAsia" w:ascii="仿宋" w:hAnsi="仿宋" w:eastAsia="仿宋"/>
          <w:sz w:val="24"/>
        </w:rPr>
        <w:t>以当面交付文件方式送达的，交付之时视为送达；以电子邮件方式送达的，发出电子邮件时视为送达；以传真方式送达的，发出传真时视为送达；以邮寄方式送达的，邮件交邮当日视为送达。</w:t>
      </w:r>
    </w:p>
    <w:p>
      <w:pPr>
        <w:spacing w:line="520" w:lineRule="exact"/>
        <w:ind w:firstLine="240" w:firstLineChars="100"/>
        <w:rPr>
          <w:rFonts w:hint="eastAsia" w:ascii="仿宋" w:hAnsi="仿宋" w:eastAsia="仿宋"/>
          <w:sz w:val="24"/>
        </w:rPr>
      </w:pPr>
      <w:r>
        <w:rPr>
          <w:rFonts w:hint="eastAsia" w:ascii="仿宋" w:hAnsi="仿宋" w:eastAsia="仿宋"/>
          <w:sz w:val="24"/>
        </w:rPr>
        <w:t>十四、本合同签订时间、地点、履行期限</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 （一）签订时间：</w:t>
      </w:r>
      <w:r>
        <w:rPr>
          <w:rFonts w:hint="eastAsia" w:ascii="仿宋" w:hAnsi="仿宋" w:eastAsia="仿宋"/>
          <w:sz w:val="24"/>
          <w:u w:val="single"/>
        </w:rPr>
        <w:t xml:space="preserve">   年    月     日   </w:t>
      </w:r>
      <w:r>
        <w:rPr>
          <w:rFonts w:hint="eastAsia" w:ascii="仿宋" w:hAnsi="仿宋" w:eastAsia="仿宋"/>
          <w:sz w:val="24"/>
        </w:rPr>
        <w:t xml:space="preserve">   </w:t>
      </w:r>
    </w:p>
    <w:p>
      <w:pPr>
        <w:spacing w:line="520" w:lineRule="exact"/>
        <w:ind w:firstLine="360" w:firstLineChars="150"/>
        <w:rPr>
          <w:rFonts w:hint="eastAsia" w:ascii="仿宋" w:hAnsi="仿宋" w:eastAsia="仿宋"/>
          <w:sz w:val="24"/>
          <w:u w:val="single"/>
        </w:rPr>
      </w:pPr>
      <w:r>
        <w:rPr>
          <w:rFonts w:hint="eastAsia" w:ascii="仿宋" w:hAnsi="仿宋" w:eastAsia="仿宋"/>
          <w:sz w:val="24"/>
        </w:rPr>
        <w:t xml:space="preserve"> （二）签订地点：</w:t>
      </w:r>
      <w:r>
        <w:rPr>
          <w:rFonts w:hint="eastAsia" w:ascii="仿宋" w:hAnsi="仿宋" w:eastAsia="仿宋"/>
          <w:sz w:val="24"/>
          <w:u w:val="single"/>
        </w:rPr>
        <w:t>甲方所在地。</w:t>
      </w:r>
    </w:p>
    <w:p>
      <w:pPr>
        <w:spacing w:line="520" w:lineRule="exact"/>
        <w:ind w:firstLine="360" w:firstLineChars="150"/>
        <w:rPr>
          <w:rFonts w:hint="eastAsia" w:ascii="仿宋" w:hAnsi="仿宋" w:eastAsia="仿宋"/>
          <w:sz w:val="24"/>
        </w:rPr>
      </w:pPr>
      <w:r>
        <w:rPr>
          <w:rFonts w:hint="eastAsia" w:ascii="仿宋" w:hAnsi="仿宋" w:eastAsia="仿宋"/>
          <w:sz w:val="24"/>
        </w:rPr>
        <w:t>十五、合同签订及生效：本合同   页码，一式四份，甲方执叁份、乙方执壹份，双方签字并盖章后生效。</w:t>
      </w:r>
    </w:p>
    <w:p>
      <w:pPr>
        <w:spacing w:line="520" w:lineRule="exact"/>
        <w:ind w:firstLine="360" w:firstLineChars="150"/>
        <w:jc w:val="center"/>
        <w:rPr>
          <w:rFonts w:hint="eastAsia" w:ascii="仿宋" w:hAnsi="仿宋" w:eastAsia="仿宋" w:cs="Bookman Old Style"/>
          <w:sz w:val="24"/>
        </w:rPr>
      </w:pPr>
      <w:r>
        <w:rPr>
          <w:rFonts w:hint="eastAsia" w:ascii="仿宋" w:hAnsi="仿宋" w:eastAsia="仿宋"/>
          <w:sz w:val="24"/>
        </w:rPr>
        <w:t>（以下无正文，为本合同签署页）</w:t>
      </w:r>
    </w:p>
    <w:p>
      <w:pPr>
        <w:spacing w:line="520" w:lineRule="exact"/>
        <w:ind w:firstLine="360" w:firstLineChars="150"/>
        <w:rPr>
          <w:rFonts w:hint="eastAsia" w:ascii="仿宋" w:hAnsi="仿宋" w:eastAsia="仿宋"/>
          <w:sz w:val="24"/>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889" w:type="dxa"/>
            <w:noWrap w:val="0"/>
            <w:vAlign w:val="center"/>
          </w:tcPr>
          <w:p>
            <w:pPr>
              <w:spacing w:line="520" w:lineRule="exact"/>
              <w:rPr>
                <w:rFonts w:hint="eastAsia" w:ascii="仿宋" w:hAnsi="仿宋" w:eastAsia="仿宋"/>
                <w:sz w:val="24"/>
              </w:rPr>
            </w:pPr>
            <w:r>
              <w:rPr>
                <w:rFonts w:hint="eastAsia" w:ascii="仿宋" w:hAnsi="仿宋" w:eastAsia="仿宋"/>
                <w:sz w:val="24"/>
              </w:rPr>
              <w:t>甲方：</w:t>
            </w:r>
            <w:r>
              <w:rPr>
                <w:rFonts w:hint="eastAsia" w:ascii="仿宋" w:hAnsi="仿宋" w:eastAsia="仿宋"/>
                <w:sz w:val="24"/>
                <w:lang w:eastAsia="zh-CN"/>
              </w:rPr>
              <w:t>新疆维吾尔自治区植物保护站</w:t>
            </w:r>
            <w:r>
              <w:rPr>
                <w:rFonts w:hint="eastAsia" w:ascii="仿宋" w:hAnsi="仿宋" w:eastAsia="仿宋"/>
                <w:sz w:val="24"/>
              </w:rPr>
              <w:t>（盖章）</w:t>
            </w:r>
          </w:p>
        </w:tc>
        <w:tc>
          <w:tcPr>
            <w:tcW w:w="4891"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89" w:type="dxa"/>
            <w:noWrap w:val="0"/>
            <w:vAlign w:val="center"/>
          </w:tcPr>
          <w:p>
            <w:pPr>
              <w:spacing w:line="520" w:lineRule="exact"/>
              <w:ind w:firstLine="360" w:firstLineChars="150"/>
              <w:rPr>
                <w:rFonts w:hint="eastAsia" w:ascii="仿宋" w:hAnsi="仿宋" w:eastAsia="仿宋"/>
                <w:sz w:val="24"/>
                <w:lang w:eastAsia="zh-CN"/>
              </w:rPr>
            </w:pPr>
            <w:r>
              <w:rPr>
                <w:rFonts w:hint="eastAsia" w:ascii="仿宋" w:hAnsi="仿宋" w:eastAsia="仿宋"/>
                <w:sz w:val="24"/>
              </w:rPr>
              <w:t>地址：</w:t>
            </w:r>
            <w:r>
              <w:rPr>
                <w:rFonts w:hint="eastAsia" w:ascii="仿宋" w:hAnsi="仿宋" w:eastAsia="仿宋"/>
                <w:sz w:val="24"/>
                <w:lang w:val="en-US" w:eastAsia="zh-CN"/>
              </w:rPr>
              <w:t xml:space="preserve"> </w:t>
            </w:r>
          </w:p>
        </w:tc>
        <w:tc>
          <w:tcPr>
            <w:tcW w:w="4891"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89"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 xml:space="preserve">法定代表人： </w:t>
            </w:r>
          </w:p>
        </w:tc>
        <w:tc>
          <w:tcPr>
            <w:tcW w:w="4891"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889"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代理人：</w:t>
            </w:r>
          </w:p>
        </w:tc>
        <w:tc>
          <w:tcPr>
            <w:tcW w:w="4891"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代 理 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889" w:type="dxa"/>
            <w:noWrap w:val="0"/>
            <w:vAlign w:val="center"/>
          </w:tcPr>
          <w:p>
            <w:pPr>
              <w:spacing w:line="520" w:lineRule="exact"/>
              <w:ind w:firstLine="360" w:firstLineChars="150"/>
              <w:rPr>
                <w:rFonts w:hint="eastAsia" w:ascii="仿宋" w:hAnsi="仿宋" w:eastAsia="仿宋"/>
                <w:sz w:val="24"/>
                <w:lang w:eastAsia="zh-CN"/>
              </w:rPr>
            </w:pPr>
            <w:r>
              <w:rPr>
                <w:rFonts w:hint="eastAsia" w:ascii="仿宋" w:hAnsi="仿宋" w:eastAsia="仿宋"/>
                <w:sz w:val="24"/>
              </w:rPr>
              <w:t>联系电话：</w:t>
            </w:r>
            <w:r>
              <w:rPr>
                <w:rFonts w:hint="eastAsia" w:ascii="仿宋" w:hAnsi="仿宋" w:eastAsia="仿宋"/>
                <w:sz w:val="24"/>
                <w:lang w:val="en-US" w:eastAsia="zh-CN"/>
              </w:rPr>
              <w:t xml:space="preserve"> </w:t>
            </w:r>
          </w:p>
        </w:tc>
        <w:tc>
          <w:tcPr>
            <w:tcW w:w="4891" w:type="dxa"/>
            <w:noWrap w:val="0"/>
            <w:vAlign w:val="center"/>
          </w:tcPr>
          <w:p>
            <w:pPr>
              <w:spacing w:line="520" w:lineRule="exact"/>
              <w:ind w:firstLine="360" w:firstLineChars="150"/>
              <w:rPr>
                <w:rFonts w:hint="eastAsia" w:ascii="仿宋" w:hAnsi="仿宋" w:eastAsia="仿宋"/>
                <w:sz w:val="24"/>
              </w:rPr>
            </w:pPr>
            <w:r>
              <w:rPr>
                <w:rFonts w:hint="eastAsia" w:ascii="仿宋" w:hAnsi="仿宋" w:eastAsia="仿宋"/>
                <w:sz w:val="24"/>
              </w:rPr>
              <w:t>联系电话：</w:t>
            </w:r>
          </w:p>
        </w:tc>
      </w:tr>
    </w:tbl>
    <w:p>
      <w:pPr>
        <w:spacing w:line="520" w:lineRule="exact"/>
        <w:ind w:firstLine="360" w:firstLineChars="150"/>
        <w:rPr>
          <w:rFonts w:hint="eastAsia" w:ascii="仿宋" w:hAnsi="仿宋" w:eastAsia="仿宋"/>
          <w:sz w:val="24"/>
        </w:rPr>
      </w:pPr>
      <w:r>
        <w:rPr>
          <w:rFonts w:hint="eastAsia" w:ascii="仿宋" w:hAnsi="仿宋" w:eastAsia="仿宋"/>
          <w:sz w:val="24"/>
        </w:rPr>
        <w:t xml:space="preserve">                                                                        </w:t>
      </w:r>
    </w:p>
    <w:p>
      <w:pPr>
        <w:spacing w:line="520" w:lineRule="exact"/>
        <w:ind w:firstLine="360" w:firstLineChars="150"/>
        <w:rPr>
          <w:rFonts w:hint="eastAsia" w:ascii="仿宋" w:hAnsi="仿宋" w:eastAsia="仿宋"/>
          <w:sz w:val="24"/>
        </w:rPr>
      </w:pPr>
      <w:r>
        <w:rPr>
          <w:rFonts w:hint="eastAsia" w:ascii="仿宋" w:hAnsi="仿宋" w:eastAsia="仿宋"/>
          <w:sz w:val="24"/>
        </w:rPr>
        <w:t xml:space="preserve">                                            </w:t>
      </w:r>
    </w:p>
    <w:p>
      <w:pPr>
        <w:spacing w:line="520" w:lineRule="exact"/>
        <w:ind w:firstLine="360" w:firstLineChars="150"/>
        <w:jc w:val="right"/>
        <w:rPr>
          <w:rFonts w:hint="eastAsia"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日期：</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年</w:t>
      </w:r>
      <w:r>
        <w:rPr>
          <w:rFonts w:hint="eastAsia" w:ascii="仿宋" w:hAnsi="仿宋" w:eastAsia="仿宋"/>
          <w:sz w:val="24"/>
        </w:rPr>
        <w:t xml:space="preserve"> </w:t>
      </w:r>
      <w:r>
        <w:rPr>
          <w:rFonts w:ascii="仿宋" w:hAnsi="仿宋" w:eastAsia="仿宋"/>
          <w:sz w:val="24"/>
        </w:rPr>
        <w:t xml:space="preserve"> 月</w:t>
      </w:r>
      <w:r>
        <w:rPr>
          <w:rFonts w:hint="eastAsia" w:ascii="仿宋" w:hAnsi="仿宋" w:eastAsia="仿宋"/>
          <w:sz w:val="24"/>
        </w:rPr>
        <w:t xml:space="preserve">  </w:t>
      </w:r>
      <w:r>
        <w:rPr>
          <w:rFonts w:ascii="仿宋" w:hAnsi="仿宋" w:eastAsia="仿宋"/>
          <w:sz w:val="24"/>
        </w:rPr>
        <w:t xml:space="preserve">日  </w:t>
      </w:r>
      <w:r>
        <w:rPr>
          <w:rFonts w:hint="eastAsia" w:ascii="仿宋" w:hAnsi="仿宋" w:eastAsia="仿宋"/>
          <w:sz w:val="24"/>
        </w:rPr>
        <w:t xml:space="preserve">   </w:t>
      </w:r>
    </w:p>
    <w:p>
      <w:pPr>
        <w:spacing w:line="520" w:lineRule="exact"/>
        <w:ind w:firstLine="360" w:firstLineChars="150"/>
        <w:rPr>
          <w:rFonts w:hint="eastAsia" w:ascii="仿宋" w:hAnsi="仿宋" w:eastAsia="仿宋"/>
          <w:sz w:val="24"/>
        </w:rPr>
      </w:pPr>
    </w:p>
    <w:p>
      <w:pPr>
        <w:spacing w:line="520" w:lineRule="exact"/>
        <w:ind w:firstLine="360" w:firstLineChars="150"/>
        <w:rPr>
          <w:rFonts w:hint="eastAsia" w:ascii="仿宋" w:hAnsi="仿宋" w:eastAsia="仿宋"/>
          <w:sz w:val="24"/>
        </w:rPr>
      </w:pPr>
    </w:p>
    <w:p>
      <w:pPr>
        <w:spacing w:line="520" w:lineRule="exact"/>
        <w:ind w:firstLine="360" w:firstLineChars="150"/>
        <w:rPr>
          <w:rFonts w:hint="eastAsia" w:ascii="仿宋" w:hAnsi="仿宋" w:eastAsia="仿宋"/>
          <w:sz w:val="24"/>
        </w:rPr>
      </w:pPr>
    </w:p>
    <w:p>
      <w:pPr>
        <w:adjustRightInd w:val="0"/>
        <w:snapToGrid w:val="0"/>
        <w:spacing w:line="360" w:lineRule="auto"/>
        <w:rPr>
          <w:rFonts w:hint="eastAsia" w:ascii="仿宋" w:hAnsi="仿宋" w:eastAsia="仿宋" w:cs="仿宋"/>
          <w:kern w:val="0"/>
          <w:sz w:val="24"/>
        </w:rPr>
      </w:pPr>
    </w:p>
    <w:p>
      <w:pPr>
        <w:adjustRightInd w:val="0"/>
        <w:snapToGrid w:val="0"/>
        <w:spacing w:line="360" w:lineRule="auto"/>
        <w:rPr>
          <w:rFonts w:hint="eastAsia" w:ascii="仿宋" w:hAnsi="仿宋" w:eastAsia="仿宋" w:cs="仿宋"/>
          <w:kern w:val="0"/>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附件：</w:t>
      </w:r>
    </w:p>
    <w:p>
      <w:pPr>
        <w:adjustRightInd w:val="0"/>
        <w:snapToGrid w:val="0"/>
        <w:spacing w:line="360" w:lineRule="auto"/>
        <w:rPr>
          <w:rFonts w:ascii="仿宋" w:hAnsi="仿宋" w:eastAsia="仿宋" w:cs="仿宋"/>
          <w:bCs/>
          <w:szCs w:val="21"/>
        </w:rPr>
      </w:pPr>
      <w:r>
        <w:rPr>
          <w:rFonts w:hint="eastAsia" w:ascii="仿宋" w:hAnsi="仿宋" w:eastAsia="仿宋" w:cs="仿宋"/>
          <w:kern w:val="0"/>
          <w:sz w:val="24"/>
        </w:rPr>
        <w:t xml:space="preserve"> </w:t>
      </w:r>
      <w:r>
        <w:rPr>
          <w:rFonts w:hint="eastAsia" w:ascii="仿宋" w:hAnsi="仿宋" w:eastAsia="仿宋" w:cs="仿宋"/>
          <w:bCs/>
          <w:szCs w:val="21"/>
        </w:rPr>
        <w:t>技术参数和售后服务：</w:t>
      </w:r>
    </w:p>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一、乙方承诺</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numPr>
          <w:ilvl w:val="0"/>
          <w:numId w:val="16"/>
        </w:numPr>
        <w:adjustRightInd w:val="0"/>
        <w:snapToGrid w:val="0"/>
        <w:spacing w:line="360" w:lineRule="auto"/>
        <w:rPr>
          <w:rFonts w:ascii="仿宋" w:hAnsi="仿宋" w:eastAsia="仿宋" w:cs="仿宋"/>
          <w:szCs w:val="21"/>
        </w:rPr>
      </w:pPr>
      <w:r>
        <w:rPr>
          <w:rFonts w:hint="eastAsia" w:ascii="仿宋" w:hAnsi="仿宋" w:eastAsia="仿宋" w:cs="仿宋"/>
          <w:szCs w:val="21"/>
        </w:rPr>
        <w:t>详细技术参数（不仅限于投标文件中的技术参数和图片）</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numPr>
          <w:ilvl w:val="0"/>
          <w:numId w:val="16"/>
        </w:numPr>
        <w:adjustRightInd w:val="0"/>
        <w:snapToGrid w:val="0"/>
        <w:spacing w:line="360" w:lineRule="auto"/>
        <w:rPr>
          <w:rFonts w:ascii="仿宋" w:hAnsi="仿宋" w:eastAsia="仿宋" w:cs="仿宋"/>
          <w:szCs w:val="21"/>
        </w:rPr>
      </w:pPr>
      <w:r>
        <w:rPr>
          <w:rFonts w:hint="eastAsia" w:ascii="仿宋" w:hAnsi="仿宋" w:eastAsia="仿宋" w:cs="仿宋"/>
          <w:szCs w:val="21"/>
        </w:rPr>
        <w:t>售后服务（不仅限于投标文件中的售后服务</w:t>
      </w:r>
      <w:r>
        <w:rPr>
          <w:rFonts w:hint="eastAsia" w:ascii="仿宋" w:hAnsi="仿宋" w:eastAsia="仿宋" w:cs="仿宋"/>
          <w:szCs w:val="21"/>
          <w:lang w:val="en-US" w:eastAsia="zh-CN"/>
        </w:rPr>
        <w:t>要求</w:t>
      </w:r>
      <w:r>
        <w:rPr>
          <w:rFonts w:hint="eastAsia" w:ascii="仿宋" w:hAnsi="仿宋" w:eastAsia="仿宋" w:cs="仿宋"/>
          <w:szCs w:val="21"/>
        </w:rPr>
        <w:t>）</w:t>
      </w:r>
    </w:p>
    <w:p>
      <w:pPr>
        <w:pStyle w:val="3"/>
        <w:rPr>
          <w:rFonts w:hint="eastAsia" w:cs="仿宋"/>
          <w:b w:val="0"/>
          <w:bCs/>
          <w:szCs w:val="32"/>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spacing w:val="26"/>
          <w:sz w:val="30"/>
          <w:szCs w:val="30"/>
        </w:rPr>
      </w:pPr>
    </w:p>
    <w:p>
      <w:pPr>
        <w:spacing w:line="480" w:lineRule="auto"/>
        <w:jc w:val="center"/>
        <w:rPr>
          <w:rFonts w:hint="eastAsia" w:ascii="仿宋" w:hAnsi="仿宋" w:eastAsia="仿宋" w:cs="仿宋"/>
          <w:b/>
          <w:bCs/>
          <w:sz w:val="24"/>
          <w:szCs w:val="24"/>
          <w:lang w:eastAsia="zh-CN"/>
        </w:rPr>
      </w:pPr>
      <w:r>
        <w:rPr>
          <w:rFonts w:hint="eastAsia" w:ascii="仿宋" w:hAnsi="仿宋" w:eastAsia="仿宋" w:cs="仿宋"/>
          <w:b/>
          <w:spacing w:val="26"/>
          <w:sz w:val="24"/>
          <w:szCs w:val="24"/>
          <w:lang w:eastAsia="zh-CN"/>
        </w:rPr>
        <w:t>新疆维吾尔自治区植物保护站</w:t>
      </w:r>
    </w:p>
    <w:p>
      <w:pPr>
        <w:spacing w:line="360" w:lineRule="auto"/>
        <w:jc w:val="center"/>
        <w:rPr>
          <w:rFonts w:ascii="仿宋" w:hAnsi="仿宋" w:eastAsia="仿宋" w:cs="仿宋"/>
          <w:b/>
          <w:sz w:val="24"/>
          <w:szCs w:val="24"/>
        </w:rPr>
      </w:pPr>
      <w:r>
        <w:rPr>
          <w:rFonts w:hint="eastAsia" w:ascii="仿宋" w:hAnsi="仿宋" w:eastAsia="仿宋" w:cs="仿宋"/>
          <w:b/>
          <w:sz w:val="24"/>
          <w:szCs w:val="24"/>
        </w:rPr>
        <w:t>供 应 商 评 价 表</w:t>
      </w:r>
    </w:p>
    <w:tbl>
      <w:tblPr>
        <w:tblStyle w:val="60"/>
        <w:tblW w:w="9918" w:type="dxa"/>
        <w:tblInd w:w="93" w:type="dxa"/>
        <w:tblLayout w:type="fixed"/>
        <w:tblCellMar>
          <w:top w:w="0" w:type="dxa"/>
          <w:left w:w="108" w:type="dxa"/>
          <w:bottom w:w="0" w:type="dxa"/>
          <w:right w:w="108" w:type="dxa"/>
        </w:tblCellMar>
      </w:tblPr>
      <w:tblGrid>
        <w:gridCol w:w="696"/>
        <w:gridCol w:w="665"/>
        <w:gridCol w:w="541"/>
        <w:gridCol w:w="811"/>
        <w:gridCol w:w="540"/>
        <w:gridCol w:w="631"/>
        <w:gridCol w:w="902"/>
        <w:gridCol w:w="835"/>
        <w:gridCol w:w="795"/>
        <w:gridCol w:w="1309"/>
        <w:gridCol w:w="1138"/>
        <w:gridCol w:w="1055"/>
      </w:tblGrid>
      <w:tr>
        <w:tblPrEx>
          <w:tblCellMar>
            <w:top w:w="0" w:type="dxa"/>
            <w:left w:w="108" w:type="dxa"/>
            <w:bottom w:w="0" w:type="dxa"/>
            <w:right w:w="108" w:type="dxa"/>
          </w:tblCellMar>
        </w:tblPrEx>
        <w:trPr>
          <w:trHeight w:val="119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中标单位名称</w:t>
            </w:r>
            <w:r>
              <w:rPr>
                <w:rFonts w:hint="eastAsia" w:ascii="仿宋" w:hAnsi="仿宋" w:eastAsia="仿宋" w:cs="仿宋"/>
                <w:bCs/>
                <w:kern w:val="0"/>
                <w:sz w:val="24"/>
                <w:szCs w:val="24"/>
              </w:rPr>
              <w:tab/>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中标单位联系人</w:t>
            </w:r>
          </w:p>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及电话</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68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ab/>
            </w:r>
            <w:r>
              <w:rPr>
                <w:rFonts w:hint="eastAsia" w:ascii="仿宋" w:hAnsi="仿宋" w:eastAsia="仿宋" w:cs="仿宋"/>
                <w:bCs/>
                <w:kern w:val="0"/>
                <w:sz w:val="24"/>
                <w:szCs w:val="24"/>
              </w:rPr>
              <w:t>中标金额　</w:t>
            </w:r>
          </w:p>
        </w:tc>
        <w:tc>
          <w:tcPr>
            <w:tcW w:w="288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合  同  号</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3118"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申请/使用科室</w:t>
            </w:r>
          </w:p>
        </w:tc>
        <w:tc>
          <w:tcPr>
            <w:tcW w:w="66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供应货物名称</w:t>
            </w:r>
          </w:p>
        </w:tc>
        <w:tc>
          <w:tcPr>
            <w:tcW w:w="54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数量</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合同签</w:t>
            </w:r>
          </w:p>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订时间</w:t>
            </w:r>
          </w:p>
        </w:tc>
        <w:tc>
          <w:tcPr>
            <w:tcW w:w="5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到 货 时 间</w:t>
            </w:r>
          </w:p>
        </w:tc>
        <w:tc>
          <w:tcPr>
            <w:tcW w:w="63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供货是否及时</w:t>
            </w:r>
          </w:p>
        </w:tc>
        <w:tc>
          <w:tcPr>
            <w:tcW w:w="9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回执单是否及时反馈科室并办理固定资产相关手续</w:t>
            </w:r>
          </w:p>
        </w:tc>
        <w:tc>
          <w:tcPr>
            <w:tcW w:w="8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是否与合同/协议内容一致</w:t>
            </w:r>
          </w:p>
        </w:tc>
        <w:tc>
          <w:tcPr>
            <w:tcW w:w="79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培训时间</w:t>
            </w:r>
          </w:p>
        </w:tc>
        <w:tc>
          <w:tcPr>
            <w:tcW w:w="13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售后服务（是否按照合同条款完成售后服务</w:t>
            </w:r>
          </w:p>
        </w:tc>
        <w:tc>
          <w:tcPr>
            <w:tcW w:w="11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服务态度</w:t>
            </w:r>
          </w:p>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（优、良、中、差）</w:t>
            </w:r>
          </w:p>
        </w:tc>
        <w:tc>
          <w:tcPr>
            <w:tcW w:w="1055"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供货质量</w:t>
            </w:r>
          </w:p>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（优、良、中、差）</w:t>
            </w:r>
          </w:p>
        </w:tc>
      </w:tr>
      <w:tr>
        <w:tblPrEx>
          <w:tblCellMar>
            <w:top w:w="0" w:type="dxa"/>
            <w:left w:w="108" w:type="dxa"/>
            <w:bottom w:w="0" w:type="dxa"/>
            <w:right w:w="108" w:type="dxa"/>
          </w:tblCellMar>
        </w:tblPrEx>
        <w:trPr>
          <w:trHeight w:val="74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66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54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5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63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9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8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　</w:t>
            </w:r>
          </w:p>
        </w:tc>
        <w:tc>
          <w:tcPr>
            <w:tcW w:w="13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1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kern w:val="0"/>
                <w:sz w:val="24"/>
                <w:szCs w:val="24"/>
              </w:rPr>
            </w:pPr>
          </w:p>
        </w:tc>
      </w:tr>
      <w:tr>
        <w:tblPrEx>
          <w:tblCellMar>
            <w:top w:w="0" w:type="dxa"/>
            <w:left w:w="108" w:type="dxa"/>
            <w:bottom w:w="0" w:type="dxa"/>
            <w:right w:w="108" w:type="dxa"/>
          </w:tblCellMar>
        </w:tblPrEx>
        <w:trPr>
          <w:trHeight w:val="2356" w:hRule="atLeast"/>
        </w:trPr>
        <w:tc>
          <w:tcPr>
            <w:tcW w:w="9918" w:type="dxa"/>
            <w:gridSpan w:val="12"/>
            <w:tcBorders>
              <w:top w:val="single" w:color="auto" w:sz="4" w:space="0"/>
              <w:left w:val="single" w:color="auto" w:sz="4" w:space="0"/>
              <w:bottom w:val="single" w:color="auto" w:sz="4" w:space="0"/>
              <w:right w:val="single" w:color="auto" w:sz="4" w:space="0"/>
            </w:tcBorders>
          </w:tcPr>
          <w:p>
            <w:pPr>
              <w:widowControl/>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处</w:t>
            </w:r>
            <w:r>
              <w:rPr>
                <w:rFonts w:hint="eastAsia" w:ascii="仿宋" w:hAnsi="仿宋" w:eastAsia="仿宋" w:cs="仿宋"/>
                <w:bCs/>
                <w:kern w:val="0"/>
                <w:sz w:val="24"/>
                <w:szCs w:val="24"/>
              </w:rPr>
              <w:t>室意见：</w:t>
            </w:r>
          </w:p>
          <w:p>
            <w:pPr>
              <w:widowControl/>
              <w:rPr>
                <w:rFonts w:hint="eastAsia" w:ascii="仿宋" w:hAnsi="仿宋" w:eastAsia="仿宋" w:cs="仿宋"/>
                <w:bCs/>
                <w:kern w:val="0"/>
                <w:sz w:val="24"/>
                <w:szCs w:val="24"/>
              </w:rPr>
            </w:pPr>
          </w:p>
          <w:p>
            <w:pPr>
              <w:widowControl/>
              <w:rPr>
                <w:rFonts w:hint="eastAsia" w:ascii="仿宋" w:hAnsi="仿宋" w:eastAsia="仿宋" w:cs="仿宋"/>
                <w:bCs/>
                <w:kern w:val="0"/>
                <w:sz w:val="24"/>
                <w:szCs w:val="24"/>
              </w:rPr>
            </w:pPr>
          </w:p>
          <w:p>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 xml:space="preserve">                                                        </w:t>
            </w:r>
          </w:p>
          <w:p>
            <w:pPr>
              <w:widowControl/>
              <w:spacing w:line="360" w:lineRule="auto"/>
              <w:ind w:left="7200" w:hanging="7200" w:hangingChars="300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 xml:space="preserve">是否同意支付货款：           经办人：               </w:t>
            </w:r>
            <w:r>
              <w:rPr>
                <w:rFonts w:hint="eastAsia" w:ascii="仿宋" w:hAnsi="仿宋" w:eastAsia="仿宋" w:cs="仿宋"/>
                <w:bCs/>
                <w:kern w:val="0"/>
                <w:sz w:val="24"/>
                <w:szCs w:val="24"/>
                <w:lang w:val="en-US" w:eastAsia="zh-CN"/>
              </w:rPr>
              <w:t>处</w:t>
            </w:r>
            <w:r>
              <w:rPr>
                <w:rFonts w:hint="eastAsia" w:ascii="仿宋" w:hAnsi="仿宋" w:eastAsia="仿宋" w:cs="仿宋"/>
                <w:bCs/>
                <w:kern w:val="0"/>
                <w:sz w:val="24"/>
                <w:szCs w:val="24"/>
              </w:rPr>
              <w:t xml:space="preserve">室主任：            </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 xml:space="preserve"> </w:t>
            </w:r>
            <w:r>
              <w:rPr>
                <w:rFonts w:hint="eastAsia" w:ascii="仿宋" w:hAnsi="仿宋" w:eastAsia="仿宋" w:cs="仿宋"/>
                <w:bCs/>
                <w:kern w:val="0"/>
                <w:sz w:val="24"/>
                <w:szCs w:val="24"/>
                <w:lang w:val="en-US" w:eastAsia="zh-CN"/>
              </w:rPr>
              <w:t xml:space="preserve">  </w:t>
            </w:r>
          </w:p>
          <w:p>
            <w:pPr>
              <w:widowControl/>
              <w:spacing w:line="360" w:lineRule="auto"/>
              <w:ind w:left="7200" w:hanging="7200" w:hangingChars="3000"/>
              <w:jc w:val="both"/>
              <w:rPr>
                <w:rFonts w:hint="eastAsia" w:ascii="仿宋" w:hAnsi="仿宋" w:eastAsia="仿宋" w:cs="仿宋"/>
                <w:bCs/>
                <w:kern w:val="0"/>
                <w:sz w:val="24"/>
                <w:szCs w:val="24"/>
                <w:lang w:val="en-US" w:eastAsia="zh-CN"/>
              </w:rPr>
            </w:pPr>
          </w:p>
          <w:p>
            <w:pPr>
              <w:widowControl/>
              <w:spacing w:line="360" w:lineRule="auto"/>
              <w:ind w:left="7200" w:hanging="7200" w:hangingChars="3000"/>
              <w:jc w:val="right"/>
              <w:rPr>
                <w:rFonts w:hint="eastAsia" w:ascii="仿宋" w:hAnsi="仿宋" w:eastAsia="仿宋" w:cs="仿宋"/>
                <w:bCs/>
                <w:kern w:val="0"/>
                <w:sz w:val="24"/>
                <w:szCs w:val="24"/>
              </w:rPr>
            </w:pPr>
            <w:r>
              <w:rPr>
                <w:rFonts w:hint="eastAsia" w:ascii="仿宋" w:hAnsi="仿宋" w:eastAsia="仿宋" w:cs="仿宋"/>
                <w:bCs/>
                <w:kern w:val="0"/>
                <w:sz w:val="24"/>
                <w:szCs w:val="24"/>
              </w:rPr>
              <w:t>日 期：</w:t>
            </w:r>
          </w:p>
        </w:tc>
      </w:tr>
    </w:tbl>
    <w:p>
      <w:pPr>
        <w:spacing w:line="500" w:lineRule="exact"/>
        <w:jc w:val="center"/>
        <w:outlineLvl w:val="0"/>
        <w:rPr>
          <w:rFonts w:ascii="仿宋" w:hAnsi="仿宋" w:eastAsia="仿宋" w:cs="仿宋"/>
          <w:sz w:val="48"/>
          <w:szCs w:val="48"/>
        </w:rPr>
      </w:pPr>
      <w:r>
        <w:rPr>
          <w:rFonts w:hint="eastAsia" w:ascii="仿宋" w:hAnsi="仿宋" w:eastAsia="仿宋" w:cs="仿宋"/>
        </w:rPr>
        <w:t>备注：请使用科室认真负责填写该表1、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合同中如有培训项目，请注明具体培训时间及次数；2、本表作为支付质量保证金及履约保证金的证明资料，同时作为供应商评价记录。</w:t>
      </w:r>
    </w:p>
    <w:p>
      <w:pPr>
        <w:pStyle w:val="3"/>
        <w:rPr>
          <w:rFonts w:hint="eastAsia" w:cs="仿宋"/>
          <w:b w:val="0"/>
          <w:bCs/>
          <w:szCs w:val="32"/>
        </w:rPr>
      </w:pPr>
      <w:r>
        <w:rPr>
          <w:rFonts w:hint="eastAsia" w:cs="仿宋"/>
          <w:b w:val="0"/>
          <w:bCs/>
          <w:szCs w:val="32"/>
        </w:rPr>
        <w:br w:type="page"/>
      </w:r>
      <w:bookmarkStart w:id="16" w:name="_Toc26746"/>
      <w:r>
        <w:rPr>
          <w:rFonts w:hint="eastAsia" w:cs="仿宋"/>
          <w:bCs/>
        </w:rPr>
        <w:fldChar w:fldCharType="begin"/>
      </w:r>
      <w:r>
        <w:rPr>
          <w:rFonts w:hint="eastAsia" w:cs="仿宋"/>
          <w:bCs/>
        </w:rPr>
        <w:instrText xml:space="preserve"> HYPERLINK \l "_Toc26330" </w:instrText>
      </w:r>
      <w:r>
        <w:rPr>
          <w:rFonts w:hint="eastAsia" w:cs="仿宋"/>
          <w:bCs/>
        </w:rPr>
        <w:fldChar w:fldCharType="separate"/>
      </w:r>
      <w:r>
        <w:rPr>
          <w:rFonts w:hint="eastAsia" w:cs="仿宋"/>
          <w:bCs/>
          <w:szCs w:val="32"/>
        </w:rPr>
        <w:t>第六章 投标文件格式</w:t>
      </w:r>
      <w:r>
        <w:rPr>
          <w:rFonts w:hint="eastAsia" w:cs="仿宋"/>
          <w:bCs/>
          <w:szCs w:val="32"/>
        </w:rPr>
        <w:fldChar w:fldCharType="end"/>
      </w:r>
      <w:bookmarkEnd w:id="16"/>
    </w:p>
    <w:p>
      <w:pPr>
        <w:shd w:val="clear" w:color="auto" w:fill="FFFFFF"/>
        <w:spacing w:line="440" w:lineRule="exact"/>
        <w:jc w:val="center"/>
        <w:rPr>
          <w:rFonts w:hint="eastAsia" w:ascii="仿宋" w:hAnsi="仿宋" w:eastAsia="仿宋" w:cs="仿宋"/>
          <w:bCs/>
          <w:szCs w:val="21"/>
        </w:rPr>
      </w:pPr>
    </w:p>
    <w:p>
      <w:pPr>
        <w:widowControl/>
        <w:spacing w:line="440" w:lineRule="exact"/>
        <w:jc w:val="left"/>
        <w:rPr>
          <w:rFonts w:hint="eastAsia" w:ascii="仿宋" w:hAnsi="仿宋" w:eastAsia="仿宋" w:cs="仿宋"/>
          <w:sz w:val="24"/>
          <w:lang w:val="zh-CN"/>
        </w:rPr>
      </w:pPr>
    </w:p>
    <w:p>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lang w:val="en-US" w:eastAsia="zh-CN"/>
        </w:rPr>
        <w:t>格式自拟</w:t>
      </w:r>
      <w:r>
        <w:rPr>
          <w:rFonts w:hint="eastAsia" w:ascii="仿宋" w:hAnsi="仿宋" w:eastAsia="仿宋" w:cs="仿宋"/>
          <w:sz w:val="24"/>
          <w:lang w:val="zh-CN"/>
        </w:rPr>
        <w:t>）</w:t>
      </w:r>
    </w:p>
    <w:p>
      <w:pPr>
        <w:shd w:val="clear" w:color="auto" w:fill="FFFFFF"/>
        <w:spacing w:line="440" w:lineRule="exact"/>
        <w:ind w:firstLine="420"/>
        <w:jc w:val="right"/>
        <w:outlineLvl w:val="0"/>
        <w:rPr>
          <w:rFonts w:hint="eastAsia" w:ascii="仿宋" w:hAnsi="仿宋" w:eastAsia="仿宋" w:cs="仿宋"/>
          <w:bCs/>
          <w:sz w:val="24"/>
          <w:lang w:val="zh-CN"/>
        </w:rPr>
      </w:pPr>
      <w:bookmarkStart w:id="17" w:name="_Toc16621"/>
    </w:p>
    <w:bookmarkEnd w:id="17"/>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pPr>
        <w:spacing w:line="400" w:lineRule="exact"/>
        <w:ind w:firstLine="643" w:firstLineChars="200"/>
        <w:jc w:val="center"/>
        <w:rPr>
          <w:rFonts w:hint="eastAsia" w:ascii="仿宋" w:hAnsi="仿宋" w:eastAsia="仿宋" w:cs="仿宋"/>
          <w:b/>
          <w:bCs/>
          <w:sz w:val="32"/>
          <w:szCs w:val="32"/>
        </w:rPr>
      </w:pPr>
    </w:p>
    <w:p>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投标人相关项目业绩表</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拟投入设备</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）有关投标产品的证明、检测报告或产品鉴定证书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）技术方案；</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5</w:t>
      </w:r>
      <w:r>
        <w:rPr>
          <w:rFonts w:hint="eastAsia" w:ascii="仿宋" w:hAnsi="仿宋" w:eastAsia="仿宋" w:cs="仿宋"/>
          <w:bCs/>
          <w:sz w:val="24"/>
          <w:szCs w:val="24"/>
        </w:rPr>
        <w:t>）</w:t>
      </w:r>
      <w:r>
        <w:rPr>
          <w:rFonts w:hint="eastAsia" w:ascii="仿宋" w:hAnsi="仿宋" w:eastAsia="仿宋" w:cs="仿宋"/>
          <w:bCs/>
          <w:sz w:val="24"/>
          <w:szCs w:val="24"/>
          <w:lang w:val="en-US" w:eastAsia="zh-CN"/>
        </w:rPr>
        <w:t>投标人认为需要提交的其他商务技术资料</w:t>
      </w:r>
    </w:p>
    <w:p>
      <w:pPr>
        <w:spacing w:line="360" w:lineRule="auto"/>
        <w:ind w:firstLine="480" w:firstLineChars="200"/>
        <w:rPr>
          <w:rFonts w:hint="eastAsia" w:ascii="仿宋" w:hAnsi="仿宋" w:eastAsia="仿宋" w:cs="仿宋"/>
          <w:bCs/>
          <w:sz w:val="24"/>
          <w:szCs w:val="24"/>
        </w:rPr>
      </w:pPr>
    </w:p>
    <w:p>
      <w:pPr>
        <w:ind w:firstLine="482" w:firstLineChars="200"/>
        <w:rPr>
          <w:rFonts w:hint="eastAsia" w:ascii="仿宋" w:hAnsi="仿宋" w:eastAsia="仿宋" w:cs="仿宋"/>
          <w:b/>
          <w:sz w:val="24"/>
        </w:rPr>
      </w:pPr>
    </w:p>
    <w:p>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pPr>
        <w:ind w:firstLine="420" w:firstLineChars="200"/>
        <w:rPr>
          <w:rFonts w:hint="eastAsia" w:ascii="仿宋" w:hAnsi="仿宋" w:eastAsia="仿宋" w:cs="仿宋"/>
          <w:bCs/>
          <w:szCs w:val="21"/>
        </w:rPr>
      </w:pPr>
    </w:p>
    <w:p>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投标函</w:t>
      </w:r>
    </w:p>
    <w:p>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shd w:val="clear" w:color="auto" w:fill="FFFFFF"/>
        <w:spacing w:line="440" w:lineRule="exact"/>
        <w:rPr>
          <w:rFonts w:hint="eastAsia" w:ascii="仿宋" w:hAnsi="仿宋" w:eastAsia="仿宋" w:cs="仿宋"/>
          <w:bCs/>
          <w:sz w:val="24"/>
        </w:rPr>
      </w:pPr>
      <w:r>
        <w:rPr>
          <w:rFonts w:hint="eastAsia"/>
        </w:rPr>
        <w:br w:type="page"/>
      </w:r>
    </w:p>
    <w:p>
      <w:pPr>
        <w:jc w:val="center"/>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投标承诺书</w:t>
      </w:r>
    </w:p>
    <w:p>
      <w:pPr>
        <w:ind w:left="424" w:leftChars="202"/>
        <w:rPr>
          <w:rFonts w:ascii="仿宋" w:hAnsi="仿宋" w:eastAsia="仿宋" w:cs="仿宋"/>
          <w:b/>
        </w:rPr>
      </w:pPr>
    </w:p>
    <w:p>
      <w:pPr>
        <w:spacing w:line="360" w:lineRule="auto"/>
        <w:ind w:left="424" w:leftChars="202"/>
        <w:jc w:val="center"/>
        <w:rPr>
          <w:rFonts w:ascii="仿宋" w:hAnsi="仿宋" w:eastAsia="仿宋" w:cs="仿宋"/>
          <w:b/>
        </w:rPr>
      </w:pPr>
    </w:p>
    <w:p>
      <w:pPr>
        <w:spacing w:line="360" w:lineRule="auto"/>
        <w:ind w:left="424" w:leftChars="202"/>
        <w:rPr>
          <w:rFonts w:ascii="仿宋" w:hAnsi="仿宋" w:eastAsia="仿宋" w:cs="仿宋"/>
          <w:sz w:val="24"/>
          <w:szCs w:val="24"/>
        </w:rPr>
      </w:pPr>
      <w:r>
        <w:rPr>
          <w:rFonts w:hint="eastAsia" w:ascii="仿宋" w:hAnsi="仿宋" w:eastAsia="仿宋" w:cs="仿宋"/>
          <w:sz w:val="24"/>
          <w:szCs w:val="24"/>
        </w:rPr>
        <w:t xml:space="preserve">招标人：                 </w:t>
      </w:r>
    </w:p>
    <w:p>
      <w:pPr>
        <w:spacing w:line="360" w:lineRule="auto"/>
        <w:ind w:left="424" w:leftChars="202"/>
        <w:rPr>
          <w:rFonts w:ascii="仿宋" w:hAnsi="仿宋" w:eastAsia="仿宋" w:cs="仿宋"/>
          <w:sz w:val="24"/>
          <w:szCs w:val="24"/>
        </w:rPr>
      </w:pPr>
    </w:p>
    <w:p>
      <w:pPr>
        <w:spacing w:line="360" w:lineRule="auto"/>
        <w:ind w:left="424" w:leftChars="202"/>
        <w:rPr>
          <w:rFonts w:ascii="仿宋" w:hAnsi="仿宋" w:eastAsia="仿宋" w:cs="仿宋"/>
          <w:sz w:val="24"/>
          <w:szCs w:val="24"/>
        </w:rPr>
      </w:pPr>
      <w:r>
        <w:rPr>
          <w:rFonts w:hint="eastAsia" w:ascii="仿宋" w:hAnsi="仿宋" w:eastAsia="仿宋" w:cs="仿宋"/>
          <w:sz w:val="24"/>
          <w:szCs w:val="24"/>
        </w:rPr>
        <w:t>若我公司中标后，项目负责人为：</w:t>
      </w:r>
    </w:p>
    <w:p>
      <w:pPr>
        <w:spacing w:line="360" w:lineRule="auto"/>
        <w:ind w:left="424" w:leftChars="202"/>
        <w:rPr>
          <w:rFonts w:ascii="仿宋" w:hAnsi="仿宋" w:eastAsia="仿宋" w:cs="仿宋"/>
          <w:sz w:val="24"/>
          <w:szCs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rFonts w:ascii="仿宋" w:hAnsi="仿宋" w:eastAsia="仿宋" w:cs="仿宋"/>
                <w:sz w:val="24"/>
                <w:szCs w:val="24"/>
              </w:rPr>
            </w:pPr>
            <w:r>
              <w:rPr>
                <w:rFonts w:hint="eastAsia" w:ascii="仿宋" w:hAnsi="仿宋" w:eastAsia="仿宋" w:cs="仿宋"/>
                <w:sz w:val="24"/>
                <w:szCs w:val="24"/>
              </w:rPr>
              <w:t>姓名</w:t>
            </w:r>
          </w:p>
        </w:tc>
        <w:tc>
          <w:tcPr>
            <w:tcW w:w="2404" w:type="dxa"/>
          </w:tcPr>
          <w:p>
            <w:pPr>
              <w:rPr>
                <w:rFonts w:ascii="仿宋" w:hAnsi="仿宋" w:eastAsia="仿宋" w:cs="仿宋"/>
                <w:sz w:val="24"/>
                <w:szCs w:val="24"/>
              </w:rPr>
            </w:pPr>
          </w:p>
        </w:tc>
        <w:tc>
          <w:tcPr>
            <w:tcW w:w="2409" w:type="dxa"/>
          </w:tcPr>
          <w:p>
            <w:pPr>
              <w:rPr>
                <w:rFonts w:ascii="仿宋" w:hAnsi="仿宋" w:eastAsia="仿宋" w:cs="仿宋"/>
                <w:sz w:val="24"/>
                <w:szCs w:val="24"/>
              </w:rPr>
            </w:pPr>
            <w:r>
              <w:rPr>
                <w:rFonts w:hint="eastAsia" w:ascii="仿宋" w:hAnsi="仿宋" w:eastAsia="仿宋" w:cs="仿宋"/>
                <w:sz w:val="24"/>
                <w:szCs w:val="24"/>
              </w:rPr>
              <w:t>职称</w:t>
            </w:r>
          </w:p>
        </w:tc>
        <w:tc>
          <w:tcPr>
            <w:tcW w:w="2404" w:type="dxa"/>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sz w:val="24"/>
                <w:szCs w:val="24"/>
              </w:rPr>
            </w:pPr>
            <w:r>
              <w:rPr>
                <w:rFonts w:hint="eastAsia" w:ascii="仿宋" w:hAnsi="仿宋" w:eastAsia="仿宋" w:cs="仿宋"/>
                <w:sz w:val="24"/>
                <w:szCs w:val="24"/>
              </w:rPr>
              <w:t>相关证件号</w:t>
            </w:r>
          </w:p>
        </w:tc>
        <w:tc>
          <w:tcPr>
            <w:tcW w:w="7217" w:type="dxa"/>
            <w:gridSpan w:val="3"/>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sz w:val="24"/>
                <w:szCs w:val="24"/>
              </w:rPr>
            </w:pPr>
            <w:r>
              <w:rPr>
                <w:rFonts w:hint="eastAsia" w:ascii="仿宋" w:hAnsi="仿宋" w:eastAsia="仿宋" w:cs="仿宋"/>
                <w:sz w:val="24"/>
                <w:szCs w:val="24"/>
              </w:rPr>
              <w:t>身份证号码</w:t>
            </w:r>
          </w:p>
        </w:tc>
        <w:tc>
          <w:tcPr>
            <w:tcW w:w="7217" w:type="dxa"/>
            <w:gridSpan w:val="3"/>
          </w:tcPr>
          <w:p>
            <w:pPr>
              <w:rPr>
                <w:rFonts w:ascii="仿宋" w:hAnsi="仿宋" w:eastAsia="仿宋" w:cs="仿宋"/>
                <w:sz w:val="24"/>
                <w:szCs w:val="24"/>
              </w:rPr>
            </w:pPr>
          </w:p>
        </w:tc>
      </w:tr>
    </w:tbl>
    <w:p>
      <w:pP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szCs w:val="24"/>
          <w:u w:val="single"/>
        </w:rPr>
        <w:t xml:space="preserve">  5  %</w:t>
      </w:r>
      <w:r>
        <w:rPr>
          <w:rFonts w:hint="eastAsia" w:ascii="仿宋" w:hAnsi="仿宋" w:eastAsia="仿宋" w:cs="仿宋"/>
          <w:sz w:val="24"/>
          <w:szCs w:val="24"/>
        </w:rPr>
        <w:t>作为赔偿金。</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投标人：（盖章）</w:t>
      </w:r>
    </w:p>
    <w:p>
      <w:pPr>
        <w:spacing w:line="500" w:lineRule="exact"/>
        <w:rPr>
          <w:rFonts w:ascii="仿宋" w:hAnsi="仿宋" w:eastAsia="仿宋" w:cs="仿宋"/>
          <w:sz w:val="24"/>
          <w:szCs w:val="24"/>
        </w:rPr>
      </w:pPr>
    </w:p>
    <w:p>
      <w:pPr>
        <w:spacing w:line="500" w:lineRule="exact"/>
        <w:rPr>
          <w:rFonts w:ascii="仿宋" w:hAnsi="仿宋" w:eastAsia="仿宋" w:cs="仿宋"/>
          <w:sz w:val="24"/>
          <w:szCs w:val="24"/>
        </w:rPr>
      </w:pPr>
      <w:r>
        <w:rPr>
          <w:rFonts w:hint="eastAsia" w:ascii="仿宋" w:hAnsi="仿宋" w:eastAsia="仿宋" w:cs="仿宋"/>
          <w:sz w:val="24"/>
          <w:szCs w:val="24"/>
        </w:rPr>
        <w:t>法定代表人或授权代理人：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wordWrap w:val="0"/>
        <w:jc w:val="right"/>
        <w:rPr>
          <w:rFonts w:ascii="仿宋" w:hAnsi="仿宋" w:eastAsia="仿宋" w:cs="仿宋"/>
          <w:sz w:val="24"/>
          <w:szCs w:val="24"/>
        </w:rPr>
      </w:pPr>
      <w:r>
        <w:rPr>
          <w:rFonts w:hint="eastAsia" w:ascii="仿宋" w:hAnsi="仿宋" w:eastAsia="仿宋" w:cs="仿宋"/>
          <w:sz w:val="24"/>
          <w:szCs w:val="24"/>
        </w:rPr>
        <w:t>日期：        年    月    日</w:t>
      </w: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法定代表人身份证明书</w:t>
      </w:r>
    </w:p>
    <w:p>
      <w:pPr>
        <w:shd w:val="clear" w:color="auto" w:fill="FFFFFF"/>
        <w:spacing w:line="440" w:lineRule="exact"/>
        <w:rPr>
          <w:rFonts w:hint="eastAsia" w:ascii="仿宋" w:hAnsi="仿宋" w:eastAsia="仿宋" w:cs="仿宋"/>
          <w:b/>
          <w:bCs/>
          <w:sz w:val="24"/>
        </w:rPr>
      </w:pP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v:textbox>
              </v:shape>
            </w:pict>
          </mc:Fallback>
        </mc:AlternateConten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pPr>
        <w:shd w:val="clear" w:color="auto" w:fill="FFFFFF"/>
        <w:spacing w:line="440" w:lineRule="exact"/>
        <w:rPr>
          <w:rFonts w:hint="eastAsia" w:ascii="仿宋" w:hAnsi="仿宋" w:eastAsia="仿宋" w:cs="仿宋"/>
          <w:b/>
          <w:bCs/>
          <w:szCs w:val="21"/>
        </w:rPr>
      </w:pPr>
    </w:p>
    <w:p>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法定代表人授权委托书</w:t>
      </w:r>
    </w:p>
    <w:p>
      <w:pPr>
        <w:shd w:val="clear" w:color="auto" w:fill="FFFFFF"/>
        <w:spacing w:line="440" w:lineRule="exact"/>
        <w:jc w:val="center"/>
        <w:rPr>
          <w:rFonts w:hint="eastAsia" w:ascii="仿宋" w:hAnsi="仿宋" w:eastAsia="仿宋" w:cs="仿宋"/>
          <w:b/>
          <w:bCs/>
          <w:sz w:val="24"/>
        </w:rPr>
      </w:pPr>
    </w:p>
    <w:p>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shd w:val="clear" w:color="auto" w:fill="FFFFFF"/>
        <w:spacing w:line="440" w:lineRule="exact"/>
        <w:rPr>
          <w:rFonts w:hint="eastAsia" w:ascii="仿宋" w:hAnsi="仿宋" w:eastAsia="仿宋" w:cs="仿宋"/>
          <w:bCs/>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（背面）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pPr>
                        <w:rPr>
                          <w:sz w:val="24"/>
                          <w:szCs w:val="24"/>
                        </w:rPr>
                      </w:pPr>
                    </w:p>
                    <w:p>
                      <w:pPr>
                        <w:rPr>
                          <w:sz w:val="24"/>
                          <w:szCs w:val="24"/>
                        </w:rPr>
                      </w:pPr>
                    </w:p>
                    <w:p>
                      <w:pPr>
                        <w:rPr>
                          <w:sz w:val="24"/>
                          <w:szCs w:val="24"/>
                        </w:rPr>
                      </w:pPr>
                    </w:p>
                    <w:p>
                      <w:pPr>
                        <w:rPr>
                          <w:sz w:val="24"/>
                          <w:szCs w:val="24"/>
                        </w:rPr>
                      </w:pPr>
                    </w:p>
                    <w:p>
                      <w:pPr>
                        <w:jc w:val="center"/>
                        <w:rPr>
                          <w:rFonts w:ascii="仿宋" w:hAnsi="仿宋" w:eastAsia="仿宋"/>
                          <w:sz w:val="24"/>
                          <w:szCs w:val="24"/>
                        </w:rPr>
                      </w:pPr>
                      <w:r>
                        <w:rPr>
                          <w:rFonts w:hint="eastAsia" w:ascii="仿宋" w:hAnsi="仿宋" w:eastAsia="仿宋"/>
                          <w:sz w:val="24"/>
                          <w:szCs w:val="24"/>
                        </w:rPr>
                        <w:t>代理人身份证复印件</w:t>
                      </w:r>
                    </w:p>
                    <w:p>
                      <w:pPr>
                        <w:jc w:val="center"/>
                        <w:rPr>
                          <w:rFonts w:ascii="仿宋" w:hAnsi="仿宋" w:eastAsia="仿宋"/>
                          <w:sz w:val="24"/>
                          <w:szCs w:val="24"/>
                        </w:rPr>
                      </w:pPr>
                      <w:r>
                        <w:rPr>
                          <w:rFonts w:hint="eastAsia" w:ascii="仿宋" w:hAnsi="仿宋" w:eastAsia="仿宋"/>
                          <w:sz w:val="24"/>
                          <w:szCs w:val="24"/>
                        </w:rPr>
                        <w:t>（正面）</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xbxContent>
                </v:textbox>
              </v:shape>
            </w:pict>
          </mc:Fallback>
        </mc:AlternateConten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ind w:firstLine="420" w:firstLineChars="200"/>
        <w:rPr>
          <w:rFonts w:hint="eastAsia" w:ascii="仿宋" w:hAnsi="仿宋" w:eastAsia="仿宋" w:cs="仿宋"/>
          <w:sz w:val="24"/>
        </w:rPr>
      </w:pPr>
      <w:r>
        <w:rPr>
          <w:rFonts w:hint="eastAsia" w:ascii="仿宋" w:hAnsi="仿宋" w:eastAsia="仿宋" w:cs="仿宋"/>
          <w:szCs w:val="21"/>
        </w:rPr>
        <w:br w:type="page"/>
      </w:r>
    </w:p>
    <w:p>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5、</w:t>
      </w:r>
      <w:r>
        <w:rPr>
          <w:rFonts w:hint="eastAsia" w:ascii="仿宋" w:hAnsi="仿宋" w:eastAsia="仿宋" w:cs="仿宋"/>
          <w:b/>
          <w:bCs w:val="0"/>
          <w:sz w:val="24"/>
        </w:rPr>
        <w:t>投标报价一览表</w:t>
      </w:r>
    </w:p>
    <w:p>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noWrap w:val="0"/>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noWrap w:val="0"/>
            <w:vAlign w:val="center"/>
          </w:tcPr>
          <w:p>
            <w:pPr>
              <w:shd w:val="clear" w:color="auto" w:fill="FFFFFF"/>
              <w:tabs>
                <w:tab w:val="left" w:pos="3780"/>
              </w:tabs>
              <w:spacing w:line="440"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noWrap w:val="0"/>
            <w:vAlign w:val="center"/>
          </w:tcPr>
          <w:p>
            <w:pPr>
              <w:shd w:val="clear" w:color="auto" w:fill="FFFFFF"/>
              <w:tabs>
                <w:tab w:val="left" w:pos="3780"/>
              </w:tabs>
              <w:spacing w:line="440" w:lineRule="exact"/>
              <w:rPr>
                <w:rFonts w:hint="eastAsia" w:ascii="仿宋" w:hAnsi="仿宋" w:eastAsia="宋体" w:cs="仿宋"/>
                <w:sz w:val="24"/>
                <w:lang w:eastAsia="zh-CN"/>
              </w:rPr>
            </w:pPr>
            <w:r>
              <w:rPr>
                <w:rFonts w:hint="eastAsia" w:ascii="仿宋" w:hAnsi="仿宋" w:eastAsia="仿宋" w:cs="仿宋"/>
                <w:sz w:val="24"/>
              </w:rPr>
              <w:t>投标总价</w:t>
            </w:r>
            <w:r>
              <w:rPr>
                <w:rFonts w:hint="eastAsia"/>
                <w:lang w:eastAsia="zh-CN"/>
              </w:rPr>
              <w:t>（</w:t>
            </w:r>
            <w:r>
              <w:rPr>
                <w:rFonts w:hint="eastAsia"/>
                <w:lang w:val="en-US" w:eastAsia="zh-CN"/>
              </w:rPr>
              <w:t>元</w:t>
            </w:r>
            <w:r>
              <w:rPr>
                <w:rFonts w:hint="eastAsia"/>
                <w:lang w:eastAsia="zh-CN"/>
              </w:rPr>
              <w:t>）</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（人民币）</w:t>
            </w:r>
          </w:p>
        </w:tc>
        <w:tc>
          <w:tcPr>
            <w:tcW w:w="6984" w:type="dxa"/>
            <w:shd w:val="clear" w:color="auto" w:fill="F3F3F3"/>
            <w:noWrap w:val="0"/>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noWrap w:val="0"/>
            <w:vAlign w:val="center"/>
          </w:tcPr>
          <w:p>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交货</w:t>
            </w:r>
            <w:r>
              <w:rPr>
                <w:rFonts w:hint="eastAsia" w:ascii="仿宋" w:hAnsi="仿宋" w:eastAsia="仿宋" w:cs="仿宋"/>
                <w:sz w:val="24"/>
                <w:lang w:eastAsia="zh-CN"/>
              </w:rPr>
              <w:t>期</w:t>
            </w:r>
          </w:p>
        </w:tc>
        <w:tc>
          <w:tcPr>
            <w:tcW w:w="6984" w:type="dxa"/>
            <w:shd w:val="clear" w:color="auto" w:fill="F3F3F3"/>
            <w:noWrap w:val="0"/>
            <w:vAlign w:val="center"/>
          </w:tcPr>
          <w:p>
            <w:pPr>
              <w:shd w:val="clear" w:color="auto" w:fill="FFFFFF"/>
              <w:tabs>
                <w:tab w:val="left" w:pos="3780"/>
              </w:tabs>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05" w:type="dxa"/>
            <w:shd w:val="clear" w:color="auto" w:fill="F3F3F3"/>
            <w:noWrap w:val="0"/>
            <w:vAlign w:val="center"/>
          </w:tcPr>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质保期</w:t>
            </w:r>
          </w:p>
        </w:tc>
        <w:tc>
          <w:tcPr>
            <w:tcW w:w="6984" w:type="dxa"/>
            <w:shd w:val="clear" w:color="auto" w:fill="F3F3F3"/>
            <w:noWrap w:val="0"/>
            <w:vAlign w:val="center"/>
          </w:tcPr>
          <w:p>
            <w:pPr>
              <w:shd w:val="clear" w:color="auto" w:fill="FFFFFF"/>
              <w:autoSpaceDE w:val="0"/>
              <w:autoSpaceDN w:val="0"/>
              <w:spacing w:line="44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noWrap w:val="0"/>
            <w:vAlign w:val="center"/>
          </w:tcPr>
          <w:p>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备注</w:t>
            </w:r>
          </w:p>
        </w:tc>
        <w:tc>
          <w:tcPr>
            <w:tcW w:w="6984" w:type="dxa"/>
            <w:shd w:val="clear" w:color="auto" w:fill="F3F3F3"/>
            <w:noWrap w:val="0"/>
            <w:vAlign w:val="center"/>
          </w:tcPr>
          <w:p>
            <w:pPr>
              <w:shd w:val="clear" w:color="auto" w:fill="FFFFFF"/>
              <w:tabs>
                <w:tab w:val="left" w:pos="3780"/>
              </w:tabs>
              <w:spacing w:line="440" w:lineRule="exact"/>
              <w:rPr>
                <w:rFonts w:hint="eastAsia" w:ascii="仿宋" w:hAnsi="仿宋" w:eastAsia="仿宋" w:cs="仿宋"/>
                <w:sz w:val="24"/>
              </w:rPr>
            </w:pPr>
          </w:p>
        </w:tc>
      </w:tr>
    </w:tbl>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pPr>
        <w:numPr>
          <w:ilvl w:val="0"/>
          <w:numId w:val="17"/>
        </w:numPr>
        <w:shd w:val="clear" w:color="auto" w:fill="FFFFFF"/>
        <w:tabs>
          <w:tab w:val="left" w:pos="3780"/>
        </w:tabs>
        <w:spacing w:line="440" w:lineRule="exact"/>
        <w:rPr>
          <w:rFonts w:hint="eastAsia"/>
        </w:rPr>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pPr>
        <w:numPr>
          <w:ilvl w:val="0"/>
          <w:numId w:val="0"/>
        </w:numPr>
        <w:shd w:val="clear" w:color="auto" w:fill="FFFFFF"/>
        <w:tabs>
          <w:tab w:val="left" w:pos="3780"/>
        </w:tabs>
        <w:spacing w:line="440" w:lineRule="exact"/>
        <w:rPr>
          <w:rFonts w:hint="eastAsia" w:ascii="仿宋" w:hAnsi="仿宋" w:eastAsia="仿宋" w:cs="仿宋"/>
          <w:sz w:val="24"/>
          <w:szCs w:val="24"/>
        </w:rPr>
      </w:pPr>
      <w:r>
        <w:rPr>
          <w:rFonts w:hint="eastAsia" w:ascii="仿宋" w:hAnsi="仿宋" w:eastAsia="仿宋" w:cs="仿宋"/>
          <w:bCs/>
          <w:sz w:val="24"/>
          <w:szCs w:val="24"/>
          <w:lang w:val="en-US" w:eastAsia="zh-CN"/>
        </w:rPr>
        <w:t>2、</w:t>
      </w:r>
      <w:r>
        <w:rPr>
          <w:rFonts w:hint="eastAsia" w:ascii="仿宋" w:hAnsi="仿宋" w:eastAsia="仿宋" w:cs="仿宋"/>
          <w:sz w:val="24"/>
          <w:szCs w:val="24"/>
          <w:lang w:val="en-US" w:eastAsia="zh-CN"/>
        </w:rPr>
        <w:t>合计金额应为各分项价格之和。</w:t>
      </w:r>
    </w:p>
    <w:p>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、综合单价报价应包含货物的采购、包装、运输、装卸、保险、</w:t>
      </w:r>
      <w:r>
        <w:rPr>
          <w:rFonts w:hint="eastAsia" w:ascii="仿宋" w:hAnsi="仿宋" w:eastAsia="仿宋" w:cs="仿宋"/>
          <w:sz w:val="24"/>
          <w:lang w:val="en-US" w:eastAsia="zh-CN"/>
        </w:rPr>
        <w:t>技术支持、</w:t>
      </w:r>
      <w:r>
        <w:rPr>
          <w:rFonts w:hint="eastAsia" w:ascii="仿宋" w:hAnsi="仿宋" w:eastAsia="仿宋" w:cs="仿宋"/>
          <w:sz w:val="24"/>
        </w:rPr>
        <w:t>验收、检验</w:t>
      </w:r>
      <w:r>
        <w:rPr>
          <w:rFonts w:hint="eastAsia" w:ascii="仿宋" w:hAnsi="仿宋" w:eastAsia="仿宋" w:cs="仿宋"/>
          <w:sz w:val="24"/>
          <w:lang w:eastAsia="zh-CN"/>
        </w:rPr>
        <w:t>、</w:t>
      </w:r>
      <w:r>
        <w:rPr>
          <w:rFonts w:hint="eastAsia" w:ascii="仿宋" w:hAnsi="仿宋" w:eastAsia="仿宋" w:cs="仿宋"/>
          <w:sz w:val="24"/>
          <w:lang w:val="en-US" w:eastAsia="zh-CN"/>
        </w:rPr>
        <w:t>售后服务、培训</w:t>
      </w:r>
      <w:r>
        <w:rPr>
          <w:rFonts w:hint="eastAsia" w:ascii="仿宋" w:hAnsi="仿宋" w:eastAsia="仿宋" w:cs="仿宋"/>
          <w:sz w:val="24"/>
        </w:rPr>
        <w:t>等一切费用。</w:t>
      </w:r>
    </w:p>
    <w:p>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、投标人必须自行考虑本项目在实施期间的一切可能产生的费用。在合同执行过程中，招标人将不再另行支付与本项目相关的任何费用（非本项目要求的其它内容除外）。</w: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spacing w:line="460" w:lineRule="atLeast"/>
        <w:rPr>
          <w:rFonts w:hint="eastAsia"/>
          <w:sz w:val="24"/>
        </w:rPr>
      </w:pPr>
      <w:r>
        <w:rPr>
          <w:rFonts w:hint="eastAsia"/>
        </w:rPr>
        <w:br w:type="page"/>
      </w:r>
    </w:p>
    <w:p>
      <w:pPr>
        <w:spacing w:line="460" w:lineRule="atLeast"/>
        <w:jc w:val="center"/>
        <w:rPr>
          <w:rFonts w:hint="eastAsia" w:ascii="仿宋" w:hAnsi="仿宋" w:eastAsia="仿宋" w:cs="仿宋"/>
          <w:b/>
          <w:bCs w:val="0"/>
          <w:sz w:val="24"/>
        </w:rPr>
      </w:pPr>
      <w:r>
        <w:rPr>
          <w:rFonts w:hint="eastAsia" w:ascii="仿宋" w:hAnsi="仿宋" w:eastAsia="仿宋" w:cs="仿宋"/>
          <w:b/>
          <w:bCs w:val="0"/>
          <w:sz w:val="24"/>
          <w:lang w:val="en-US" w:eastAsia="zh-CN"/>
        </w:rPr>
        <w:t>6、</w:t>
      </w:r>
      <w:r>
        <w:rPr>
          <w:rFonts w:hint="eastAsia" w:ascii="仿宋" w:hAnsi="仿宋" w:eastAsia="仿宋" w:cs="仿宋"/>
          <w:b/>
          <w:bCs w:val="0"/>
          <w:sz w:val="24"/>
        </w:rPr>
        <w:t>明细报价表</w:t>
      </w:r>
    </w:p>
    <w:p>
      <w:pPr>
        <w:tabs>
          <w:tab w:val="left" w:pos="5100"/>
        </w:tabs>
        <w:spacing w:line="440" w:lineRule="exact"/>
        <w:ind w:firstLine="352" w:firstLineChars="147"/>
        <w:rPr>
          <w:rFonts w:hint="eastAsia" w:ascii="仿宋" w:hAnsi="仿宋" w:eastAsia="仿宋" w:cs="仿宋"/>
          <w:bCs/>
          <w:color w:val="auto"/>
          <w:sz w:val="24"/>
          <w:szCs w:val="24"/>
          <w:highlight w:val="none"/>
        </w:rPr>
      </w:pPr>
      <w:r>
        <w:rPr>
          <w:rFonts w:hint="eastAsia" w:ascii="仿宋" w:hAnsi="仿宋" w:eastAsia="仿宋" w:cs="仿宋"/>
          <w:bCs/>
          <w:sz w:val="24"/>
          <w:szCs w:val="24"/>
        </w:rPr>
        <w:t>项目名称：</w:t>
      </w:r>
      <w:r>
        <w:rPr>
          <w:rFonts w:hint="eastAsia" w:ascii="仿宋" w:hAnsi="仿宋" w:eastAsia="仿宋" w:cs="仿宋"/>
          <w:bCs/>
          <w:sz w:val="24"/>
          <w:szCs w:val="24"/>
          <w:lang w:val="en-US" w:eastAsia="zh-CN"/>
        </w:rPr>
        <w:t xml:space="preserve">                       </w:t>
      </w:r>
      <w:r>
        <w:rPr>
          <w:rFonts w:hint="eastAsia" w:ascii="仿宋" w:hAnsi="仿宋" w:eastAsia="仿宋" w:cs="仿宋"/>
          <w:color w:val="auto"/>
          <w:sz w:val="24"/>
          <w:szCs w:val="24"/>
          <w:highlight w:val="none"/>
        </w:rPr>
        <w:t xml:space="preserve">投标单位名称：  </w:t>
      </w:r>
    </w:p>
    <w:p>
      <w:pPr>
        <w:pStyle w:val="327"/>
        <w:spacing w:line="440" w:lineRule="exact"/>
        <w:ind w:left="208" w:leftChars="99" w:firstLine="120" w:firstLineChars="5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 xml:space="preserve">招标编号：                       </w:t>
      </w:r>
      <w:r>
        <w:rPr>
          <w:rFonts w:hint="eastAsia" w:ascii="仿宋" w:hAnsi="仿宋" w:eastAsia="仿宋" w:cs="仿宋"/>
          <w:color w:val="auto"/>
          <w:sz w:val="24"/>
          <w:szCs w:val="24"/>
          <w:highlight w:val="none"/>
          <w:lang w:val="en-US" w:eastAsia="zh-CN"/>
        </w:rPr>
        <w:t>所投分包/</w:t>
      </w:r>
      <w:r>
        <w:rPr>
          <w:rFonts w:hint="eastAsia" w:ascii="仿宋" w:hAnsi="仿宋" w:eastAsia="仿宋" w:cs="仿宋"/>
          <w:color w:val="auto"/>
          <w:sz w:val="24"/>
          <w:szCs w:val="24"/>
          <w:highlight w:val="none"/>
        </w:rPr>
        <w:t>内容 ：</w:t>
      </w:r>
    </w:p>
    <w:p>
      <w:pPr>
        <w:pStyle w:val="327"/>
        <w:spacing w:line="440" w:lineRule="exact"/>
        <w:ind w:left="208" w:leftChars="99" w:firstLine="120" w:firstLineChars="50"/>
        <w:jc w:val="both"/>
        <w:rPr>
          <w:rFonts w:hint="eastAsia" w:ascii="仿宋" w:hAnsi="仿宋" w:eastAsia="仿宋" w:cs="仿宋"/>
          <w:bCs/>
          <w:color w:val="auto"/>
          <w:kern w:val="2"/>
          <w:sz w:val="24"/>
        </w:rPr>
      </w:pPr>
    </w:p>
    <w:tbl>
      <w:tblPr>
        <w:tblStyle w:val="6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26"/>
        <w:gridCol w:w="975"/>
        <w:gridCol w:w="960"/>
        <w:gridCol w:w="960"/>
        <w:gridCol w:w="960"/>
        <w:gridCol w:w="1129"/>
        <w:gridCol w:w="1265"/>
        <w:gridCol w:w="99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26"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975"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c>
          <w:tcPr>
            <w:tcW w:w="960" w:type="dxa"/>
            <w:noWrap w:val="0"/>
            <w:vAlign w:val="center"/>
          </w:tcPr>
          <w:p>
            <w:pPr>
              <w:spacing w:line="44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品牌</w:t>
            </w:r>
          </w:p>
        </w:tc>
        <w:tc>
          <w:tcPr>
            <w:tcW w:w="960" w:type="dxa"/>
            <w:noWrap w:val="0"/>
            <w:vAlign w:val="center"/>
          </w:tcPr>
          <w:p>
            <w:pPr>
              <w:spacing w:line="44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产地</w:t>
            </w:r>
          </w:p>
        </w:tc>
        <w:tc>
          <w:tcPr>
            <w:tcW w:w="960"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29"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265"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w:t>
            </w:r>
          </w:p>
        </w:tc>
        <w:tc>
          <w:tcPr>
            <w:tcW w:w="991"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总价</w:t>
            </w:r>
          </w:p>
        </w:tc>
        <w:tc>
          <w:tcPr>
            <w:tcW w:w="1127" w:type="dxa"/>
            <w:noWrap w:val="0"/>
            <w:vAlign w:val="center"/>
          </w:tcPr>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仿宋" w:hAnsi="仿宋" w:eastAsia="仿宋" w:cs="仿宋"/>
                <w:color w:val="auto"/>
                <w:sz w:val="24"/>
                <w:szCs w:val="24"/>
                <w:highlight w:val="none"/>
              </w:rPr>
            </w:pPr>
          </w:p>
        </w:tc>
        <w:tc>
          <w:tcPr>
            <w:tcW w:w="926" w:type="dxa"/>
            <w:noWrap w:val="0"/>
            <w:vAlign w:val="center"/>
          </w:tcPr>
          <w:p>
            <w:pPr>
              <w:spacing w:line="440" w:lineRule="exact"/>
              <w:rPr>
                <w:rFonts w:hint="eastAsia" w:ascii="仿宋" w:hAnsi="仿宋" w:eastAsia="仿宋" w:cs="仿宋"/>
                <w:color w:val="auto"/>
                <w:sz w:val="24"/>
                <w:szCs w:val="24"/>
                <w:highlight w:val="none"/>
              </w:rPr>
            </w:pPr>
          </w:p>
        </w:tc>
        <w:tc>
          <w:tcPr>
            <w:tcW w:w="975"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960" w:type="dxa"/>
            <w:noWrap w:val="0"/>
            <w:vAlign w:val="center"/>
          </w:tcPr>
          <w:p>
            <w:pPr>
              <w:spacing w:line="440" w:lineRule="exact"/>
              <w:rPr>
                <w:rFonts w:hint="eastAsia" w:ascii="仿宋" w:hAnsi="仿宋" w:eastAsia="仿宋" w:cs="仿宋"/>
                <w:color w:val="auto"/>
                <w:sz w:val="24"/>
                <w:szCs w:val="24"/>
                <w:highlight w:val="none"/>
              </w:rPr>
            </w:pPr>
          </w:p>
        </w:tc>
        <w:tc>
          <w:tcPr>
            <w:tcW w:w="1129" w:type="dxa"/>
            <w:noWrap w:val="0"/>
            <w:vAlign w:val="center"/>
          </w:tcPr>
          <w:p>
            <w:pPr>
              <w:spacing w:line="440" w:lineRule="exact"/>
              <w:rPr>
                <w:rFonts w:hint="eastAsia" w:ascii="仿宋" w:hAnsi="仿宋" w:eastAsia="仿宋" w:cs="仿宋"/>
                <w:color w:val="auto"/>
                <w:sz w:val="24"/>
                <w:szCs w:val="24"/>
                <w:highlight w:val="none"/>
              </w:rPr>
            </w:pPr>
          </w:p>
        </w:tc>
        <w:tc>
          <w:tcPr>
            <w:tcW w:w="1265" w:type="dxa"/>
            <w:noWrap w:val="0"/>
            <w:vAlign w:val="center"/>
          </w:tcPr>
          <w:p>
            <w:pPr>
              <w:spacing w:line="440" w:lineRule="exact"/>
              <w:rPr>
                <w:rFonts w:hint="eastAsia" w:ascii="仿宋" w:hAnsi="仿宋" w:eastAsia="仿宋" w:cs="仿宋"/>
                <w:color w:val="auto"/>
                <w:sz w:val="24"/>
                <w:szCs w:val="24"/>
                <w:highlight w:val="none"/>
              </w:rPr>
            </w:pPr>
          </w:p>
        </w:tc>
        <w:tc>
          <w:tcPr>
            <w:tcW w:w="991" w:type="dxa"/>
            <w:noWrap w:val="0"/>
            <w:vAlign w:val="center"/>
          </w:tcPr>
          <w:p>
            <w:pPr>
              <w:spacing w:line="440" w:lineRule="exact"/>
              <w:rPr>
                <w:rFonts w:hint="eastAsia" w:ascii="仿宋" w:hAnsi="仿宋" w:eastAsia="仿宋" w:cs="仿宋"/>
                <w:color w:val="auto"/>
                <w:sz w:val="24"/>
                <w:szCs w:val="24"/>
                <w:highlight w:val="none"/>
              </w:rPr>
            </w:pPr>
          </w:p>
        </w:tc>
        <w:tc>
          <w:tcPr>
            <w:tcW w:w="1127" w:type="dxa"/>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单位：元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（小写）</w:t>
            </w:r>
          </w:p>
        </w:tc>
        <w:tc>
          <w:tcPr>
            <w:tcW w:w="7392" w:type="dxa"/>
            <w:gridSpan w:val="7"/>
            <w:noWrap w:val="0"/>
            <w:vAlign w:val="center"/>
          </w:tcPr>
          <w:p>
            <w:pPr>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7392" w:type="dxa"/>
            <w:gridSpan w:val="7"/>
            <w:noWrap w:val="0"/>
            <w:vAlign w:val="center"/>
          </w:tcPr>
          <w:p>
            <w:pPr>
              <w:spacing w:line="440" w:lineRule="exact"/>
              <w:rPr>
                <w:rFonts w:hint="eastAsia" w:ascii="仿宋" w:hAnsi="仿宋" w:eastAsia="仿宋" w:cs="仿宋"/>
                <w:color w:val="auto"/>
                <w:sz w:val="24"/>
                <w:szCs w:val="24"/>
                <w:highlight w:val="none"/>
              </w:rPr>
            </w:pPr>
          </w:p>
        </w:tc>
      </w:tr>
    </w:tbl>
    <w:p>
      <w:pPr>
        <w:pStyle w:val="31"/>
        <w:rPr>
          <w:rFonts w:hint="eastAsia" w:ascii="仿宋" w:hAnsi="仿宋" w:eastAsia="仿宋" w:cs="仿宋"/>
          <w:sz w:val="24"/>
          <w:szCs w:val="24"/>
        </w:rPr>
      </w:pPr>
    </w:p>
    <w:p>
      <w:pPr>
        <w:pStyle w:val="31"/>
        <w:rPr>
          <w:rFonts w:hint="eastAsia" w:ascii="仿宋" w:hAnsi="仿宋" w:eastAsia="仿宋" w:cs="仿宋"/>
          <w:sz w:val="24"/>
          <w:szCs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spacing w:line="440" w:lineRule="exact"/>
        <w:rPr>
          <w:rFonts w:hint="eastAsia" w:ascii="仿宋" w:hAnsi="仿宋" w:eastAsia="仿宋" w:cs="仿宋"/>
          <w:b/>
          <w:sz w:val="24"/>
        </w:rPr>
      </w:pPr>
    </w:p>
    <w:p>
      <w:pPr>
        <w:spacing w:line="440" w:lineRule="exact"/>
        <w:rPr>
          <w:rFonts w:hint="eastAsia" w:ascii="仿宋" w:hAnsi="仿宋" w:eastAsia="仿宋" w:cs="仿宋"/>
          <w:b/>
          <w:szCs w:val="21"/>
        </w:rPr>
      </w:pPr>
    </w:p>
    <w:p>
      <w:pPr>
        <w:pStyle w:val="17"/>
        <w:ind w:firstLine="400"/>
        <w:rPr>
          <w:rFonts w:hint="eastAsia" w:ascii="仿宋" w:hAnsi="仿宋" w:eastAsia="仿宋" w:cs="仿宋"/>
          <w:szCs w:val="21"/>
        </w:rPr>
      </w:pPr>
    </w:p>
    <w:p>
      <w:pPr>
        <w:widowControl/>
        <w:spacing w:line="440" w:lineRule="exact"/>
        <w:jc w:val="left"/>
        <w:rPr>
          <w:rFonts w:hint="eastAsia" w:ascii="仿宋" w:hAnsi="仿宋" w:eastAsia="仿宋" w:cs="仿宋"/>
          <w:sz w:val="24"/>
        </w:rPr>
      </w:pPr>
      <w:r>
        <w:rPr>
          <w:rFonts w:hint="eastAsia"/>
        </w:rPr>
        <w:br w:type="page"/>
      </w:r>
    </w:p>
    <w:p>
      <w:pPr>
        <w:numPr>
          <w:ilvl w:val="0"/>
          <w:numId w:val="0"/>
        </w:numPr>
        <w:spacing w:line="460" w:lineRule="atLeast"/>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7、投标人的资格证明材料</w:t>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1、投标人名称：</w:t>
      </w:r>
      <w:r>
        <w:rPr>
          <w:rFonts w:hint="eastAsia" w:ascii="仿宋" w:hAnsi="仿宋" w:eastAsia="仿宋" w:cs="仿宋"/>
          <w:sz w:val="24"/>
          <w:szCs w:val="24"/>
        </w:rPr>
        <w:tab/>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2、资质等级：</w:t>
      </w:r>
      <w:r>
        <w:rPr>
          <w:rFonts w:hint="eastAsia" w:ascii="仿宋" w:hAnsi="仿宋" w:eastAsia="仿宋" w:cs="仿宋"/>
          <w:sz w:val="24"/>
          <w:szCs w:val="24"/>
        </w:rPr>
        <w:tab/>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3、投标人地址：</w:t>
      </w:r>
      <w:r>
        <w:rPr>
          <w:rFonts w:hint="eastAsia" w:ascii="仿宋" w:hAnsi="仿宋" w:eastAsia="仿宋" w:cs="仿宋"/>
          <w:sz w:val="24"/>
          <w:szCs w:val="24"/>
        </w:rPr>
        <w:tab/>
      </w:r>
    </w:p>
    <w:p>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4、经营范围：</w:t>
      </w:r>
      <w:r>
        <w:rPr>
          <w:rFonts w:hint="eastAsia" w:ascii="仿宋" w:hAnsi="仿宋" w:eastAsia="仿宋" w:cs="仿宋"/>
          <w:sz w:val="24"/>
          <w:szCs w:val="24"/>
        </w:rPr>
        <w:tab/>
      </w:r>
    </w:p>
    <w:p>
      <w:pPr>
        <w:rPr>
          <w:rFonts w:hint="eastAsia"/>
          <w:sz w:val="24"/>
          <w:szCs w:val="24"/>
          <w:lang w:val="en-US" w:eastAsia="zh-CN"/>
        </w:rPr>
      </w:pPr>
      <w:r>
        <w:rPr>
          <w:rFonts w:hint="eastAsia" w:ascii="仿宋" w:hAnsi="仿宋" w:eastAsia="仿宋" w:cs="仿宋"/>
          <w:sz w:val="24"/>
          <w:szCs w:val="24"/>
        </w:rPr>
        <w:t>5、投标人自我介绍：</w:t>
      </w:r>
    </w:p>
    <w:p>
      <w:pPr>
        <w:shd w:val="clear" w:color="auto" w:fill="FFFFFF"/>
        <w:spacing w:line="440" w:lineRule="exact"/>
        <w:jc w:val="center"/>
        <w:rPr>
          <w:rFonts w:hint="eastAsia" w:ascii="仿宋" w:hAnsi="仿宋" w:eastAsia="仿宋" w:cs="仿宋"/>
          <w:bCs/>
          <w:sz w:val="24"/>
        </w:rPr>
      </w:pPr>
      <w:bookmarkStart w:id="18" w:name="_Toc60925523"/>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投标人基本情况表</w:t>
      </w:r>
      <w:bookmarkEnd w:id="18"/>
    </w:p>
    <w:tbl>
      <w:tblPr>
        <w:tblStyle w:val="6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r>
      <w:tr>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noWrap w:val="0"/>
            <w:vAlign w:val="center"/>
          </w:tcPr>
          <w:p>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adjustRightInd w:val="0"/>
              <w:snapToGrid w:val="0"/>
              <w:spacing w:line="520" w:lineRule="exact"/>
              <w:jc w:val="center"/>
              <w:rPr>
                <w:rFonts w:hint="eastAsia" w:ascii="仿宋" w:hAnsi="仿宋" w:eastAsia="仿宋" w:cs="仿宋"/>
                <w:kern w:val="0"/>
                <w:sz w:val="24"/>
              </w:rPr>
            </w:pP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pPr>
              <w:autoSpaceDE w:val="0"/>
              <w:autoSpaceDN w:val="0"/>
              <w:adjustRightInd w:val="0"/>
              <w:snapToGrid w:val="0"/>
              <w:spacing w:line="520" w:lineRule="exact"/>
              <w:rPr>
                <w:rFonts w:hint="eastAsia" w:ascii="仿宋" w:hAnsi="仿宋" w:eastAsia="仿宋" w:cs="仿宋"/>
                <w:kern w:val="0"/>
                <w:sz w:val="24"/>
              </w:rPr>
            </w:pPr>
          </w:p>
        </w:tc>
      </w:tr>
    </w:tbl>
    <w:p>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pPr>
        <w:jc w:val="center"/>
        <w:rPr>
          <w:rFonts w:hint="eastAsia" w:ascii="仿宋" w:hAnsi="仿宋" w:eastAsia="仿宋" w:cs="仿宋"/>
          <w:b/>
          <w:sz w:val="28"/>
          <w:szCs w:val="28"/>
        </w:rPr>
      </w:pPr>
      <w:r>
        <w:rPr>
          <w:rFonts w:hint="eastAsia" w:ascii="仿宋" w:hAnsi="仿宋" w:eastAsia="仿宋" w:cs="仿宋"/>
          <w:b/>
          <w:sz w:val="28"/>
          <w:szCs w:val="28"/>
        </w:rPr>
        <w:t>中小企业声明函(货物)</w:t>
      </w:r>
    </w:p>
    <w:p>
      <w:pPr>
        <w:ind w:left="1280"/>
        <w:rPr>
          <w:rFonts w:hint="eastAsia" w:ascii="仿宋" w:hAnsi="仿宋" w:eastAsia="仿宋" w:cs="仿宋"/>
          <w:sz w:val="32"/>
          <w:szCs w:val="32"/>
        </w:rPr>
      </w:pP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i/>
          <w:sz w:val="24"/>
          <w:u w:val="single"/>
        </w:rPr>
        <w:t>（单位名称）</w:t>
      </w:r>
      <w:r>
        <w:rPr>
          <w:rFonts w:hint="eastAsia" w:ascii="仿宋" w:hAnsi="仿宋" w:eastAsia="仿宋" w:cs="仿宋"/>
          <w:sz w:val="24"/>
        </w:rPr>
        <w:t>的</w:t>
      </w:r>
      <w:r>
        <w:rPr>
          <w:rFonts w:hint="eastAsia" w:ascii="仿宋" w:hAnsi="仿宋" w:eastAsia="仿宋" w:cs="仿宋"/>
          <w:i/>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Style w:val="70"/>
          <w:rFonts w:hint="eastAsia" w:ascii="仿宋" w:hAnsi="仿宋" w:eastAsia="仿宋" w:cs="仿宋"/>
          <w:sz w:val="24"/>
        </w:rPr>
        <w:footnoteReference w:id="0"/>
      </w:r>
      <w:r>
        <w:rPr>
          <w:rFonts w:hint="eastAsia" w:ascii="仿宋" w:hAnsi="仿宋" w:eastAsia="仿宋" w:cs="仿宋"/>
          <w:sz w:val="24"/>
        </w:rPr>
        <w:t>，属于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企业名称（盖章）：</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日期：</w:t>
      </w:r>
    </w:p>
    <w:p>
      <w:pPr>
        <w:pageBreakBefore w:val="0"/>
        <w:kinsoku/>
        <w:wordWrap/>
        <w:overflowPunct/>
        <w:topLinePunct w:val="0"/>
        <w:bidi w:val="0"/>
        <w:spacing w:line="480" w:lineRule="exact"/>
        <w:textAlignment w:val="auto"/>
        <w:rPr>
          <w:rFonts w:hint="eastAsia" w:ascii="仿宋" w:hAnsi="仿宋" w:eastAsia="仿宋" w:cs="仿宋"/>
          <w:b/>
          <w:color w:val="auto"/>
          <w:sz w:val="28"/>
          <w:szCs w:val="28"/>
          <w:highlight w:val="none"/>
        </w:rPr>
      </w:pPr>
    </w:p>
    <w:p>
      <w:pPr>
        <w:snapToGrid w:val="0"/>
        <w:spacing w:line="336" w:lineRule="auto"/>
        <w:ind w:firstLine="422" w:firstLineChars="20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中小企业划型标准规定</w:t>
      </w:r>
    </w:p>
    <w:p>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一、根据《中华人民共和国中小企业促进法》和《国务院关于进一步促进中小企业发展的若干意见》(国发〔2009〕36号)，制定本规定。 </w:t>
      </w:r>
    </w:p>
    <w:p>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二、中小企业划分为中型、小型、微型三种类型，具体标准根据企业从业人员、营业收入、资产总额等指标，结合行业特点制定。</w:t>
      </w:r>
    </w:p>
    <w:p>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三、各行业划型标准参考关于印发中小企业划型标准规定的通知（工信部联企业〔2011〕300号） </w:t>
      </w:r>
    </w:p>
    <w:p>
      <w:pPr>
        <w:snapToGrid w:val="0"/>
        <w:spacing w:line="336" w:lineRule="auto"/>
        <w:ind w:firstLine="420" w:firstLineChars="200"/>
        <w:rPr>
          <w:rFonts w:hint="eastAsia" w:ascii="仿宋" w:hAnsi="仿宋" w:eastAsia="仿宋" w:cs="仿宋"/>
          <w:sz w:val="24"/>
        </w:rPr>
      </w:pPr>
      <w:r>
        <w:rPr>
          <w:rFonts w:hint="eastAsia" w:ascii="仿宋" w:hAnsi="仿宋" w:eastAsia="仿宋" w:cs="仿宋"/>
          <w:sz w:val="21"/>
          <w:szCs w:val="21"/>
          <w:lang w:val="en-US" w:eastAsia="zh-CN"/>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lang w:val="en-US" w:eastAsia="zh-CN"/>
        </w:rPr>
        <w:t xml:space="preserve"> </w:t>
      </w:r>
    </w:p>
    <w:p>
      <w:pPr>
        <w:snapToGrid w:val="0"/>
        <w:spacing w:line="336" w:lineRule="auto"/>
        <w:ind w:firstLine="480" w:firstLineChars="200"/>
        <w:rPr>
          <w:rFonts w:hint="eastAsia" w:ascii="仿宋" w:hAnsi="仿宋" w:eastAsia="仿宋" w:cs="仿宋"/>
          <w:sz w:val="24"/>
        </w:rPr>
      </w:pPr>
    </w:p>
    <w:p>
      <w:pPr>
        <w:snapToGrid w:val="0"/>
        <w:spacing w:line="336" w:lineRule="auto"/>
        <w:ind w:firstLine="480" w:firstLineChars="200"/>
        <w:rPr>
          <w:rFonts w:hint="eastAsia" w:ascii="仿宋" w:hAnsi="仿宋" w:eastAsia="仿宋" w:cs="仿宋"/>
          <w:sz w:val="24"/>
        </w:rPr>
      </w:pPr>
    </w:p>
    <w:p>
      <w:pPr>
        <w:snapToGrid w:val="0"/>
        <w:spacing w:line="336" w:lineRule="auto"/>
        <w:ind w:firstLine="482" w:firstLineChars="200"/>
        <w:rPr>
          <w:rFonts w:hint="eastAsia" w:ascii="仿宋" w:hAnsi="仿宋" w:eastAsia="仿宋" w:cs="仿宋"/>
          <w:b/>
          <w:bCs/>
          <w:sz w:val="24"/>
        </w:rPr>
      </w:pPr>
    </w:p>
    <w:p>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pPr>
        <w:spacing w:line="588" w:lineRule="exact"/>
        <w:jc w:val="center"/>
        <w:rPr>
          <w:rFonts w:hint="eastAsia" w:ascii="仿宋" w:hAnsi="仿宋" w:eastAsia="仿宋" w:cs="仿宋"/>
          <w:b/>
          <w:spacing w:val="6"/>
          <w:sz w:val="24"/>
        </w:rPr>
      </w:pPr>
      <w:bookmarkStart w:id="19" w:name="OLE_LINK14"/>
      <w:bookmarkStart w:id="20" w:name="OLE_LINK13"/>
      <w:r>
        <w:rPr>
          <w:rFonts w:hint="eastAsia" w:ascii="仿宋" w:hAnsi="仿宋" w:eastAsia="仿宋" w:cs="仿宋"/>
          <w:b/>
          <w:spacing w:val="6"/>
          <w:sz w:val="24"/>
        </w:rPr>
        <w:t>残疾人福利性单位声明函</w:t>
      </w:r>
    </w:p>
    <w:bookmarkEnd w:id="19"/>
    <w:bookmarkEnd w:id="20"/>
    <w:p>
      <w:pPr>
        <w:spacing w:line="588" w:lineRule="exact"/>
        <w:rPr>
          <w:rFonts w:hint="eastAsia" w:ascii="仿宋" w:hAnsi="仿宋" w:eastAsia="仿宋" w:cs="仿宋"/>
          <w:b/>
          <w:spacing w:val="6"/>
          <w:sz w:val="24"/>
        </w:rPr>
      </w:pP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rPr>
      </w:pPr>
    </w:p>
    <w:p>
      <w:pPr>
        <w:spacing w:line="588" w:lineRule="exact"/>
        <w:ind w:firstLine="504" w:firstLineChars="200"/>
        <w:rPr>
          <w:rFonts w:hint="eastAsia" w:ascii="仿宋" w:hAnsi="仿宋" w:eastAsia="仿宋" w:cs="仿宋"/>
          <w:spacing w:val="6"/>
          <w:sz w:val="24"/>
        </w:rPr>
      </w:pPr>
    </w:p>
    <w:p>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pPr>
        <w:rPr>
          <w:rFonts w:hint="eastAsia" w:ascii="仿宋" w:hAnsi="仿宋" w:eastAsia="仿宋" w:cs="仿宋"/>
          <w:sz w:val="24"/>
        </w:rPr>
      </w:pPr>
    </w:p>
    <w:p>
      <w:pPr>
        <w:widowControl/>
        <w:jc w:val="left"/>
        <w:rPr>
          <w:rFonts w:hint="eastAsia" w:ascii="仿宋" w:hAnsi="仿宋" w:eastAsia="仿宋" w:cs="仿宋"/>
          <w:sz w:val="24"/>
        </w:rPr>
      </w:pPr>
    </w:p>
    <w:p>
      <w:pPr>
        <w:widowControl/>
        <w:jc w:val="left"/>
        <w:rPr>
          <w:rFonts w:hint="eastAsia" w:ascii="仿宋" w:hAnsi="仿宋" w:eastAsia="仿宋" w:cs="仿宋"/>
          <w:sz w:val="24"/>
        </w:rPr>
      </w:pPr>
    </w:p>
    <w:p>
      <w:pPr>
        <w:widowControl/>
        <w:jc w:val="left"/>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pStyle w:val="71"/>
        <w:rPr>
          <w:rFonts w:hint="eastAsia" w:ascii="仿宋" w:hAnsi="仿宋" w:eastAsia="仿宋" w:cs="仿宋"/>
          <w:sz w:val="24"/>
        </w:rPr>
      </w:pPr>
    </w:p>
    <w:p>
      <w:pPr>
        <w:widowControl/>
        <w:jc w:val="left"/>
        <w:rPr>
          <w:rStyle w:val="63"/>
          <w:rFonts w:hint="eastAsia" w:ascii="仿宋" w:hAnsi="仿宋" w:eastAsia="仿宋" w:cs="仿宋"/>
          <w:kern w:val="0"/>
          <w:sz w:val="24"/>
        </w:rPr>
      </w:pPr>
    </w:p>
    <w:p>
      <w:pPr>
        <w:widowControl/>
        <w:jc w:val="left"/>
        <w:rPr>
          <w:rStyle w:val="63"/>
          <w:rFonts w:hint="eastAsia" w:ascii="仿宋" w:hAnsi="仿宋" w:eastAsia="仿宋" w:cs="仿宋"/>
          <w:kern w:val="0"/>
          <w:sz w:val="24"/>
        </w:rPr>
      </w:pPr>
      <w:r>
        <w:rPr>
          <w:rStyle w:val="63"/>
          <w:rFonts w:hint="eastAsia" w:ascii="仿宋" w:hAnsi="仿宋" w:eastAsia="仿宋" w:cs="仿宋"/>
          <w:kern w:val="0"/>
          <w:sz w:val="24"/>
        </w:rPr>
        <w:t>附表三、</w:t>
      </w:r>
    </w:p>
    <w:p>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pPr>
        <w:pStyle w:val="54"/>
        <w:spacing w:line="360" w:lineRule="auto"/>
        <w:ind w:firstLine="480" w:firstLineChars="200"/>
        <w:rPr>
          <w:rStyle w:val="63"/>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pPr>
        <w:shd w:val="clear" w:color="auto" w:fill="FFFFFF"/>
        <w:tabs>
          <w:tab w:val="left" w:pos="3780"/>
        </w:tabs>
        <w:spacing w:line="440" w:lineRule="exact"/>
        <w:jc w:val="center"/>
        <w:rPr>
          <w:rFonts w:hint="eastAsia" w:ascii="仿宋" w:hAnsi="仿宋" w:eastAsia="仿宋" w:cs="仿宋"/>
          <w:sz w:val="24"/>
        </w:rPr>
      </w:pPr>
    </w:p>
    <w:p>
      <w:pPr>
        <w:shd w:val="clear" w:color="auto" w:fill="FFFFFF"/>
        <w:spacing w:line="440" w:lineRule="exact"/>
        <w:rPr>
          <w:rFonts w:hint="eastAsia" w:ascii="仿宋" w:hAnsi="仿宋" w:eastAsia="仿宋" w:cs="仿宋"/>
          <w:b/>
          <w:bCs/>
          <w:szCs w:val="21"/>
        </w:rPr>
      </w:pPr>
    </w:p>
    <w:p>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pPr>
        <w:shd w:val="clear" w:color="auto" w:fill="FFFFFF"/>
        <w:spacing w:line="440" w:lineRule="exact"/>
        <w:jc w:val="center"/>
        <w:rPr>
          <w:rFonts w:hint="eastAsia" w:ascii="仿宋" w:hAnsi="仿宋" w:eastAsia="仿宋" w:cs="仿宋"/>
          <w:bCs/>
          <w:sz w:val="24"/>
          <w:lang w:eastAsia="zh-CN"/>
        </w:rPr>
      </w:pPr>
    </w:p>
    <w:p>
      <w:pPr>
        <w:shd w:val="clear" w:color="auto" w:fill="FFFFFF"/>
        <w:spacing w:line="440" w:lineRule="exact"/>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2</w:t>
      </w:r>
      <w:r>
        <w:rPr>
          <w:rFonts w:hint="eastAsia" w:ascii="仿宋" w:hAnsi="仿宋" w:eastAsia="仿宋" w:cs="仿宋"/>
          <w:b/>
          <w:bCs w:val="0"/>
          <w:sz w:val="24"/>
          <w:lang w:eastAsia="zh-CN"/>
        </w:rPr>
        <w:t>）资格文件声明函</w:t>
      </w:r>
    </w:p>
    <w:p>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pPr>
        <w:pStyle w:val="2"/>
        <w:spacing w:before="139" w:line="360" w:lineRule="auto"/>
        <w:ind w:left="298" w:right="346" w:firstLine="420"/>
        <w:rPr>
          <w:rFonts w:hint="eastAsia" w:ascii="仿宋" w:hAnsi="仿宋" w:eastAsia="仿宋" w:cs="仿宋"/>
          <w:sz w:val="24"/>
          <w:szCs w:val="24"/>
        </w:rPr>
      </w:pPr>
      <w:r>
        <w:rPr>
          <w:rFonts w:hint="eastAsia" w:ascii="仿宋" w:hAnsi="仿宋" w:eastAsia="仿宋" w:cs="仿宋"/>
          <w:sz w:val="24"/>
          <w:szCs w:val="24"/>
        </w:rPr>
        <w:t>关于贵方采购项目名称：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】投标邀请，本签字人愿意参加投标响应，并声明：</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一、本公司（企业）具备《中华人民共和国政府采购法》第二十二条规定的条件：</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pStyle w:val="2"/>
        <w:spacing w:line="360" w:lineRule="auto"/>
        <w:ind w:left="58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本公司（企业）的单位负责人与所参投的本采购项目包组的其他供应商的单位负责人不为同一人且与其他供应商之间不存在直接控股、管理关系。</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本公司（企业）承诺在本次招标采购活动中，如有违法、违规、弄虚作假行为，所造成的损失、不良后果及法律责任，一律由我公司（企业）承担。</w:t>
      </w:r>
    </w:p>
    <w:p>
      <w:pPr>
        <w:spacing w:line="360" w:lineRule="auto"/>
        <w:ind w:left="708" w:right="7390" w:firstLine="9"/>
        <w:jc w:val="left"/>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备注：</w:t>
      </w:r>
    </w:p>
    <w:p>
      <w:pPr>
        <w:pStyle w:val="391"/>
        <w:numPr>
          <w:ilvl w:val="1"/>
          <w:numId w:val="18"/>
        </w:numPr>
        <w:tabs>
          <w:tab w:val="left" w:pos="928"/>
        </w:tabs>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本声明函必须提供且内容不得擅自删改，否则视为无效投标。</w:t>
      </w:r>
    </w:p>
    <w:p>
      <w:pPr>
        <w:pStyle w:val="391"/>
        <w:numPr>
          <w:ilvl w:val="1"/>
          <w:numId w:val="18"/>
        </w:numPr>
        <w:tabs>
          <w:tab w:val="left" w:pos="928"/>
        </w:tabs>
        <w:spacing w:before="137"/>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本声明函如有虚假或与事实不符的，作无效投标处理。</w:t>
      </w:r>
    </w:p>
    <w:p>
      <w:pPr>
        <w:shd w:val="clear" w:color="auto" w:fill="FFFFFF"/>
        <w:spacing w:line="440" w:lineRule="exact"/>
        <w:rPr>
          <w:rFonts w:hint="eastAsia" w:ascii="仿宋" w:hAnsi="仿宋" w:eastAsia="仿宋" w:cs="仿宋"/>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pPr>
        <w:autoSpaceDE w:val="0"/>
        <w:autoSpaceDN w:val="0"/>
        <w:adjustRightInd w:val="0"/>
        <w:spacing w:line="480" w:lineRule="exact"/>
        <w:ind w:left="118"/>
        <w:jc w:val="center"/>
        <w:rPr>
          <w:rFonts w:hint="eastAsia" w:ascii="仿宋" w:hAnsi="仿宋" w:eastAsia="仿宋" w:cs="仿宋"/>
          <w:bCs/>
          <w:sz w:val="24"/>
          <w:lang w:eastAsia="zh-CN"/>
        </w:rPr>
      </w:pPr>
    </w:p>
    <w:p>
      <w:pPr>
        <w:autoSpaceDE w:val="0"/>
        <w:autoSpaceDN w:val="0"/>
        <w:adjustRightInd w:val="0"/>
        <w:spacing w:line="480" w:lineRule="exact"/>
        <w:ind w:left="118"/>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3</w:t>
      </w:r>
      <w:r>
        <w:rPr>
          <w:rFonts w:hint="eastAsia" w:ascii="仿宋" w:hAnsi="仿宋" w:eastAsia="仿宋" w:cs="仿宋"/>
          <w:b/>
          <w:bCs w:val="0"/>
          <w:sz w:val="24"/>
          <w:lang w:eastAsia="zh-CN"/>
        </w:rPr>
        <w:t>)反商业贿赂承诺书</w:t>
      </w:r>
    </w:p>
    <w:p>
      <w:pPr>
        <w:autoSpaceDE w:val="0"/>
        <w:autoSpaceDN w:val="0"/>
        <w:adjustRightInd w:val="0"/>
        <w:spacing w:line="480" w:lineRule="exact"/>
        <w:ind w:left="118"/>
        <w:jc w:val="center"/>
        <w:rPr>
          <w:rFonts w:hint="eastAsia" w:ascii="仿宋" w:hAnsi="仿宋" w:eastAsia="仿宋" w:cs="仿宋"/>
          <w:b/>
          <w:kern w:val="0"/>
          <w:sz w:val="28"/>
          <w:szCs w:val="28"/>
        </w:rPr>
      </w:pPr>
    </w:p>
    <w:p>
      <w:pPr>
        <w:autoSpaceDE w:val="0"/>
        <w:autoSpaceDN w:val="0"/>
        <w:adjustRightInd w:val="0"/>
        <w:spacing w:line="480" w:lineRule="exact"/>
        <w:ind w:left="118"/>
        <w:jc w:val="center"/>
        <w:rPr>
          <w:rFonts w:hint="eastAsia" w:ascii="仿宋" w:hAnsi="仿宋" w:eastAsia="仿宋" w:cs="仿宋"/>
          <w:b/>
          <w:kern w:val="0"/>
          <w:sz w:val="28"/>
          <w:szCs w:val="28"/>
        </w:rPr>
      </w:pPr>
    </w:p>
    <w:p>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lang w:val="en-US" w:eastAsia="zh-CN"/>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autoSpaceDE w:val="0"/>
        <w:autoSpaceDN w:val="0"/>
        <w:adjustRightInd w:val="0"/>
        <w:spacing w:line="480" w:lineRule="exact"/>
        <w:ind w:left="118"/>
        <w:jc w:val="center"/>
        <w:rPr>
          <w:rFonts w:hint="eastAsia" w:ascii="仿宋" w:hAnsi="仿宋" w:eastAsia="仿宋" w:cs="仿宋"/>
          <w:bCs/>
          <w:kern w:val="0"/>
          <w:sz w:val="24"/>
        </w:rPr>
      </w:pPr>
    </w:p>
    <w:p>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pPr>
        <w:spacing w:line="520" w:lineRule="exact"/>
        <w:rPr>
          <w:rFonts w:hint="eastAsia" w:ascii="仿宋" w:hAnsi="仿宋" w:eastAsia="仿宋" w:cs="仿宋"/>
          <w:kern w:val="0"/>
          <w:sz w:val="24"/>
        </w:rPr>
      </w:pPr>
      <w:r>
        <w:rPr>
          <w:rFonts w:hint="eastAsia" w:ascii="仿宋" w:hAnsi="仿宋" w:eastAsia="仿宋" w:cs="仿宋"/>
          <w:kern w:val="0"/>
          <w:sz w:val="24"/>
        </w:rPr>
        <w:t>日期：</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p>
      <w:pPr>
        <w:shd w:val="clear" w:color="auto" w:fill="FFFFFF"/>
        <w:tabs>
          <w:tab w:val="left" w:pos="996"/>
        </w:tabs>
        <w:spacing w:line="440" w:lineRule="exact"/>
        <w:rPr>
          <w:rFonts w:hint="eastAsia" w:ascii="仿宋" w:hAnsi="仿宋" w:eastAsia="仿宋" w:cs="仿宋"/>
          <w:szCs w:val="21"/>
        </w:rPr>
      </w:pPr>
    </w:p>
    <w:p>
      <w:pPr>
        <w:pStyle w:val="71"/>
        <w:ind w:left="0" w:leftChars="0" w:firstLine="0" w:firstLineChars="0"/>
        <w:jc w:val="center"/>
        <w:rPr>
          <w:rFonts w:hint="eastAsia"/>
        </w:rPr>
      </w:pPr>
      <w:r>
        <w:rPr>
          <w:rFonts w:hint="eastAsia"/>
        </w:rPr>
        <w:br w:type="page"/>
      </w:r>
    </w:p>
    <w:p>
      <w:pPr>
        <w:pStyle w:val="71"/>
        <w:ind w:left="0" w:leftChars="0" w:firstLine="0" w:firstLineChars="0"/>
        <w:jc w:val="center"/>
        <w:rPr>
          <w:rFonts w:hint="eastAsia"/>
        </w:rPr>
      </w:pPr>
    </w:p>
    <w:p>
      <w:pPr>
        <w:pStyle w:val="71"/>
        <w:ind w:left="0" w:leftChars="0" w:firstLine="0" w:firstLineChars="0"/>
        <w:jc w:val="center"/>
        <w:rPr>
          <w:rFonts w:hint="eastAsia"/>
          <w:b/>
          <w:bCs w:val="0"/>
        </w:rPr>
      </w:pPr>
      <w:r>
        <w:rPr>
          <w:rFonts w:hint="eastAsia" w:ascii="仿宋" w:hAnsi="仿宋" w:eastAsia="仿宋" w:cs="仿宋"/>
          <w:b/>
          <w:bCs w:val="0"/>
          <w:kern w:val="2"/>
          <w:sz w:val="24"/>
          <w:szCs w:val="24"/>
          <w:lang w:val="en-US" w:eastAsia="zh-CN" w:bidi="ar-SA"/>
        </w:rPr>
        <w:t>(4)投标人认为需要提交的其他资格证明资料</w:t>
      </w:r>
    </w:p>
    <w:p>
      <w:pPr>
        <w:shd w:val="clear" w:color="auto" w:fill="FFFFFF"/>
        <w:spacing w:line="440" w:lineRule="exact"/>
        <w:rPr>
          <w:rFonts w:hint="eastAsia" w:ascii="仿宋" w:hAnsi="仿宋" w:eastAsia="仿宋" w:cs="仿宋"/>
          <w:szCs w:val="21"/>
        </w:rPr>
      </w:pPr>
    </w:p>
    <w:p>
      <w:pPr>
        <w:shd w:val="clear" w:color="auto" w:fill="FFFFFF"/>
        <w:spacing w:line="440" w:lineRule="exact"/>
        <w:rPr>
          <w:rFonts w:hint="eastAsia" w:ascii="仿宋" w:hAnsi="仿宋" w:eastAsia="仿宋" w:cs="仿宋"/>
          <w:szCs w:val="21"/>
        </w:rPr>
      </w:pPr>
    </w:p>
    <w:p>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pPr>
        <w:shd w:val="clear" w:color="auto" w:fill="FFFFFF"/>
        <w:spacing w:line="440" w:lineRule="exact"/>
        <w:jc w:val="center"/>
        <w:rPr>
          <w:rFonts w:hint="eastAsia" w:ascii="仿宋" w:hAnsi="仿宋" w:eastAsia="仿宋" w:cs="仿宋"/>
          <w:szCs w:val="21"/>
        </w:rPr>
      </w:pPr>
    </w:p>
    <w:p>
      <w:pPr>
        <w:shd w:val="clear" w:color="auto" w:fill="FFFFFF"/>
        <w:spacing w:line="440" w:lineRule="exact"/>
        <w:jc w:val="center"/>
        <w:rPr>
          <w:rFonts w:hint="eastAsia" w:ascii="仿宋" w:hAnsi="仿宋" w:eastAsia="仿宋" w:cs="仿宋"/>
          <w:b/>
          <w:bCs w:val="0"/>
          <w:szCs w:val="21"/>
          <w:lang w:val="en-US" w:eastAsia="zh-CN"/>
        </w:rPr>
      </w:pPr>
      <w:r>
        <w:rPr>
          <w:rFonts w:hint="eastAsia" w:ascii="仿宋" w:hAnsi="仿宋" w:eastAsia="仿宋" w:cs="仿宋"/>
          <w:b/>
          <w:bCs w:val="0"/>
          <w:kern w:val="2"/>
          <w:sz w:val="24"/>
          <w:szCs w:val="24"/>
          <w:lang w:val="en-US" w:eastAsia="zh-CN" w:bidi="ar-SA"/>
        </w:rPr>
        <w:t>8、投标保证金缴纳凭证</w:t>
      </w:r>
    </w:p>
    <w:p>
      <w:pPr>
        <w:shd w:val="clear" w:color="auto" w:fill="FFFFFF"/>
        <w:spacing w:line="440" w:lineRule="exact"/>
        <w:rPr>
          <w:rFonts w:hint="eastAsia" w:ascii="仿宋" w:hAnsi="仿宋" w:eastAsia="仿宋" w:cs="仿宋"/>
          <w:szCs w:val="21"/>
        </w:rPr>
      </w:pPr>
    </w:p>
    <w:p>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w:t>
      </w:r>
      <w:r>
        <w:rPr>
          <w:rFonts w:hint="eastAsia" w:ascii="仿宋" w:hAnsi="仿宋" w:eastAsia="仿宋" w:cs="仿宋"/>
          <w:b/>
          <w:bCs/>
          <w:kern w:val="0"/>
          <w:sz w:val="24"/>
          <w:lang w:eastAsia="zh-CN"/>
        </w:rPr>
        <w:t>投标</w:t>
      </w:r>
      <w:r>
        <w:rPr>
          <w:rFonts w:hint="eastAsia" w:ascii="仿宋" w:hAnsi="仿宋" w:eastAsia="仿宋" w:cs="仿宋"/>
          <w:b/>
          <w:bCs/>
          <w:kern w:val="0"/>
          <w:sz w:val="24"/>
        </w:rPr>
        <w:t>保证金</w:t>
      </w:r>
      <w:r>
        <w:rPr>
          <w:rFonts w:hint="eastAsia" w:ascii="仿宋" w:hAnsi="仿宋" w:eastAsia="仿宋" w:cs="仿宋"/>
          <w:b/>
          <w:bCs/>
          <w:kern w:val="0"/>
          <w:sz w:val="24"/>
          <w:lang w:val="en-US" w:eastAsia="zh-CN"/>
        </w:rPr>
        <w:t>收据或</w:t>
      </w:r>
      <w:r>
        <w:rPr>
          <w:rFonts w:hint="eastAsia" w:ascii="仿宋" w:hAnsi="仿宋" w:eastAsia="仿宋" w:cs="仿宋"/>
          <w:b/>
          <w:bCs/>
          <w:kern w:val="0"/>
          <w:sz w:val="24"/>
        </w:rPr>
        <w:t>汇款凭证复印件加盖公章</w:t>
      </w:r>
    </w:p>
    <w:p>
      <w:pPr>
        <w:shd w:val="clear" w:color="auto" w:fill="FFFFFF"/>
        <w:spacing w:line="440" w:lineRule="exact"/>
        <w:rPr>
          <w:rFonts w:hint="eastAsia" w:ascii="仿宋" w:hAnsi="仿宋" w:eastAsia="仿宋" w:cs="仿宋"/>
          <w:szCs w:val="21"/>
        </w:rPr>
      </w:pPr>
    </w:p>
    <w:p>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rPr>
      </w:pPr>
      <w:r>
        <w:rPr>
          <w:rFonts w:hint="eastAsia" w:ascii="仿宋" w:hAnsi="仿宋" w:eastAsia="仿宋" w:cs="仿宋"/>
          <w:szCs w:val="21"/>
        </w:rPr>
        <w:br w:type="page"/>
      </w:r>
    </w:p>
    <w:p>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rPr>
      </w:pPr>
    </w:p>
    <w:p>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kern w:val="2"/>
          <w:sz w:val="24"/>
          <w:szCs w:val="24"/>
          <w:lang w:val="en-US" w:eastAsia="zh-CN" w:bidi="ar-SA"/>
        </w:rPr>
        <w:t>9、项目人员配备情况表</w:t>
      </w:r>
    </w:p>
    <w:p>
      <w:pPr>
        <w:pStyle w:val="2"/>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2"/>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rPr>
        <w:t>：</w:t>
      </w:r>
    </w:p>
    <w:tbl>
      <w:tblPr>
        <w:tblStyle w:val="6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4"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4"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拟承担工作内容</w:t>
            </w:r>
          </w:p>
        </w:tc>
        <w:tc>
          <w:tcPr>
            <w:tcW w:w="994"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94"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56"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2659" w:type="dxa"/>
            <w:gridSpan w:val="2"/>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执业资格（培训）证书</w:t>
            </w:r>
          </w:p>
        </w:tc>
        <w:tc>
          <w:tcPr>
            <w:tcW w:w="798" w:type="dxa"/>
            <w:vMerge w:val="restar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证书名称及范围</w:t>
            </w: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798" w:type="dxa"/>
            <w:vMerge w:val="continue"/>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pPr>
              <w:spacing w:line="240" w:lineRule="auto"/>
              <w:jc w:val="center"/>
              <w:rPr>
                <w:rFonts w:hint="eastAsia" w:ascii="仿宋" w:hAnsi="仿宋" w:eastAsia="仿宋" w:cs="仿宋"/>
                <w:color w:val="auto"/>
                <w:sz w:val="24"/>
                <w:szCs w:val="24"/>
                <w:highlight w:val="none"/>
              </w:rPr>
            </w:pPr>
          </w:p>
        </w:tc>
      </w:tr>
    </w:tbl>
    <w:p>
      <w:pPr>
        <w:pStyle w:val="2"/>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pPr>
        <w:pStyle w:val="2"/>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必须如实填写此表格，并提供相关证书等复印件证明文件。</w:t>
      </w:r>
    </w:p>
    <w:p>
      <w:pPr>
        <w:pStyle w:val="2"/>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2）供应商应保证上述填报内容真实。</w:t>
      </w:r>
    </w:p>
    <w:p>
      <w:pPr>
        <w:pStyle w:val="2"/>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）本表不够时按照相同格式自制。</w:t>
      </w:r>
    </w:p>
    <w:p>
      <w:pPr>
        <w:shd w:val="clear" w:color="auto" w:fill="FFFFFF"/>
        <w:spacing w:line="440" w:lineRule="exact"/>
        <w:rPr>
          <w:rFonts w:hint="eastAsia" w:ascii="仿宋" w:hAnsi="仿宋" w:eastAsia="仿宋" w:cs="仿宋"/>
          <w:szCs w:val="21"/>
        </w:rPr>
      </w:pPr>
    </w:p>
    <w:p>
      <w:pPr>
        <w:shd w:val="clear" w:color="auto" w:fill="FFFFFF"/>
        <w:spacing w:line="440" w:lineRule="exact"/>
        <w:rPr>
          <w:rFonts w:hint="eastAsia" w:ascii="仿宋" w:hAnsi="仿宋" w:eastAsia="仿宋" w:cs="仿宋"/>
          <w:szCs w:val="21"/>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pPr>
        <w:shd w:val="clear" w:color="auto" w:fill="FFFFFF"/>
        <w:spacing w:line="440" w:lineRule="exact"/>
        <w:rPr>
          <w:rFonts w:hint="eastAsia" w:ascii="仿宋" w:hAnsi="仿宋" w:eastAsia="仿宋" w:cs="仿宋"/>
          <w:szCs w:val="21"/>
        </w:rPr>
      </w:pPr>
    </w:p>
    <w:p>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pPr>
        <w:spacing w:line="440" w:lineRule="exact"/>
        <w:jc w:val="center"/>
        <w:rPr>
          <w:rFonts w:hint="eastAsia" w:ascii="仿宋" w:hAnsi="仿宋" w:eastAsia="仿宋" w:cs="仿宋"/>
          <w:bCs/>
          <w:sz w:val="24"/>
          <w:lang w:val="en-US" w:eastAsia="zh-CN"/>
        </w:rPr>
      </w:pPr>
    </w:p>
    <w:p>
      <w:pPr>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10、</w:t>
      </w:r>
      <w:r>
        <w:rPr>
          <w:rFonts w:hint="eastAsia" w:ascii="仿宋" w:hAnsi="仿宋" w:eastAsia="仿宋" w:cs="仿宋"/>
          <w:b/>
          <w:bCs w:val="0"/>
          <w:sz w:val="24"/>
        </w:rPr>
        <w:t>投标人相关项目业绩表</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noWrap w:val="0"/>
            <w:vAlign w:val="center"/>
          </w:tcPr>
          <w:p>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p>
        </w:tc>
        <w:tc>
          <w:tcPr>
            <w:tcW w:w="1855" w:type="dxa"/>
            <w:noWrap w:val="0"/>
            <w:vAlign w:val="center"/>
          </w:tcPr>
          <w:p>
            <w:pPr>
              <w:widowControl/>
              <w:spacing w:line="440" w:lineRule="exact"/>
              <w:jc w:val="left"/>
              <w:rPr>
                <w:rFonts w:hint="eastAsia" w:ascii="仿宋" w:hAnsi="仿宋" w:eastAsia="仿宋" w:cs="仿宋"/>
                <w:sz w:val="24"/>
              </w:rPr>
            </w:pP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p>
        </w:tc>
        <w:tc>
          <w:tcPr>
            <w:tcW w:w="1855" w:type="dxa"/>
            <w:noWrap w:val="0"/>
            <w:vAlign w:val="center"/>
          </w:tcPr>
          <w:p>
            <w:pPr>
              <w:widowControl/>
              <w:spacing w:line="440" w:lineRule="exact"/>
              <w:jc w:val="left"/>
              <w:rPr>
                <w:rFonts w:hint="eastAsia" w:ascii="仿宋" w:hAnsi="仿宋" w:eastAsia="仿宋" w:cs="仿宋"/>
                <w:sz w:val="24"/>
              </w:rPr>
            </w:pP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p>
        </w:tc>
        <w:tc>
          <w:tcPr>
            <w:tcW w:w="1855" w:type="dxa"/>
            <w:noWrap w:val="0"/>
            <w:vAlign w:val="center"/>
          </w:tcPr>
          <w:p>
            <w:pPr>
              <w:widowControl/>
              <w:spacing w:line="440" w:lineRule="exact"/>
              <w:jc w:val="left"/>
              <w:rPr>
                <w:rFonts w:hint="eastAsia" w:ascii="仿宋" w:hAnsi="仿宋" w:eastAsia="仿宋" w:cs="仿宋"/>
                <w:sz w:val="24"/>
              </w:rPr>
            </w:pP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p>
        </w:tc>
        <w:tc>
          <w:tcPr>
            <w:tcW w:w="1855" w:type="dxa"/>
            <w:noWrap w:val="0"/>
            <w:vAlign w:val="center"/>
          </w:tcPr>
          <w:p>
            <w:pPr>
              <w:widowControl/>
              <w:spacing w:line="440" w:lineRule="exact"/>
              <w:jc w:val="left"/>
              <w:rPr>
                <w:rFonts w:hint="eastAsia" w:ascii="仿宋" w:hAnsi="仿宋" w:eastAsia="仿宋" w:cs="仿宋"/>
                <w:sz w:val="24"/>
              </w:rPr>
            </w:pP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p>
        </w:tc>
        <w:tc>
          <w:tcPr>
            <w:tcW w:w="1855" w:type="dxa"/>
            <w:noWrap w:val="0"/>
            <w:vAlign w:val="center"/>
          </w:tcPr>
          <w:p>
            <w:pPr>
              <w:widowControl/>
              <w:spacing w:line="440" w:lineRule="exact"/>
              <w:jc w:val="left"/>
              <w:rPr>
                <w:rFonts w:hint="eastAsia" w:ascii="仿宋" w:hAnsi="仿宋" w:eastAsia="仿宋" w:cs="仿宋"/>
                <w:sz w:val="24"/>
              </w:rPr>
            </w:pP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p>
        </w:tc>
        <w:tc>
          <w:tcPr>
            <w:tcW w:w="1855" w:type="dxa"/>
            <w:noWrap w:val="0"/>
            <w:vAlign w:val="center"/>
          </w:tcPr>
          <w:p>
            <w:pPr>
              <w:widowControl/>
              <w:spacing w:line="440" w:lineRule="exact"/>
              <w:jc w:val="left"/>
              <w:rPr>
                <w:rFonts w:hint="eastAsia" w:ascii="仿宋" w:hAnsi="仿宋" w:eastAsia="仿宋" w:cs="仿宋"/>
                <w:sz w:val="24"/>
              </w:rPr>
            </w:pP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noWrap w:val="0"/>
            <w:vAlign w:val="center"/>
          </w:tcPr>
          <w:p>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noWrap w:val="0"/>
            <w:vAlign w:val="top"/>
          </w:tcPr>
          <w:p>
            <w:pPr>
              <w:widowControl/>
              <w:spacing w:line="440" w:lineRule="exact"/>
              <w:jc w:val="left"/>
              <w:rPr>
                <w:rFonts w:hint="eastAsia" w:ascii="仿宋" w:hAnsi="仿宋" w:eastAsia="仿宋" w:cs="仿宋"/>
                <w:sz w:val="24"/>
              </w:rPr>
            </w:pPr>
          </w:p>
        </w:tc>
        <w:tc>
          <w:tcPr>
            <w:tcW w:w="1393"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c>
          <w:tcPr>
            <w:tcW w:w="1668" w:type="dxa"/>
            <w:noWrap w:val="0"/>
            <w:vAlign w:val="center"/>
          </w:tcPr>
          <w:p>
            <w:pPr>
              <w:widowControl/>
              <w:spacing w:line="440" w:lineRule="exact"/>
              <w:jc w:val="left"/>
              <w:rPr>
                <w:rFonts w:hint="eastAsia" w:ascii="仿宋" w:hAnsi="仿宋" w:eastAsia="仿宋" w:cs="仿宋"/>
                <w:sz w:val="24"/>
              </w:rPr>
            </w:pPr>
          </w:p>
        </w:tc>
      </w:tr>
    </w:tbl>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1.投标人须提供合同或中标通知书复印件作为证明材料。</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pPr>
        <w:widowControl/>
        <w:spacing w:line="440" w:lineRule="exact"/>
        <w:jc w:val="left"/>
        <w:rPr>
          <w:rFonts w:hint="eastAsia" w:ascii="仿宋" w:hAnsi="仿宋" w:eastAsia="仿宋" w:cs="仿宋"/>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widowControl/>
        <w:jc w:val="left"/>
        <w:rPr>
          <w:rFonts w:hint="eastAsia" w:ascii="仿宋" w:hAnsi="仿宋" w:eastAsia="仿宋" w:cs="仿宋"/>
          <w:szCs w:val="21"/>
        </w:rPr>
      </w:pPr>
      <w:r>
        <w:rPr>
          <w:rFonts w:hint="eastAsia" w:ascii="仿宋" w:hAnsi="仿宋" w:eastAsia="仿宋" w:cs="仿宋"/>
          <w:szCs w:val="21"/>
        </w:rPr>
        <w:br w:type="page"/>
      </w:r>
    </w:p>
    <w:p>
      <w:pPr>
        <w:spacing w:line="360" w:lineRule="auto"/>
        <w:jc w:val="center"/>
        <w:rPr>
          <w:rFonts w:hint="eastAsia" w:ascii="仿宋" w:hAnsi="仿宋" w:eastAsia="仿宋" w:cs="仿宋"/>
          <w:kern w:val="0"/>
          <w:sz w:val="24"/>
          <w:lang w:val="en-US" w:eastAsia="zh-CN"/>
        </w:rPr>
      </w:pPr>
    </w:p>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lang w:val="en-US" w:eastAsia="zh-CN"/>
        </w:rPr>
        <w:t>11、</w:t>
      </w:r>
      <w:r>
        <w:rPr>
          <w:rFonts w:hint="eastAsia" w:ascii="仿宋" w:hAnsi="仿宋" w:eastAsia="仿宋" w:cs="仿宋"/>
          <w:b/>
          <w:bCs/>
          <w:kern w:val="0"/>
          <w:sz w:val="24"/>
        </w:rPr>
        <w:t>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noWrap w:val="0"/>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noWrap w:val="0"/>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noWrap w:val="0"/>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noWrap w:val="0"/>
            <w:vAlign w:val="center"/>
          </w:tcPr>
          <w:p>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noWrap w:val="0"/>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noWrap w:val="0"/>
            <w:vAlign w:val="center"/>
          </w:tcPr>
          <w:p>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pPr>
              <w:spacing w:line="360" w:lineRule="auto"/>
              <w:jc w:val="center"/>
              <w:rPr>
                <w:rFonts w:hint="eastAsia" w:ascii="仿宋" w:hAnsi="仿宋" w:eastAsia="仿宋" w:cs="仿宋"/>
                <w:kern w:val="0"/>
                <w:sz w:val="24"/>
              </w:rPr>
            </w:pPr>
          </w:p>
        </w:tc>
        <w:tc>
          <w:tcPr>
            <w:tcW w:w="2453" w:type="dxa"/>
            <w:noWrap w:val="0"/>
            <w:vAlign w:val="center"/>
          </w:tcPr>
          <w:p>
            <w:pPr>
              <w:spacing w:line="360" w:lineRule="auto"/>
              <w:jc w:val="center"/>
              <w:rPr>
                <w:rFonts w:hint="eastAsia" w:ascii="仿宋" w:hAnsi="仿宋" w:eastAsia="仿宋" w:cs="仿宋"/>
                <w:kern w:val="0"/>
                <w:sz w:val="24"/>
              </w:rPr>
            </w:pPr>
          </w:p>
        </w:tc>
        <w:tc>
          <w:tcPr>
            <w:tcW w:w="2154" w:type="dxa"/>
            <w:noWrap w:val="0"/>
            <w:vAlign w:val="center"/>
          </w:tcPr>
          <w:p>
            <w:pPr>
              <w:spacing w:line="360" w:lineRule="auto"/>
              <w:jc w:val="center"/>
              <w:rPr>
                <w:rFonts w:hint="eastAsia" w:ascii="仿宋" w:hAnsi="仿宋" w:eastAsia="仿宋" w:cs="仿宋"/>
                <w:kern w:val="0"/>
                <w:sz w:val="24"/>
              </w:rPr>
            </w:pPr>
          </w:p>
        </w:tc>
        <w:tc>
          <w:tcPr>
            <w:tcW w:w="1275" w:type="dxa"/>
            <w:noWrap w:val="0"/>
            <w:vAlign w:val="center"/>
          </w:tcPr>
          <w:p>
            <w:pPr>
              <w:spacing w:line="360" w:lineRule="auto"/>
              <w:jc w:val="center"/>
              <w:rPr>
                <w:rFonts w:hint="eastAsia" w:ascii="仿宋" w:hAnsi="仿宋" w:eastAsia="仿宋" w:cs="仿宋"/>
                <w:kern w:val="0"/>
                <w:sz w:val="24"/>
              </w:rPr>
            </w:pPr>
          </w:p>
        </w:tc>
        <w:tc>
          <w:tcPr>
            <w:tcW w:w="851" w:type="dxa"/>
            <w:noWrap w:val="0"/>
            <w:vAlign w:val="center"/>
          </w:tcPr>
          <w:p>
            <w:pPr>
              <w:spacing w:line="360" w:lineRule="auto"/>
              <w:jc w:val="center"/>
              <w:rPr>
                <w:rFonts w:hint="eastAsia" w:ascii="仿宋" w:hAnsi="仿宋" w:eastAsia="仿宋" w:cs="仿宋"/>
                <w:kern w:val="0"/>
                <w:sz w:val="24"/>
              </w:rPr>
            </w:pPr>
          </w:p>
        </w:tc>
      </w:tr>
    </w:tbl>
    <w:p>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交货</w:t>
      </w:r>
      <w:r>
        <w:rPr>
          <w:rFonts w:hint="eastAsia" w:ascii="仿宋" w:hAnsi="仿宋" w:eastAsia="仿宋" w:cs="仿宋"/>
          <w:b/>
          <w:bCs/>
          <w:kern w:val="0"/>
          <w:sz w:val="24"/>
          <w:lang w:eastAsia="zh-CN"/>
        </w:rPr>
        <w:t>期</w:t>
      </w:r>
      <w:r>
        <w:rPr>
          <w:rFonts w:hint="eastAsia" w:ascii="仿宋" w:hAnsi="仿宋" w:eastAsia="仿宋" w:cs="仿宋"/>
          <w:b/>
          <w:bCs/>
          <w:kern w:val="0"/>
          <w:sz w:val="24"/>
        </w:rPr>
        <w:t>、质保期等，技术条款包括第四章采购需求中的内容。</w:t>
      </w:r>
    </w:p>
    <w:p>
      <w:pPr>
        <w:pStyle w:val="327"/>
        <w:shd w:val="clear" w:color="auto" w:fill="FFFFFF"/>
        <w:snapToGrid w:val="0"/>
        <w:spacing w:line="440" w:lineRule="exact"/>
        <w:rPr>
          <w:rFonts w:hint="eastAsia" w:ascii="仿宋" w:hAnsi="仿宋" w:eastAsia="仿宋" w:cs="仿宋"/>
          <w:color w:val="auto"/>
          <w:sz w:val="24"/>
        </w:rPr>
      </w:pPr>
    </w:p>
    <w:p>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pPr>
        <w:pStyle w:val="46"/>
        <w:numPr>
          <w:ilvl w:val="0"/>
          <w:numId w:val="0"/>
        </w:numPr>
        <w:jc w:val="center"/>
        <w:rPr>
          <w:rFonts w:hint="eastAsia" w:ascii="仿宋" w:hAnsi="仿宋" w:eastAsia="仿宋" w:cs="仿宋"/>
          <w:b w:val="0"/>
          <w:bCs/>
          <w:sz w:val="24"/>
          <w:szCs w:val="24"/>
        </w:rPr>
      </w:pPr>
      <w:r>
        <w:rPr>
          <w:rFonts w:hint="eastAsia" w:ascii="仿宋" w:hAnsi="仿宋" w:eastAsia="仿宋" w:cs="仿宋"/>
          <w:szCs w:val="21"/>
        </w:rPr>
        <w:br w:type="page"/>
      </w:r>
    </w:p>
    <w:p>
      <w:pPr>
        <w:pStyle w:val="46"/>
        <w:numPr>
          <w:ilvl w:val="0"/>
          <w:numId w:val="0"/>
        </w:numPr>
        <w:jc w:val="center"/>
        <w:rPr>
          <w:rFonts w:hint="eastAsia" w:ascii="仿宋" w:hAnsi="仿宋" w:eastAsia="仿宋" w:cs="仿宋"/>
          <w:b w:val="0"/>
          <w:bCs/>
          <w:sz w:val="24"/>
          <w:szCs w:val="24"/>
          <w:lang w:val="en-US" w:eastAsia="zh-CN"/>
        </w:rPr>
      </w:pPr>
    </w:p>
    <w:p>
      <w:pPr>
        <w:pStyle w:val="46"/>
        <w:numPr>
          <w:ilvl w:val="0"/>
          <w:numId w:val="0"/>
        </w:numPr>
        <w:jc w:val="center"/>
        <w:rPr>
          <w:rFonts w:ascii="仿宋" w:hAnsi="仿宋" w:eastAsia="仿宋" w:cs="仿宋"/>
          <w:b/>
          <w:sz w:val="24"/>
          <w:szCs w:val="24"/>
        </w:rPr>
      </w:pPr>
      <w:r>
        <w:rPr>
          <w:rFonts w:hint="eastAsia" w:ascii="仿宋" w:hAnsi="仿宋" w:eastAsia="仿宋" w:cs="仿宋"/>
          <w:b/>
          <w:bCs w:val="0"/>
          <w:sz w:val="24"/>
          <w:szCs w:val="24"/>
          <w:lang w:val="en-US" w:eastAsia="zh-CN"/>
        </w:rPr>
        <w:t>12、</w:t>
      </w:r>
      <w:r>
        <w:rPr>
          <w:rFonts w:hint="eastAsia" w:ascii="仿宋" w:hAnsi="仿宋" w:eastAsia="仿宋" w:cs="仿宋"/>
          <w:b/>
          <w:sz w:val="24"/>
          <w:szCs w:val="24"/>
        </w:rPr>
        <w:t>拟投入设备</w:t>
      </w:r>
    </w:p>
    <w:p>
      <w:pPr>
        <w:spacing w:line="440" w:lineRule="exact"/>
        <w:ind w:firstLine="422" w:firstLineChars="200"/>
        <w:rPr>
          <w:rFonts w:ascii="仿宋" w:hAnsi="仿宋" w:eastAsia="仿宋" w:cs="仿宋"/>
          <w:b/>
        </w:rPr>
      </w:pPr>
    </w:p>
    <w:tbl>
      <w:tblPr>
        <w:tblStyle w:val="6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29"/>
        <w:gridCol w:w="2160"/>
        <w:gridCol w:w="2159"/>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项号</w:t>
            </w:r>
          </w:p>
        </w:tc>
        <w:tc>
          <w:tcPr>
            <w:tcW w:w="2029"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设备名称</w:t>
            </w:r>
          </w:p>
        </w:tc>
        <w:tc>
          <w:tcPr>
            <w:tcW w:w="2160"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型号</w:t>
            </w:r>
          </w:p>
        </w:tc>
        <w:tc>
          <w:tcPr>
            <w:tcW w:w="2159"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数量</w:t>
            </w:r>
          </w:p>
        </w:tc>
        <w:tc>
          <w:tcPr>
            <w:tcW w:w="2160" w:type="dxa"/>
          </w:tcPr>
          <w:p>
            <w:pPr>
              <w:spacing w:line="440" w:lineRule="exact"/>
              <w:rPr>
                <w:rFonts w:ascii="仿宋" w:hAnsi="仿宋" w:eastAsia="仿宋" w:cs="仿宋"/>
                <w:b/>
                <w:bCs/>
                <w:sz w:val="24"/>
                <w:szCs w:val="24"/>
              </w:rPr>
            </w:pPr>
            <w:r>
              <w:rPr>
                <w:rFonts w:hint="eastAsia" w:ascii="仿宋" w:hAnsi="仿宋" w:eastAsia="仿宋" w:cs="仿宋"/>
                <w:b/>
                <w:bCs/>
                <w:sz w:val="24"/>
                <w:szCs w:val="24"/>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spacing w:line="440" w:lineRule="exact"/>
              <w:rPr>
                <w:rFonts w:ascii="仿宋" w:hAnsi="仿宋" w:eastAsia="仿宋" w:cs="仿宋"/>
              </w:rPr>
            </w:pPr>
          </w:p>
        </w:tc>
        <w:tc>
          <w:tcPr>
            <w:tcW w:w="202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bl>
    <w:p>
      <w:pPr>
        <w:rPr>
          <w:rFonts w:ascii="仿宋" w:hAnsi="仿宋" w:eastAsia="仿宋" w:cs="仿宋"/>
          <w:b/>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lang w:val="en-US" w:eastAsia="zh-CN"/>
        </w:rPr>
      </w:pPr>
    </w:p>
    <w:p>
      <w:pPr>
        <w:pStyle w:val="46"/>
        <w:numPr>
          <w:ilvl w:val="0"/>
          <w:numId w:val="0"/>
        </w:num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13、</w:t>
      </w:r>
      <w:r>
        <w:rPr>
          <w:rFonts w:hint="eastAsia" w:ascii="仿宋" w:hAnsi="仿宋" w:eastAsia="仿宋" w:cs="仿宋"/>
          <w:b/>
          <w:bCs w:val="0"/>
          <w:sz w:val="24"/>
          <w:szCs w:val="24"/>
        </w:rPr>
        <w:t>有关投标产品的证明、检测报告或产品鉴定证书</w:t>
      </w:r>
    </w:p>
    <w:p>
      <w:pPr>
        <w:pStyle w:val="46"/>
        <w:numPr>
          <w:ilvl w:val="0"/>
          <w:numId w:val="0"/>
        </w:numPr>
        <w:rPr>
          <w:rFonts w:hint="eastAsia" w:ascii="仿宋" w:hAnsi="仿宋" w:eastAsia="仿宋" w:cs="仿宋"/>
          <w:sz w:val="24"/>
          <w:szCs w:val="24"/>
        </w:rPr>
      </w:pPr>
    </w:p>
    <w:p>
      <w:pPr>
        <w:pStyle w:val="46"/>
        <w:numPr>
          <w:ilvl w:val="0"/>
          <w:numId w:val="0"/>
        </w:numPr>
        <w:rPr>
          <w:rFonts w:hint="eastAsia" w:ascii="仿宋" w:hAnsi="仿宋" w:eastAsia="仿宋" w:cs="仿宋"/>
          <w:sz w:val="24"/>
          <w:szCs w:val="24"/>
        </w:rPr>
      </w:pPr>
      <w:r>
        <w:rPr>
          <w:rFonts w:hint="eastAsia" w:ascii="仿宋" w:hAnsi="仿宋" w:eastAsia="仿宋" w:cs="仿宋"/>
          <w:sz w:val="24"/>
          <w:szCs w:val="24"/>
        </w:rPr>
        <w:t>注：附投标产品的证明文件、检测报告或产品鉴定证书的复印件(并加盖投标单位章)等相关证明资料。</w:t>
      </w:r>
    </w:p>
    <w:p>
      <w:pPr>
        <w:tabs>
          <w:tab w:val="center" w:pos="4832"/>
          <w:tab w:val="left" w:pos="7140"/>
        </w:tabs>
        <w:jc w:val="center"/>
        <w:outlineLvl w:val="1"/>
        <w:rPr>
          <w:rFonts w:hint="eastAsia" w:ascii="仿宋" w:hAnsi="仿宋" w:eastAsia="仿宋" w:cs="仿宋"/>
          <w:bCs/>
          <w:kern w:val="0"/>
          <w:szCs w:val="21"/>
        </w:rPr>
      </w:pPr>
      <w:r>
        <w:rPr>
          <w:rFonts w:hint="eastAsia" w:ascii="仿宋" w:hAnsi="仿宋" w:eastAsia="仿宋" w:cs="仿宋"/>
          <w:szCs w:val="21"/>
        </w:rPr>
        <w:br w:type="page"/>
      </w:r>
      <w:bookmarkStart w:id="21" w:name="_Toc60925526"/>
    </w:p>
    <w:p>
      <w:pPr>
        <w:tabs>
          <w:tab w:val="center" w:pos="4832"/>
          <w:tab w:val="left" w:pos="7140"/>
        </w:tabs>
        <w:jc w:val="center"/>
        <w:outlineLvl w:val="1"/>
        <w:rPr>
          <w:rFonts w:hint="eastAsia" w:ascii="仿宋" w:hAnsi="仿宋" w:eastAsia="仿宋" w:cs="仿宋"/>
          <w:b w:val="0"/>
          <w:bCs/>
          <w:sz w:val="24"/>
          <w:lang w:val="en-US" w:eastAsia="zh-CN"/>
        </w:rPr>
      </w:pPr>
    </w:p>
    <w:p>
      <w:pPr>
        <w:tabs>
          <w:tab w:val="center" w:pos="4832"/>
          <w:tab w:val="left" w:pos="7140"/>
        </w:tabs>
        <w:jc w:val="center"/>
        <w:outlineLvl w:val="1"/>
        <w:rPr>
          <w:rFonts w:hint="eastAsia" w:ascii="仿宋" w:hAnsi="仿宋" w:eastAsia="仿宋" w:cs="仿宋"/>
          <w:b/>
          <w:bCs w:val="0"/>
          <w:sz w:val="24"/>
        </w:rPr>
      </w:pPr>
      <w:r>
        <w:rPr>
          <w:rFonts w:hint="eastAsia" w:ascii="仿宋" w:hAnsi="仿宋" w:eastAsia="仿宋" w:cs="仿宋"/>
          <w:b/>
          <w:bCs w:val="0"/>
          <w:sz w:val="24"/>
          <w:lang w:val="en-US" w:eastAsia="zh-CN"/>
        </w:rPr>
        <w:t>14、</w:t>
      </w:r>
      <w:r>
        <w:rPr>
          <w:rFonts w:hint="eastAsia" w:ascii="仿宋" w:hAnsi="仿宋" w:eastAsia="仿宋" w:cs="仿宋"/>
          <w:b/>
          <w:bCs w:val="0"/>
          <w:sz w:val="24"/>
        </w:rPr>
        <w:t>技术方案</w:t>
      </w:r>
      <w:bookmarkEnd w:id="21"/>
    </w:p>
    <w:p>
      <w:pPr>
        <w:spacing w:line="360" w:lineRule="auto"/>
        <w:ind w:firstLine="480" w:firstLineChars="200"/>
        <w:rPr>
          <w:rFonts w:hint="eastAsia" w:ascii="仿宋" w:hAnsi="仿宋" w:eastAsia="仿宋" w:cs="仿宋"/>
          <w:sz w:val="24"/>
        </w:rPr>
      </w:pPr>
      <w:bookmarkStart w:id="22"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23" w:name="_Toc375218899"/>
      <w:r>
        <w:rPr>
          <w:rFonts w:hint="eastAsia" w:ascii="仿宋" w:hAnsi="仿宋" w:eastAsia="仿宋" w:cs="仿宋"/>
          <w:sz w:val="24"/>
        </w:rPr>
        <w:t>。</w:t>
      </w:r>
    </w:p>
    <w:bookmarkEnd w:id="22"/>
    <w:bookmarkEnd w:id="23"/>
    <w:p>
      <w:pPr>
        <w:spacing w:line="360" w:lineRule="auto"/>
        <w:ind w:firstLine="480" w:firstLineChars="200"/>
        <w:rPr>
          <w:rFonts w:hint="eastAsia" w:ascii="仿宋" w:hAnsi="仿宋" w:eastAsia="仿宋" w:cs="仿宋"/>
          <w:sz w:val="24"/>
        </w:rPr>
      </w:pPr>
    </w:p>
    <w:p>
      <w:pPr>
        <w:pStyle w:val="46"/>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pPr>
        <w:pStyle w:val="46"/>
        <w:numPr>
          <w:ilvl w:val="0"/>
          <w:numId w:val="0"/>
        </w:numPr>
        <w:jc w:val="center"/>
        <w:rPr>
          <w:rFonts w:hint="eastAsia" w:ascii="仿宋" w:hAnsi="仿宋" w:eastAsia="仿宋" w:cs="仿宋"/>
          <w:bCs/>
          <w:sz w:val="24"/>
          <w:szCs w:val="24"/>
          <w:lang w:val="en-US" w:eastAsia="zh-CN"/>
        </w:rPr>
      </w:pPr>
    </w:p>
    <w:p>
      <w:pPr>
        <w:pStyle w:val="46"/>
        <w:numPr>
          <w:ilvl w:val="0"/>
          <w:numId w:val="0"/>
        </w:numPr>
        <w:jc w:val="center"/>
        <w:rPr>
          <w:rFonts w:hint="eastAsia" w:ascii="仿宋" w:hAnsi="仿宋" w:eastAsia="仿宋" w:cs="仿宋"/>
          <w:b/>
          <w:bCs w:val="0"/>
          <w:sz w:val="22"/>
          <w:szCs w:val="22"/>
        </w:rPr>
      </w:pPr>
      <w:r>
        <w:rPr>
          <w:rFonts w:hint="eastAsia" w:ascii="仿宋" w:hAnsi="仿宋" w:eastAsia="仿宋" w:cs="仿宋"/>
          <w:b/>
          <w:bCs w:val="0"/>
          <w:sz w:val="24"/>
          <w:szCs w:val="24"/>
          <w:lang w:val="en-US" w:eastAsia="zh-CN"/>
        </w:rPr>
        <w:t>15、投标人认为需要提交的其他商务技术资料</w:t>
      </w:r>
    </w:p>
    <w:sectPr>
      <w:footerReference r:id="rId7" w:type="default"/>
      <w:pgSz w:w="11906" w:h="16838"/>
      <w:pgMar w:top="680" w:right="1276" w:bottom="1712" w:left="1417" w:header="703" w:footer="850" w:gutter="0"/>
      <w:pgBorders>
        <w:top w:val="none" w:sz="0" w:space="0"/>
        <w:left w:val="none" w:sz="0" w:space="0"/>
        <w:bottom w:val="none" w:sz="0" w:space="0"/>
        <w:right w:val="none" w:sz="0" w:space="0"/>
      </w:pgBorders>
      <w:pgNumType w:fmt="decimal"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ookman Old Style">
    <w:altName w:val="Segoe Print"/>
    <w:panose1 w:val="020506040505050202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pPr>
                      <w:pStyle w:val="4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6"/>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default"/>
        <w:lang w:val="en-US" w:eastAsia="zh-CN"/>
      </w:rPr>
    </w:pPr>
    <w:r>
      <w:rPr>
        <w:rFonts w:hint="default"/>
        <w:lang w:val="en-US" w:eastAsia="zh-CN"/>
      </w:rPr>
      <w:t>新疆凌云天成工程管理咨询有限公司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9C192D2B"/>
    <w:multiLevelType w:val="singleLevel"/>
    <w:tmpl w:val="9C192D2B"/>
    <w:lvl w:ilvl="0" w:tentative="0">
      <w:start w:val="1"/>
      <w:numFmt w:val="decimal"/>
      <w:suff w:val="nothing"/>
      <w:lvlText w:val="%1、"/>
      <w:lvlJc w:val="left"/>
    </w:lvl>
  </w:abstractNum>
  <w:abstractNum w:abstractNumId="2">
    <w:nsid w:val="B057C484"/>
    <w:multiLevelType w:val="singleLevel"/>
    <w:tmpl w:val="B057C484"/>
    <w:lvl w:ilvl="0" w:tentative="0">
      <w:start w:val="15"/>
      <w:numFmt w:val="decimal"/>
      <w:lvlText w:val="%1."/>
      <w:lvlJc w:val="left"/>
      <w:pPr>
        <w:tabs>
          <w:tab w:val="left" w:pos="312"/>
        </w:tabs>
      </w:p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015A929A"/>
    <w:multiLevelType w:val="singleLevel"/>
    <w:tmpl w:val="015A929A"/>
    <w:lvl w:ilvl="0" w:tentative="0">
      <w:start w:val="1"/>
      <w:numFmt w:val="chineseCounting"/>
      <w:suff w:val="nothing"/>
      <w:lvlText w:val="%1、"/>
      <w:lvlJc w:val="left"/>
      <w:pPr>
        <w:ind w:left="270" w:leftChars="0" w:firstLine="0" w:firstLineChars="0"/>
      </w:pPr>
      <w:rPr>
        <w:rFonts w:hint="eastAsia"/>
      </w:rPr>
    </w:lvl>
  </w:abstractNum>
  <w:abstractNum w:abstractNumId="5">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8">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9">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3">
    <w:nsid w:val="49DB92BA"/>
    <w:multiLevelType w:val="singleLevel"/>
    <w:tmpl w:val="49DB92BA"/>
    <w:lvl w:ilvl="0" w:tentative="0">
      <w:start w:val="1"/>
      <w:numFmt w:val="decimal"/>
      <w:suff w:val="nothing"/>
      <w:lvlText w:val="%1、"/>
      <w:lvlJc w:val="left"/>
    </w:lvl>
  </w:abstractNum>
  <w:abstractNum w:abstractNumId="14">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5">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6">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4"/>
  </w:num>
  <w:num w:numId="2">
    <w:abstractNumId w:val="12"/>
  </w:num>
  <w:num w:numId="3">
    <w:abstractNumId w:val="11"/>
  </w:num>
  <w:num w:numId="4">
    <w:abstractNumId w:val="17"/>
  </w:num>
  <w:num w:numId="5">
    <w:abstractNumId w:val="6"/>
  </w:num>
  <w:num w:numId="6">
    <w:abstractNumId w:val="7"/>
  </w:num>
  <w:num w:numId="7">
    <w:abstractNumId w:val="5"/>
  </w:num>
  <w:num w:numId="8">
    <w:abstractNumId w:val="9"/>
  </w:num>
  <w:num w:numId="9">
    <w:abstractNumId w:val="10"/>
  </w:num>
  <w:num w:numId="10">
    <w:abstractNumId w:val="8"/>
  </w:num>
  <w:num w:numId="11">
    <w:abstractNumId w:val="16"/>
  </w:num>
  <w:num w:numId="12">
    <w:abstractNumId w:val="15"/>
  </w:num>
  <w:num w:numId="13">
    <w:abstractNumId w:val="1"/>
  </w:num>
  <w:num w:numId="14">
    <w:abstractNumId w:val="4"/>
  </w:num>
  <w:num w:numId="15">
    <w:abstractNumId w:val="2"/>
  </w:num>
  <w:num w:numId="16">
    <w:abstractNumId w:val="3"/>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WZkYWZlYmYyNjFkYTQwYWU4ZGEyOWY4ZGI3ZWY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24B9"/>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371143"/>
    <w:rsid w:val="01441010"/>
    <w:rsid w:val="014A1C94"/>
    <w:rsid w:val="014F7D85"/>
    <w:rsid w:val="015215CF"/>
    <w:rsid w:val="0165038E"/>
    <w:rsid w:val="0166473D"/>
    <w:rsid w:val="01744DE2"/>
    <w:rsid w:val="01A8358A"/>
    <w:rsid w:val="01B11599"/>
    <w:rsid w:val="01BA4EE0"/>
    <w:rsid w:val="01C83B94"/>
    <w:rsid w:val="01F03FB8"/>
    <w:rsid w:val="021A6AB4"/>
    <w:rsid w:val="02247ACE"/>
    <w:rsid w:val="022A76DA"/>
    <w:rsid w:val="0231342E"/>
    <w:rsid w:val="02383240"/>
    <w:rsid w:val="024912E2"/>
    <w:rsid w:val="02542444"/>
    <w:rsid w:val="02B40E52"/>
    <w:rsid w:val="02D82D98"/>
    <w:rsid w:val="03032A25"/>
    <w:rsid w:val="03203D4A"/>
    <w:rsid w:val="03335377"/>
    <w:rsid w:val="03425562"/>
    <w:rsid w:val="03565B1C"/>
    <w:rsid w:val="035B5DBF"/>
    <w:rsid w:val="03AA514B"/>
    <w:rsid w:val="03B07937"/>
    <w:rsid w:val="03C51043"/>
    <w:rsid w:val="03C52BEB"/>
    <w:rsid w:val="03C90A5A"/>
    <w:rsid w:val="03FD14B1"/>
    <w:rsid w:val="04357A7B"/>
    <w:rsid w:val="047D569A"/>
    <w:rsid w:val="049162CB"/>
    <w:rsid w:val="04D53301"/>
    <w:rsid w:val="050029E8"/>
    <w:rsid w:val="05B5619B"/>
    <w:rsid w:val="05C44347"/>
    <w:rsid w:val="05C535A5"/>
    <w:rsid w:val="05CD3EB3"/>
    <w:rsid w:val="05DA1A5A"/>
    <w:rsid w:val="05EC7FFA"/>
    <w:rsid w:val="063B7F01"/>
    <w:rsid w:val="065546FA"/>
    <w:rsid w:val="06A40584"/>
    <w:rsid w:val="06B9739A"/>
    <w:rsid w:val="06D4640B"/>
    <w:rsid w:val="06F168B5"/>
    <w:rsid w:val="07266CF0"/>
    <w:rsid w:val="072A23D5"/>
    <w:rsid w:val="073C6CB6"/>
    <w:rsid w:val="07623AA1"/>
    <w:rsid w:val="077A3CEC"/>
    <w:rsid w:val="07A57586"/>
    <w:rsid w:val="07EE2FF3"/>
    <w:rsid w:val="07F414F5"/>
    <w:rsid w:val="08002443"/>
    <w:rsid w:val="08100FB4"/>
    <w:rsid w:val="085D0F6F"/>
    <w:rsid w:val="0869448C"/>
    <w:rsid w:val="089A1325"/>
    <w:rsid w:val="08A95B6D"/>
    <w:rsid w:val="08E25FED"/>
    <w:rsid w:val="08F65AC4"/>
    <w:rsid w:val="08FD5F50"/>
    <w:rsid w:val="092035E5"/>
    <w:rsid w:val="0923288D"/>
    <w:rsid w:val="094457C4"/>
    <w:rsid w:val="09553C4C"/>
    <w:rsid w:val="09616F12"/>
    <w:rsid w:val="09975029"/>
    <w:rsid w:val="09B110B8"/>
    <w:rsid w:val="09C2002A"/>
    <w:rsid w:val="09CA5B4D"/>
    <w:rsid w:val="0A101F09"/>
    <w:rsid w:val="0A3B1E59"/>
    <w:rsid w:val="0A446ED5"/>
    <w:rsid w:val="0A472E60"/>
    <w:rsid w:val="0A5F2116"/>
    <w:rsid w:val="0A6028AA"/>
    <w:rsid w:val="0A6074E0"/>
    <w:rsid w:val="0A965452"/>
    <w:rsid w:val="0AAE034D"/>
    <w:rsid w:val="0AC138BD"/>
    <w:rsid w:val="0ADB2945"/>
    <w:rsid w:val="0AE34A90"/>
    <w:rsid w:val="0AF10F01"/>
    <w:rsid w:val="0B446C7B"/>
    <w:rsid w:val="0B8E4BB5"/>
    <w:rsid w:val="0B967C45"/>
    <w:rsid w:val="0BC70A77"/>
    <w:rsid w:val="0BF9130A"/>
    <w:rsid w:val="0C0F6BAC"/>
    <w:rsid w:val="0C350433"/>
    <w:rsid w:val="0C3A6446"/>
    <w:rsid w:val="0C3F0FDE"/>
    <w:rsid w:val="0C414E03"/>
    <w:rsid w:val="0C890632"/>
    <w:rsid w:val="0C8B7B98"/>
    <w:rsid w:val="0CA27F6D"/>
    <w:rsid w:val="0CA4019E"/>
    <w:rsid w:val="0CB72F9A"/>
    <w:rsid w:val="0CD336A2"/>
    <w:rsid w:val="0CDE7251"/>
    <w:rsid w:val="0CE2106D"/>
    <w:rsid w:val="0CF55525"/>
    <w:rsid w:val="0D052F62"/>
    <w:rsid w:val="0D1E6DD1"/>
    <w:rsid w:val="0D24141E"/>
    <w:rsid w:val="0D315184"/>
    <w:rsid w:val="0D3F3A0E"/>
    <w:rsid w:val="0D434F52"/>
    <w:rsid w:val="0D733911"/>
    <w:rsid w:val="0D790F3E"/>
    <w:rsid w:val="0D8742F9"/>
    <w:rsid w:val="0DAA498D"/>
    <w:rsid w:val="0E3237B0"/>
    <w:rsid w:val="0E383784"/>
    <w:rsid w:val="0E471675"/>
    <w:rsid w:val="0E720264"/>
    <w:rsid w:val="0E7C47EE"/>
    <w:rsid w:val="0EE270A5"/>
    <w:rsid w:val="0F0D247C"/>
    <w:rsid w:val="0F4446C6"/>
    <w:rsid w:val="0F6F0690"/>
    <w:rsid w:val="0F816842"/>
    <w:rsid w:val="0F8C0AAB"/>
    <w:rsid w:val="0FA92023"/>
    <w:rsid w:val="0FC150CF"/>
    <w:rsid w:val="102351BA"/>
    <w:rsid w:val="10482BD9"/>
    <w:rsid w:val="105706E7"/>
    <w:rsid w:val="10685F1C"/>
    <w:rsid w:val="10B1109A"/>
    <w:rsid w:val="10C7659F"/>
    <w:rsid w:val="10D00CD6"/>
    <w:rsid w:val="10EC17B7"/>
    <w:rsid w:val="10F75AED"/>
    <w:rsid w:val="110D6A04"/>
    <w:rsid w:val="111868BD"/>
    <w:rsid w:val="112A5CCB"/>
    <w:rsid w:val="11736708"/>
    <w:rsid w:val="11860C60"/>
    <w:rsid w:val="11875F13"/>
    <w:rsid w:val="118E4F1C"/>
    <w:rsid w:val="118F65E6"/>
    <w:rsid w:val="119A6ABC"/>
    <w:rsid w:val="11C37F86"/>
    <w:rsid w:val="12015736"/>
    <w:rsid w:val="1275078F"/>
    <w:rsid w:val="12955E7E"/>
    <w:rsid w:val="12BC3742"/>
    <w:rsid w:val="12BC78AF"/>
    <w:rsid w:val="12C86F91"/>
    <w:rsid w:val="12CF620B"/>
    <w:rsid w:val="12DF229C"/>
    <w:rsid w:val="130E45E7"/>
    <w:rsid w:val="13146843"/>
    <w:rsid w:val="131E2317"/>
    <w:rsid w:val="133B151A"/>
    <w:rsid w:val="13847DC5"/>
    <w:rsid w:val="13A27613"/>
    <w:rsid w:val="14744293"/>
    <w:rsid w:val="149B156A"/>
    <w:rsid w:val="14E629C1"/>
    <w:rsid w:val="152D239E"/>
    <w:rsid w:val="15472A65"/>
    <w:rsid w:val="15532C3D"/>
    <w:rsid w:val="155F41A4"/>
    <w:rsid w:val="15746838"/>
    <w:rsid w:val="15AB3011"/>
    <w:rsid w:val="15C27D14"/>
    <w:rsid w:val="15D942D4"/>
    <w:rsid w:val="15E05ADC"/>
    <w:rsid w:val="16163E61"/>
    <w:rsid w:val="162D5424"/>
    <w:rsid w:val="163303A8"/>
    <w:rsid w:val="163307DB"/>
    <w:rsid w:val="166149F5"/>
    <w:rsid w:val="166444E5"/>
    <w:rsid w:val="166C5148"/>
    <w:rsid w:val="16893F4C"/>
    <w:rsid w:val="168B5923"/>
    <w:rsid w:val="16BF4CE2"/>
    <w:rsid w:val="16C96EE3"/>
    <w:rsid w:val="16CB7CBB"/>
    <w:rsid w:val="16DA72B6"/>
    <w:rsid w:val="17161A32"/>
    <w:rsid w:val="171A0D29"/>
    <w:rsid w:val="17336C4C"/>
    <w:rsid w:val="174F0F7F"/>
    <w:rsid w:val="178B5FFE"/>
    <w:rsid w:val="17A56F65"/>
    <w:rsid w:val="17BE7D1C"/>
    <w:rsid w:val="17C8329E"/>
    <w:rsid w:val="17CF3BE0"/>
    <w:rsid w:val="17F51E99"/>
    <w:rsid w:val="18661600"/>
    <w:rsid w:val="18700F1F"/>
    <w:rsid w:val="1875736E"/>
    <w:rsid w:val="188473D8"/>
    <w:rsid w:val="188576AC"/>
    <w:rsid w:val="18A70D35"/>
    <w:rsid w:val="18C60A1B"/>
    <w:rsid w:val="18F27B86"/>
    <w:rsid w:val="18F60FD3"/>
    <w:rsid w:val="18FF36EC"/>
    <w:rsid w:val="191D40F7"/>
    <w:rsid w:val="19364C63"/>
    <w:rsid w:val="193B777F"/>
    <w:rsid w:val="1946725C"/>
    <w:rsid w:val="194C775D"/>
    <w:rsid w:val="19551A7A"/>
    <w:rsid w:val="19880789"/>
    <w:rsid w:val="19AF7825"/>
    <w:rsid w:val="19B1359D"/>
    <w:rsid w:val="19BE5FBE"/>
    <w:rsid w:val="19D35972"/>
    <w:rsid w:val="19FE07AD"/>
    <w:rsid w:val="1A097900"/>
    <w:rsid w:val="1A257CDF"/>
    <w:rsid w:val="1A33351B"/>
    <w:rsid w:val="1A412D36"/>
    <w:rsid w:val="1A784A66"/>
    <w:rsid w:val="1A7E422C"/>
    <w:rsid w:val="1A8602DA"/>
    <w:rsid w:val="1A951883"/>
    <w:rsid w:val="1AA452EF"/>
    <w:rsid w:val="1AAE6EBA"/>
    <w:rsid w:val="1AD97F73"/>
    <w:rsid w:val="1AE30A23"/>
    <w:rsid w:val="1AED33EA"/>
    <w:rsid w:val="1AF57CC6"/>
    <w:rsid w:val="1B304996"/>
    <w:rsid w:val="1B507478"/>
    <w:rsid w:val="1B55540D"/>
    <w:rsid w:val="1BD7197C"/>
    <w:rsid w:val="1BF804AA"/>
    <w:rsid w:val="1C185D6B"/>
    <w:rsid w:val="1C1D1C92"/>
    <w:rsid w:val="1C30192F"/>
    <w:rsid w:val="1C3138AB"/>
    <w:rsid w:val="1C3B7A96"/>
    <w:rsid w:val="1C8442EB"/>
    <w:rsid w:val="1C874A89"/>
    <w:rsid w:val="1CAD18F2"/>
    <w:rsid w:val="1D036806"/>
    <w:rsid w:val="1D1E634F"/>
    <w:rsid w:val="1D216C8C"/>
    <w:rsid w:val="1D3224DC"/>
    <w:rsid w:val="1D395101"/>
    <w:rsid w:val="1D4C6797"/>
    <w:rsid w:val="1D61352C"/>
    <w:rsid w:val="1D721295"/>
    <w:rsid w:val="1D817721"/>
    <w:rsid w:val="1D8520A8"/>
    <w:rsid w:val="1D966D3B"/>
    <w:rsid w:val="1DAC5C38"/>
    <w:rsid w:val="1DC212A8"/>
    <w:rsid w:val="1DFC4F05"/>
    <w:rsid w:val="1E010B19"/>
    <w:rsid w:val="1E4F660E"/>
    <w:rsid w:val="1E53796B"/>
    <w:rsid w:val="1E7A2AF8"/>
    <w:rsid w:val="1E817CEF"/>
    <w:rsid w:val="1E8B6273"/>
    <w:rsid w:val="1EAC11B7"/>
    <w:rsid w:val="1ED57074"/>
    <w:rsid w:val="1EDA7B78"/>
    <w:rsid w:val="1EEB2585"/>
    <w:rsid w:val="1F4305F0"/>
    <w:rsid w:val="1F735893"/>
    <w:rsid w:val="1F834A14"/>
    <w:rsid w:val="1FAB65BE"/>
    <w:rsid w:val="1FBC3B37"/>
    <w:rsid w:val="1FF639D9"/>
    <w:rsid w:val="201B29AB"/>
    <w:rsid w:val="20453738"/>
    <w:rsid w:val="206E043A"/>
    <w:rsid w:val="20745325"/>
    <w:rsid w:val="20806EE9"/>
    <w:rsid w:val="20842E13"/>
    <w:rsid w:val="20873A91"/>
    <w:rsid w:val="20B6731E"/>
    <w:rsid w:val="20B82D8A"/>
    <w:rsid w:val="20DA0532"/>
    <w:rsid w:val="211D715D"/>
    <w:rsid w:val="2134310B"/>
    <w:rsid w:val="2136082C"/>
    <w:rsid w:val="214032F3"/>
    <w:rsid w:val="215E4447"/>
    <w:rsid w:val="2160130F"/>
    <w:rsid w:val="21614E9E"/>
    <w:rsid w:val="218A1ACF"/>
    <w:rsid w:val="21A84D2E"/>
    <w:rsid w:val="21C45A24"/>
    <w:rsid w:val="21C524D4"/>
    <w:rsid w:val="21C67A1F"/>
    <w:rsid w:val="21C7025E"/>
    <w:rsid w:val="21DF0EC4"/>
    <w:rsid w:val="21EC7741"/>
    <w:rsid w:val="222B2CA2"/>
    <w:rsid w:val="2235750C"/>
    <w:rsid w:val="228B40B9"/>
    <w:rsid w:val="22A7644A"/>
    <w:rsid w:val="22B365D8"/>
    <w:rsid w:val="22DE09AE"/>
    <w:rsid w:val="22ED27A2"/>
    <w:rsid w:val="23041D08"/>
    <w:rsid w:val="232779F1"/>
    <w:rsid w:val="235B66B5"/>
    <w:rsid w:val="23707CDE"/>
    <w:rsid w:val="23A16834"/>
    <w:rsid w:val="23A62383"/>
    <w:rsid w:val="23BA511E"/>
    <w:rsid w:val="23C44815"/>
    <w:rsid w:val="23C815DE"/>
    <w:rsid w:val="23DF445E"/>
    <w:rsid w:val="23E1787A"/>
    <w:rsid w:val="23E521B7"/>
    <w:rsid w:val="23EA427B"/>
    <w:rsid w:val="23EC280B"/>
    <w:rsid w:val="23F9517F"/>
    <w:rsid w:val="240A5875"/>
    <w:rsid w:val="24166B45"/>
    <w:rsid w:val="242D008D"/>
    <w:rsid w:val="24327954"/>
    <w:rsid w:val="245B6AAA"/>
    <w:rsid w:val="24676915"/>
    <w:rsid w:val="246B18E7"/>
    <w:rsid w:val="246C64AC"/>
    <w:rsid w:val="248278CC"/>
    <w:rsid w:val="248D5970"/>
    <w:rsid w:val="24AC7F5A"/>
    <w:rsid w:val="24AD7057"/>
    <w:rsid w:val="24D10F97"/>
    <w:rsid w:val="24D91F57"/>
    <w:rsid w:val="24FE5B05"/>
    <w:rsid w:val="2507150F"/>
    <w:rsid w:val="253011CF"/>
    <w:rsid w:val="255B06FF"/>
    <w:rsid w:val="25783307"/>
    <w:rsid w:val="25875D27"/>
    <w:rsid w:val="25AD6D9B"/>
    <w:rsid w:val="25D32AED"/>
    <w:rsid w:val="25E1345C"/>
    <w:rsid w:val="25EC0625"/>
    <w:rsid w:val="25ED50B4"/>
    <w:rsid w:val="25F17177"/>
    <w:rsid w:val="26045ADD"/>
    <w:rsid w:val="260B2FDB"/>
    <w:rsid w:val="26205F09"/>
    <w:rsid w:val="26477021"/>
    <w:rsid w:val="26541E80"/>
    <w:rsid w:val="26872FF5"/>
    <w:rsid w:val="26A250DC"/>
    <w:rsid w:val="27282D2C"/>
    <w:rsid w:val="27361586"/>
    <w:rsid w:val="27541A0C"/>
    <w:rsid w:val="27751CD1"/>
    <w:rsid w:val="27802801"/>
    <w:rsid w:val="279710F9"/>
    <w:rsid w:val="27B5758F"/>
    <w:rsid w:val="27C0618B"/>
    <w:rsid w:val="27E770BC"/>
    <w:rsid w:val="27F94C8C"/>
    <w:rsid w:val="283803EE"/>
    <w:rsid w:val="285C06C5"/>
    <w:rsid w:val="286A0F65"/>
    <w:rsid w:val="28745E2A"/>
    <w:rsid w:val="28D22CB7"/>
    <w:rsid w:val="28DF788E"/>
    <w:rsid w:val="28F36B95"/>
    <w:rsid w:val="28F90ABD"/>
    <w:rsid w:val="291C3251"/>
    <w:rsid w:val="293D2655"/>
    <w:rsid w:val="29535AE8"/>
    <w:rsid w:val="295E3016"/>
    <w:rsid w:val="296028EA"/>
    <w:rsid w:val="296D5007"/>
    <w:rsid w:val="297407D1"/>
    <w:rsid w:val="29934A6D"/>
    <w:rsid w:val="29A34B99"/>
    <w:rsid w:val="29AE7AF9"/>
    <w:rsid w:val="29B175E9"/>
    <w:rsid w:val="29E21551"/>
    <w:rsid w:val="2A1235CC"/>
    <w:rsid w:val="2A2D1228"/>
    <w:rsid w:val="2A3355FF"/>
    <w:rsid w:val="2A8F3840"/>
    <w:rsid w:val="2AAF7240"/>
    <w:rsid w:val="2ABB14A2"/>
    <w:rsid w:val="2ABE5D7E"/>
    <w:rsid w:val="2AD34B5F"/>
    <w:rsid w:val="2AD41DE1"/>
    <w:rsid w:val="2B0950DB"/>
    <w:rsid w:val="2B0C7450"/>
    <w:rsid w:val="2B142B1B"/>
    <w:rsid w:val="2B326508"/>
    <w:rsid w:val="2B327D31"/>
    <w:rsid w:val="2B581B41"/>
    <w:rsid w:val="2B7E09C6"/>
    <w:rsid w:val="2B9C7DB2"/>
    <w:rsid w:val="2BC9162B"/>
    <w:rsid w:val="2BCE566B"/>
    <w:rsid w:val="2C030D3E"/>
    <w:rsid w:val="2C1372A0"/>
    <w:rsid w:val="2C195013"/>
    <w:rsid w:val="2C4B5AD3"/>
    <w:rsid w:val="2C547D57"/>
    <w:rsid w:val="2C567BEA"/>
    <w:rsid w:val="2C655183"/>
    <w:rsid w:val="2C7374A3"/>
    <w:rsid w:val="2C783443"/>
    <w:rsid w:val="2C956D4E"/>
    <w:rsid w:val="2CB55696"/>
    <w:rsid w:val="2CC23628"/>
    <w:rsid w:val="2D0D47AB"/>
    <w:rsid w:val="2D46629B"/>
    <w:rsid w:val="2D850B71"/>
    <w:rsid w:val="2D866516"/>
    <w:rsid w:val="2D984240"/>
    <w:rsid w:val="2D9B39F2"/>
    <w:rsid w:val="2DB34632"/>
    <w:rsid w:val="2DDE272B"/>
    <w:rsid w:val="2DFC2769"/>
    <w:rsid w:val="2DFD4BAB"/>
    <w:rsid w:val="2E0306E6"/>
    <w:rsid w:val="2E050F29"/>
    <w:rsid w:val="2E947ED1"/>
    <w:rsid w:val="2EC465DF"/>
    <w:rsid w:val="2ECB5873"/>
    <w:rsid w:val="2EDA6C9B"/>
    <w:rsid w:val="2F046A57"/>
    <w:rsid w:val="2F275F5D"/>
    <w:rsid w:val="2F2C1A95"/>
    <w:rsid w:val="2F395E76"/>
    <w:rsid w:val="2F47063D"/>
    <w:rsid w:val="2F4E6A13"/>
    <w:rsid w:val="2F563905"/>
    <w:rsid w:val="2F5B66CE"/>
    <w:rsid w:val="2F6F1B8C"/>
    <w:rsid w:val="2F715E0E"/>
    <w:rsid w:val="2FA1634B"/>
    <w:rsid w:val="2FA441DB"/>
    <w:rsid w:val="2FBA4943"/>
    <w:rsid w:val="2FED1242"/>
    <w:rsid w:val="301B540D"/>
    <w:rsid w:val="305B205D"/>
    <w:rsid w:val="30666552"/>
    <w:rsid w:val="306D7688"/>
    <w:rsid w:val="30C63279"/>
    <w:rsid w:val="313535B9"/>
    <w:rsid w:val="314116CC"/>
    <w:rsid w:val="315216B2"/>
    <w:rsid w:val="315D1084"/>
    <w:rsid w:val="315D39D4"/>
    <w:rsid w:val="316259C3"/>
    <w:rsid w:val="316B35BD"/>
    <w:rsid w:val="31A33029"/>
    <w:rsid w:val="31A55C86"/>
    <w:rsid w:val="31A95B5E"/>
    <w:rsid w:val="31D766C2"/>
    <w:rsid w:val="32002EBC"/>
    <w:rsid w:val="321343EE"/>
    <w:rsid w:val="323F0ED4"/>
    <w:rsid w:val="325A0E68"/>
    <w:rsid w:val="327A515C"/>
    <w:rsid w:val="32A50401"/>
    <w:rsid w:val="32B51751"/>
    <w:rsid w:val="32B75C71"/>
    <w:rsid w:val="32BA12BD"/>
    <w:rsid w:val="32C06A8B"/>
    <w:rsid w:val="32F8532C"/>
    <w:rsid w:val="33027C46"/>
    <w:rsid w:val="33044C2E"/>
    <w:rsid w:val="337A0A4C"/>
    <w:rsid w:val="338F343D"/>
    <w:rsid w:val="3396129A"/>
    <w:rsid w:val="33991271"/>
    <w:rsid w:val="33C833B1"/>
    <w:rsid w:val="33CB74FA"/>
    <w:rsid w:val="33D22ED3"/>
    <w:rsid w:val="33DE52AB"/>
    <w:rsid w:val="34316AED"/>
    <w:rsid w:val="346C14CC"/>
    <w:rsid w:val="346F3FAB"/>
    <w:rsid w:val="34C34BD4"/>
    <w:rsid w:val="34CB0BB5"/>
    <w:rsid w:val="34CB3D73"/>
    <w:rsid w:val="34E97C37"/>
    <w:rsid w:val="34F34F5A"/>
    <w:rsid w:val="354F44CF"/>
    <w:rsid w:val="355C48AD"/>
    <w:rsid w:val="356C2FF0"/>
    <w:rsid w:val="35854D8B"/>
    <w:rsid w:val="359325E7"/>
    <w:rsid w:val="359C108A"/>
    <w:rsid w:val="359F4498"/>
    <w:rsid w:val="35CC0C8F"/>
    <w:rsid w:val="35D02BA5"/>
    <w:rsid w:val="360B1967"/>
    <w:rsid w:val="361316EE"/>
    <w:rsid w:val="362D776A"/>
    <w:rsid w:val="36391210"/>
    <w:rsid w:val="363967AA"/>
    <w:rsid w:val="365F0CB6"/>
    <w:rsid w:val="367311FE"/>
    <w:rsid w:val="36AB4DB6"/>
    <w:rsid w:val="36E06D86"/>
    <w:rsid w:val="36E651FB"/>
    <w:rsid w:val="37074CA8"/>
    <w:rsid w:val="373F57B5"/>
    <w:rsid w:val="376C7FC5"/>
    <w:rsid w:val="377A6117"/>
    <w:rsid w:val="377F0D27"/>
    <w:rsid w:val="37863E63"/>
    <w:rsid w:val="379C71E3"/>
    <w:rsid w:val="37A91900"/>
    <w:rsid w:val="37BE108B"/>
    <w:rsid w:val="37C8703A"/>
    <w:rsid w:val="37CE1367"/>
    <w:rsid w:val="37D92736"/>
    <w:rsid w:val="37E15CB1"/>
    <w:rsid w:val="37F517AD"/>
    <w:rsid w:val="37F7453C"/>
    <w:rsid w:val="381A5D77"/>
    <w:rsid w:val="38393ABD"/>
    <w:rsid w:val="38636963"/>
    <w:rsid w:val="386C5AA3"/>
    <w:rsid w:val="38776F5F"/>
    <w:rsid w:val="388F698F"/>
    <w:rsid w:val="38A804CE"/>
    <w:rsid w:val="38A85780"/>
    <w:rsid w:val="38B9167F"/>
    <w:rsid w:val="39627FB8"/>
    <w:rsid w:val="396A0E1F"/>
    <w:rsid w:val="39C474DF"/>
    <w:rsid w:val="39E21D7F"/>
    <w:rsid w:val="3A217E73"/>
    <w:rsid w:val="3A2257D5"/>
    <w:rsid w:val="3A2D5755"/>
    <w:rsid w:val="3A3D2878"/>
    <w:rsid w:val="3A4A392C"/>
    <w:rsid w:val="3AF058E8"/>
    <w:rsid w:val="3AF85078"/>
    <w:rsid w:val="3B093A09"/>
    <w:rsid w:val="3B1E1326"/>
    <w:rsid w:val="3B245F93"/>
    <w:rsid w:val="3B342764"/>
    <w:rsid w:val="3B5A5570"/>
    <w:rsid w:val="3B6C7458"/>
    <w:rsid w:val="3B864B77"/>
    <w:rsid w:val="3B990DF7"/>
    <w:rsid w:val="3B9F1AC7"/>
    <w:rsid w:val="3BAC1821"/>
    <w:rsid w:val="3BE338E1"/>
    <w:rsid w:val="3C323D6F"/>
    <w:rsid w:val="3C67025D"/>
    <w:rsid w:val="3C830972"/>
    <w:rsid w:val="3C985418"/>
    <w:rsid w:val="3CA17098"/>
    <w:rsid w:val="3CE564D7"/>
    <w:rsid w:val="3CE91A18"/>
    <w:rsid w:val="3D000214"/>
    <w:rsid w:val="3D15116B"/>
    <w:rsid w:val="3D6F5A9F"/>
    <w:rsid w:val="3DA27BAF"/>
    <w:rsid w:val="3DA72447"/>
    <w:rsid w:val="3DB66B25"/>
    <w:rsid w:val="3DD1389B"/>
    <w:rsid w:val="3E063608"/>
    <w:rsid w:val="3E231A9E"/>
    <w:rsid w:val="3EF86E2A"/>
    <w:rsid w:val="3F0120EA"/>
    <w:rsid w:val="3F067638"/>
    <w:rsid w:val="3F091C63"/>
    <w:rsid w:val="3F172111"/>
    <w:rsid w:val="3F32257B"/>
    <w:rsid w:val="3FB35324"/>
    <w:rsid w:val="3FCE63A8"/>
    <w:rsid w:val="3FD414E4"/>
    <w:rsid w:val="3FE34565"/>
    <w:rsid w:val="3FFA217D"/>
    <w:rsid w:val="3FFD282E"/>
    <w:rsid w:val="403569E2"/>
    <w:rsid w:val="40502E09"/>
    <w:rsid w:val="40763B34"/>
    <w:rsid w:val="407A78C8"/>
    <w:rsid w:val="40B901A8"/>
    <w:rsid w:val="40C477AB"/>
    <w:rsid w:val="40C85D34"/>
    <w:rsid w:val="40DB614F"/>
    <w:rsid w:val="40E41301"/>
    <w:rsid w:val="40FC6F44"/>
    <w:rsid w:val="410718CF"/>
    <w:rsid w:val="4180400E"/>
    <w:rsid w:val="41843D30"/>
    <w:rsid w:val="41A71B0F"/>
    <w:rsid w:val="41DE664A"/>
    <w:rsid w:val="41F17721"/>
    <w:rsid w:val="4200124E"/>
    <w:rsid w:val="42065803"/>
    <w:rsid w:val="422E7CCE"/>
    <w:rsid w:val="42AE707D"/>
    <w:rsid w:val="42CC23F7"/>
    <w:rsid w:val="42D31134"/>
    <w:rsid w:val="43173FBE"/>
    <w:rsid w:val="433E1849"/>
    <w:rsid w:val="43FC4FDB"/>
    <w:rsid w:val="443C6F3A"/>
    <w:rsid w:val="44614D18"/>
    <w:rsid w:val="44717E54"/>
    <w:rsid w:val="449C0743"/>
    <w:rsid w:val="44D81D15"/>
    <w:rsid w:val="44F970E6"/>
    <w:rsid w:val="454A606C"/>
    <w:rsid w:val="4557347D"/>
    <w:rsid w:val="456E2D33"/>
    <w:rsid w:val="45774DEB"/>
    <w:rsid w:val="45E06E35"/>
    <w:rsid w:val="46024B8A"/>
    <w:rsid w:val="46217297"/>
    <w:rsid w:val="462C7EFF"/>
    <w:rsid w:val="46362CB1"/>
    <w:rsid w:val="46642143"/>
    <w:rsid w:val="46B42D1A"/>
    <w:rsid w:val="46D80CC4"/>
    <w:rsid w:val="4703525F"/>
    <w:rsid w:val="472678C0"/>
    <w:rsid w:val="474464C9"/>
    <w:rsid w:val="476F7E7B"/>
    <w:rsid w:val="479D5A7F"/>
    <w:rsid w:val="47B9793D"/>
    <w:rsid w:val="47D50693"/>
    <w:rsid w:val="47DC69C1"/>
    <w:rsid w:val="47FC5EF2"/>
    <w:rsid w:val="48042A70"/>
    <w:rsid w:val="481A5643"/>
    <w:rsid w:val="481F6B0D"/>
    <w:rsid w:val="4836049D"/>
    <w:rsid w:val="485B13CE"/>
    <w:rsid w:val="488C0A9C"/>
    <w:rsid w:val="48A059A6"/>
    <w:rsid w:val="48D34A2F"/>
    <w:rsid w:val="48D5496B"/>
    <w:rsid w:val="48DA542B"/>
    <w:rsid w:val="4924024A"/>
    <w:rsid w:val="493C1681"/>
    <w:rsid w:val="49507FFC"/>
    <w:rsid w:val="498B355B"/>
    <w:rsid w:val="49902920"/>
    <w:rsid w:val="49D66F3F"/>
    <w:rsid w:val="49DA50C7"/>
    <w:rsid w:val="49E60293"/>
    <w:rsid w:val="49FD1F96"/>
    <w:rsid w:val="4A046A89"/>
    <w:rsid w:val="4A207FAB"/>
    <w:rsid w:val="4A267ED1"/>
    <w:rsid w:val="4A496763"/>
    <w:rsid w:val="4A4E1181"/>
    <w:rsid w:val="4A8A31DC"/>
    <w:rsid w:val="4A901D0E"/>
    <w:rsid w:val="4AA057AA"/>
    <w:rsid w:val="4AC565AE"/>
    <w:rsid w:val="4AD97959"/>
    <w:rsid w:val="4AFA40BA"/>
    <w:rsid w:val="4B2A1C26"/>
    <w:rsid w:val="4B321EE0"/>
    <w:rsid w:val="4B3442D7"/>
    <w:rsid w:val="4B435D4B"/>
    <w:rsid w:val="4B4B3AC2"/>
    <w:rsid w:val="4B737D2A"/>
    <w:rsid w:val="4B86014F"/>
    <w:rsid w:val="4B887D52"/>
    <w:rsid w:val="4B8E1CDD"/>
    <w:rsid w:val="4BA55F65"/>
    <w:rsid w:val="4BC82845"/>
    <w:rsid w:val="4BDA60D4"/>
    <w:rsid w:val="4BE75F1F"/>
    <w:rsid w:val="4C13454D"/>
    <w:rsid w:val="4C1545D2"/>
    <w:rsid w:val="4C27660E"/>
    <w:rsid w:val="4C3440CD"/>
    <w:rsid w:val="4C45636E"/>
    <w:rsid w:val="4C4B02DE"/>
    <w:rsid w:val="4C705677"/>
    <w:rsid w:val="4C8524E4"/>
    <w:rsid w:val="4C8D13F4"/>
    <w:rsid w:val="4C940979"/>
    <w:rsid w:val="4C963EDC"/>
    <w:rsid w:val="4C9646F1"/>
    <w:rsid w:val="4CA706AC"/>
    <w:rsid w:val="4CE17941"/>
    <w:rsid w:val="4D092076"/>
    <w:rsid w:val="4D2C6E03"/>
    <w:rsid w:val="4D3276EB"/>
    <w:rsid w:val="4D3D179B"/>
    <w:rsid w:val="4D51296B"/>
    <w:rsid w:val="4D6A28C8"/>
    <w:rsid w:val="4D7A10F8"/>
    <w:rsid w:val="4D7A5D67"/>
    <w:rsid w:val="4D981DA3"/>
    <w:rsid w:val="4D9C08E3"/>
    <w:rsid w:val="4DB12E65"/>
    <w:rsid w:val="4E0A0EF3"/>
    <w:rsid w:val="4E165041"/>
    <w:rsid w:val="4E1B3100"/>
    <w:rsid w:val="4E1E499E"/>
    <w:rsid w:val="4E2A50F1"/>
    <w:rsid w:val="4E3721EE"/>
    <w:rsid w:val="4E493050"/>
    <w:rsid w:val="4E640AB0"/>
    <w:rsid w:val="4E7A177D"/>
    <w:rsid w:val="4E9F43D2"/>
    <w:rsid w:val="4EA83158"/>
    <w:rsid w:val="4ECD168B"/>
    <w:rsid w:val="4EE43792"/>
    <w:rsid w:val="4EF16480"/>
    <w:rsid w:val="4F1B712F"/>
    <w:rsid w:val="4F334479"/>
    <w:rsid w:val="4F475C07"/>
    <w:rsid w:val="4F495A4B"/>
    <w:rsid w:val="4F497530"/>
    <w:rsid w:val="4F4D2A0C"/>
    <w:rsid w:val="4F583E14"/>
    <w:rsid w:val="4F6E2C5B"/>
    <w:rsid w:val="4F723821"/>
    <w:rsid w:val="4F8D3DC7"/>
    <w:rsid w:val="4F94365E"/>
    <w:rsid w:val="4FA15887"/>
    <w:rsid w:val="501C705B"/>
    <w:rsid w:val="502F2632"/>
    <w:rsid w:val="50306AAF"/>
    <w:rsid w:val="503415FA"/>
    <w:rsid w:val="504D351A"/>
    <w:rsid w:val="50796036"/>
    <w:rsid w:val="50B00232"/>
    <w:rsid w:val="50B30CAF"/>
    <w:rsid w:val="50EA61DB"/>
    <w:rsid w:val="50F9524E"/>
    <w:rsid w:val="50FC2383"/>
    <w:rsid w:val="5123149A"/>
    <w:rsid w:val="5133145B"/>
    <w:rsid w:val="51476ECF"/>
    <w:rsid w:val="515F45AB"/>
    <w:rsid w:val="519B777A"/>
    <w:rsid w:val="51A72EFC"/>
    <w:rsid w:val="51B431FD"/>
    <w:rsid w:val="51BD3F5D"/>
    <w:rsid w:val="51F133E9"/>
    <w:rsid w:val="51F4771F"/>
    <w:rsid w:val="51FF0643"/>
    <w:rsid w:val="520143BB"/>
    <w:rsid w:val="524845FC"/>
    <w:rsid w:val="52562A82"/>
    <w:rsid w:val="52886893"/>
    <w:rsid w:val="52933422"/>
    <w:rsid w:val="52C246A1"/>
    <w:rsid w:val="52C72783"/>
    <w:rsid w:val="52CE67D6"/>
    <w:rsid w:val="52CF6267"/>
    <w:rsid w:val="52D7511B"/>
    <w:rsid w:val="52DF544A"/>
    <w:rsid w:val="52EE6121"/>
    <w:rsid w:val="530165F6"/>
    <w:rsid w:val="53680A97"/>
    <w:rsid w:val="539A609B"/>
    <w:rsid w:val="53A652E3"/>
    <w:rsid w:val="53CD5953"/>
    <w:rsid w:val="53D766AA"/>
    <w:rsid w:val="53FC24E5"/>
    <w:rsid w:val="54137FC6"/>
    <w:rsid w:val="543703F2"/>
    <w:rsid w:val="546A1027"/>
    <w:rsid w:val="546A435B"/>
    <w:rsid w:val="547D0BE8"/>
    <w:rsid w:val="548239CE"/>
    <w:rsid w:val="549A582E"/>
    <w:rsid w:val="54B571A7"/>
    <w:rsid w:val="54DB57C6"/>
    <w:rsid w:val="54DD04D0"/>
    <w:rsid w:val="54EC5550"/>
    <w:rsid w:val="54EF1117"/>
    <w:rsid w:val="554C55EF"/>
    <w:rsid w:val="55850F34"/>
    <w:rsid w:val="55881DC4"/>
    <w:rsid w:val="558C2D92"/>
    <w:rsid w:val="55934617"/>
    <w:rsid w:val="559C7321"/>
    <w:rsid w:val="55B7231A"/>
    <w:rsid w:val="55C20305"/>
    <w:rsid w:val="560A614D"/>
    <w:rsid w:val="560D0200"/>
    <w:rsid w:val="563F1656"/>
    <w:rsid w:val="56421EAD"/>
    <w:rsid w:val="56563B7E"/>
    <w:rsid w:val="569A05BB"/>
    <w:rsid w:val="56BA4A51"/>
    <w:rsid w:val="56C37E91"/>
    <w:rsid w:val="570F0B1A"/>
    <w:rsid w:val="5722514B"/>
    <w:rsid w:val="57272B15"/>
    <w:rsid w:val="57556DB4"/>
    <w:rsid w:val="576378C6"/>
    <w:rsid w:val="57BA6F69"/>
    <w:rsid w:val="58232CAE"/>
    <w:rsid w:val="58512B76"/>
    <w:rsid w:val="586C0AA8"/>
    <w:rsid w:val="58B65945"/>
    <w:rsid w:val="58CA3E2F"/>
    <w:rsid w:val="58CE0D6F"/>
    <w:rsid w:val="58EA796C"/>
    <w:rsid w:val="58FE28CC"/>
    <w:rsid w:val="5939268C"/>
    <w:rsid w:val="59445591"/>
    <w:rsid w:val="594D6137"/>
    <w:rsid w:val="596A6CE9"/>
    <w:rsid w:val="597044CB"/>
    <w:rsid w:val="598558D1"/>
    <w:rsid w:val="59A833AB"/>
    <w:rsid w:val="59B86A98"/>
    <w:rsid w:val="59D377DE"/>
    <w:rsid w:val="59F27101"/>
    <w:rsid w:val="59FE7432"/>
    <w:rsid w:val="5A413E24"/>
    <w:rsid w:val="5A5A4790"/>
    <w:rsid w:val="5A690519"/>
    <w:rsid w:val="5A6F19E5"/>
    <w:rsid w:val="5A980C37"/>
    <w:rsid w:val="5A9949F3"/>
    <w:rsid w:val="5ABA6857"/>
    <w:rsid w:val="5AC661A1"/>
    <w:rsid w:val="5AC734A9"/>
    <w:rsid w:val="5B034BF6"/>
    <w:rsid w:val="5B1F39DD"/>
    <w:rsid w:val="5B5865A8"/>
    <w:rsid w:val="5B5B54E2"/>
    <w:rsid w:val="5B5F0035"/>
    <w:rsid w:val="5B6A5FC9"/>
    <w:rsid w:val="5BC25DD9"/>
    <w:rsid w:val="5BEB6AF9"/>
    <w:rsid w:val="5BF92675"/>
    <w:rsid w:val="5BFC5AC6"/>
    <w:rsid w:val="5C0936A1"/>
    <w:rsid w:val="5C11523C"/>
    <w:rsid w:val="5C207B33"/>
    <w:rsid w:val="5C2A121E"/>
    <w:rsid w:val="5C2E0402"/>
    <w:rsid w:val="5C335AB8"/>
    <w:rsid w:val="5C3655A9"/>
    <w:rsid w:val="5C4B1059"/>
    <w:rsid w:val="5C675762"/>
    <w:rsid w:val="5C8D11FE"/>
    <w:rsid w:val="5CC52CEF"/>
    <w:rsid w:val="5CCF0F18"/>
    <w:rsid w:val="5CDD294E"/>
    <w:rsid w:val="5CF000D6"/>
    <w:rsid w:val="5D3F66DF"/>
    <w:rsid w:val="5D411690"/>
    <w:rsid w:val="5D647B7D"/>
    <w:rsid w:val="5D743C22"/>
    <w:rsid w:val="5D756F8D"/>
    <w:rsid w:val="5D806B3B"/>
    <w:rsid w:val="5D880DBA"/>
    <w:rsid w:val="5DD53BF3"/>
    <w:rsid w:val="5E327224"/>
    <w:rsid w:val="5E3E24F3"/>
    <w:rsid w:val="5E43718C"/>
    <w:rsid w:val="5E4B2AFB"/>
    <w:rsid w:val="5E5A0E2E"/>
    <w:rsid w:val="5E987228"/>
    <w:rsid w:val="5EA70608"/>
    <w:rsid w:val="5EB153BA"/>
    <w:rsid w:val="5EB25567"/>
    <w:rsid w:val="5ECC6918"/>
    <w:rsid w:val="5EF445E0"/>
    <w:rsid w:val="5EF552A7"/>
    <w:rsid w:val="5EFF04E0"/>
    <w:rsid w:val="5EFF1BF3"/>
    <w:rsid w:val="5F00133D"/>
    <w:rsid w:val="5F1F04EF"/>
    <w:rsid w:val="5F4C7024"/>
    <w:rsid w:val="5F526B75"/>
    <w:rsid w:val="5F742670"/>
    <w:rsid w:val="5F8040C1"/>
    <w:rsid w:val="5F8B5C0B"/>
    <w:rsid w:val="605D010C"/>
    <w:rsid w:val="60736A8B"/>
    <w:rsid w:val="60867CE6"/>
    <w:rsid w:val="60885E2E"/>
    <w:rsid w:val="609F74E8"/>
    <w:rsid w:val="60B44CEE"/>
    <w:rsid w:val="60BF3DBF"/>
    <w:rsid w:val="60DB227B"/>
    <w:rsid w:val="60F457A7"/>
    <w:rsid w:val="6101478E"/>
    <w:rsid w:val="6119480C"/>
    <w:rsid w:val="6148168F"/>
    <w:rsid w:val="61614E76"/>
    <w:rsid w:val="617F7C40"/>
    <w:rsid w:val="61895FDA"/>
    <w:rsid w:val="61991BE0"/>
    <w:rsid w:val="61AA67F4"/>
    <w:rsid w:val="61B256D1"/>
    <w:rsid w:val="61BC20AC"/>
    <w:rsid w:val="61DA69D6"/>
    <w:rsid w:val="61EA1EF7"/>
    <w:rsid w:val="62140B91"/>
    <w:rsid w:val="623560E3"/>
    <w:rsid w:val="62367ECA"/>
    <w:rsid w:val="623972A5"/>
    <w:rsid w:val="62402D30"/>
    <w:rsid w:val="62787AD3"/>
    <w:rsid w:val="62C17B2D"/>
    <w:rsid w:val="62D71EFE"/>
    <w:rsid w:val="63357EB3"/>
    <w:rsid w:val="6367071F"/>
    <w:rsid w:val="63A36B31"/>
    <w:rsid w:val="63A63014"/>
    <w:rsid w:val="63A6497A"/>
    <w:rsid w:val="63ED7C0E"/>
    <w:rsid w:val="63EF1B7A"/>
    <w:rsid w:val="63FF44D2"/>
    <w:rsid w:val="640C2C61"/>
    <w:rsid w:val="6413431C"/>
    <w:rsid w:val="643763F1"/>
    <w:rsid w:val="644F0FB6"/>
    <w:rsid w:val="64761478"/>
    <w:rsid w:val="64847AB0"/>
    <w:rsid w:val="64B23139"/>
    <w:rsid w:val="64D07098"/>
    <w:rsid w:val="64D82BB8"/>
    <w:rsid w:val="65171D19"/>
    <w:rsid w:val="65227D5E"/>
    <w:rsid w:val="655956E7"/>
    <w:rsid w:val="65605F45"/>
    <w:rsid w:val="656767D3"/>
    <w:rsid w:val="65882615"/>
    <w:rsid w:val="65AF625D"/>
    <w:rsid w:val="65BE5C89"/>
    <w:rsid w:val="65D62028"/>
    <w:rsid w:val="65F928D6"/>
    <w:rsid w:val="664E469F"/>
    <w:rsid w:val="665A5B20"/>
    <w:rsid w:val="66664B2F"/>
    <w:rsid w:val="66733D92"/>
    <w:rsid w:val="667747F4"/>
    <w:rsid w:val="66862C89"/>
    <w:rsid w:val="66946DC4"/>
    <w:rsid w:val="669E488B"/>
    <w:rsid w:val="66A54C79"/>
    <w:rsid w:val="66A55D6D"/>
    <w:rsid w:val="66AF3F8D"/>
    <w:rsid w:val="66B92DA3"/>
    <w:rsid w:val="67006CAA"/>
    <w:rsid w:val="6708306A"/>
    <w:rsid w:val="673A7F29"/>
    <w:rsid w:val="67627252"/>
    <w:rsid w:val="67707A32"/>
    <w:rsid w:val="677772D0"/>
    <w:rsid w:val="67880D3F"/>
    <w:rsid w:val="678F4246"/>
    <w:rsid w:val="67AC0E26"/>
    <w:rsid w:val="684921C0"/>
    <w:rsid w:val="68560231"/>
    <w:rsid w:val="686A6296"/>
    <w:rsid w:val="68740839"/>
    <w:rsid w:val="68773EF6"/>
    <w:rsid w:val="687D57B5"/>
    <w:rsid w:val="6880489C"/>
    <w:rsid w:val="68A4068B"/>
    <w:rsid w:val="690A79D3"/>
    <w:rsid w:val="6944439E"/>
    <w:rsid w:val="697C2595"/>
    <w:rsid w:val="698E45BB"/>
    <w:rsid w:val="69A76B40"/>
    <w:rsid w:val="69AF6752"/>
    <w:rsid w:val="69BD7798"/>
    <w:rsid w:val="69F1685A"/>
    <w:rsid w:val="69F50370"/>
    <w:rsid w:val="6A216345"/>
    <w:rsid w:val="6A283993"/>
    <w:rsid w:val="6A2E3D63"/>
    <w:rsid w:val="6A355B55"/>
    <w:rsid w:val="6A712A53"/>
    <w:rsid w:val="6AA60E0E"/>
    <w:rsid w:val="6AB75CE9"/>
    <w:rsid w:val="6AC540A6"/>
    <w:rsid w:val="6AC63F9C"/>
    <w:rsid w:val="6ACA414C"/>
    <w:rsid w:val="6AD5472B"/>
    <w:rsid w:val="6AEC2E18"/>
    <w:rsid w:val="6AF5135F"/>
    <w:rsid w:val="6B057EF2"/>
    <w:rsid w:val="6B2579D2"/>
    <w:rsid w:val="6B35036A"/>
    <w:rsid w:val="6B6356D9"/>
    <w:rsid w:val="6B653F5A"/>
    <w:rsid w:val="6B8A6A7E"/>
    <w:rsid w:val="6B901C1E"/>
    <w:rsid w:val="6BAD1CEB"/>
    <w:rsid w:val="6BB51F5E"/>
    <w:rsid w:val="6BBC47BD"/>
    <w:rsid w:val="6BCA6EC3"/>
    <w:rsid w:val="6BCE244D"/>
    <w:rsid w:val="6BD34359"/>
    <w:rsid w:val="6BD8102F"/>
    <w:rsid w:val="6BF53F5F"/>
    <w:rsid w:val="6C2133DE"/>
    <w:rsid w:val="6C3A3A8D"/>
    <w:rsid w:val="6C586513"/>
    <w:rsid w:val="6C652711"/>
    <w:rsid w:val="6C8F53FF"/>
    <w:rsid w:val="6C90660F"/>
    <w:rsid w:val="6C9630D7"/>
    <w:rsid w:val="6CBC1355"/>
    <w:rsid w:val="6CDA788A"/>
    <w:rsid w:val="6CE11222"/>
    <w:rsid w:val="6CE86F56"/>
    <w:rsid w:val="6D007CBE"/>
    <w:rsid w:val="6D1A5D91"/>
    <w:rsid w:val="6D2A360E"/>
    <w:rsid w:val="6D52414D"/>
    <w:rsid w:val="6D6F091A"/>
    <w:rsid w:val="6DAF318F"/>
    <w:rsid w:val="6DBB3A65"/>
    <w:rsid w:val="6DC237A8"/>
    <w:rsid w:val="6DD00F60"/>
    <w:rsid w:val="6DE72661"/>
    <w:rsid w:val="6DEC1F6B"/>
    <w:rsid w:val="6E2E003F"/>
    <w:rsid w:val="6E335A77"/>
    <w:rsid w:val="6E513AEE"/>
    <w:rsid w:val="6E596FB0"/>
    <w:rsid w:val="6E833325"/>
    <w:rsid w:val="6EC6021D"/>
    <w:rsid w:val="6EE45F81"/>
    <w:rsid w:val="6EF2535F"/>
    <w:rsid w:val="6F00613A"/>
    <w:rsid w:val="6F0230C8"/>
    <w:rsid w:val="6F0E2A6F"/>
    <w:rsid w:val="6F1C591A"/>
    <w:rsid w:val="6F2A7532"/>
    <w:rsid w:val="6F480478"/>
    <w:rsid w:val="6F573CB0"/>
    <w:rsid w:val="6F616041"/>
    <w:rsid w:val="6F9D41C4"/>
    <w:rsid w:val="6FA653FB"/>
    <w:rsid w:val="6FC10EC1"/>
    <w:rsid w:val="6FC772D4"/>
    <w:rsid w:val="6FDD1AFE"/>
    <w:rsid w:val="6FDF12CB"/>
    <w:rsid w:val="6FE63CCB"/>
    <w:rsid w:val="6FEA4288"/>
    <w:rsid w:val="6FEC7FA1"/>
    <w:rsid w:val="6FF005A6"/>
    <w:rsid w:val="70085EEB"/>
    <w:rsid w:val="70206C28"/>
    <w:rsid w:val="704B33EC"/>
    <w:rsid w:val="7071060F"/>
    <w:rsid w:val="708741CD"/>
    <w:rsid w:val="70BD2481"/>
    <w:rsid w:val="715A1496"/>
    <w:rsid w:val="715B2BCA"/>
    <w:rsid w:val="71CC4AD0"/>
    <w:rsid w:val="71D46F3F"/>
    <w:rsid w:val="71DF4490"/>
    <w:rsid w:val="71E01DE7"/>
    <w:rsid w:val="71E50EA6"/>
    <w:rsid w:val="71EC2014"/>
    <w:rsid w:val="71F118FE"/>
    <w:rsid w:val="71FE226D"/>
    <w:rsid w:val="72223149"/>
    <w:rsid w:val="722E78BF"/>
    <w:rsid w:val="7230646A"/>
    <w:rsid w:val="727016C1"/>
    <w:rsid w:val="72895317"/>
    <w:rsid w:val="7290531B"/>
    <w:rsid w:val="72985CC8"/>
    <w:rsid w:val="729D4FA0"/>
    <w:rsid w:val="72A2431C"/>
    <w:rsid w:val="72B17713"/>
    <w:rsid w:val="72C30BFC"/>
    <w:rsid w:val="72C60FDD"/>
    <w:rsid w:val="72C76B03"/>
    <w:rsid w:val="72D15FC0"/>
    <w:rsid w:val="72D323AF"/>
    <w:rsid w:val="72F316A6"/>
    <w:rsid w:val="730432ED"/>
    <w:rsid w:val="73137F9A"/>
    <w:rsid w:val="731645E1"/>
    <w:rsid w:val="73226584"/>
    <w:rsid w:val="7347064A"/>
    <w:rsid w:val="734F7D4B"/>
    <w:rsid w:val="73506AF8"/>
    <w:rsid w:val="735F4E72"/>
    <w:rsid w:val="737E7670"/>
    <w:rsid w:val="73820117"/>
    <w:rsid w:val="73964016"/>
    <w:rsid w:val="73A155A6"/>
    <w:rsid w:val="73F40F27"/>
    <w:rsid w:val="73F70735"/>
    <w:rsid w:val="7404062C"/>
    <w:rsid w:val="740B61A3"/>
    <w:rsid w:val="7420334D"/>
    <w:rsid w:val="743A4040"/>
    <w:rsid w:val="7454418F"/>
    <w:rsid w:val="745B748A"/>
    <w:rsid w:val="74785904"/>
    <w:rsid w:val="74877B4D"/>
    <w:rsid w:val="74906F6A"/>
    <w:rsid w:val="7496678D"/>
    <w:rsid w:val="749B2AF9"/>
    <w:rsid w:val="74AF7574"/>
    <w:rsid w:val="74E753FA"/>
    <w:rsid w:val="74F11C15"/>
    <w:rsid w:val="74F15553"/>
    <w:rsid w:val="74FB51EC"/>
    <w:rsid w:val="750218DB"/>
    <w:rsid w:val="753C6991"/>
    <w:rsid w:val="754B3078"/>
    <w:rsid w:val="75691608"/>
    <w:rsid w:val="756C6E5E"/>
    <w:rsid w:val="757028B1"/>
    <w:rsid w:val="75705B39"/>
    <w:rsid w:val="759C2B05"/>
    <w:rsid w:val="75A8074F"/>
    <w:rsid w:val="76216307"/>
    <w:rsid w:val="765B5EE0"/>
    <w:rsid w:val="765C3616"/>
    <w:rsid w:val="7676510C"/>
    <w:rsid w:val="769235C4"/>
    <w:rsid w:val="769F1D04"/>
    <w:rsid w:val="76A74C81"/>
    <w:rsid w:val="76C372DE"/>
    <w:rsid w:val="76D20D84"/>
    <w:rsid w:val="76D50207"/>
    <w:rsid w:val="76E16D3B"/>
    <w:rsid w:val="76E47376"/>
    <w:rsid w:val="772F0AD5"/>
    <w:rsid w:val="77416E84"/>
    <w:rsid w:val="775C403B"/>
    <w:rsid w:val="77655D1A"/>
    <w:rsid w:val="779007E2"/>
    <w:rsid w:val="7790461C"/>
    <w:rsid w:val="77AE4874"/>
    <w:rsid w:val="77B85D10"/>
    <w:rsid w:val="77D2238D"/>
    <w:rsid w:val="78143510"/>
    <w:rsid w:val="781B2746"/>
    <w:rsid w:val="783518F6"/>
    <w:rsid w:val="784B3D3D"/>
    <w:rsid w:val="78550CFB"/>
    <w:rsid w:val="78A5534F"/>
    <w:rsid w:val="78AF2513"/>
    <w:rsid w:val="78D930EC"/>
    <w:rsid w:val="79053481"/>
    <w:rsid w:val="79312283"/>
    <w:rsid w:val="793A002E"/>
    <w:rsid w:val="797C2612"/>
    <w:rsid w:val="799E680F"/>
    <w:rsid w:val="79DF2984"/>
    <w:rsid w:val="79EB4BBC"/>
    <w:rsid w:val="79F137E1"/>
    <w:rsid w:val="7A0917AF"/>
    <w:rsid w:val="7A2D2707"/>
    <w:rsid w:val="7A4E496D"/>
    <w:rsid w:val="7A5028E3"/>
    <w:rsid w:val="7A5F5873"/>
    <w:rsid w:val="7A610FD7"/>
    <w:rsid w:val="7A732E5D"/>
    <w:rsid w:val="7A7A445B"/>
    <w:rsid w:val="7A951295"/>
    <w:rsid w:val="7AA21FFC"/>
    <w:rsid w:val="7AB51E9F"/>
    <w:rsid w:val="7ACF29F8"/>
    <w:rsid w:val="7AD26045"/>
    <w:rsid w:val="7ADE0E8D"/>
    <w:rsid w:val="7AEE597E"/>
    <w:rsid w:val="7B266373"/>
    <w:rsid w:val="7B2A4102"/>
    <w:rsid w:val="7B3A4549"/>
    <w:rsid w:val="7B503B39"/>
    <w:rsid w:val="7B5C33E6"/>
    <w:rsid w:val="7B660B49"/>
    <w:rsid w:val="7B7A0018"/>
    <w:rsid w:val="7B9D5233"/>
    <w:rsid w:val="7BD02C2C"/>
    <w:rsid w:val="7BD628B3"/>
    <w:rsid w:val="7BE34610"/>
    <w:rsid w:val="7C263E4B"/>
    <w:rsid w:val="7C345209"/>
    <w:rsid w:val="7C5C4760"/>
    <w:rsid w:val="7CB13CD2"/>
    <w:rsid w:val="7CDB5353"/>
    <w:rsid w:val="7CDC304C"/>
    <w:rsid w:val="7D1D1F29"/>
    <w:rsid w:val="7D1F1B92"/>
    <w:rsid w:val="7D235A97"/>
    <w:rsid w:val="7D3635D1"/>
    <w:rsid w:val="7D3B041C"/>
    <w:rsid w:val="7D3E6783"/>
    <w:rsid w:val="7D4165A6"/>
    <w:rsid w:val="7D483F3D"/>
    <w:rsid w:val="7D562F5D"/>
    <w:rsid w:val="7D620562"/>
    <w:rsid w:val="7D6704C4"/>
    <w:rsid w:val="7DC554A5"/>
    <w:rsid w:val="7DCF536B"/>
    <w:rsid w:val="7DF019EB"/>
    <w:rsid w:val="7E096B41"/>
    <w:rsid w:val="7E1E0ECB"/>
    <w:rsid w:val="7E2C785D"/>
    <w:rsid w:val="7E384F48"/>
    <w:rsid w:val="7ED07423"/>
    <w:rsid w:val="7ED15843"/>
    <w:rsid w:val="7EDA195C"/>
    <w:rsid w:val="7EDE28DD"/>
    <w:rsid w:val="7F107E0B"/>
    <w:rsid w:val="7F405C73"/>
    <w:rsid w:val="7F502D1B"/>
    <w:rsid w:val="7F55643D"/>
    <w:rsid w:val="7F626B4E"/>
    <w:rsid w:val="7F840077"/>
    <w:rsid w:val="7F845667"/>
    <w:rsid w:val="7F9E648B"/>
    <w:rsid w:val="7FCC2F11"/>
    <w:rsid w:val="7FCE4B99"/>
    <w:rsid w:val="7FD02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4">
    <w:name w:val="heading 2"/>
    <w:basedOn w:val="1"/>
    <w:next w:val="1"/>
    <w:link w:val="73"/>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4"/>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link w:val="75"/>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6"/>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7"/>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0"/>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88"/>
    <w:unhideWhenUsed/>
    <w:qFormat/>
    <w:uiPriority w:val="0"/>
    <w:pPr>
      <w:spacing w:after="120"/>
    </w:pPr>
    <w:rPr>
      <w:kern w:val="0"/>
      <w:sz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ind w:left="420" w:leftChars="200"/>
    </w:pPr>
    <w:rPr>
      <w:szCs w:val="20"/>
    </w:rPr>
  </w:style>
  <w:style w:type="paragraph" w:styleId="15">
    <w:name w:val="List Bullet 4"/>
    <w:basedOn w:val="1"/>
    <w:qFormat/>
    <w:uiPriority w:val="0"/>
    <w:pPr>
      <w:tabs>
        <w:tab w:val="left" w:pos="980"/>
      </w:tabs>
      <w:spacing w:beforeLines="50" w:afterLines="50" w:line="360" w:lineRule="auto"/>
      <w:ind w:left="980" w:hanging="420"/>
    </w:pPr>
    <w:rPr>
      <w:sz w:val="24"/>
    </w:rPr>
  </w:style>
  <w:style w:type="paragraph" w:styleId="16">
    <w:name w:val="List Number"/>
    <w:basedOn w:val="1"/>
    <w:qFormat/>
    <w:uiPriority w:val="0"/>
    <w:pPr>
      <w:numPr>
        <w:ilvl w:val="0"/>
        <w:numId w:val="1"/>
      </w:numPr>
      <w:tabs>
        <w:tab w:val="left" w:pos="840"/>
      </w:tabs>
    </w:pPr>
    <w:rPr>
      <w:rFonts w:ascii="Calibri" w:hAnsi="Calibri"/>
      <w:sz w:val="28"/>
      <w:szCs w:val="22"/>
    </w:rPr>
  </w:style>
  <w:style w:type="paragraph" w:styleId="17">
    <w:name w:val="Normal Indent"/>
    <w:basedOn w:val="1"/>
    <w:next w:val="1"/>
    <w:link w:val="81"/>
    <w:qFormat/>
    <w:uiPriority w:val="99"/>
    <w:pPr>
      <w:ind w:firstLine="420" w:firstLineChars="200"/>
    </w:pPr>
    <w:rPr>
      <w:kern w:val="0"/>
      <w:sz w:val="20"/>
    </w:rPr>
  </w:style>
  <w:style w:type="paragraph" w:styleId="18">
    <w:name w:val="caption"/>
    <w:basedOn w:val="1"/>
    <w:next w:val="1"/>
    <w:link w:val="82"/>
    <w:qFormat/>
    <w:uiPriority w:val="0"/>
    <w:pPr>
      <w:widowControl/>
      <w:jc w:val="left"/>
    </w:pPr>
    <w:rPr>
      <w:rFonts w:ascii="Arial" w:hAnsi="Arial" w:eastAsia="黑体"/>
      <w:kern w:val="0"/>
      <w:sz w:val="20"/>
      <w:szCs w:val="20"/>
    </w:rPr>
  </w:style>
  <w:style w:type="paragraph" w:styleId="19">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3"/>
    <w:qFormat/>
    <w:uiPriority w:val="99"/>
    <w:pPr>
      <w:shd w:val="clear" w:color="auto" w:fill="000080"/>
    </w:pPr>
    <w:rPr>
      <w:kern w:val="0"/>
      <w:sz w:val="20"/>
    </w:rPr>
  </w:style>
  <w:style w:type="paragraph" w:styleId="22">
    <w:name w:val="toa heading"/>
    <w:basedOn w:val="1"/>
    <w:next w:val="1"/>
    <w:qFormat/>
    <w:uiPriority w:val="0"/>
    <w:pPr>
      <w:spacing w:before="120"/>
    </w:pPr>
    <w:rPr>
      <w:rFonts w:ascii="Cambria" w:hAnsi="Cambria"/>
      <w:sz w:val="24"/>
    </w:rPr>
  </w:style>
  <w:style w:type="paragraph" w:styleId="23">
    <w:name w:val="annotation text"/>
    <w:basedOn w:val="1"/>
    <w:link w:val="84"/>
    <w:unhideWhenUsed/>
    <w:qFormat/>
    <w:uiPriority w:val="0"/>
    <w:pPr>
      <w:jc w:val="left"/>
    </w:pPr>
    <w:rPr>
      <w:kern w:val="0"/>
      <w:sz w:val="20"/>
    </w:rPr>
  </w:style>
  <w:style w:type="paragraph" w:styleId="24">
    <w:name w:val="index 6"/>
    <w:basedOn w:val="1"/>
    <w:next w:val="1"/>
    <w:qFormat/>
    <w:uiPriority w:val="99"/>
    <w:pPr>
      <w:ind w:left="2100"/>
    </w:pPr>
  </w:style>
  <w:style w:type="paragraph" w:styleId="25">
    <w:name w:val="Salutation"/>
    <w:basedOn w:val="1"/>
    <w:next w:val="1"/>
    <w:link w:val="85"/>
    <w:qFormat/>
    <w:uiPriority w:val="0"/>
    <w:rPr>
      <w:kern w:val="0"/>
      <w:sz w:val="20"/>
    </w:rPr>
  </w:style>
  <w:style w:type="paragraph" w:styleId="26">
    <w:name w:val="Body Text 3"/>
    <w:basedOn w:val="1"/>
    <w:link w:val="86"/>
    <w:unhideWhenUsed/>
    <w:qFormat/>
    <w:uiPriority w:val="0"/>
    <w:pPr>
      <w:spacing w:beforeLines="50" w:afterLines="50" w:line="360" w:lineRule="auto"/>
    </w:pPr>
    <w:rPr>
      <w:kern w:val="0"/>
      <w:sz w:val="16"/>
      <w:szCs w:val="16"/>
    </w:rPr>
  </w:style>
  <w:style w:type="paragraph" w:styleId="27">
    <w:name w:val="Closing"/>
    <w:basedOn w:val="1"/>
    <w:link w:val="87"/>
    <w:qFormat/>
    <w:uiPriority w:val="0"/>
    <w:pPr>
      <w:ind w:left="100" w:leftChars="2100"/>
    </w:pPr>
    <w:rPr>
      <w:rFonts w:ascii="宋体" w:hAnsi="宋体"/>
      <w:b/>
      <w:kern w:val="0"/>
      <w:sz w:val="24"/>
    </w:rPr>
  </w:style>
  <w:style w:type="paragraph" w:styleId="28">
    <w:name w:val="List Bullet 3"/>
    <w:basedOn w:val="1"/>
    <w:unhideWhenUsed/>
    <w:qFormat/>
    <w:uiPriority w:val="0"/>
    <w:pPr>
      <w:tabs>
        <w:tab w:val="left" w:pos="1200"/>
      </w:tabs>
      <w:ind w:left="1200" w:leftChars="400" w:hanging="360" w:hangingChars="200"/>
      <w:contextualSpacing/>
    </w:pPr>
    <w:rPr>
      <w:szCs w:val="20"/>
    </w:rPr>
  </w:style>
  <w:style w:type="paragraph" w:styleId="29">
    <w:name w:val="Body Text Indent"/>
    <w:basedOn w:val="1"/>
    <w:link w:val="90"/>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qFormat/>
    <w:uiPriority w:val="0"/>
    <w:pPr>
      <w:spacing w:beforeLines="50" w:afterLines="50" w:line="360" w:lineRule="auto"/>
      <w:ind w:left="100" w:leftChars="200" w:hanging="200" w:hangingChars="200"/>
    </w:pPr>
    <w:rPr>
      <w:sz w:val="24"/>
    </w:rPr>
  </w:style>
  <w:style w:type="paragraph" w:styleId="31">
    <w:name w:val="Plain Text"/>
    <w:basedOn w:val="1"/>
    <w:next w:val="1"/>
    <w:link w:val="91"/>
    <w:qFormat/>
    <w:uiPriority w:val="0"/>
    <w:rPr>
      <w:rFonts w:ascii="宋体" w:hAnsi="Courier New"/>
      <w:kern w:val="0"/>
      <w:sz w:val="20"/>
      <w:szCs w:val="21"/>
    </w:rPr>
  </w:style>
  <w:style w:type="paragraph" w:styleId="32">
    <w:name w:val="Block Text"/>
    <w:basedOn w:val="1"/>
    <w:qFormat/>
    <w:uiPriority w:val="0"/>
    <w:pPr>
      <w:spacing w:beforeLines="50" w:afterLines="50" w:line="360" w:lineRule="auto"/>
      <w:ind w:left="1440" w:leftChars="700" w:right="1440" w:rightChars="700"/>
    </w:pPr>
    <w:rPr>
      <w:sz w:val="24"/>
    </w:rPr>
  </w:style>
  <w:style w:type="paragraph" w:styleId="33">
    <w:name w:val="toc 5"/>
    <w:basedOn w:val="1"/>
    <w:next w:val="1"/>
    <w:qFormat/>
    <w:uiPriority w:val="39"/>
    <w:pPr>
      <w:ind w:left="840"/>
      <w:jc w:val="left"/>
    </w:pPr>
    <w:rPr>
      <w:sz w:val="18"/>
      <w:szCs w:val="18"/>
    </w:rPr>
  </w:style>
  <w:style w:type="paragraph" w:styleId="34">
    <w:name w:val="toc 3"/>
    <w:basedOn w:val="1"/>
    <w:next w:val="1"/>
    <w:qFormat/>
    <w:uiPriority w:val="39"/>
    <w:pPr>
      <w:ind w:left="420"/>
      <w:jc w:val="left"/>
    </w:pPr>
    <w:rPr>
      <w:i/>
      <w:iCs/>
      <w:sz w:val="20"/>
      <w:szCs w:val="20"/>
    </w:rPr>
  </w:style>
  <w:style w:type="paragraph" w:styleId="35">
    <w:name w:val="toc 8"/>
    <w:basedOn w:val="1"/>
    <w:next w:val="1"/>
    <w:qFormat/>
    <w:uiPriority w:val="39"/>
    <w:pPr>
      <w:ind w:left="1470"/>
      <w:jc w:val="left"/>
    </w:pPr>
    <w:rPr>
      <w:sz w:val="18"/>
      <w:szCs w:val="18"/>
    </w:rPr>
  </w:style>
  <w:style w:type="paragraph" w:styleId="36">
    <w:name w:val="Date"/>
    <w:basedOn w:val="1"/>
    <w:next w:val="1"/>
    <w:link w:val="92"/>
    <w:qFormat/>
    <w:uiPriority w:val="0"/>
    <w:pPr>
      <w:ind w:left="100" w:leftChars="2500"/>
    </w:pPr>
    <w:rPr>
      <w:rFonts w:eastAsia="仿宋_GB2312"/>
      <w:color w:val="000000"/>
      <w:kern w:val="0"/>
      <w:sz w:val="28"/>
    </w:rPr>
  </w:style>
  <w:style w:type="paragraph" w:styleId="37">
    <w:name w:val="Body Text Indent 2"/>
    <w:basedOn w:val="1"/>
    <w:link w:val="93"/>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qFormat/>
    <w:uiPriority w:val="0"/>
    <w:pPr>
      <w:snapToGrid w:val="0"/>
      <w:jc w:val="left"/>
    </w:pPr>
    <w:rPr>
      <w:rFonts w:ascii="Calibri" w:hAnsi="Calibri" w:eastAsia="宋体" w:cs="Times New Roman"/>
      <w:szCs w:val="22"/>
    </w:rPr>
  </w:style>
  <w:style w:type="paragraph" w:styleId="39">
    <w:name w:val="Balloon Text"/>
    <w:basedOn w:val="1"/>
    <w:link w:val="95"/>
    <w:qFormat/>
    <w:uiPriority w:val="0"/>
    <w:rPr>
      <w:kern w:val="0"/>
      <w:sz w:val="18"/>
      <w:szCs w:val="18"/>
    </w:rPr>
  </w:style>
  <w:style w:type="paragraph" w:styleId="40">
    <w:name w:val="footer"/>
    <w:basedOn w:val="1"/>
    <w:link w:val="96"/>
    <w:unhideWhenUsed/>
    <w:qFormat/>
    <w:uiPriority w:val="99"/>
    <w:pPr>
      <w:tabs>
        <w:tab w:val="center" w:pos="4153"/>
        <w:tab w:val="right" w:pos="8306"/>
      </w:tabs>
      <w:snapToGrid w:val="0"/>
      <w:jc w:val="left"/>
    </w:pPr>
    <w:rPr>
      <w:kern w:val="0"/>
      <w:sz w:val="18"/>
      <w:szCs w:val="18"/>
    </w:rPr>
  </w:style>
  <w:style w:type="paragraph" w:styleId="41">
    <w:name w:val="header"/>
    <w:basedOn w:val="1"/>
    <w:link w:val="9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qFormat/>
    <w:uiPriority w:val="39"/>
    <w:pPr>
      <w:ind w:left="630"/>
      <w:jc w:val="left"/>
    </w:pPr>
    <w:rPr>
      <w:sz w:val="18"/>
      <w:szCs w:val="18"/>
    </w:rPr>
  </w:style>
  <w:style w:type="paragraph" w:styleId="44">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420" w:hanging="420"/>
    </w:pPr>
    <w:rPr>
      <w:sz w:val="24"/>
      <w:szCs w:val="20"/>
    </w:rPr>
  </w:style>
  <w:style w:type="paragraph" w:styleId="46">
    <w:name w:val="footnote text"/>
    <w:basedOn w:val="1"/>
    <w:qFormat/>
    <w:uiPriority w:val="0"/>
    <w:pPr>
      <w:numPr>
        <w:ilvl w:val="0"/>
        <w:numId w:val="2"/>
      </w:numPr>
      <w:snapToGrid w:val="0"/>
      <w:ind w:left="0" w:firstLine="0"/>
      <w:jc w:val="left"/>
    </w:pPr>
    <w:rPr>
      <w:sz w:val="18"/>
      <w:szCs w:val="18"/>
    </w:rPr>
  </w:style>
  <w:style w:type="paragraph" w:styleId="47">
    <w:name w:val="toc 6"/>
    <w:basedOn w:val="1"/>
    <w:next w:val="1"/>
    <w:qFormat/>
    <w:uiPriority w:val="39"/>
    <w:pPr>
      <w:ind w:left="1050"/>
      <w:jc w:val="left"/>
    </w:pPr>
    <w:rPr>
      <w:sz w:val="18"/>
      <w:szCs w:val="18"/>
    </w:rPr>
  </w:style>
  <w:style w:type="paragraph" w:styleId="48">
    <w:name w:val="Body Text Indent 3"/>
    <w:basedOn w:val="1"/>
    <w:link w:val="99"/>
    <w:qFormat/>
    <w:uiPriority w:val="0"/>
    <w:pPr>
      <w:ind w:firstLine="480" w:firstLineChars="200"/>
    </w:pPr>
    <w:rPr>
      <w:rFonts w:ascii="幼圆" w:eastAsia="幼圆"/>
      <w:kern w:val="0"/>
      <w:sz w:val="24"/>
      <w:szCs w:val="32"/>
    </w:rPr>
  </w:style>
  <w:style w:type="paragraph" w:styleId="49">
    <w:name w:val="table of figures"/>
    <w:basedOn w:val="1"/>
    <w:next w:val="1"/>
    <w:qFormat/>
    <w:uiPriority w:val="99"/>
    <w:pPr>
      <w:ind w:left="200" w:leftChars="200" w:hanging="200" w:hangingChars="200"/>
    </w:pPr>
  </w:style>
  <w:style w:type="paragraph" w:styleId="50">
    <w:name w:val="toc 2"/>
    <w:basedOn w:val="1"/>
    <w:next w:val="1"/>
    <w:qFormat/>
    <w:uiPriority w:val="39"/>
    <w:pPr>
      <w:ind w:left="210"/>
      <w:jc w:val="left"/>
    </w:pPr>
    <w:rPr>
      <w:smallCaps/>
      <w:sz w:val="20"/>
      <w:szCs w:val="20"/>
    </w:rPr>
  </w:style>
  <w:style w:type="paragraph" w:styleId="51">
    <w:name w:val="toc 9"/>
    <w:basedOn w:val="1"/>
    <w:next w:val="1"/>
    <w:qFormat/>
    <w:uiPriority w:val="39"/>
    <w:pPr>
      <w:ind w:left="1680"/>
      <w:jc w:val="left"/>
    </w:pPr>
    <w:rPr>
      <w:sz w:val="18"/>
      <w:szCs w:val="18"/>
    </w:rPr>
  </w:style>
  <w:style w:type="paragraph" w:styleId="52">
    <w:name w:val="Body Text 2"/>
    <w:basedOn w:val="1"/>
    <w:link w:val="100"/>
    <w:qFormat/>
    <w:uiPriority w:val="0"/>
    <w:pPr>
      <w:jc w:val="center"/>
    </w:pPr>
    <w:rPr>
      <w:rFonts w:ascii="宋体" w:hAnsi="宋体"/>
      <w:kern w:val="0"/>
      <w:sz w:val="24"/>
    </w:rPr>
  </w:style>
  <w:style w:type="paragraph" w:styleId="5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qFormat/>
    <w:uiPriority w:val="0"/>
    <w:rPr>
      <w:kern w:val="0"/>
      <w:sz w:val="24"/>
      <w:szCs w:val="21"/>
    </w:rPr>
  </w:style>
  <w:style w:type="paragraph" w:styleId="56">
    <w:name w:val="Title"/>
    <w:basedOn w:val="1"/>
    <w:next w:val="1"/>
    <w:link w:val="102"/>
    <w:qFormat/>
    <w:uiPriority w:val="0"/>
    <w:pPr>
      <w:spacing w:before="240" w:after="60"/>
      <w:jc w:val="center"/>
      <w:outlineLvl w:val="0"/>
    </w:pPr>
    <w:rPr>
      <w:rFonts w:ascii="Arial" w:hAnsi="Arial"/>
      <w:b/>
      <w:bCs/>
      <w:kern w:val="0"/>
      <w:sz w:val="32"/>
      <w:szCs w:val="32"/>
    </w:rPr>
  </w:style>
  <w:style w:type="paragraph" w:styleId="57">
    <w:name w:val="annotation subject"/>
    <w:basedOn w:val="23"/>
    <w:next w:val="23"/>
    <w:link w:val="103"/>
    <w:qFormat/>
    <w:uiPriority w:val="0"/>
    <w:rPr>
      <w:b/>
      <w:kern w:val="0"/>
      <w:sz w:val="20"/>
      <w:szCs w:val="20"/>
    </w:rPr>
  </w:style>
  <w:style w:type="paragraph" w:styleId="58">
    <w:name w:val="Body Text First Indent"/>
    <w:basedOn w:val="2"/>
    <w:next w:val="1"/>
    <w:link w:val="89"/>
    <w:qFormat/>
    <w:uiPriority w:val="0"/>
    <w:pPr>
      <w:ind w:firstLine="420" w:firstLineChars="100"/>
    </w:pPr>
    <w:rPr>
      <w:rFonts w:ascii="宋体"/>
      <w:color w:val="000000"/>
      <w:kern w:val="0"/>
      <w:sz w:val="20"/>
      <w:szCs w:val="32"/>
    </w:rPr>
  </w:style>
  <w:style w:type="paragraph" w:styleId="59">
    <w:name w:val="Body Text First Indent 2"/>
    <w:basedOn w:val="29"/>
    <w:link w:val="104"/>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1">
    <w:name w:val="Table Grid"/>
    <w:basedOn w:val="6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qFormat/>
    <w:uiPriority w:val="22"/>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99"/>
    <w:rPr>
      <w:color w:val="800080"/>
      <w:u w:val="single"/>
    </w:rPr>
  </w:style>
  <w:style w:type="character" w:styleId="67">
    <w:name w:val="Emphasis"/>
    <w:qFormat/>
    <w:uiPriority w:val="0"/>
    <w:rPr>
      <w:i/>
      <w:iCs/>
    </w:rPr>
  </w:style>
  <w:style w:type="character" w:styleId="68">
    <w:name w:val="Hyperlink"/>
    <w:basedOn w:val="62"/>
    <w:qFormat/>
    <w:uiPriority w:val="99"/>
    <w:rPr>
      <w:color w:val="0000FF"/>
      <w:u w:val="single"/>
    </w:rPr>
  </w:style>
  <w:style w:type="character" w:styleId="69">
    <w:name w:val="annotation reference"/>
    <w:qFormat/>
    <w:uiPriority w:val="0"/>
    <w:rPr>
      <w:sz w:val="21"/>
    </w:rPr>
  </w:style>
  <w:style w:type="character" w:styleId="70">
    <w:name w:val="footnote reference"/>
    <w:unhideWhenUsed/>
    <w:qFormat/>
    <w:uiPriority w:val="99"/>
    <w:rPr>
      <w:vertAlign w:val="superscript"/>
    </w:rPr>
  </w:style>
  <w:style w:type="paragraph" w:customStyle="1" w:styleId="71">
    <w:name w:val="正文缩进1"/>
    <w:basedOn w:val="1"/>
    <w:qFormat/>
    <w:uiPriority w:val="0"/>
    <w:pPr>
      <w:spacing w:line="360" w:lineRule="auto"/>
      <w:ind w:firstLine="200" w:firstLineChars="200"/>
      <w:jc w:val="left"/>
    </w:pPr>
    <w:rPr>
      <w:rFonts w:ascii="宋体" w:hAnsi="宋体"/>
      <w:sz w:val="24"/>
      <w:szCs w:val="22"/>
    </w:rPr>
  </w:style>
  <w:style w:type="character" w:customStyle="1" w:styleId="72">
    <w:name w:val="标题 1 字符"/>
    <w:link w:val="3"/>
    <w:qFormat/>
    <w:uiPriority w:val="0"/>
    <w:rPr>
      <w:rFonts w:ascii="仿宋" w:hAnsi="仿宋" w:eastAsia="仿宋" w:cs="Times New Roman"/>
      <w:b/>
      <w:kern w:val="44"/>
      <w:sz w:val="32"/>
      <w:szCs w:val="20"/>
    </w:rPr>
  </w:style>
  <w:style w:type="character" w:customStyle="1" w:styleId="73">
    <w:name w:val="标题 2 字符"/>
    <w:link w:val="4"/>
    <w:qFormat/>
    <w:uiPriority w:val="0"/>
    <w:rPr>
      <w:rFonts w:ascii="Arial" w:hAnsi="Arial" w:eastAsia="黑体" w:cs="Times New Roman"/>
      <w:b/>
      <w:bCs/>
      <w:sz w:val="32"/>
      <w:szCs w:val="32"/>
    </w:rPr>
  </w:style>
  <w:style w:type="character" w:customStyle="1" w:styleId="74">
    <w:name w:val="标题 3 字符"/>
    <w:link w:val="5"/>
    <w:qFormat/>
    <w:uiPriority w:val="0"/>
    <w:rPr>
      <w:rFonts w:ascii="Times New Roman" w:hAnsi="Times New Roman" w:eastAsia="Arial Unicode MS" w:cs="Times New Roman"/>
      <w:b/>
      <w:szCs w:val="20"/>
    </w:rPr>
  </w:style>
  <w:style w:type="character" w:customStyle="1" w:styleId="75">
    <w:name w:val="标题 4 字符"/>
    <w:link w:val="6"/>
    <w:qFormat/>
    <w:uiPriority w:val="0"/>
    <w:rPr>
      <w:rFonts w:ascii="Cambria" w:hAnsi="Cambria" w:eastAsia="宋体" w:cs="Times New Roman"/>
      <w:b/>
      <w:bCs/>
      <w:sz w:val="28"/>
      <w:szCs w:val="28"/>
    </w:rPr>
  </w:style>
  <w:style w:type="character" w:customStyle="1" w:styleId="76">
    <w:name w:val="标题 5 字符"/>
    <w:link w:val="7"/>
    <w:qFormat/>
    <w:uiPriority w:val="0"/>
    <w:rPr>
      <w:rFonts w:ascii="Calibri" w:hAnsi="Calibri" w:eastAsia="宋体" w:cs="Times New Roman"/>
      <w:b/>
      <w:bCs/>
      <w:sz w:val="28"/>
      <w:szCs w:val="28"/>
    </w:rPr>
  </w:style>
  <w:style w:type="character" w:customStyle="1" w:styleId="77">
    <w:name w:val="标题 6 字符"/>
    <w:link w:val="8"/>
    <w:qFormat/>
    <w:uiPriority w:val="0"/>
    <w:rPr>
      <w:rFonts w:ascii="Arial" w:hAnsi="Arial" w:eastAsia="黑体" w:cs="Times New Roman"/>
      <w:b/>
      <w:bCs/>
      <w:kern w:val="0"/>
      <w:sz w:val="24"/>
      <w:szCs w:val="24"/>
    </w:rPr>
  </w:style>
  <w:style w:type="character" w:customStyle="1" w:styleId="78">
    <w:name w:val="标题 7 字符"/>
    <w:link w:val="9"/>
    <w:qFormat/>
    <w:uiPriority w:val="0"/>
    <w:rPr>
      <w:rFonts w:ascii="Times New Roman" w:hAnsi="Times New Roman" w:eastAsia="宋体" w:cs="Times New Roman"/>
      <w:b/>
      <w:bCs/>
      <w:kern w:val="0"/>
      <w:sz w:val="24"/>
      <w:szCs w:val="24"/>
    </w:rPr>
  </w:style>
  <w:style w:type="character" w:customStyle="1" w:styleId="79">
    <w:name w:val="标题 8 字符"/>
    <w:link w:val="10"/>
    <w:qFormat/>
    <w:uiPriority w:val="0"/>
    <w:rPr>
      <w:rFonts w:ascii="Arial" w:hAnsi="Arial" w:eastAsia="黑体" w:cs="Times New Roman"/>
      <w:kern w:val="0"/>
      <w:sz w:val="24"/>
      <w:szCs w:val="24"/>
    </w:rPr>
  </w:style>
  <w:style w:type="character" w:customStyle="1" w:styleId="80">
    <w:name w:val="标题 9 字符"/>
    <w:link w:val="11"/>
    <w:qFormat/>
    <w:uiPriority w:val="0"/>
    <w:rPr>
      <w:rFonts w:ascii="Arial" w:hAnsi="Arial" w:eastAsia="黑体" w:cs="Times New Roman"/>
      <w:kern w:val="0"/>
      <w:szCs w:val="21"/>
    </w:rPr>
  </w:style>
  <w:style w:type="character" w:customStyle="1" w:styleId="81">
    <w:name w:val="正文缩进 字符"/>
    <w:link w:val="17"/>
    <w:qFormat/>
    <w:uiPriority w:val="99"/>
    <w:rPr>
      <w:szCs w:val="24"/>
    </w:rPr>
  </w:style>
  <w:style w:type="character" w:customStyle="1" w:styleId="82">
    <w:name w:val="题注 字符"/>
    <w:link w:val="18"/>
    <w:qFormat/>
    <w:locked/>
    <w:uiPriority w:val="0"/>
    <w:rPr>
      <w:rFonts w:ascii="Arial" w:hAnsi="Arial" w:eastAsia="黑体"/>
    </w:rPr>
  </w:style>
  <w:style w:type="character" w:customStyle="1" w:styleId="83">
    <w:name w:val="文档结构图 字符"/>
    <w:link w:val="21"/>
    <w:qFormat/>
    <w:uiPriority w:val="99"/>
    <w:rPr>
      <w:szCs w:val="24"/>
      <w:shd w:val="clear" w:color="auto" w:fill="000080"/>
    </w:rPr>
  </w:style>
  <w:style w:type="character" w:customStyle="1" w:styleId="84">
    <w:name w:val="批注文字 字符"/>
    <w:link w:val="23"/>
    <w:qFormat/>
    <w:uiPriority w:val="0"/>
    <w:rPr>
      <w:rFonts w:ascii="Times New Roman" w:hAnsi="Times New Roman" w:eastAsia="宋体" w:cs="Times New Roman"/>
      <w:szCs w:val="24"/>
    </w:rPr>
  </w:style>
  <w:style w:type="character" w:customStyle="1" w:styleId="85">
    <w:name w:val="称呼 字符"/>
    <w:link w:val="25"/>
    <w:qFormat/>
    <w:uiPriority w:val="0"/>
    <w:rPr>
      <w:szCs w:val="24"/>
    </w:rPr>
  </w:style>
  <w:style w:type="character" w:customStyle="1" w:styleId="86">
    <w:name w:val="正文文本 3 字符"/>
    <w:link w:val="26"/>
    <w:qFormat/>
    <w:uiPriority w:val="0"/>
    <w:rPr>
      <w:sz w:val="16"/>
      <w:szCs w:val="16"/>
    </w:rPr>
  </w:style>
  <w:style w:type="character" w:customStyle="1" w:styleId="87">
    <w:name w:val="结束语 字符"/>
    <w:link w:val="27"/>
    <w:qFormat/>
    <w:uiPriority w:val="0"/>
    <w:rPr>
      <w:rFonts w:ascii="宋体" w:hAnsi="宋体"/>
      <w:b/>
      <w:sz w:val="24"/>
      <w:szCs w:val="24"/>
    </w:rPr>
  </w:style>
  <w:style w:type="character" w:customStyle="1" w:styleId="88">
    <w:name w:val="正文文本 字符"/>
    <w:link w:val="2"/>
    <w:qFormat/>
    <w:uiPriority w:val="0"/>
    <w:rPr>
      <w:rFonts w:ascii="Times New Roman" w:hAnsi="Times New Roman" w:eastAsia="宋体" w:cs="Times New Roman"/>
      <w:szCs w:val="24"/>
    </w:rPr>
  </w:style>
  <w:style w:type="character" w:customStyle="1" w:styleId="89">
    <w:name w:val="正文文本首行缩进 字符"/>
    <w:link w:val="58"/>
    <w:qFormat/>
    <w:uiPriority w:val="0"/>
    <w:rPr>
      <w:rFonts w:ascii="宋体"/>
      <w:color w:val="000000"/>
      <w:szCs w:val="32"/>
    </w:rPr>
  </w:style>
  <w:style w:type="character" w:customStyle="1" w:styleId="90">
    <w:name w:val="正文文本缩进 字符"/>
    <w:link w:val="29"/>
    <w:qFormat/>
    <w:uiPriority w:val="99"/>
    <w:rPr>
      <w:rFonts w:ascii="宋体"/>
      <w:color w:val="000000"/>
      <w:sz w:val="32"/>
      <w:szCs w:val="32"/>
    </w:rPr>
  </w:style>
  <w:style w:type="character" w:customStyle="1" w:styleId="91">
    <w:name w:val="纯文本 字符"/>
    <w:link w:val="31"/>
    <w:qFormat/>
    <w:uiPriority w:val="0"/>
    <w:rPr>
      <w:rFonts w:ascii="宋体" w:hAnsi="Courier New" w:cs="Courier New"/>
      <w:szCs w:val="21"/>
    </w:rPr>
  </w:style>
  <w:style w:type="character" w:customStyle="1" w:styleId="92">
    <w:name w:val="日期 字符"/>
    <w:link w:val="36"/>
    <w:qFormat/>
    <w:uiPriority w:val="0"/>
    <w:rPr>
      <w:rFonts w:eastAsia="仿宋_GB2312"/>
      <w:color w:val="000000"/>
      <w:sz w:val="28"/>
      <w:szCs w:val="24"/>
    </w:rPr>
  </w:style>
  <w:style w:type="character" w:customStyle="1" w:styleId="93">
    <w:name w:val="正文文本缩进 2 字符"/>
    <w:link w:val="37"/>
    <w:qFormat/>
    <w:uiPriority w:val="0"/>
    <w:rPr>
      <w:rFonts w:ascii="幼圆" w:eastAsia="幼圆"/>
      <w:color w:val="000000"/>
      <w:sz w:val="30"/>
      <w:szCs w:val="32"/>
    </w:rPr>
  </w:style>
  <w:style w:type="character" w:customStyle="1" w:styleId="94">
    <w:name w:val="尾注文本 字符"/>
    <w:link w:val="38"/>
    <w:qFormat/>
    <w:uiPriority w:val="0"/>
  </w:style>
  <w:style w:type="character" w:customStyle="1" w:styleId="95">
    <w:name w:val="批注框文本 字符"/>
    <w:link w:val="39"/>
    <w:qFormat/>
    <w:uiPriority w:val="0"/>
    <w:rPr>
      <w:sz w:val="18"/>
      <w:szCs w:val="18"/>
    </w:rPr>
  </w:style>
  <w:style w:type="character" w:customStyle="1" w:styleId="96">
    <w:name w:val="页脚 字符"/>
    <w:link w:val="40"/>
    <w:qFormat/>
    <w:uiPriority w:val="99"/>
    <w:rPr>
      <w:rFonts w:ascii="Times New Roman" w:hAnsi="Times New Roman" w:eastAsia="宋体" w:cs="Times New Roman"/>
      <w:sz w:val="18"/>
      <w:szCs w:val="18"/>
    </w:rPr>
  </w:style>
  <w:style w:type="character" w:customStyle="1" w:styleId="97">
    <w:name w:val="页眉 字符"/>
    <w:link w:val="41"/>
    <w:qFormat/>
    <w:uiPriority w:val="99"/>
    <w:rPr>
      <w:rFonts w:ascii="Times New Roman" w:hAnsi="Times New Roman" w:eastAsia="宋体" w:cs="Times New Roman"/>
      <w:sz w:val="18"/>
      <w:szCs w:val="18"/>
    </w:rPr>
  </w:style>
  <w:style w:type="character" w:customStyle="1" w:styleId="98">
    <w:name w:val="副标题 字符"/>
    <w:link w:val="44"/>
    <w:qFormat/>
    <w:uiPriority w:val="0"/>
    <w:rPr>
      <w:rFonts w:ascii="Cambria" w:hAnsi="Cambria"/>
      <w:b/>
      <w:bCs/>
      <w:kern w:val="28"/>
      <w:sz w:val="32"/>
      <w:szCs w:val="32"/>
    </w:rPr>
  </w:style>
  <w:style w:type="character" w:customStyle="1" w:styleId="99">
    <w:name w:val="正文文本缩进 3 字符"/>
    <w:link w:val="48"/>
    <w:qFormat/>
    <w:uiPriority w:val="0"/>
    <w:rPr>
      <w:rFonts w:ascii="幼圆" w:eastAsia="幼圆"/>
      <w:sz w:val="24"/>
      <w:szCs w:val="32"/>
    </w:rPr>
  </w:style>
  <w:style w:type="character" w:customStyle="1" w:styleId="100">
    <w:name w:val="正文文本 2 字符"/>
    <w:link w:val="52"/>
    <w:qFormat/>
    <w:uiPriority w:val="0"/>
    <w:rPr>
      <w:rFonts w:ascii="宋体" w:hAnsi="宋体"/>
      <w:sz w:val="24"/>
      <w:szCs w:val="24"/>
    </w:rPr>
  </w:style>
  <w:style w:type="character" w:customStyle="1" w:styleId="101">
    <w:name w:val="HTML 预设格式 字符"/>
    <w:link w:val="53"/>
    <w:qFormat/>
    <w:uiPriority w:val="99"/>
    <w:rPr>
      <w:rFonts w:ascii="宋体" w:hAnsi="宋体" w:cs="宋体"/>
      <w:sz w:val="24"/>
      <w:szCs w:val="24"/>
    </w:rPr>
  </w:style>
  <w:style w:type="character" w:customStyle="1" w:styleId="102">
    <w:name w:val="标题 字符"/>
    <w:link w:val="56"/>
    <w:qFormat/>
    <w:uiPriority w:val="0"/>
    <w:rPr>
      <w:rFonts w:ascii="Arial" w:hAnsi="Arial"/>
      <w:b/>
      <w:bCs/>
      <w:sz w:val="32"/>
      <w:szCs w:val="32"/>
    </w:rPr>
  </w:style>
  <w:style w:type="character" w:customStyle="1" w:styleId="103">
    <w:name w:val="批注主题 字符"/>
    <w:link w:val="57"/>
    <w:qFormat/>
    <w:uiPriority w:val="0"/>
    <w:rPr>
      <w:b/>
    </w:rPr>
  </w:style>
  <w:style w:type="character" w:customStyle="1" w:styleId="104">
    <w:name w:val="正文文本首行缩进 2 字符"/>
    <w:link w:val="59"/>
    <w:qFormat/>
    <w:uiPriority w:val="0"/>
    <w:rPr>
      <w:rFonts w:ascii="仿宋_GB2312" w:eastAsia="仿宋_GB2312"/>
      <w:sz w:val="24"/>
      <w:szCs w:val="24"/>
    </w:rPr>
  </w:style>
  <w:style w:type="paragraph" w:customStyle="1" w:styleId="105">
    <w:name w:val="标题 5（有编号）（绿盟科技）"/>
    <w:basedOn w:val="1"/>
    <w:next w:val="106"/>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semiHidden/>
    <w:qFormat/>
    <w:uiPriority w:val="99"/>
    <w:rPr>
      <w:rFonts w:ascii="Times New Roman" w:hAnsi="Times New Roman" w:eastAsia="宋体" w:cs="Times New Roman"/>
      <w:szCs w:val="24"/>
    </w:rPr>
  </w:style>
  <w:style w:type="character" w:customStyle="1" w:styleId="108">
    <w:name w:val="批注文字 Char1"/>
    <w:qFormat/>
    <w:uiPriority w:val="0"/>
    <w:rPr>
      <w:rFonts w:ascii="Times New Roman" w:hAnsi="Times New Roman" w:eastAsia="宋体" w:cs="Times New Roman"/>
      <w:szCs w:val="24"/>
    </w:rPr>
  </w:style>
  <w:style w:type="paragraph" w:customStyle="1" w:styleId="109">
    <w:name w:val="Style1"/>
    <w:basedOn w:val="1"/>
    <w:qFormat/>
    <w:uiPriority w:val="0"/>
    <w:pPr>
      <w:widowControl/>
      <w:tabs>
        <w:tab w:val="left" w:pos="-720"/>
      </w:tabs>
    </w:pPr>
    <w:rPr>
      <w:spacing w:val="-3"/>
      <w:kern w:val="0"/>
      <w:sz w:val="24"/>
      <w:szCs w:val="20"/>
      <w:lang w:val="en-AU" w:eastAsia="en-US"/>
    </w:rPr>
  </w:style>
  <w:style w:type="character" w:customStyle="1" w:styleId="110">
    <w:name w:val="页脚 Char1"/>
    <w:semiHidden/>
    <w:qFormat/>
    <w:uiPriority w:val="0"/>
    <w:rPr>
      <w:rFonts w:ascii="Times New Roman" w:hAnsi="Times New Roman" w:eastAsia="宋体" w:cs="Times New Roman"/>
      <w:sz w:val="18"/>
      <w:szCs w:val="18"/>
    </w:rPr>
  </w:style>
  <w:style w:type="character" w:customStyle="1" w:styleId="111">
    <w:name w:val="正文文本缩进 Char2"/>
    <w:qFormat/>
    <w:uiPriority w:val="0"/>
    <w:rPr>
      <w:rFonts w:ascii="宋体"/>
      <w:color w:val="000000"/>
      <w:sz w:val="32"/>
      <w:szCs w:val="32"/>
    </w:rPr>
  </w:style>
  <w:style w:type="character" w:customStyle="1" w:styleId="112">
    <w:name w:val="Table Text Char1"/>
    <w:qFormat/>
    <w:uiPriority w:val="0"/>
    <w:rPr>
      <w:rFonts w:ascii="Arial" w:hAnsi="Arial" w:eastAsia="宋体" w:cs="Arial"/>
      <w:snapToGrid w:val="0"/>
      <w:sz w:val="21"/>
      <w:szCs w:val="21"/>
      <w:lang w:val="en-US" w:eastAsia="zh-CN" w:bidi="ar-SA"/>
    </w:rPr>
  </w:style>
  <w:style w:type="character" w:customStyle="1" w:styleId="113">
    <w:name w:val="正文首行缩进 2 Char"/>
    <w:qFormat/>
    <w:uiPriority w:val="0"/>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B正文 Char"/>
    <w:link w:val="116"/>
    <w:qFormat/>
    <w:locked/>
    <w:uiPriority w:val="0"/>
    <w:rPr>
      <w:rFonts w:ascii="宋体" w:hAnsi="宋体"/>
      <w:sz w:val="24"/>
    </w:rPr>
  </w:style>
  <w:style w:type="paragraph" w:customStyle="1" w:styleId="116">
    <w:name w:val="B正文"/>
    <w:basedOn w:val="1"/>
    <w:link w:val="115"/>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qFormat/>
    <w:uiPriority w:val="0"/>
    <w:rPr>
      <w:rFonts w:hint="eastAsia" w:ascii="宋体" w:hAnsi="宋体" w:eastAsia="宋体" w:cs="宋体"/>
      <w:color w:val="000000"/>
      <w:sz w:val="20"/>
      <w:szCs w:val="20"/>
      <w:u w:val="none"/>
    </w:rPr>
  </w:style>
  <w:style w:type="character" w:customStyle="1" w:styleId="118">
    <w:name w:val="结束语 Char1"/>
    <w:qFormat/>
    <w:uiPriority w:val="0"/>
    <w:rPr>
      <w:kern w:val="2"/>
      <w:sz w:val="21"/>
      <w:szCs w:val="24"/>
    </w:rPr>
  </w:style>
  <w:style w:type="character" w:customStyle="1" w:styleId="119">
    <w:name w:val="常规 Char"/>
    <w:link w:val="120"/>
    <w:qFormat/>
    <w:uiPriority w:val="0"/>
    <w:rPr>
      <w:rFonts w:ascii="Tahoma" w:hAnsi="Tahoma"/>
      <w:color w:val="000000"/>
      <w:sz w:val="28"/>
      <w:szCs w:val="21"/>
    </w:rPr>
  </w:style>
  <w:style w:type="paragraph" w:customStyle="1" w:styleId="120">
    <w:name w:val="常规"/>
    <w:basedOn w:val="1"/>
    <w:link w:val="119"/>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qFormat/>
    <w:uiPriority w:val="0"/>
    <w:rPr>
      <w:rFonts w:hint="default" w:ascii="Times New Roman" w:hAnsi="Times New Roman" w:cs="Times New Roman"/>
      <w:sz w:val="24"/>
      <w:szCs w:val="24"/>
    </w:rPr>
  </w:style>
  <w:style w:type="character" w:customStyle="1" w:styleId="122">
    <w:name w:val="font91"/>
    <w:qFormat/>
    <w:uiPriority w:val="0"/>
    <w:rPr>
      <w:rFonts w:hint="eastAsia" w:ascii="宋体" w:hAnsi="宋体" w:eastAsia="宋体" w:cs="宋体"/>
      <w:color w:val="000000"/>
      <w:sz w:val="20"/>
      <w:szCs w:val="20"/>
      <w:u w:val="none"/>
    </w:rPr>
  </w:style>
  <w:style w:type="character" w:customStyle="1" w:styleId="123">
    <w:name w:val="正文文本缩进 Char1"/>
    <w:qFormat/>
    <w:uiPriority w:val="0"/>
    <w:rPr>
      <w:rFonts w:ascii="楷体_GB2312" w:eastAsia="楷体_GB2312"/>
      <w:kern w:val="2"/>
      <w:sz w:val="28"/>
      <w:szCs w:val="31"/>
    </w:rPr>
  </w:style>
  <w:style w:type="character" w:customStyle="1" w:styleId="124">
    <w:name w:val="Char Char5"/>
    <w:qFormat/>
    <w:uiPriority w:val="0"/>
    <w:rPr>
      <w:rFonts w:ascii="Times New Roman" w:hAnsi="Times New Roman" w:eastAsia="宋体"/>
      <w:sz w:val="18"/>
    </w:rPr>
  </w:style>
  <w:style w:type="character" w:customStyle="1" w:styleId="125">
    <w:name w:val="四级大纲 Char"/>
    <w:link w:val="126"/>
    <w:qFormat/>
    <w:uiPriority w:val="0"/>
    <w:rPr>
      <w:rFonts w:ascii="Calibri" w:hAnsi="Calibri"/>
      <w:b/>
      <w:kern w:val="2"/>
      <w:sz w:val="30"/>
      <w:szCs w:val="22"/>
      <w:lang w:val="en-US" w:eastAsia="zh-CN" w:bidi="ar-SA"/>
    </w:rPr>
  </w:style>
  <w:style w:type="paragraph" w:customStyle="1" w:styleId="126">
    <w:name w:val="四级大纲"/>
    <w:next w:val="127"/>
    <w:link w:val="125"/>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qFormat/>
    <w:uiPriority w:val="0"/>
    <w:pPr>
      <w:spacing w:line="360" w:lineRule="auto"/>
      <w:ind w:firstLine="480" w:firstLineChars="200"/>
      <w:jc w:val="both"/>
    </w:pPr>
    <w:rPr>
      <w:rFonts w:ascii="宋体" w:hAnsi="宋体" w:eastAsia="宋体" w:cs="Times New Roman"/>
      <w:sz w:val="24"/>
      <w:lang w:bidi="ar-SA"/>
    </w:rPr>
  </w:style>
  <w:style w:type="character" w:customStyle="1" w:styleId="128">
    <w:name w:val="正文小四 Char"/>
    <w:link w:val="127"/>
    <w:qFormat/>
    <w:uiPriority w:val="0"/>
    <w:rPr>
      <w:rFonts w:ascii="宋体" w:hAnsi="宋体"/>
      <w:sz w:val="24"/>
      <w:lang w:bidi="ar-SA"/>
    </w:rPr>
  </w:style>
  <w:style w:type="character" w:customStyle="1" w:styleId="129">
    <w:name w:val="Table Text Char"/>
    <w:link w:val="130"/>
    <w:qFormat/>
    <w:uiPriority w:val="0"/>
    <w:rPr>
      <w:rFonts w:ascii="Arial" w:hAnsi="Arial"/>
      <w:kern w:val="2"/>
      <w:sz w:val="18"/>
      <w:szCs w:val="22"/>
      <w:lang w:val="en-US" w:eastAsia="zh-CN" w:bidi="ar-SA"/>
    </w:rPr>
  </w:style>
  <w:style w:type="paragraph" w:customStyle="1" w:styleId="130">
    <w:name w:val="Table Text"/>
    <w:link w:val="129"/>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qFormat/>
    <w:uiPriority w:val="0"/>
    <w:rPr>
      <w:b/>
      <w:bCs/>
      <w:color w:val="194D7C"/>
      <w:spacing w:val="400"/>
      <w:sz w:val="24"/>
      <w:szCs w:val="24"/>
    </w:rPr>
  </w:style>
  <w:style w:type="character" w:customStyle="1" w:styleId="132">
    <w:name w:val="页眉 Char1"/>
    <w:semiHidden/>
    <w:qFormat/>
    <w:uiPriority w:val="99"/>
    <w:rPr>
      <w:rFonts w:ascii="Times New Roman" w:hAnsi="Times New Roman" w:eastAsia="宋体" w:cs="Times New Roman"/>
      <w:sz w:val="18"/>
      <w:szCs w:val="18"/>
    </w:rPr>
  </w:style>
  <w:style w:type="character" w:customStyle="1" w:styleId="133">
    <w:name w:val="尾注文本 Char"/>
    <w:qFormat/>
    <w:uiPriority w:val="0"/>
    <w:rPr>
      <w:rFonts w:ascii="Times New Roman" w:hAnsi="Times New Roman" w:eastAsia="宋体" w:cs="Times New Roman"/>
      <w:szCs w:val="24"/>
    </w:rPr>
  </w:style>
  <w:style w:type="character" w:customStyle="1" w:styleId="134">
    <w:name w:val="纯文本 Char"/>
    <w:qFormat/>
    <w:uiPriority w:val="0"/>
    <w:rPr>
      <w:rFonts w:ascii="宋体" w:hAnsi="Courier New" w:eastAsia="宋体" w:cs="Courier New"/>
      <w:szCs w:val="21"/>
    </w:rPr>
  </w:style>
  <w:style w:type="character" w:customStyle="1" w:styleId="135">
    <w:name w:val="文档正文 Char"/>
    <w:link w:val="136"/>
    <w:qFormat/>
    <w:uiPriority w:val="0"/>
    <w:rPr>
      <w:rFonts w:ascii="Arial" w:eastAsia="长城仿宋"/>
      <w:sz w:val="28"/>
    </w:rPr>
  </w:style>
  <w:style w:type="paragraph" w:customStyle="1" w:styleId="136">
    <w:name w:val="文档正文"/>
    <w:basedOn w:val="1"/>
    <w:link w:val="135"/>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qFormat/>
    <w:uiPriority w:val="0"/>
    <w:rPr>
      <w:rFonts w:ascii="Arial" w:hAnsi="Arial" w:cs="Arial"/>
      <w:vanish/>
      <w:kern w:val="2"/>
      <w:sz w:val="16"/>
      <w:szCs w:val="16"/>
    </w:rPr>
  </w:style>
  <w:style w:type="character" w:customStyle="1" w:styleId="138">
    <w:name w:val="正文缩进 Char1"/>
    <w:qFormat/>
    <w:uiPriority w:val="0"/>
    <w:rPr>
      <w:rFonts w:eastAsia="宋体"/>
      <w:kern w:val="2"/>
      <w:sz w:val="21"/>
      <w:szCs w:val="24"/>
      <w:lang w:val="en-US" w:eastAsia="zh-CN" w:bidi="ar-SA"/>
    </w:rPr>
  </w:style>
  <w:style w:type="character" w:customStyle="1" w:styleId="139">
    <w:name w:val="font41"/>
    <w:qFormat/>
    <w:uiPriority w:val="0"/>
    <w:rPr>
      <w:rFonts w:hint="eastAsia" w:ascii="宋体" w:hAnsi="宋体" w:eastAsia="宋体" w:cs="宋体"/>
      <w:color w:val="000000"/>
      <w:sz w:val="20"/>
      <w:szCs w:val="20"/>
      <w:u w:val="none"/>
    </w:rPr>
  </w:style>
  <w:style w:type="character" w:customStyle="1" w:styleId="140">
    <w:name w:val="font61"/>
    <w:qFormat/>
    <w:uiPriority w:val="0"/>
    <w:rPr>
      <w:rFonts w:hint="default" w:ascii="Times New Roman" w:hAnsi="Times New Roman" w:cs="Times New Roman"/>
      <w:color w:val="000000"/>
      <w:sz w:val="20"/>
      <w:szCs w:val="20"/>
      <w:u w:val="none"/>
    </w:rPr>
  </w:style>
  <w:style w:type="character" w:customStyle="1" w:styleId="141">
    <w:name w:val="标题 Char1"/>
    <w:qFormat/>
    <w:uiPriority w:val="0"/>
    <w:rPr>
      <w:rFonts w:ascii="Cambria" w:hAnsi="Cambria" w:cs="Times New Roman"/>
      <w:b/>
      <w:bCs/>
      <w:kern w:val="2"/>
      <w:sz w:val="32"/>
      <w:szCs w:val="32"/>
    </w:rPr>
  </w:style>
  <w:style w:type="character" w:customStyle="1" w:styleId="142">
    <w:name w:val="正文文本 2 Char"/>
    <w:qFormat/>
    <w:uiPriority w:val="0"/>
    <w:rPr>
      <w:rFonts w:ascii="Times New Roman" w:hAnsi="Times New Roman" w:eastAsia="宋体" w:cs="Times New Roman"/>
      <w:szCs w:val="24"/>
    </w:rPr>
  </w:style>
  <w:style w:type="character" w:customStyle="1" w:styleId="143">
    <w:name w:val="font01"/>
    <w:basedOn w:val="62"/>
    <w:qFormat/>
    <w:uiPriority w:val="0"/>
    <w:rPr>
      <w:rFonts w:hint="eastAsia" w:ascii="宋体" w:hAnsi="宋体" w:eastAsia="宋体" w:cs="宋体"/>
      <w:color w:val="000000"/>
      <w:sz w:val="24"/>
      <w:szCs w:val="24"/>
      <w:u w:val="none"/>
      <w:vertAlign w:val="superscript"/>
    </w:rPr>
  </w:style>
  <w:style w:type="character" w:customStyle="1" w:styleId="144">
    <w:name w:val="3zw1"/>
    <w:qFormat/>
    <w:uiPriority w:val="0"/>
    <w:rPr>
      <w:color w:val="000000"/>
      <w:sz w:val="21"/>
      <w:szCs w:val="21"/>
    </w:rPr>
  </w:style>
  <w:style w:type="character" w:customStyle="1" w:styleId="145">
    <w:name w:val="段 Char"/>
    <w:link w:val="146"/>
    <w:qFormat/>
    <w:locked/>
    <w:uiPriority w:val="0"/>
    <w:rPr>
      <w:rFonts w:ascii="宋体" w:hAnsi="宋体"/>
      <w:kern w:val="2"/>
      <w:sz w:val="21"/>
      <w:szCs w:val="22"/>
      <w:lang w:val="en-US" w:eastAsia="zh-CN" w:bidi="ar-SA"/>
    </w:rPr>
  </w:style>
  <w:style w:type="paragraph" w:customStyle="1" w:styleId="146">
    <w:name w:val="段"/>
    <w:link w:val="145"/>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qFormat/>
    <w:uiPriority w:val="0"/>
    <w:rPr>
      <w:rFonts w:ascii="Times New Roman" w:hAnsi="Times New Roman" w:eastAsia="宋体" w:cs="Times New Roman"/>
      <w:sz w:val="16"/>
      <w:szCs w:val="16"/>
    </w:rPr>
  </w:style>
  <w:style w:type="character" w:customStyle="1" w:styleId="148">
    <w:name w:val="标题 3 Char1"/>
    <w:qFormat/>
    <w:uiPriority w:val="0"/>
    <w:rPr>
      <w:b/>
      <w:bCs/>
      <w:kern w:val="2"/>
      <w:sz w:val="32"/>
      <w:szCs w:val="32"/>
    </w:rPr>
  </w:style>
  <w:style w:type="character" w:customStyle="1" w:styleId="149">
    <w:name w:val="正文文本 Char2"/>
    <w:qFormat/>
    <w:uiPriority w:val="0"/>
    <w:rPr>
      <w:rFonts w:ascii="宋体"/>
      <w:color w:val="000000"/>
      <w:sz w:val="28"/>
      <w:szCs w:val="32"/>
    </w:rPr>
  </w:style>
  <w:style w:type="character" w:customStyle="1" w:styleId="150">
    <w:name w:val="样式 宋体"/>
    <w:qFormat/>
    <w:uiPriority w:val="0"/>
    <w:rPr>
      <w:rFonts w:ascii="宋体" w:hAnsi="宋体" w:eastAsia="宋体"/>
      <w:sz w:val="24"/>
      <w:szCs w:val="24"/>
    </w:rPr>
  </w:style>
  <w:style w:type="character" w:customStyle="1" w:styleId="151">
    <w:name w:val="z-窗体底端 Char"/>
    <w:qFormat/>
    <w:uiPriority w:val="99"/>
    <w:rPr>
      <w:rFonts w:ascii="Arial" w:hAnsi="Arial" w:cs="Arial"/>
      <w:vanish/>
      <w:sz w:val="16"/>
      <w:szCs w:val="16"/>
    </w:rPr>
  </w:style>
  <w:style w:type="character" w:customStyle="1" w:styleId="152">
    <w:name w:val="标题 Char"/>
    <w:qFormat/>
    <w:uiPriority w:val="0"/>
    <w:rPr>
      <w:rFonts w:ascii="Cambria" w:hAnsi="Cambria" w:eastAsia="宋体" w:cs="Times New Roman"/>
      <w:b/>
      <w:bCs/>
      <w:sz w:val="32"/>
      <w:szCs w:val="32"/>
    </w:rPr>
  </w:style>
  <w:style w:type="character" w:customStyle="1" w:styleId="153">
    <w:name w:val="content021"/>
    <w:qFormat/>
    <w:uiPriority w:val="0"/>
    <w:rPr>
      <w:color w:val="444444"/>
      <w:spacing w:val="330"/>
      <w:sz w:val="21"/>
      <w:szCs w:val="21"/>
      <w:u w:val="none"/>
    </w:rPr>
  </w:style>
  <w:style w:type="character" w:customStyle="1" w:styleId="154">
    <w:name w:val="Char Char3"/>
    <w:semiHidden/>
    <w:qFormat/>
    <w:uiPriority w:val="0"/>
    <w:rPr>
      <w:sz w:val="18"/>
      <w:szCs w:val="18"/>
    </w:rPr>
  </w:style>
  <w:style w:type="character" w:customStyle="1" w:styleId="155">
    <w:name w:val="正文文本 Char1"/>
    <w:qFormat/>
    <w:uiPriority w:val="0"/>
    <w:rPr>
      <w:rFonts w:ascii="楷体_GB2312" w:eastAsia="楷体_GB2312"/>
      <w:kern w:val="2"/>
      <w:sz w:val="28"/>
    </w:rPr>
  </w:style>
  <w:style w:type="character" w:customStyle="1" w:styleId="156">
    <w:name w:val="text_12_black1"/>
    <w:qFormat/>
    <w:uiPriority w:val="0"/>
    <w:rPr>
      <w:rFonts w:hint="default" w:ascii="ˎ̥" w:hAnsi="ˎ̥"/>
      <w:color w:val="333333"/>
      <w:sz w:val="18"/>
      <w:szCs w:val="18"/>
      <w:u w:val="none"/>
    </w:rPr>
  </w:style>
  <w:style w:type="character" w:customStyle="1" w:styleId="157">
    <w:name w:val="正文缩进(ALT+Z) Char"/>
    <w:link w:val="158"/>
    <w:qFormat/>
    <w:uiPriority w:val="0"/>
    <w:rPr>
      <w:sz w:val="24"/>
      <w:szCs w:val="24"/>
    </w:rPr>
  </w:style>
  <w:style w:type="paragraph" w:customStyle="1" w:styleId="158">
    <w:name w:val="正文缩进(ALT+Z)"/>
    <w:basedOn w:val="1"/>
    <w:link w:val="157"/>
    <w:qFormat/>
    <w:uiPriority w:val="0"/>
    <w:pPr>
      <w:spacing w:line="360" w:lineRule="auto"/>
      <w:ind w:firstLine="200" w:firstLineChars="200"/>
    </w:pPr>
    <w:rPr>
      <w:kern w:val="0"/>
      <w:sz w:val="24"/>
    </w:rPr>
  </w:style>
  <w:style w:type="character" w:customStyle="1" w:styleId="159">
    <w:name w:val="正文文本 3 Char1"/>
    <w:qFormat/>
    <w:uiPriority w:val="0"/>
    <w:rPr>
      <w:kern w:val="2"/>
      <w:sz w:val="16"/>
      <w:szCs w:val="16"/>
    </w:rPr>
  </w:style>
  <w:style w:type="character" w:customStyle="1" w:styleId="160">
    <w:name w:val="text_12_subject1"/>
    <w:qFormat/>
    <w:uiPriority w:val="0"/>
    <w:rPr>
      <w:rFonts w:hint="default" w:ascii="ˎ̥" w:hAnsi="ˎ̥"/>
      <w:b/>
      <w:bCs/>
      <w:color w:val="006699"/>
      <w:sz w:val="18"/>
      <w:szCs w:val="18"/>
      <w:u w:val="none"/>
    </w:rPr>
  </w:style>
  <w:style w:type="character" w:customStyle="1" w:styleId="161">
    <w:name w:val="z71"/>
    <w:qFormat/>
    <w:uiPriority w:val="0"/>
    <w:rPr>
      <w:spacing w:val="300"/>
      <w:sz w:val="18"/>
      <w:szCs w:val="18"/>
    </w:rPr>
  </w:style>
  <w:style w:type="character" w:customStyle="1" w:styleId="162">
    <w:name w:val="15"/>
    <w:qFormat/>
    <w:uiPriority w:val="0"/>
    <w:rPr>
      <w:rFonts w:hint="default" w:ascii="Times New Roman" w:hAnsi="Times New Roman" w:cs="Times New Roman"/>
      <w:color w:val="0000FF"/>
      <w:u w:val="single"/>
    </w:rPr>
  </w:style>
  <w:style w:type="character" w:customStyle="1" w:styleId="163">
    <w:name w:val="chanpinname"/>
    <w:qFormat/>
    <w:uiPriority w:val="0"/>
  </w:style>
  <w:style w:type="character" w:customStyle="1" w:styleId="164">
    <w:name w:val="结束语 Char"/>
    <w:qFormat/>
    <w:uiPriority w:val="0"/>
    <w:rPr>
      <w:rFonts w:ascii="Times New Roman" w:hAnsi="Times New Roman" w:eastAsia="宋体" w:cs="Times New Roman"/>
      <w:szCs w:val="24"/>
    </w:rPr>
  </w:style>
  <w:style w:type="character" w:customStyle="1" w:styleId="165">
    <w:name w:val="副标题 Char1"/>
    <w:qFormat/>
    <w:uiPriority w:val="0"/>
    <w:rPr>
      <w:rFonts w:ascii="Cambria" w:hAnsi="Cambria" w:cs="Times New Roman"/>
      <w:b/>
      <w:bCs/>
      <w:kern w:val="28"/>
      <w:sz w:val="32"/>
      <w:szCs w:val="32"/>
    </w:rPr>
  </w:style>
  <w:style w:type="character" w:customStyle="1" w:styleId="166">
    <w:name w:val="font31"/>
    <w:basedOn w:val="62"/>
    <w:qFormat/>
    <w:uiPriority w:val="0"/>
    <w:rPr>
      <w:rFonts w:hint="default" w:ascii="Times New Roman" w:hAnsi="Times New Roman" w:cs="Times New Roman"/>
      <w:color w:val="000000"/>
      <w:sz w:val="20"/>
      <w:szCs w:val="20"/>
      <w:u w:val="none"/>
    </w:rPr>
  </w:style>
  <w:style w:type="character" w:customStyle="1" w:styleId="167">
    <w:name w:val="font81"/>
    <w:qFormat/>
    <w:uiPriority w:val="0"/>
    <w:rPr>
      <w:rFonts w:hint="eastAsia" w:ascii="宋体" w:hAnsi="宋体" w:eastAsia="宋体" w:cs="宋体"/>
      <w:color w:val="000000"/>
      <w:sz w:val="20"/>
      <w:szCs w:val="20"/>
      <w:u w:val="none"/>
    </w:rPr>
  </w:style>
  <w:style w:type="character" w:customStyle="1" w:styleId="168">
    <w:name w:val="short_text"/>
    <w:qFormat/>
    <w:uiPriority w:val="0"/>
  </w:style>
  <w:style w:type="character" w:customStyle="1" w:styleId="169">
    <w:name w:val="称呼 Char"/>
    <w:qFormat/>
    <w:uiPriority w:val="0"/>
    <w:rPr>
      <w:rFonts w:ascii="Times New Roman" w:hAnsi="Times New Roman" w:eastAsia="宋体" w:cs="Times New Roman"/>
      <w:szCs w:val="24"/>
    </w:rPr>
  </w:style>
  <w:style w:type="character" w:customStyle="1" w:styleId="170">
    <w:name w:val="txt"/>
    <w:qFormat/>
    <w:uiPriority w:val="0"/>
  </w:style>
  <w:style w:type="character" w:customStyle="1" w:styleId="171">
    <w:name w:val="font71"/>
    <w:qFormat/>
    <w:uiPriority w:val="0"/>
    <w:rPr>
      <w:rFonts w:hint="eastAsia" w:ascii="宋体" w:hAnsi="宋体" w:eastAsia="宋体" w:cs="宋体"/>
      <w:color w:val="000000"/>
      <w:sz w:val="20"/>
      <w:szCs w:val="20"/>
      <w:u w:val="none"/>
    </w:rPr>
  </w:style>
  <w:style w:type="character" w:customStyle="1" w:styleId="172">
    <w:name w:val="文档结构图 Char"/>
    <w:qFormat/>
    <w:uiPriority w:val="99"/>
    <w:rPr>
      <w:rFonts w:ascii="宋体" w:hAnsi="Times New Roman" w:eastAsia="宋体" w:cs="Times New Roman"/>
      <w:sz w:val="18"/>
      <w:szCs w:val="18"/>
    </w:rPr>
  </w:style>
  <w:style w:type="character" w:customStyle="1" w:styleId="173">
    <w:name w:val="hang1"/>
    <w:qFormat/>
    <w:uiPriority w:val="0"/>
  </w:style>
  <w:style w:type="character" w:customStyle="1" w:styleId="174">
    <w:name w:val="悬挂2 Char"/>
    <w:link w:val="175"/>
    <w:qFormat/>
    <w:uiPriority w:val="0"/>
    <w:rPr>
      <w:rFonts w:ascii="Calibri" w:hAnsi="Calibri"/>
      <w:kern w:val="2"/>
      <w:sz w:val="21"/>
      <w:szCs w:val="21"/>
      <w:lang w:val="en-US" w:eastAsia="zh-CN" w:bidi="ar-SA"/>
    </w:rPr>
  </w:style>
  <w:style w:type="paragraph" w:customStyle="1" w:styleId="175">
    <w:name w:val="悬挂2"/>
    <w:link w:val="174"/>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qFormat/>
    <w:uiPriority w:val="0"/>
    <w:rPr>
      <w:color w:val="000000"/>
      <w:spacing w:val="255"/>
      <w:sz w:val="18"/>
      <w:szCs w:val="18"/>
    </w:rPr>
  </w:style>
  <w:style w:type="character" w:customStyle="1" w:styleId="177">
    <w:name w:val="Table Heading Char"/>
    <w:link w:val="178"/>
    <w:qFormat/>
    <w:uiPriority w:val="0"/>
    <w:rPr>
      <w:rFonts w:ascii="Arial" w:hAnsi="Arial" w:eastAsia="黑体" w:cs="Book Antiqua"/>
      <w:bCs/>
      <w:snapToGrid w:val="0"/>
      <w:szCs w:val="21"/>
    </w:rPr>
  </w:style>
  <w:style w:type="paragraph" w:customStyle="1" w:styleId="178">
    <w:name w:val="Table Heading"/>
    <w:basedOn w:val="1"/>
    <w:link w:val="177"/>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qFormat/>
    <w:uiPriority w:val="0"/>
    <w:rPr>
      <w:rFonts w:ascii="Calibri" w:hAnsi="Calibri"/>
      <w:kern w:val="2"/>
      <w:sz w:val="21"/>
      <w:szCs w:val="21"/>
      <w:lang w:val="en-US" w:eastAsia="zh-CN" w:bidi="ar-SA"/>
    </w:rPr>
  </w:style>
  <w:style w:type="paragraph" w:customStyle="1" w:styleId="180">
    <w:name w:val="悬挂1"/>
    <w:link w:val="179"/>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qFormat/>
    <w:uiPriority w:val="0"/>
    <w:rPr>
      <w:rFonts w:hint="default" w:ascii="ˎ̥" w:hAnsi="ˎ̥"/>
      <w:color w:val="000000"/>
      <w:sz w:val="15"/>
      <w:szCs w:val="15"/>
      <w:u w:val="none"/>
    </w:rPr>
  </w:style>
  <w:style w:type="character" w:customStyle="1" w:styleId="182">
    <w:name w:val="ca-231"/>
    <w:qFormat/>
    <w:uiPriority w:val="0"/>
    <w:rPr>
      <w:rFonts w:hint="eastAsia" w:ascii="宋体" w:hAnsi="宋体" w:eastAsia="宋体"/>
      <w:sz w:val="24"/>
      <w:szCs w:val="24"/>
    </w:rPr>
  </w:style>
  <w:style w:type="character" w:customStyle="1" w:styleId="183">
    <w:name w:val="未处理的提及1"/>
    <w:unhideWhenUsed/>
    <w:qFormat/>
    <w:uiPriority w:val="99"/>
    <w:rPr>
      <w:color w:val="605E5C"/>
      <w:shd w:val="clear" w:color="auto" w:fill="E1DFDD"/>
    </w:rPr>
  </w:style>
  <w:style w:type="character" w:customStyle="1" w:styleId="184">
    <w:name w:val="无间隔 Char"/>
    <w:link w:val="185"/>
    <w:qFormat/>
    <w:locked/>
    <w:uiPriority w:val="0"/>
    <w:rPr>
      <w:rFonts w:ascii="Calibri" w:hAnsi="Calibri"/>
    </w:rPr>
  </w:style>
  <w:style w:type="paragraph" w:customStyle="1" w:styleId="185">
    <w:name w:val="No Spacing"/>
    <w:basedOn w:val="1"/>
    <w:link w:val="184"/>
    <w:qFormat/>
    <w:uiPriority w:val="0"/>
    <w:rPr>
      <w:rFonts w:ascii="Calibri" w:hAnsi="Calibri"/>
      <w:kern w:val="0"/>
      <w:sz w:val="20"/>
      <w:szCs w:val="20"/>
    </w:rPr>
  </w:style>
  <w:style w:type="character" w:customStyle="1" w:styleId="186">
    <w:name w:val="正文2级 Char"/>
    <w:link w:val="187"/>
    <w:qFormat/>
    <w:uiPriority w:val="0"/>
    <w:rPr>
      <w:rFonts w:ascii="Calibri" w:hAnsi="Calibri"/>
      <w:bCs/>
      <w:kern w:val="44"/>
      <w:sz w:val="24"/>
      <w:szCs w:val="44"/>
      <w:lang w:val="en-US" w:eastAsia="zh-CN" w:bidi="ar-SA"/>
    </w:rPr>
  </w:style>
  <w:style w:type="paragraph" w:customStyle="1" w:styleId="187">
    <w:name w:val="正文2级"/>
    <w:link w:val="186"/>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semiHidden/>
    <w:qFormat/>
    <w:uiPriority w:val="99"/>
    <w:rPr>
      <w:rFonts w:ascii="Times New Roman" w:hAnsi="Times New Roman" w:eastAsia="宋体" w:cs="Times New Roman"/>
      <w:sz w:val="18"/>
      <w:szCs w:val="18"/>
    </w:rPr>
  </w:style>
  <w:style w:type="character" w:customStyle="1" w:styleId="189">
    <w:name w:val="prod_content_font_011"/>
    <w:qFormat/>
    <w:uiPriority w:val="0"/>
    <w:rPr>
      <w:rFonts w:hint="default" w:ascii="Verdana" w:hAnsi="Verdana"/>
      <w:color w:val="5E5E5E"/>
      <w:sz w:val="17"/>
      <w:szCs w:val="17"/>
    </w:rPr>
  </w:style>
  <w:style w:type="character" w:customStyle="1" w:styleId="190">
    <w:name w:val="普通 (Web) Char"/>
    <w:link w:val="191"/>
    <w:qFormat/>
    <w:uiPriority w:val="99"/>
    <w:rPr>
      <w:rFonts w:ascii="宋体" w:hAnsi="宋体"/>
      <w:sz w:val="24"/>
      <w:szCs w:val="24"/>
    </w:rPr>
  </w:style>
  <w:style w:type="paragraph" w:customStyle="1" w:styleId="191">
    <w:name w:val="普通 (Web)"/>
    <w:basedOn w:val="1"/>
    <w:link w:val="190"/>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qFormat/>
    <w:uiPriority w:val="99"/>
    <w:rPr>
      <w:kern w:val="2"/>
      <w:sz w:val="21"/>
      <w:szCs w:val="24"/>
    </w:rPr>
  </w:style>
  <w:style w:type="character" w:customStyle="1" w:styleId="193">
    <w:name w:val="正文首行缩进 2 Char1"/>
    <w:qFormat/>
    <w:uiPriority w:val="0"/>
  </w:style>
  <w:style w:type="character" w:customStyle="1" w:styleId="194">
    <w:name w:val="表格标题(居中) Char"/>
    <w:link w:val="195"/>
    <w:qFormat/>
    <w:uiPriority w:val="0"/>
    <w:rPr>
      <w:rFonts w:eastAsia="黑体"/>
      <w:sz w:val="24"/>
    </w:rPr>
  </w:style>
  <w:style w:type="paragraph" w:customStyle="1" w:styleId="195">
    <w:name w:val="表格标题(居中)"/>
    <w:basedOn w:val="1"/>
    <w:link w:val="194"/>
    <w:qFormat/>
    <w:uiPriority w:val="0"/>
    <w:pPr>
      <w:snapToGrid w:val="0"/>
      <w:spacing w:line="300" w:lineRule="auto"/>
      <w:jc w:val="center"/>
    </w:pPr>
    <w:rPr>
      <w:rFonts w:eastAsia="黑体"/>
      <w:kern w:val="0"/>
      <w:sz w:val="24"/>
      <w:szCs w:val="20"/>
    </w:rPr>
  </w:style>
  <w:style w:type="character" w:customStyle="1" w:styleId="196">
    <w:name w:val="副标题 Char"/>
    <w:qFormat/>
    <w:uiPriority w:val="0"/>
    <w:rPr>
      <w:rFonts w:ascii="Cambria" w:hAnsi="Cambria" w:eastAsia="宋体" w:cs="Times New Roman"/>
      <w:b/>
      <w:bCs/>
      <w:kern w:val="28"/>
      <w:sz w:val="32"/>
      <w:szCs w:val="32"/>
    </w:rPr>
  </w:style>
  <w:style w:type="character" w:customStyle="1" w:styleId="197">
    <w:name w:val="Figure Text Char"/>
    <w:link w:val="198"/>
    <w:qFormat/>
    <w:uiPriority w:val="0"/>
    <w:rPr>
      <w:rFonts w:ascii="Arial" w:hAnsi="Arial" w:cs="Arial"/>
      <w:kern w:val="2"/>
      <w:sz w:val="18"/>
      <w:szCs w:val="18"/>
      <w:lang w:val="en-US" w:eastAsia="en-US" w:bidi="ar-SA"/>
    </w:rPr>
  </w:style>
  <w:style w:type="paragraph" w:customStyle="1" w:styleId="198">
    <w:name w:val="Figure Text"/>
    <w:link w:val="197"/>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qFormat/>
    <w:uiPriority w:val="0"/>
    <w:rPr>
      <w:rFonts w:ascii="Times New Roman" w:hAnsi="Times New Roman" w:eastAsia="宋体" w:cs="Times New Roman"/>
      <w:sz w:val="18"/>
      <w:szCs w:val="18"/>
    </w:rPr>
  </w:style>
  <w:style w:type="character" w:customStyle="1" w:styleId="200">
    <w:name w:val="日期 Char"/>
    <w:qFormat/>
    <w:uiPriority w:val="0"/>
    <w:rPr>
      <w:rFonts w:ascii="Times New Roman" w:hAnsi="Times New Roman" w:eastAsia="宋体" w:cs="Times New Roman"/>
      <w:szCs w:val="24"/>
    </w:rPr>
  </w:style>
  <w:style w:type="character" w:customStyle="1" w:styleId="201">
    <w:name w:val="contentheaderrev1"/>
    <w:qFormat/>
    <w:uiPriority w:val="0"/>
    <w:rPr>
      <w:rFonts w:hint="default" w:ascii="Arial" w:hAnsi="Arial" w:cs="Arial"/>
      <w:b/>
      <w:bCs/>
      <w:color w:val="FFFFFF"/>
      <w:sz w:val="18"/>
      <w:szCs w:val="18"/>
      <w:u w:val="none"/>
    </w:rPr>
  </w:style>
  <w:style w:type="character" w:customStyle="1" w:styleId="202">
    <w:name w:val="批注框文本 Char1"/>
    <w:qFormat/>
    <w:locked/>
    <w:uiPriority w:val="0"/>
    <w:rPr>
      <w:sz w:val="18"/>
      <w:szCs w:val="18"/>
    </w:rPr>
  </w:style>
  <w:style w:type="character" w:customStyle="1" w:styleId="203">
    <w:name w:val="font21"/>
    <w:basedOn w:val="62"/>
    <w:qFormat/>
    <w:uiPriority w:val="0"/>
    <w:rPr>
      <w:rFonts w:hint="eastAsia" w:ascii="宋体" w:hAnsi="宋体" w:eastAsia="宋体" w:cs="宋体"/>
      <w:color w:val="000000"/>
      <w:sz w:val="24"/>
      <w:szCs w:val="24"/>
      <w:u w:val="none"/>
    </w:rPr>
  </w:style>
  <w:style w:type="character" w:customStyle="1" w:styleId="204">
    <w:name w:val="缩进 Char"/>
    <w:link w:val="205"/>
    <w:qFormat/>
    <w:uiPriority w:val="0"/>
    <w:rPr>
      <w:rFonts w:ascii="Calibri" w:hAnsi="Calibri"/>
      <w:color w:val="0000FF"/>
      <w:kern w:val="2"/>
      <w:sz w:val="21"/>
      <w:szCs w:val="18"/>
      <w:lang w:val="en-US" w:eastAsia="zh-CN" w:bidi="ar-SA"/>
    </w:rPr>
  </w:style>
  <w:style w:type="paragraph" w:customStyle="1" w:styleId="205">
    <w:name w:val="缩进"/>
    <w:link w:val="204"/>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qFormat/>
    <w:uiPriority w:val="0"/>
    <w:rPr>
      <w:rFonts w:ascii="Calibri" w:hAnsi="Calibri"/>
      <w:color w:val="0000FF"/>
      <w:kern w:val="2"/>
      <w:sz w:val="18"/>
      <w:szCs w:val="18"/>
      <w:lang w:val="en-US" w:eastAsia="zh-CN" w:bidi="ar-SA"/>
    </w:rPr>
  </w:style>
  <w:style w:type="paragraph" w:customStyle="1" w:styleId="207">
    <w:name w:val="表中左小5"/>
    <w:link w:val="206"/>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qFormat/>
    <w:uiPriority w:val="99"/>
    <w:rPr>
      <w:rFonts w:ascii="Courier New" w:hAnsi="Courier New" w:eastAsia="宋体" w:cs="Courier New"/>
      <w:sz w:val="20"/>
      <w:szCs w:val="20"/>
    </w:rPr>
  </w:style>
  <w:style w:type="character" w:customStyle="1" w:styleId="209">
    <w:name w:val="hei12"/>
    <w:qFormat/>
    <w:uiPriority w:val="0"/>
  </w:style>
  <w:style w:type="character" w:customStyle="1" w:styleId="210">
    <w:name w:val="首行缩进 Char Char1"/>
    <w:link w:val="211"/>
    <w:qFormat/>
    <w:locked/>
    <w:uiPriority w:val="0"/>
    <w:rPr>
      <w:sz w:val="24"/>
      <w:szCs w:val="24"/>
    </w:rPr>
  </w:style>
  <w:style w:type="paragraph" w:customStyle="1" w:styleId="211">
    <w:name w:val="首行缩进 Char"/>
    <w:basedOn w:val="1"/>
    <w:next w:val="17"/>
    <w:link w:val="210"/>
    <w:qFormat/>
    <w:uiPriority w:val="0"/>
    <w:pPr>
      <w:spacing w:line="300" w:lineRule="auto"/>
      <w:ind w:firstLine="420"/>
    </w:pPr>
    <w:rPr>
      <w:kern w:val="0"/>
      <w:sz w:val="24"/>
    </w:rPr>
  </w:style>
  <w:style w:type="character" w:customStyle="1" w:styleId="212">
    <w:name w:val="正文首行缩进 Char"/>
    <w:qFormat/>
    <w:uiPriority w:val="0"/>
  </w:style>
  <w:style w:type="character" w:customStyle="1" w:styleId="213">
    <w:name w:val="ca-121"/>
    <w:qFormat/>
    <w:uiPriority w:val="0"/>
    <w:rPr>
      <w:rFonts w:hint="eastAsia" w:ascii="宋体" w:hAnsi="宋体" w:eastAsia="宋体"/>
      <w:sz w:val="21"/>
      <w:szCs w:val="21"/>
    </w:rPr>
  </w:style>
  <w:style w:type="character" w:customStyle="1" w:styleId="214">
    <w:name w:val="批注主题 Char"/>
    <w:qFormat/>
    <w:uiPriority w:val="0"/>
    <w:rPr>
      <w:b/>
      <w:bCs/>
    </w:rPr>
  </w:style>
  <w:style w:type="character" w:customStyle="1" w:styleId="215">
    <w:name w:val="abcde1"/>
    <w:qFormat/>
    <w:uiPriority w:val="0"/>
    <w:rPr>
      <w:spacing w:val="400"/>
      <w:sz w:val="26"/>
      <w:szCs w:val="26"/>
    </w:rPr>
  </w:style>
  <w:style w:type="character" w:customStyle="1" w:styleId="21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qFormat/>
    <w:uiPriority w:val="0"/>
    <w:rPr>
      <w:rFonts w:hint="eastAsia" w:ascii="宋体" w:hAnsi="宋体" w:eastAsia="宋体" w:cs="宋体"/>
      <w:color w:val="000000"/>
      <w:sz w:val="20"/>
      <w:szCs w:val="20"/>
      <w:u w:val="none"/>
    </w:rPr>
  </w:style>
  <w:style w:type="character" w:customStyle="1" w:styleId="218">
    <w:name w:val="样式 目录 2 + 宋体 Char"/>
    <w:link w:val="219"/>
    <w:qFormat/>
    <w:uiPriority w:val="0"/>
    <w:rPr>
      <w:rFonts w:ascii="宋体" w:hAnsi="宋体"/>
      <w:sz w:val="28"/>
    </w:rPr>
  </w:style>
  <w:style w:type="paragraph" w:customStyle="1" w:styleId="219">
    <w:name w:val="样式 目录 2 + 宋体"/>
    <w:basedOn w:val="2"/>
    <w:next w:val="2"/>
    <w:link w:val="218"/>
    <w:qFormat/>
    <w:uiPriority w:val="0"/>
    <w:rPr>
      <w:rFonts w:ascii="宋体" w:hAnsi="宋体"/>
      <w:kern w:val="0"/>
      <w:sz w:val="28"/>
      <w:szCs w:val="20"/>
    </w:rPr>
  </w:style>
  <w:style w:type="character" w:customStyle="1" w:styleId="220">
    <w:name w:val="未处理的提及2"/>
    <w:unhideWhenUsed/>
    <w:qFormat/>
    <w:uiPriority w:val="99"/>
    <w:rPr>
      <w:color w:val="605E5C"/>
      <w:shd w:val="clear" w:color="auto" w:fill="E1DFDD"/>
    </w:rPr>
  </w:style>
  <w:style w:type="character" w:customStyle="1" w:styleId="221">
    <w:name w:val="ca-131"/>
    <w:qFormat/>
    <w:uiPriority w:val="0"/>
    <w:rPr>
      <w:rFonts w:hint="default" w:ascii="Times New Roman" w:hAnsi="Times New Roman" w:cs="Times New Roman"/>
      <w:sz w:val="21"/>
      <w:szCs w:val="21"/>
    </w:rPr>
  </w:style>
  <w:style w:type="character" w:customStyle="1" w:styleId="222">
    <w:name w:val="页脚 Char2"/>
    <w:semiHidden/>
    <w:qFormat/>
    <w:uiPriority w:val="99"/>
    <w:rPr>
      <w:rFonts w:ascii="Times New Roman" w:hAnsi="Times New Roman" w:eastAsia="宋体" w:cs="Times New Roman"/>
      <w:sz w:val="18"/>
      <w:szCs w:val="18"/>
    </w:rPr>
  </w:style>
  <w:style w:type="character" w:customStyle="1" w:styleId="223">
    <w:name w:val="悬挂22 Char"/>
    <w:link w:val="224"/>
    <w:qFormat/>
    <w:uiPriority w:val="0"/>
    <w:rPr>
      <w:rFonts w:ascii="Calibri" w:hAnsi="Calibri"/>
      <w:color w:val="FF0000"/>
      <w:kern w:val="2"/>
      <w:sz w:val="21"/>
      <w:szCs w:val="28"/>
      <w:lang w:val="en-US" w:eastAsia="zh-CN" w:bidi="ar-SA"/>
    </w:rPr>
  </w:style>
  <w:style w:type="paragraph" w:customStyle="1" w:styleId="224">
    <w:name w:val="悬挂22"/>
    <w:link w:val="223"/>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qFormat/>
    <w:uiPriority w:val="99"/>
    <w:rPr>
      <w:rFonts w:ascii="Arial" w:hAnsi="Arial" w:cs="Arial"/>
      <w:vanish/>
      <w:sz w:val="16"/>
      <w:szCs w:val="16"/>
    </w:rPr>
  </w:style>
  <w:style w:type="paragraph" w:customStyle="1" w:styleId="226">
    <w:name w:val="z-窗体底端1"/>
    <w:basedOn w:val="1"/>
    <w:next w:val="1"/>
    <w:link w:val="225"/>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qFormat/>
    <w:uiPriority w:val="0"/>
  </w:style>
  <w:style w:type="character" w:customStyle="1" w:styleId="228">
    <w:name w:val="段 Char Char"/>
    <w:qFormat/>
    <w:uiPriority w:val="0"/>
    <w:rPr>
      <w:rFonts w:ascii="宋体"/>
      <w:sz w:val="21"/>
      <w:lang w:val="en-US" w:eastAsia="zh-CN" w:bidi="ar-SA"/>
    </w:rPr>
  </w:style>
  <w:style w:type="character" w:customStyle="1" w:styleId="229">
    <w:name w:val="unnamed11"/>
    <w:qFormat/>
    <w:uiPriority w:val="0"/>
    <w:rPr>
      <w:sz w:val="20"/>
      <w:szCs w:val="20"/>
    </w:rPr>
  </w:style>
  <w:style w:type="character" w:customStyle="1" w:styleId="230">
    <w:name w:val="param-name"/>
    <w:qFormat/>
    <w:uiPriority w:val="0"/>
  </w:style>
  <w:style w:type="character" w:customStyle="1" w:styleId="231">
    <w:name w:val="正文文本 3 Char"/>
    <w:qFormat/>
    <w:uiPriority w:val="0"/>
    <w:rPr>
      <w:rFonts w:ascii="Times New Roman" w:hAnsi="Times New Roman" w:eastAsia="宋体" w:cs="Times New Roman"/>
      <w:sz w:val="16"/>
      <w:szCs w:val="16"/>
    </w:rPr>
  </w:style>
  <w:style w:type="character" w:customStyle="1" w:styleId="232">
    <w:name w:val="正文缩进2格 Char"/>
    <w:link w:val="233"/>
    <w:qFormat/>
    <w:uiPriority w:val="0"/>
    <w:rPr>
      <w:rFonts w:ascii="仿宋_GB2312" w:hAnsi="宋体" w:eastAsia="仿宋_GB2312"/>
      <w:sz w:val="31"/>
    </w:rPr>
  </w:style>
  <w:style w:type="paragraph" w:customStyle="1" w:styleId="233">
    <w:name w:val="正文缩进2格"/>
    <w:basedOn w:val="1"/>
    <w:link w:val="232"/>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qFormat/>
    <w:uiPriority w:val="0"/>
  </w:style>
  <w:style w:type="character" w:customStyle="1" w:styleId="235">
    <w:name w:val="正文新 Char"/>
    <w:link w:val="236"/>
    <w:qFormat/>
    <w:uiPriority w:val="0"/>
    <w:rPr>
      <w:rFonts w:ascii="宋体" w:hAnsi="宋体"/>
      <w:sz w:val="28"/>
    </w:rPr>
  </w:style>
  <w:style w:type="paragraph" w:customStyle="1" w:styleId="236">
    <w:name w:val="正文新"/>
    <w:basedOn w:val="1"/>
    <w:link w:val="235"/>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semiHidden/>
    <w:qFormat/>
    <w:uiPriority w:val="0"/>
    <w:rPr>
      <w:rFonts w:ascii="Courier New" w:hAnsi="Courier New" w:eastAsia="宋体" w:cs="Courier New"/>
      <w:sz w:val="20"/>
      <w:szCs w:val="20"/>
    </w:rPr>
  </w:style>
  <w:style w:type="character" w:customStyle="1" w:styleId="238">
    <w:name w:val="Table Description Char Char"/>
    <w:link w:val="239"/>
    <w:qFormat/>
    <w:uiPriority w:val="0"/>
    <w:rPr>
      <w:rFonts w:ascii="Arial" w:hAnsi="Arial" w:eastAsia="黑体"/>
      <w:kern w:val="2"/>
      <w:sz w:val="18"/>
      <w:szCs w:val="22"/>
      <w:lang w:val="en-US" w:eastAsia="zh-CN" w:bidi="ar-SA"/>
    </w:rPr>
  </w:style>
  <w:style w:type="paragraph" w:customStyle="1" w:styleId="239">
    <w:name w:val="Table Description"/>
    <w:next w:val="1"/>
    <w:link w:val="238"/>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qFormat/>
    <w:uiPriority w:val="0"/>
    <w:rPr>
      <w:rFonts w:ascii="Arial" w:hAnsi="Arial"/>
      <w:kern w:val="2"/>
      <w:sz w:val="18"/>
      <w:szCs w:val="21"/>
      <w:lang w:val="en-US" w:eastAsia="zh-CN" w:bidi="ar-SA"/>
    </w:rPr>
  </w:style>
  <w:style w:type="paragraph" w:customStyle="1" w:styleId="241">
    <w:name w:val="表格非标题文字"/>
    <w:link w:val="240"/>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qFormat/>
    <w:uiPriority w:val="0"/>
    <w:rPr>
      <w:rFonts w:ascii="宋体" w:hAnsi="Courier New" w:cs="Courier New"/>
      <w:kern w:val="2"/>
      <w:sz w:val="21"/>
      <w:szCs w:val="21"/>
    </w:rPr>
  </w:style>
  <w:style w:type="character" w:customStyle="1" w:styleId="243">
    <w:name w:val="正文文本缩进 2 Char"/>
    <w:qFormat/>
    <w:uiPriority w:val="0"/>
    <w:rPr>
      <w:rFonts w:ascii="Times New Roman" w:hAnsi="Times New Roman" w:eastAsia="宋体" w:cs="Times New Roman"/>
      <w:szCs w:val="24"/>
    </w:rPr>
  </w:style>
  <w:style w:type="paragraph" w:customStyle="1" w:styleId="244">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1"/>
    <w:qFormat/>
    <w:uiPriority w:val="0"/>
    <w:rPr>
      <w:rFonts w:ascii="Tahoma" w:hAnsi="Tahoma"/>
      <w:sz w:val="24"/>
    </w:rPr>
  </w:style>
  <w:style w:type="paragraph" w:customStyle="1" w:styleId="246">
    <w:name w:val="xl2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7"/>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49">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qFormat/>
    <w:uiPriority w:val="0"/>
    <w:pPr>
      <w:spacing w:beforeLines="0" w:afterLines="0"/>
    </w:pPr>
    <w:rPr>
      <w:rFonts w:ascii="宋体" w:eastAsia="宋体"/>
    </w:rPr>
  </w:style>
  <w:style w:type="paragraph" w:customStyle="1" w:styleId="253">
    <w:name w:val="三级条标题"/>
    <w:basedOn w:val="254"/>
    <w:next w:val="1"/>
    <w:qFormat/>
    <w:uiPriority w:val="0"/>
    <w:pPr>
      <w:outlineLvl w:val="4"/>
    </w:pPr>
  </w:style>
  <w:style w:type="paragraph" w:customStyle="1" w:styleId="254">
    <w:name w:val="二级条标题"/>
    <w:basedOn w:val="255"/>
    <w:next w:val="1"/>
    <w:qFormat/>
    <w:uiPriority w:val="0"/>
    <w:pPr>
      <w:outlineLvl w:val="3"/>
    </w:pPr>
  </w:style>
  <w:style w:type="paragraph" w:customStyle="1" w:styleId="255">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qFormat/>
    <w:uiPriority w:val="0"/>
    <w:pPr>
      <w:spacing w:beforeLines="50" w:afterLines="50" w:line="300" w:lineRule="exact"/>
    </w:pPr>
    <w:rPr>
      <w:b/>
      <w:bCs/>
    </w:rPr>
  </w:style>
  <w:style w:type="paragraph" w:customStyle="1" w:styleId="262">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qFormat/>
    <w:uiPriority w:val="0"/>
    <w:pPr>
      <w:spacing w:after="115"/>
    </w:pPr>
    <w:rPr>
      <w:rFonts w:ascii=".a..DD.." w:eastAsia=".a..DD.."/>
      <w:color w:val="auto"/>
      <w:szCs w:val="24"/>
    </w:rPr>
  </w:style>
  <w:style w:type="paragraph" w:customStyle="1" w:styleId="26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3"/>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qFormat/>
    <w:uiPriority w:val="0"/>
    <w:pPr>
      <w:adjustRightInd w:val="0"/>
      <w:spacing w:line="240" w:lineRule="exact"/>
      <w:textAlignment w:val="baseline"/>
    </w:pPr>
    <w:rPr>
      <w:rFonts w:ascii="宋体"/>
      <w:kern w:val="0"/>
      <w:sz w:val="18"/>
      <w:szCs w:val="20"/>
    </w:rPr>
  </w:style>
  <w:style w:type="paragraph" w:customStyle="1" w:styleId="272">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3"/>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unhideWhenUsed/>
    <w:qFormat/>
    <w:uiPriority w:val="37"/>
    <w:pPr>
      <w:spacing w:line="360" w:lineRule="auto"/>
      <w:ind w:firstLine="200" w:firstLineChars="200"/>
      <w:jc w:val="left"/>
    </w:pPr>
    <w:rPr>
      <w:sz w:val="24"/>
    </w:rPr>
  </w:style>
  <w:style w:type="paragraph" w:customStyle="1" w:styleId="282">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qFormat/>
    <w:uiPriority w:val="0"/>
    <w:pPr>
      <w:numPr>
        <w:ilvl w:val="0"/>
        <w:numId w:val="4"/>
      </w:numPr>
      <w:spacing w:line="360" w:lineRule="auto"/>
    </w:pPr>
    <w:rPr>
      <w:sz w:val="24"/>
    </w:rPr>
  </w:style>
  <w:style w:type="paragraph" w:customStyle="1" w:styleId="2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qFormat/>
    <w:uiPriority w:val="0"/>
    <w:pPr>
      <w:tabs>
        <w:tab w:val="left" w:pos="840"/>
      </w:tabs>
    </w:pPr>
  </w:style>
  <w:style w:type="paragraph" w:customStyle="1" w:styleId="290">
    <w:name w:val="项目编号1级"/>
    <w:basedOn w:val="291"/>
    <w:qFormat/>
    <w:uiPriority w:val="0"/>
    <w:pPr>
      <w:tabs>
        <w:tab w:val="left" w:pos="840"/>
      </w:tabs>
      <w:ind w:left="840" w:hanging="420" w:firstLineChars="0"/>
    </w:pPr>
  </w:style>
  <w:style w:type="paragraph" w:customStyle="1" w:styleId="291">
    <w:name w:val="正文缩进2"/>
    <w:basedOn w:val="1"/>
    <w:qFormat/>
    <w:uiPriority w:val="0"/>
    <w:pPr>
      <w:spacing w:line="360" w:lineRule="auto"/>
      <w:ind w:firstLine="200" w:firstLineChars="200"/>
    </w:pPr>
  </w:style>
  <w:style w:type="paragraph" w:customStyle="1" w:styleId="292">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4"/>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2">
    <w:name w:val="样式 标题 4Alt+4项h4H41.1.1.1 Heading 4Heading FourHead44bul...1"/>
    <w:basedOn w:val="6"/>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3"/>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qFormat/>
    <w:uiPriority w:val="0"/>
    <w:pPr>
      <w:jc w:val="center"/>
    </w:pPr>
    <w:rPr>
      <w:rFonts w:cs="Arial Unicode MS"/>
      <w:kern w:val="0"/>
      <w:szCs w:val="21"/>
    </w:rPr>
  </w:style>
  <w:style w:type="paragraph" w:customStyle="1" w:styleId="3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qFormat/>
    <w:uiPriority w:val="0"/>
    <w:pPr>
      <w:tabs>
        <w:tab w:val="left" w:pos="1259"/>
      </w:tabs>
      <w:ind w:left="600" w:leftChars="600"/>
    </w:pPr>
  </w:style>
  <w:style w:type="paragraph" w:customStyle="1" w:styleId="311">
    <w:name w:val="正文悬挂缩进4"/>
    <w:basedOn w:val="1"/>
    <w:qFormat/>
    <w:uiPriority w:val="0"/>
    <w:pPr>
      <w:spacing w:line="360" w:lineRule="auto"/>
      <w:ind w:left="839"/>
    </w:pPr>
  </w:style>
  <w:style w:type="paragraph" w:customStyle="1" w:styleId="312">
    <w:name w:val="xl2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4"/>
    <w:qFormat/>
    <w:uiPriority w:val="0"/>
    <w:pPr>
      <w:tabs>
        <w:tab w:val="left" w:pos="1320"/>
      </w:tabs>
      <w:spacing w:beforeLines="50" w:afterLines="50" w:line="360" w:lineRule="auto"/>
      <w:jc w:val="left"/>
    </w:pPr>
    <w:rPr>
      <w:rFonts w:cs="宋体"/>
      <w:b w:val="0"/>
      <w:kern w:val="0"/>
      <w:szCs w:val="20"/>
    </w:rPr>
  </w:style>
  <w:style w:type="paragraph" w:customStyle="1" w:styleId="318">
    <w:name w:val="Char Char Char"/>
    <w:basedOn w:val="1"/>
    <w:qFormat/>
    <w:uiPriority w:val="0"/>
    <w:rPr>
      <w:rFonts w:ascii="Tahoma" w:hAnsi="Tahoma" w:cs="Angsana New"/>
      <w:sz w:val="24"/>
      <w:szCs w:val="20"/>
    </w:rPr>
  </w:style>
  <w:style w:type="paragraph" w:customStyle="1" w:styleId="319">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5"/>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2">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8"/>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qFormat/>
    <w:uiPriority w:val="0"/>
    <w:pPr>
      <w:jc w:val="left"/>
    </w:pPr>
    <w:rPr>
      <w:rFonts w:ascii="Tahoma" w:hAnsi="Tahoma"/>
      <w:sz w:val="24"/>
      <w:szCs w:val="20"/>
    </w:rPr>
  </w:style>
  <w:style w:type="paragraph" w:customStyle="1" w:styleId="335">
    <w:name w:val="GP正文(首行缩进)"/>
    <w:basedOn w:val="1"/>
    <w:qFormat/>
    <w:uiPriority w:val="0"/>
    <w:pPr>
      <w:spacing w:line="360" w:lineRule="auto"/>
      <w:ind w:firstLine="200" w:firstLineChars="200"/>
      <w:jc w:val="left"/>
    </w:pPr>
    <w:rPr>
      <w:sz w:val="24"/>
      <w:szCs w:val="21"/>
    </w:rPr>
  </w:style>
  <w:style w:type="paragraph" w:customStyle="1" w:styleId="336">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qFormat/>
    <w:uiPriority w:val="0"/>
    <w:pPr>
      <w:adjustRightInd w:val="0"/>
      <w:snapToGrid w:val="0"/>
      <w:spacing w:before="60" w:after="60"/>
      <w:ind w:left="11"/>
      <w:jc w:val="center"/>
    </w:pPr>
    <w:rPr>
      <w:kern w:val="0"/>
      <w:szCs w:val="20"/>
    </w:rPr>
  </w:style>
  <w:style w:type="paragraph" w:customStyle="1" w:styleId="338">
    <w:name w:val="表格2"/>
    <w:basedOn w:val="1"/>
    <w:qFormat/>
    <w:uiPriority w:val="0"/>
    <w:pPr>
      <w:snapToGrid w:val="0"/>
      <w:jc w:val="center"/>
    </w:pPr>
    <w:rPr>
      <w:rFonts w:ascii="Arial" w:hAnsi="Arial" w:cs="Arial"/>
      <w:snapToGrid w:val="0"/>
      <w:kern w:val="0"/>
      <w:sz w:val="24"/>
    </w:rPr>
  </w:style>
  <w:style w:type="paragraph" w:customStyle="1" w:styleId="339">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qFormat/>
    <w:uiPriority w:val="0"/>
    <w:pPr>
      <w:spacing w:line="360" w:lineRule="auto"/>
      <w:ind w:firstLine="454"/>
    </w:pPr>
    <w:rPr>
      <w:rFonts w:ascii="Tahoma" w:hAnsi="Tahoma"/>
      <w:sz w:val="24"/>
      <w:szCs w:val="20"/>
    </w:rPr>
  </w:style>
  <w:style w:type="paragraph" w:customStyle="1" w:styleId="341">
    <w:name w:val="xl2056"/>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34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qFormat/>
    <w:uiPriority w:val="0"/>
    <w:rPr>
      <w:rFonts w:ascii="Times New Roman" w:hAnsi="Times New Roman" w:eastAsia="宋体" w:cs="Times New Roman"/>
      <w:lang w:val="en-US" w:eastAsia="zh-CN" w:bidi="ar-SA"/>
    </w:rPr>
  </w:style>
  <w:style w:type="paragraph" w:customStyle="1" w:styleId="351">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35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6"/>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
    <w:qFormat/>
    <w:uiPriority w:val="0"/>
    <w:pPr>
      <w:widowControl/>
      <w:spacing w:after="0" w:line="360" w:lineRule="auto"/>
      <w:ind w:firstLine="482"/>
    </w:pPr>
    <w:rPr>
      <w:rFonts w:hAnsi="Calibri" w:eastAsia="宋体" w:cs="Times New Roman"/>
      <w:b/>
      <w:color w:val="000000"/>
      <w:sz w:val="24"/>
    </w:rPr>
  </w:style>
  <w:style w:type="paragraph" w:customStyle="1" w:styleId="358">
    <w:name w:val="xl2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qFormat/>
    <w:uiPriority w:val="0"/>
    <w:pPr>
      <w:ind w:firstLine="480" w:firstLineChars="200"/>
    </w:pPr>
  </w:style>
  <w:style w:type="paragraph" w:customStyle="1" w:styleId="372">
    <w:name w:val="样式 标题 4 + 段前: 0.5 行 段后: 0.5 行1"/>
    <w:basedOn w:val="6"/>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6"/>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5"/>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qFormat/>
    <w:uiPriority w:val="0"/>
    <w:pPr>
      <w:spacing w:line="360" w:lineRule="auto"/>
      <w:jc w:val="center"/>
    </w:pPr>
    <w:rPr>
      <w:b/>
      <w:bCs/>
      <w:sz w:val="28"/>
      <w:szCs w:val="21"/>
    </w:rPr>
  </w:style>
  <w:style w:type="paragraph" w:customStyle="1" w:styleId="3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qFormat/>
    <w:uiPriority w:val="0"/>
    <w:rPr>
      <w:rFonts w:hint="eastAsia" w:ascii="黑体" w:eastAsia="黑体"/>
      <w:spacing w:val="20"/>
      <w:szCs w:val="20"/>
    </w:rPr>
  </w:style>
  <w:style w:type="paragraph" w:customStyle="1" w:styleId="381">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qFormat/>
    <w:uiPriority w:val="0"/>
    <w:pPr>
      <w:spacing w:line="360" w:lineRule="auto"/>
      <w:ind w:firstLine="497" w:firstLineChars="207"/>
    </w:pPr>
    <w:rPr>
      <w:sz w:val="24"/>
      <w:szCs w:val="20"/>
    </w:rPr>
  </w:style>
  <w:style w:type="paragraph" w:customStyle="1" w:styleId="383">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List Paragraph"/>
    <w:basedOn w:val="1"/>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qFormat/>
    <w:uiPriority w:val="0"/>
    <w:pPr>
      <w:spacing w:line="623" w:lineRule="atLeast"/>
    </w:pPr>
    <w:rPr>
      <w:rFonts w:ascii=".a..DD.." w:eastAsia=".a..DD.."/>
      <w:color w:val="auto"/>
      <w:szCs w:val="24"/>
    </w:rPr>
  </w:style>
  <w:style w:type="paragraph" w:customStyle="1" w:styleId="393">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4"/>
    <w:qFormat/>
    <w:uiPriority w:val="0"/>
    <w:pPr>
      <w:tabs>
        <w:tab w:val="left" w:pos="1320"/>
      </w:tabs>
      <w:spacing w:beforeLines="50" w:afterLines="50" w:line="360" w:lineRule="auto"/>
      <w:jc w:val="left"/>
    </w:pPr>
    <w:rPr>
      <w:rFonts w:cs="宋体"/>
      <w:kern w:val="0"/>
      <w:sz w:val="36"/>
      <w:szCs w:val="20"/>
    </w:rPr>
  </w:style>
  <w:style w:type="paragraph" w:customStyle="1" w:styleId="397">
    <w:name w:val="一级"/>
    <w:basedOn w:val="127"/>
    <w:next w:val="127"/>
    <w:qFormat/>
    <w:uiPriority w:val="0"/>
    <w:pPr>
      <w:tabs>
        <w:tab w:val="left" w:pos="360"/>
        <w:tab w:val="left" w:pos="780"/>
      </w:tabs>
      <w:ind w:left="780" w:hanging="360" w:firstLineChars="0"/>
      <w:jc w:val="center"/>
      <w:outlineLvl w:val="0"/>
    </w:pPr>
    <w:rPr>
      <w:b/>
      <w:sz w:val="44"/>
    </w:rPr>
  </w:style>
  <w:style w:type="paragraph" w:customStyle="1" w:styleId="398">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qFormat/>
    <w:uiPriority w:val="0"/>
    <w:pPr>
      <w:numPr>
        <w:ilvl w:val="0"/>
        <w:numId w:val="0"/>
      </w:numPr>
      <w:tabs>
        <w:tab w:val="left" w:pos="902"/>
      </w:tabs>
      <w:ind w:left="902" w:hanging="420"/>
    </w:pPr>
  </w:style>
  <w:style w:type="paragraph" w:customStyle="1" w:styleId="413">
    <w:name w:val="表2"/>
    <w:basedOn w:val="414"/>
    <w:qFormat/>
    <w:uiPriority w:val="0"/>
    <w:pPr>
      <w:numPr>
        <w:ilvl w:val="0"/>
        <w:numId w:val="8"/>
      </w:numPr>
    </w:pPr>
  </w:style>
  <w:style w:type="paragraph" w:customStyle="1" w:styleId="414">
    <w:name w:val="表1"/>
    <w:basedOn w:val="415"/>
    <w:qFormat/>
    <w:uiPriority w:val="0"/>
  </w:style>
  <w:style w:type="paragraph" w:customStyle="1" w:styleId="415">
    <w:name w:val="表格样式"/>
    <w:basedOn w:val="1"/>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6"/>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17">
    <w:name w:val="Char Char Char Char1"/>
    <w:basedOn w:val="1"/>
    <w:qFormat/>
    <w:uiPriority w:val="0"/>
    <w:rPr>
      <w:rFonts w:ascii="仿宋_GB2312" w:eastAsia="仿宋_GB2312"/>
      <w:b/>
      <w:sz w:val="32"/>
      <w:szCs w:val="32"/>
    </w:rPr>
  </w:style>
  <w:style w:type="paragraph" w:customStyle="1" w:styleId="418">
    <w:name w:val="xl2052"/>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qFormat/>
    <w:uiPriority w:val="0"/>
  </w:style>
  <w:style w:type="paragraph" w:customStyle="1" w:styleId="422">
    <w:name w:val="默认段落字体 Para Char Char Char Char Char Char Char Char Char Char Char Char Char"/>
    <w:basedOn w:val="21"/>
    <w:qFormat/>
    <w:uiPriority w:val="0"/>
    <w:pPr>
      <w:adjustRightInd w:val="0"/>
      <w:spacing w:line="436" w:lineRule="exact"/>
      <w:ind w:left="357"/>
      <w:jc w:val="left"/>
      <w:outlineLvl w:val="3"/>
    </w:pPr>
    <w:rPr>
      <w:rFonts w:ascii="宋体" w:hAnsi="宋体"/>
      <w:kern w:val="0"/>
      <w:szCs w:val="21"/>
    </w:rPr>
  </w:style>
  <w:style w:type="paragraph" w:customStyle="1" w:styleId="423">
    <w:name w:val="说明正文"/>
    <w:basedOn w:val="1"/>
    <w:qFormat/>
    <w:uiPriority w:val="0"/>
    <w:pPr>
      <w:spacing w:line="360" w:lineRule="auto"/>
      <w:ind w:firstLine="480" w:firstLineChars="200"/>
    </w:pPr>
    <w:rPr>
      <w:rFonts w:ascii="宋体" w:hAnsi="宋体"/>
      <w:sz w:val="24"/>
    </w:rPr>
  </w:style>
  <w:style w:type="paragraph" w:customStyle="1" w:styleId="424">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qFormat/>
    <w:uiPriority w:val="0"/>
  </w:style>
  <w:style w:type="paragraph" w:customStyle="1" w:styleId="4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qFormat/>
    <w:uiPriority w:val="0"/>
  </w:style>
  <w:style w:type="paragraph" w:customStyle="1" w:styleId="430">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qFormat/>
    <w:uiPriority w:val="0"/>
    <w:pPr>
      <w:spacing w:line="360" w:lineRule="auto"/>
      <w:jc w:val="center"/>
    </w:pPr>
    <w:rPr>
      <w:rFonts w:ascii="Arial" w:hAnsi="Arial"/>
      <w:sz w:val="18"/>
    </w:rPr>
  </w:style>
  <w:style w:type="paragraph" w:customStyle="1" w:styleId="433">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qFormat/>
    <w:uiPriority w:val="0"/>
  </w:style>
  <w:style w:type="paragraph" w:customStyle="1" w:styleId="43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3"/>
    <w:next w:val="1"/>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qFormat/>
    <w:uiPriority w:val="0"/>
    <w:pPr>
      <w:spacing w:line="300" w:lineRule="auto"/>
      <w:ind w:firstLine="480" w:firstLineChars="200"/>
    </w:pPr>
    <w:rPr>
      <w:sz w:val="24"/>
      <w:szCs w:val="20"/>
    </w:rPr>
  </w:style>
  <w:style w:type="paragraph" w:customStyle="1" w:styleId="44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qFormat/>
    <w:uiPriority w:val="0"/>
    <w:pPr>
      <w:spacing w:beforeLines="50" w:afterLines="50" w:line="300" w:lineRule="exact"/>
    </w:pPr>
    <w:rPr>
      <w:b/>
      <w:bCs/>
    </w:rPr>
  </w:style>
  <w:style w:type="paragraph" w:customStyle="1" w:styleId="4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
    <w:next w:val="1"/>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qFormat/>
    <w:uiPriority w:val="0"/>
    <w:pPr>
      <w:spacing w:beforeLines="0" w:afterLines="0"/>
    </w:pPr>
    <w:rPr>
      <w:rFonts w:ascii="宋体" w:eastAsia="宋体"/>
    </w:rPr>
  </w:style>
  <w:style w:type="paragraph" w:customStyle="1" w:styleId="455">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qFormat/>
    <w:uiPriority w:val="0"/>
    <w:pPr>
      <w:keepNext/>
      <w:keepLines/>
      <w:spacing w:afterLines="100" w:line="360" w:lineRule="auto"/>
      <w:jc w:val="center"/>
    </w:pPr>
    <w:rPr>
      <w:rFonts w:ascii="Tahoma" w:hAnsi="Tahoma"/>
      <w:sz w:val="24"/>
    </w:rPr>
  </w:style>
  <w:style w:type="paragraph" w:customStyle="1" w:styleId="45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qFormat/>
    <w:uiPriority w:val="0"/>
    <w:pPr>
      <w:pBdr>
        <w:bottom w:val="none" w:color="auto" w:sz="0" w:space="0"/>
      </w:pBdr>
    </w:pPr>
    <w:rPr>
      <w:rFonts w:ascii="Calibri" w:hAnsi="Calibri" w:eastAsia="华文新魏"/>
      <w:kern w:val="0"/>
      <w:sz w:val="21"/>
      <w:szCs w:val="20"/>
    </w:rPr>
  </w:style>
  <w:style w:type="paragraph" w:customStyle="1" w:styleId="461">
    <w:name w:val="TOC 标题3"/>
    <w:basedOn w:val="3"/>
    <w:next w:val="1"/>
    <w:unhideWhenUsed/>
    <w:qFormat/>
    <w:uiPriority w:val="39"/>
    <w:pPr>
      <w:outlineLvl w:val="9"/>
    </w:pPr>
  </w:style>
  <w:style w:type="paragraph" w:customStyle="1" w:styleId="462">
    <w:name w:val="TOC 标题1"/>
    <w:basedOn w:val="3"/>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465">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qFormat/>
    <w:uiPriority w:val="0"/>
    <w:pPr>
      <w:keepNext/>
      <w:ind w:left="1701"/>
    </w:pPr>
  </w:style>
  <w:style w:type="paragraph" w:customStyle="1" w:styleId="46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qFormat/>
    <w:uiPriority w:val="0"/>
  </w:style>
  <w:style w:type="paragraph" w:customStyle="1" w:styleId="480">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qFormat/>
    <w:uiPriority w:val="0"/>
    <w:pPr>
      <w:adjustRightInd w:val="0"/>
      <w:snapToGrid w:val="0"/>
      <w:ind w:firstLine="480" w:firstLineChars="200"/>
    </w:pPr>
    <w:rPr>
      <w:rFonts w:ascii="宋体" w:hAnsi="宋体"/>
      <w:sz w:val="24"/>
    </w:rPr>
  </w:style>
  <w:style w:type="paragraph" w:customStyle="1" w:styleId="482">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qFormat/>
    <w:uiPriority w:val="0"/>
    <w:pPr>
      <w:jc w:val="center"/>
    </w:pPr>
    <w:rPr>
      <w:rFonts w:ascii="宋体" w:hAnsi="宋体"/>
      <w:b/>
      <w:szCs w:val="21"/>
    </w:rPr>
  </w:style>
  <w:style w:type="paragraph" w:customStyle="1" w:styleId="486">
    <w:name w:val="Item Step in Table"/>
    <w:basedOn w:val="1"/>
    <w:qFormat/>
    <w:uiPriority w:val="0"/>
    <w:pPr>
      <w:tabs>
        <w:tab w:val="left" w:pos="420"/>
      </w:tabs>
      <w:ind w:left="420" w:hanging="420"/>
      <w:jc w:val="left"/>
    </w:pPr>
    <w:rPr>
      <w:rFonts w:ascii="Tahoma" w:hAnsi="Tahoma"/>
      <w:sz w:val="28"/>
      <w:szCs w:val="21"/>
    </w:rPr>
  </w:style>
  <w:style w:type="paragraph" w:customStyle="1" w:styleId="487">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3"/>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qFormat/>
    <w:uiPriority w:val="0"/>
    <w:pPr>
      <w:ind w:firstLine="525"/>
    </w:pPr>
    <w:rPr>
      <w:spacing w:val="20"/>
      <w:szCs w:val="20"/>
    </w:rPr>
  </w:style>
  <w:style w:type="paragraph" w:customStyle="1" w:styleId="494">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qFormat/>
    <w:uiPriority w:val="1"/>
    <w:rPr>
      <w:rFonts w:ascii="宋体" w:hAnsi="宋体" w:cs="宋体"/>
      <w:lang w:val="zh-CN" w:bidi="zh-CN"/>
    </w:rPr>
  </w:style>
  <w:style w:type="paragraph" w:customStyle="1" w:styleId="502">
    <w:name w:val="正常"/>
    <w:qFormat/>
    <w:uiPriority w:val="0"/>
    <w:rPr>
      <w:rFonts w:ascii="Verdana" w:hAnsi="Verdana" w:eastAsia="宋体" w:cs="Times New Roman"/>
      <w:lang w:val="en-GB" w:eastAsia="en-US" w:bidi="ar-SA"/>
    </w:rPr>
  </w:style>
  <w:style w:type="paragraph" w:customStyle="1" w:styleId="50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qFormat/>
    <w:uiPriority w:val="0"/>
    <w:rPr>
      <w:bCs w:val="0"/>
    </w:rPr>
  </w:style>
  <w:style w:type="paragraph" w:customStyle="1" w:styleId="515">
    <w:name w:val="项目编号一级"/>
    <w:basedOn w:val="1"/>
    <w:qFormat/>
    <w:uiPriority w:val="0"/>
    <w:pPr>
      <w:tabs>
        <w:tab w:val="left" w:pos="900"/>
      </w:tabs>
      <w:spacing w:line="360" w:lineRule="auto"/>
      <w:ind w:left="900" w:hanging="420"/>
    </w:pPr>
  </w:style>
  <w:style w:type="paragraph" w:customStyle="1" w:styleId="516">
    <w:name w:val="四级无"/>
    <w:basedOn w:val="517"/>
    <w:qFormat/>
    <w:uiPriority w:val="0"/>
    <w:pPr>
      <w:tabs>
        <w:tab w:val="left" w:pos="360"/>
      </w:tabs>
      <w:spacing w:beforeLines="0" w:afterLines="0"/>
    </w:pPr>
    <w:rPr>
      <w:rFonts w:ascii="宋体" w:eastAsia="宋体"/>
    </w:rPr>
  </w:style>
  <w:style w:type="paragraph" w:customStyle="1" w:styleId="517">
    <w:name w:val="四级条标题"/>
    <w:basedOn w:val="253"/>
    <w:next w:val="1"/>
    <w:qFormat/>
    <w:uiPriority w:val="0"/>
    <w:pPr>
      <w:outlineLvl w:val="5"/>
    </w:pPr>
  </w:style>
  <w:style w:type="paragraph" w:customStyle="1" w:styleId="518">
    <w:name w:val="样式 小四 行距: 1.5 倍行距"/>
    <w:basedOn w:val="1"/>
    <w:qFormat/>
    <w:uiPriority w:val="0"/>
    <w:pPr>
      <w:tabs>
        <w:tab w:val="left" w:pos="740"/>
      </w:tabs>
      <w:ind w:left="1081" w:hanging="1081"/>
    </w:pPr>
  </w:style>
  <w:style w:type="paragraph" w:customStyle="1" w:styleId="519">
    <w:name w:val="样式 标题 3H3h3h31第二层条3Bold Headbh章标题1小标题level_3PIM 3Lev...1"/>
    <w:basedOn w:val="5"/>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0">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qFormat/>
    <w:uiPriority w:val="0"/>
    <w:pPr>
      <w:ind w:firstLine="420" w:firstLineChars="200"/>
    </w:pPr>
  </w:style>
  <w:style w:type="paragraph" w:customStyle="1" w:styleId="524">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
    <w:basedOn w:val="1"/>
    <w:qFormat/>
    <w:uiPriority w:val="34"/>
    <w:pPr>
      <w:ind w:firstLine="420" w:firstLineChars="200"/>
    </w:pPr>
    <w:rPr>
      <w:szCs w:val="20"/>
    </w:rPr>
  </w:style>
  <w:style w:type="paragraph" w:customStyle="1" w:styleId="526">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qFormat/>
    <w:uiPriority w:val="0"/>
    <w:pPr>
      <w:spacing w:line="360" w:lineRule="auto"/>
      <w:ind w:firstLine="200" w:firstLineChars="200"/>
    </w:pPr>
  </w:style>
  <w:style w:type="paragraph" w:customStyle="1" w:styleId="533">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qFormat/>
    <w:uiPriority w:val="0"/>
  </w:style>
  <w:style w:type="paragraph" w:customStyle="1" w:styleId="53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qFormat/>
    <w:uiPriority w:val="0"/>
    <w:rPr>
      <w:rFonts w:ascii="Times New Roman" w:hAnsi="Times New Roman" w:eastAsia="宋体" w:cs="Times New Roman"/>
      <w:lang w:val="en-US" w:eastAsia="zh-CN" w:bidi="ar-SA"/>
    </w:rPr>
  </w:style>
  <w:style w:type="paragraph" w:customStyle="1" w:styleId="537">
    <w:name w:val="xl2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qFormat/>
    <w:uiPriority w:val="0"/>
    <w:pPr>
      <w:autoSpaceDE w:val="0"/>
      <w:autoSpaceDN w:val="0"/>
      <w:adjustRightInd w:val="0"/>
      <w:jc w:val="center"/>
    </w:pPr>
    <w:rPr>
      <w:rFonts w:ascii="Arial" w:hAnsi="Arial"/>
      <w:kern w:val="0"/>
      <w:sz w:val="18"/>
    </w:rPr>
  </w:style>
  <w:style w:type="paragraph" w:customStyle="1" w:styleId="540">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qFormat/>
    <w:uiPriority w:val="0"/>
    <w:pPr>
      <w:adjustRightInd w:val="0"/>
      <w:snapToGrid w:val="0"/>
      <w:jc w:val="center"/>
    </w:pPr>
  </w:style>
  <w:style w:type="paragraph" w:customStyle="1" w:styleId="545">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46">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qFormat/>
    <w:uiPriority w:val="0"/>
    <w:pPr>
      <w:adjustRightInd w:val="0"/>
      <w:snapToGrid w:val="0"/>
      <w:spacing w:line="400" w:lineRule="atLeast"/>
      <w:jc w:val="left"/>
    </w:pPr>
    <w:rPr>
      <w:sz w:val="24"/>
      <w:szCs w:val="20"/>
    </w:rPr>
  </w:style>
  <w:style w:type="paragraph" w:customStyle="1" w:styleId="548">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unhideWhenUsed/>
    <w:qFormat/>
    <w:uiPriority w:val="37"/>
    <w:pPr>
      <w:spacing w:line="360" w:lineRule="auto"/>
      <w:ind w:firstLine="200" w:firstLineChars="200"/>
      <w:jc w:val="left"/>
    </w:pPr>
    <w:rPr>
      <w:sz w:val="24"/>
    </w:rPr>
  </w:style>
  <w:style w:type="paragraph" w:customStyle="1" w:styleId="552">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4"/>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6">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4"/>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qFormat/>
    <w:uiPriority w:val="0"/>
    <w:pPr>
      <w:widowControl/>
      <w:spacing w:line="280" w:lineRule="atLeast"/>
    </w:pPr>
    <w:rPr>
      <w:rFonts w:ascii="宋体" w:hAnsi="宋体" w:cs="宋体"/>
      <w:kern w:val="0"/>
      <w:sz w:val="24"/>
    </w:rPr>
  </w:style>
  <w:style w:type="paragraph" w:customStyle="1" w:styleId="565">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qFormat/>
    <w:uiPriority w:val="0"/>
    <w:pPr>
      <w:spacing w:line="440" w:lineRule="atLeast"/>
    </w:pPr>
    <w:rPr>
      <w:rFonts w:ascii="方正小标宋简体" w:eastAsia="方正小标宋简体"/>
      <w:color w:val="auto"/>
      <w:szCs w:val="24"/>
    </w:rPr>
  </w:style>
  <w:style w:type="paragraph" w:customStyle="1" w:styleId="56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qFormat/>
    <w:uiPriority w:val="0"/>
    <w:pPr>
      <w:spacing w:line="360" w:lineRule="auto"/>
      <w:jc w:val="left"/>
    </w:pPr>
  </w:style>
  <w:style w:type="paragraph" w:customStyle="1" w:styleId="572">
    <w:name w:val="lgh排序1"/>
    <w:basedOn w:val="31"/>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3">
    <w:name w:val="标准小四"/>
    <w:basedOn w:val="1"/>
    <w:qFormat/>
    <w:uiPriority w:val="0"/>
    <w:pPr>
      <w:spacing w:line="360" w:lineRule="auto"/>
      <w:ind w:firstLine="480" w:firstLineChars="200"/>
    </w:pPr>
    <w:rPr>
      <w:rFonts w:ascii="Arial" w:hAnsi="Arial"/>
      <w:sz w:val="24"/>
      <w:szCs w:val="21"/>
    </w:rPr>
  </w:style>
  <w:style w:type="paragraph" w:customStyle="1" w:styleId="57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3"/>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qFormat/>
    <w:uiPriority w:val="0"/>
    <w:pPr>
      <w:ind w:left="100" w:leftChars="200" w:hanging="200" w:hangingChars="200"/>
    </w:pPr>
  </w:style>
  <w:style w:type="paragraph" w:customStyle="1" w:styleId="580">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583">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qFormat/>
    <w:uiPriority w:val="0"/>
    <w:pPr>
      <w:snapToGrid w:val="0"/>
      <w:spacing w:line="360" w:lineRule="auto"/>
      <w:ind w:firstLine="473"/>
    </w:pPr>
    <w:rPr>
      <w:rFonts w:hAnsi="宋体"/>
      <w:sz w:val="24"/>
      <w:szCs w:val="22"/>
    </w:rPr>
  </w:style>
  <w:style w:type="paragraph" w:customStyle="1" w:styleId="59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1"/>
    <w:semiHidden/>
    <w:qFormat/>
    <w:uiPriority w:val="0"/>
    <w:pPr>
      <w:spacing w:line="360" w:lineRule="auto"/>
      <w:ind w:firstLine="200" w:firstLineChars="200"/>
      <w:jc w:val="left"/>
    </w:pPr>
    <w:rPr>
      <w:rFonts w:ascii="Tahoma" w:hAnsi="Tahoma" w:cs="Tahoma"/>
      <w:kern w:val="0"/>
      <w:sz w:val="18"/>
    </w:rPr>
  </w:style>
  <w:style w:type="paragraph" w:customStyle="1" w:styleId="595">
    <w:name w:val="xl2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qFormat/>
    <w:uiPriority w:val="0"/>
    <w:pPr>
      <w:tabs>
        <w:tab w:val="left" w:pos="203"/>
      </w:tabs>
      <w:spacing w:before="40" w:after="40"/>
      <w:jc w:val="center"/>
    </w:pPr>
    <w:rPr>
      <w:b/>
      <w:sz w:val="28"/>
      <w:szCs w:val="20"/>
    </w:rPr>
  </w:style>
  <w:style w:type="paragraph" w:customStyle="1" w:styleId="598">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qFormat/>
    <w:uiPriority w:val="0"/>
    <w:pPr>
      <w:widowControl/>
      <w:jc w:val="center"/>
    </w:pPr>
    <w:rPr>
      <w:rFonts w:ascii="宋体"/>
      <w:b/>
      <w:kern w:val="0"/>
      <w:sz w:val="36"/>
      <w:szCs w:val="20"/>
    </w:rPr>
  </w:style>
  <w:style w:type="paragraph" w:customStyle="1" w:styleId="601">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qFormat/>
    <w:uiPriority w:val="0"/>
    <w:pPr>
      <w:widowControl/>
      <w:spacing w:before="360" w:after="360"/>
      <w:jc w:val="left"/>
    </w:pPr>
    <w:rPr>
      <w:kern w:val="0"/>
      <w:sz w:val="20"/>
      <w:szCs w:val="20"/>
    </w:rPr>
  </w:style>
  <w:style w:type="paragraph" w:customStyle="1" w:styleId="609">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qFormat/>
    <w:uiPriority w:val="0"/>
    <w:pPr>
      <w:tabs>
        <w:tab w:val="left" w:pos="570"/>
        <w:tab w:val="left" w:pos="720"/>
        <w:tab w:val="clear" w:pos="1620"/>
      </w:tabs>
      <w:ind w:left="570" w:hanging="570"/>
    </w:pPr>
  </w:style>
  <w:style w:type="paragraph" w:customStyle="1" w:styleId="614">
    <w:name w:val="Char Char Char1 Char"/>
    <w:basedOn w:val="21"/>
    <w:qFormat/>
    <w:uiPriority w:val="0"/>
    <w:pPr>
      <w:adjustRightInd w:val="0"/>
      <w:spacing w:line="436" w:lineRule="exact"/>
      <w:ind w:left="357"/>
      <w:jc w:val="left"/>
      <w:outlineLvl w:val="3"/>
    </w:pPr>
    <w:rPr>
      <w:kern w:val="0"/>
      <w:sz w:val="20"/>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qFormat/>
    <w:uiPriority w:val="0"/>
    <w:pPr>
      <w:autoSpaceDE w:val="0"/>
      <w:autoSpaceDN w:val="0"/>
      <w:adjustRightInd w:val="0"/>
      <w:ind w:firstLine="600"/>
      <w:textAlignment w:val="baseline"/>
    </w:pPr>
    <w:rPr>
      <w:kern w:val="0"/>
      <w:sz w:val="28"/>
      <w:szCs w:val="20"/>
    </w:rPr>
  </w:style>
  <w:style w:type="paragraph" w:customStyle="1" w:styleId="624">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qFormat/>
    <w:uiPriority w:val="0"/>
    <w:pPr>
      <w:widowControl/>
      <w:spacing w:line="360" w:lineRule="auto"/>
      <w:ind w:firstLine="482"/>
    </w:pPr>
    <w:rPr>
      <w:rFonts w:ascii="宋体" w:hAnsi="Arial Unicode MS"/>
      <w:bCs/>
      <w:kern w:val="0"/>
      <w:sz w:val="24"/>
    </w:rPr>
  </w:style>
  <w:style w:type="paragraph" w:customStyle="1" w:styleId="62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qFormat/>
    <w:uiPriority w:val="0"/>
  </w:style>
  <w:style w:type="paragraph" w:customStyle="1" w:styleId="629">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qFormat/>
    <w:uiPriority w:val="0"/>
  </w:style>
  <w:style w:type="paragraph" w:customStyle="1" w:styleId="632">
    <w:name w:val="xl2054"/>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qFormat/>
    <w:uiPriority w:val="0"/>
    <w:pPr>
      <w:spacing w:beforeLines="0" w:afterLines="0"/>
    </w:pPr>
    <w:rPr>
      <w:rFonts w:ascii="宋体" w:eastAsia="宋体"/>
    </w:rPr>
  </w:style>
  <w:style w:type="paragraph" w:customStyle="1" w:styleId="642">
    <w:name w:val="xl2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qFormat/>
    <w:uiPriority w:val="0"/>
    <w:pPr>
      <w:widowControl/>
      <w:spacing w:line="240" w:lineRule="atLeast"/>
    </w:pPr>
    <w:rPr>
      <w:rFonts w:ascii="宋体" w:hAnsi="宋体" w:cs="宋体"/>
      <w:kern w:val="0"/>
      <w:sz w:val="24"/>
    </w:rPr>
  </w:style>
  <w:style w:type="paragraph" w:customStyle="1" w:styleId="645">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qFormat/>
    <w:uiPriority w:val="0"/>
    <w:rPr>
      <w:szCs w:val="20"/>
    </w:rPr>
  </w:style>
  <w:style w:type="paragraph" w:customStyle="1" w:styleId="64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qFormat/>
    <w:uiPriority w:val="0"/>
    <w:pPr>
      <w:outlineLvl w:val="6"/>
    </w:pPr>
  </w:style>
  <w:style w:type="paragraph" w:customStyle="1" w:styleId="65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qFormat/>
    <w:uiPriority w:val="0"/>
    <w:rPr>
      <w:rFonts w:ascii="Tahoma" w:hAnsi="Tahoma" w:cs="仿宋_GB2312"/>
      <w:sz w:val="24"/>
      <w:szCs w:val="28"/>
    </w:rPr>
  </w:style>
  <w:style w:type="paragraph" w:customStyle="1" w:styleId="660">
    <w:name w:val="样式 标题 3h:33H3Kop 3Vl3Level 3 Headh3sect1.2.3Alt+31.1.1..."/>
    <w:basedOn w:val="5"/>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qFormat/>
    <w:uiPriority w:val="0"/>
    <w:pPr>
      <w:spacing w:line="300" w:lineRule="auto"/>
      <w:jc w:val="center"/>
      <w:textAlignment w:val="baseline"/>
    </w:pPr>
    <w:rPr>
      <w:kern w:val="0"/>
      <w:szCs w:val="20"/>
    </w:rPr>
  </w:style>
  <w:style w:type="paragraph" w:customStyle="1" w:styleId="66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qFormat/>
    <w:uiPriority w:val="0"/>
  </w:style>
  <w:style w:type="paragraph" w:customStyle="1" w:styleId="670">
    <w:name w:val="xl2079"/>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5"/>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1">
    <w:name w:val="xl2086"/>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3"/>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qFormat/>
    <w:uiPriority w:val="0"/>
    <w:pPr>
      <w:spacing w:line="626" w:lineRule="atLeast"/>
    </w:pPr>
    <w:rPr>
      <w:rFonts w:ascii=".a..DD.." w:eastAsia=".a..DD.."/>
      <w:color w:val="auto"/>
      <w:szCs w:val="24"/>
    </w:rPr>
  </w:style>
  <w:style w:type="paragraph" w:customStyle="1" w:styleId="696">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qFormat/>
    <w:uiPriority w:val="0"/>
    <w:pPr>
      <w:tabs>
        <w:tab w:val="left" w:pos="0"/>
      </w:tabs>
    </w:pPr>
    <w:rPr>
      <w:rFonts w:ascii="Arial" w:hAnsi="Arial" w:eastAsia="楷体_GB2312"/>
      <w:color w:val="000080"/>
      <w:sz w:val="28"/>
      <w:szCs w:val="28"/>
    </w:rPr>
  </w:style>
  <w:style w:type="paragraph" w:customStyle="1" w:styleId="703">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qFormat/>
    <w:uiPriority w:val="0"/>
    <w:pPr>
      <w:snapToGrid w:val="0"/>
      <w:spacing w:line="288" w:lineRule="auto"/>
      <w:ind w:left="540" w:hanging="540" w:hangingChars="225"/>
    </w:pPr>
    <w:rPr>
      <w:sz w:val="24"/>
    </w:rPr>
  </w:style>
  <w:style w:type="paragraph" w:customStyle="1" w:styleId="709">
    <w:name w:val="Char1 Char Char Char"/>
    <w:basedOn w:val="1"/>
    <w:qFormat/>
    <w:uiPriority w:val="0"/>
    <w:rPr>
      <w:rFonts w:ascii="Tahoma" w:hAnsi="Tahoma"/>
      <w:sz w:val="24"/>
      <w:szCs w:val="20"/>
    </w:rPr>
  </w:style>
  <w:style w:type="paragraph" w:customStyle="1" w:styleId="710">
    <w:name w:val="样式 标题 3H3h3h31第二层条3Bold Headbh章标题1小标题level_3PIM 3Lev..."/>
    <w:basedOn w:val="5"/>
    <w:qFormat/>
    <w:uiPriority w:val="0"/>
    <w:pPr>
      <w:tabs>
        <w:tab w:val="left" w:pos="1931"/>
      </w:tabs>
      <w:spacing w:before="156" w:after="156"/>
      <w:ind w:left="1418" w:leftChars="0" w:hanging="567"/>
    </w:pPr>
    <w:rPr>
      <w:rFonts w:eastAsia="楷体_GB2312" w:cs="宋体"/>
      <w:bCs/>
      <w:kern w:val="0"/>
      <w:sz w:val="44"/>
    </w:rPr>
  </w:style>
  <w:style w:type="paragraph" w:customStyle="1" w:styleId="711">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718">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qFormat/>
    <w:uiPriority w:val="0"/>
    <w:pPr>
      <w:spacing w:beforeLines="100" w:afterLines="100" w:line="360" w:lineRule="auto"/>
    </w:pPr>
    <w:rPr>
      <w:rFonts w:ascii="Arial" w:hAnsi="Arial" w:eastAsia="黑体"/>
      <w:b/>
      <w:sz w:val="30"/>
      <w:u w:val="single"/>
    </w:rPr>
  </w:style>
  <w:style w:type="paragraph" w:customStyle="1" w:styleId="724">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qFormat/>
    <w:uiPriority w:val="0"/>
    <w:pPr>
      <w:jc w:val="center"/>
    </w:pPr>
  </w:style>
  <w:style w:type="paragraph" w:customStyle="1" w:styleId="726">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qFormat/>
    <w:uiPriority w:val="0"/>
    <w:rPr>
      <w:rFonts w:ascii="Tahoma" w:hAnsi="Tahoma"/>
      <w:sz w:val="24"/>
      <w:szCs w:val="20"/>
    </w:rPr>
  </w:style>
  <w:style w:type="paragraph" w:customStyle="1" w:styleId="728">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qFormat/>
    <w:uiPriority w:val="0"/>
    <w:pPr>
      <w:ind w:firstLine="420" w:firstLineChars="200"/>
    </w:pPr>
    <w:rPr>
      <w:rFonts w:ascii="Calibri" w:hAnsi="Calibri"/>
      <w:szCs w:val="22"/>
    </w:rPr>
  </w:style>
  <w:style w:type="paragraph" w:customStyle="1" w:styleId="73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qFormat/>
    <w:uiPriority w:val="0"/>
    <w:pPr>
      <w:adjustRightInd/>
      <w:snapToGrid/>
      <w:ind w:firstLine="0" w:firstLineChars="0"/>
      <w:jc w:val="center"/>
    </w:pPr>
    <w:rPr>
      <w:sz w:val="28"/>
      <w:szCs w:val="20"/>
    </w:rPr>
  </w:style>
  <w:style w:type="paragraph" w:customStyle="1" w:styleId="749">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3"/>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5"/>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qFormat/>
    <w:uiPriority w:val="0"/>
    <w:rPr>
      <w:b w:val="0"/>
    </w:rPr>
  </w:style>
  <w:style w:type="paragraph" w:customStyle="1" w:styleId="760">
    <w:name w:val="首行缩进"/>
    <w:basedOn w:val="1"/>
    <w:qFormat/>
    <w:uiPriority w:val="0"/>
    <w:pPr>
      <w:spacing w:after="120" w:line="360" w:lineRule="auto"/>
      <w:ind w:firstLine="480" w:firstLineChars="200"/>
    </w:pPr>
    <w:rPr>
      <w:sz w:val="24"/>
      <w:lang w:val="zh-CN"/>
    </w:rPr>
  </w:style>
  <w:style w:type="paragraph" w:customStyle="1" w:styleId="761">
    <w:name w:val="BodyText"/>
    <w:basedOn w:val="1"/>
    <w:qFormat/>
    <w:uiPriority w:val="99"/>
    <w:pPr>
      <w:spacing w:after="120"/>
      <w:textAlignment w:val="baseline"/>
    </w:pPr>
    <w:rPr>
      <w:rFonts w:ascii="Times New Roman" w:hAnsi="Times New Roman" w:cs="Times New Roman"/>
      <w:szCs w:val="24"/>
    </w:rPr>
  </w:style>
  <w:style w:type="table" w:customStyle="1" w:styleId="762">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qFormat/>
    <w:uiPriority w:val="0"/>
    <w:rPr>
      <w:rFonts w:hint="eastAsia" w:ascii="宋体" w:hAnsi="宋体" w:eastAsia="宋体" w:cs="宋体"/>
      <w:color w:val="FF0000"/>
      <w:sz w:val="16"/>
      <w:szCs w:val="16"/>
      <w:u w:val="none"/>
    </w:rPr>
  </w:style>
  <w:style w:type="paragraph" w:customStyle="1" w:styleId="76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67">
    <w:name w:val="font101"/>
    <w:basedOn w:val="62"/>
    <w:qFormat/>
    <w:uiPriority w:val="0"/>
    <w:rPr>
      <w:rFonts w:ascii="宋体" w:hAnsi="宋体" w:eastAsia="宋体" w:cs="宋体"/>
      <w:color w:val="000000"/>
      <w:sz w:val="20"/>
      <w:szCs w:val="20"/>
      <w:u w:val="none"/>
    </w:rPr>
  </w:style>
  <w:style w:type="character" w:customStyle="1" w:styleId="768">
    <w:name w:val="font112"/>
    <w:basedOn w:val="62"/>
    <w:qFormat/>
    <w:uiPriority w:val="0"/>
    <w:rPr>
      <w:rFonts w:ascii="Arial" w:hAnsi="Arial" w:cs="Arial"/>
      <w:color w:val="000000"/>
      <w:sz w:val="20"/>
      <w:szCs w:val="20"/>
      <w:u w:val="none"/>
    </w:rPr>
  </w:style>
  <w:style w:type="character" w:customStyle="1" w:styleId="769">
    <w:name w:val="无"/>
    <w:qFormat/>
    <w:uiPriority w:val="0"/>
  </w:style>
  <w:style w:type="character" w:customStyle="1" w:styleId="770">
    <w:name w:val="fontstyle01"/>
    <w:basedOn w:val="62"/>
    <w:qFormat/>
    <w:uiPriority w:val="0"/>
    <w:rPr>
      <w:rFonts w:hint="eastAsia" w:ascii="宋体" w:hAnsi="宋体" w:eastAsia="宋体"/>
      <w:color w:val="000000"/>
      <w:sz w:val="22"/>
      <w:szCs w:val="22"/>
    </w:rPr>
  </w:style>
  <w:style w:type="paragraph" w:customStyle="1" w:styleId="771">
    <w:name w:val="Bid_正文"/>
    <w:basedOn w:val="17"/>
    <w:qFormat/>
    <w:uiPriority w:val="0"/>
    <w:pPr>
      <w:spacing w:afterLines="50" w:line="360" w:lineRule="auto"/>
      <w:ind w:firstLine="480" w:firstLineChars="200"/>
    </w:pPr>
    <w:rPr>
      <w:sz w:val="24"/>
    </w:rPr>
  </w:style>
  <w:style w:type="paragraph" w:customStyle="1" w:styleId="772">
    <w:name w:val="Body Text Indent 21"/>
    <w:basedOn w:val="1"/>
    <w:qFormat/>
    <w:uiPriority w:val="99"/>
    <w:pPr>
      <w:widowControl/>
      <w:spacing w:line="480" w:lineRule="atLeast"/>
      <w:ind w:firstLine="480"/>
    </w:pPr>
    <w:rPr>
      <w:rFonts w:ascii="宋体"/>
      <w:kern w:val="0"/>
      <w:sz w:val="24"/>
      <w:szCs w:val="20"/>
    </w:rPr>
  </w:style>
  <w:style w:type="character" w:customStyle="1" w:styleId="773">
    <w:name w:val="font121"/>
    <w:basedOn w:val="62"/>
    <w:qFormat/>
    <w:uiPriority w:val="0"/>
    <w:rPr>
      <w:rFonts w:hint="eastAsia" w:ascii="宋体" w:hAnsi="宋体" w:eastAsia="宋体" w:cs="宋体"/>
      <w:color w:val="000000"/>
      <w:sz w:val="20"/>
      <w:szCs w:val="20"/>
      <w:u w:val="none"/>
    </w:rPr>
  </w:style>
  <w:style w:type="character" w:customStyle="1" w:styleId="774">
    <w:name w:val="font111"/>
    <w:basedOn w:val="62"/>
    <w:qFormat/>
    <w:uiPriority w:val="0"/>
    <w:rPr>
      <w:rFonts w:hint="default" w:ascii="Times New Roman" w:hAnsi="Times New Roman" w:cs="Times New Roman"/>
      <w:color w:val="000000"/>
      <w:sz w:val="21"/>
      <w:szCs w:val="21"/>
      <w:u w:val="none"/>
    </w:rPr>
  </w:style>
  <w:style w:type="character" w:customStyle="1" w:styleId="775">
    <w:name w:val="font141"/>
    <w:basedOn w:val="62"/>
    <w:qFormat/>
    <w:uiPriority w:val="0"/>
    <w:rPr>
      <w:rFonts w:hint="default" w:ascii="Times New Roman" w:hAnsi="Times New Roman" w:cs="Times New Roman"/>
      <w:b/>
      <w:bCs/>
      <w:color w:val="000000"/>
      <w:sz w:val="20"/>
      <w:szCs w:val="20"/>
      <w:u w:val="none"/>
    </w:rPr>
  </w:style>
  <w:style w:type="paragraph" w:customStyle="1" w:styleId="776">
    <w:name w:val="Normal"/>
    <w:next w:val="777"/>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777">
    <w:name w:val="Body Text"/>
    <w:basedOn w:val="776"/>
    <w:qFormat/>
    <w:uiPriority w:val="0"/>
    <w:pPr>
      <w:spacing w:after="12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71749</Words>
  <Characters>78972</Characters>
  <Lines>594</Lines>
  <Paragraphs>167</Paragraphs>
  <TotalTime>56</TotalTime>
  <ScaleCrop>false</ScaleCrop>
  <LinksUpToDate>false</LinksUpToDate>
  <CharactersWithSpaces>85466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冷对万夫</cp:lastModifiedBy>
  <cp:lastPrinted>2023-03-24T08:15:00Z</cp:lastPrinted>
  <dcterms:modified xsi:type="dcterms:W3CDTF">2023-03-28T10:11:45Z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11259EB44A084DA9BF3080BEAD6A5380</vt:lpwstr>
  </property>
  <property fmtid="{D5CDD505-2E9C-101B-9397-08002B2CF9AE}" pid="4" name="commondata">
    <vt:lpwstr>eyJoZGlkIjoiNjNlMTIyMGUxMGVjODUwYjk5NzcyMWQyMzBmZmQwNjQifQ==</vt:lpwstr>
  </property>
</Properties>
</file>