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jc w:val="left"/>
        <w:rPr>
          <w:rFonts w:ascii="宋体"/>
          <w:color w:val="auto"/>
          <w:highlight w:val="none"/>
        </w:rPr>
      </w:pPr>
      <w:r>
        <w:rPr>
          <w:rFonts w:ascii="宋体"/>
          <w:color w:val="auto"/>
          <w:highlight w:val="none"/>
        </w:rPr>
        <w:drawing>
          <wp:inline distT="0" distB="0" distL="0" distR="0">
            <wp:extent cx="985520" cy="795655"/>
            <wp:effectExtent l="0" t="0" r="5080" b="444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a:xfrm>
                      <a:off x="0" y="0"/>
                      <a:ext cx="985520" cy="795655"/>
                    </a:xfrm>
                    <a:prstGeom prst="rect">
                      <a:avLst/>
                    </a:prstGeom>
                    <a:noFill/>
                    <a:ln>
                      <a:noFill/>
                    </a:ln>
                  </pic:spPr>
                </pic:pic>
              </a:graphicData>
            </a:graphic>
          </wp:inline>
        </w:drawing>
      </w:r>
    </w:p>
    <w:p>
      <w:pPr>
        <w:adjustRightInd w:val="0"/>
        <w:snapToGrid w:val="0"/>
        <w:spacing w:line="480" w:lineRule="exact"/>
        <w:jc w:val="center"/>
        <w:rPr>
          <w:rFonts w:ascii="宋体"/>
          <w:b/>
          <w:bCs/>
          <w:color w:val="auto"/>
          <w:highlight w:val="none"/>
        </w:rPr>
      </w:pPr>
      <w:r>
        <w:rPr>
          <w:rFonts w:hint="eastAsia" w:ascii="宋体" w:hAnsi="宋体"/>
          <w:bCs/>
          <w:color w:val="auto"/>
          <w:sz w:val="48"/>
          <w:szCs w:val="48"/>
          <w:highlight w:val="none"/>
        </w:rPr>
        <w:t>招 标 文 件</w:t>
      </w:r>
    </w:p>
    <w:p>
      <w:pPr>
        <w:ind w:left="1574" w:right="-191" w:rightChars="-91" w:hanging="1574" w:hangingChars="492"/>
        <w:rPr>
          <w:rFonts w:ascii="宋体" w:hAnsi="宋体"/>
          <w:bCs/>
          <w:color w:val="auto"/>
          <w:kern w:val="0"/>
          <w:sz w:val="32"/>
          <w:szCs w:val="32"/>
          <w:highlight w:val="none"/>
        </w:rPr>
      </w:pPr>
    </w:p>
    <w:p>
      <w:pPr>
        <w:ind w:left="1574" w:right="-191" w:rightChars="-91" w:hanging="1574" w:hangingChars="492"/>
        <w:rPr>
          <w:rFonts w:ascii="宋体" w:hAnsi="宋体"/>
          <w:bCs/>
          <w:color w:val="auto"/>
          <w:sz w:val="32"/>
          <w:highlight w:val="none"/>
        </w:rPr>
      </w:pPr>
      <w:r>
        <w:rPr>
          <w:rFonts w:hint="eastAsia" w:ascii="宋体" w:hAnsi="宋体"/>
          <w:bCs/>
          <w:color w:val="auto"/>
          <w:kern w:val="0"/>
          <w:sz w:val="32"/>
          <w:szCs w:val="32"/>
          <w:highlight w:val="none"/>
        </w:rPr>
        <w:t>项目名称：</w:t>
      </w:r>
      <w:r>
        <w:rPr>
          <w:rFonts w:hint="eastAsia" w:ascii="宋体" w:hAnsi="宋体"/>
          <w:bCs/>
          <w:color w:val="auto"/>
          <w:sz w:val="32"/>
          <w:highlight w:val="none"/>
        </w:rPr>
        <w:t>新疆农业大学生物饲料研发创新平台仪器设备采购项目三标段</w:t>
      </w:r>
    </w:p>
    <w:p>
      <w:pPr>
        <w:adjustRightInd w:val="0"/>
        <w:snapToGrid w:val="0"/>
        <w:spacing w:line="480" w:lineRule="exact"/>
        <w:jc w:val="center"/>
        <w:rPr>
          <w:rFonts w:ascii="宋体"/>
          <w:bCs/>
          <w:color w:val="auto"/>
          <w:sz w:val="32"/>
          <w:szCs w:val="32"/>
          <w:highlight w:val="none"/>
        </w:rPr>
      </w:pPr>
    </w:p>
    <w:p>
      <w:pPr>
        <w:adjustRightInd w:val="0"/>
        <w:snapToGrid w:val="0"/>
        <w:spacing w:line="480" w:lineRule="exact"/>
        <w:rPr>
          <w:rFonts w:ascii="宋体"/>
          <w:bCs/>
          <w:color w:val="auto"/>
          <w:kern w:val="0"/>
          <w:sz w:val="32"/>
          <w:szCs w:val="32"/>
          <w:highlight w:val="none"/>
        </w:rPr>
      </w:pPr>
      <w:r>
        <w:rPr>
          <w:rFonts w:hint="eastAsia" w:ascii="宋体" w:hAnsi="宋体"/>
          <w:bCs/>
          <w:color w:val="auto"/>
          <w:kern w:val="0"/>
          <w:sz w:val="32"/>
          <w:szCs w:val="32"/>
          <w:highlight w:val="none"/>
        </w:rPr>
        <w:t>采购人</w:t>
      </w:r>
      <w:r>
        <w:rPr>
          <w:rFonts w:ascii="宋体" w:hAnsi="宋体"/>
          <w:bCs/>
          <w:color w:val="auto"/>
          <w:kern w:val="0"/>
          <w:sz w:val="32"/>
          <w:szCs w:val="32"/>
          <w:highlight w:val="none"/>
        </w:rPr>
        <w:t>(</w:t>
      </w:r>
      <w:r>
        <w:rPr>
          <w:rFonts w:hint="eastAsia" w:ascii="宋体" w:hAnsi="宋体"/>
          <w:bCs/>
          <w:color w:val="auto"/>
          <w:kern w:val="0"/>
          <w:sz w:val="32"/>
          <w:szCs w:val="32"/>
          <w:highlight w:val="none"/>
        </w:rPr>
        <w:t>盖章</w:t>
      </w:r>
      <w:r>
        <w:rPr>
          <w:rFonts w:ascii="宋体" w:hAnsi="宋体"/>
          <w:bCs/>
          <w:color w:val="auto"/>
          <w:kern w:val="0"/>
          <w:sz w:val="32"/>
          <w:szCs w:val="32"/>
          <w:highlight w:val="none"/>
        </w:rPr>
        <w:t>)</w:t>
      </w:r>
      <w:r>
        <w:rPr>
          <w:rFonts w:hint="eastAsia" w:ascii="宋体" w:hAnsi="宋体"/>
          <w:bCs/>
          <w:color w:val="auto"/>
          <w:kern w:val="0"/>
          <w:sz w:val="32"/>
          <w:szCs w:val="32"/>
          <w:highlight w:val="none"/>
        </w:rPr>
        <w:t>：</w:t>
      </w:r>
      <w:r>
        <w:rPr>
          <w:rFonts w:hint="eastAsia" w:ascii="宋体" w:hAnsi="宋体"/>
          <w:bCs/>
          <w:color w:val="auto"/>
          <w:sz w:val="32"/>
          <w:highlight w:val="none"/>
        </w:rPr>
        <w:t>新疆农业大学</w:t>
      </w:r>
    </w:p>
    <w:p>
      <w:pPr>
        <w:adjustRightInd w:val="0"/>
        <w:snapToGrid w:val="0"/>
        <w:spacing w:line="480" w:lineRule="exact"/>
        <w:jc w:val="center"/>
        <w:rPr>
          <w:rFonts w:ascii="宋体"/>
          <w:bCs/>
          <w:color w:val="auto"/>
          <w:sz w:val="32"/>
          <w:szCs w:val="32"/>
          <w:highlight w:val="none"/>
        </w:rPr>
      </w:pPr>
    </w:p>
    <w:p>
      <w:pPr>
        <w:adjustRightInd w:val="0"/>
        <w:snapToGrid w:val="0"/>
        <w:spacing w:line="480" w:lineRule="exact"/>
        <w:rPr>
          <w:rFonts w:ascii="宋体"/>
          <w:bCs/>
          <w:color w:val="auto"/>
          <w:sz w:val="32"/>
          <w:szCs w:val="32"/>
          <w:highlight w:val="none"/>
        </w:rPr>
      </w:pPr>
      <w:r>
        <w:rPr>
          <w:rFonts w:hint="eastAsia" w:ascii="宋体" w:hAnsi="宋体"/>
          <w:bCs/>
          <w:color w:val="auto"/>
          <w:sz w:val="32"/>
          <w:szCs w:val="32"/>
          <w:highlight w:val="none"/>
        </w:rPr>
        <w:t>法定代表人 (</w:t>
      </w:r>
      <w:r>
        <w:rPr>
          <w:rFonts w:hint="eastAsia" w:ascii="宋体" w:hAnsi="宋体"/>
          <w:bCs/>
          <w:color w:val="auto"/>
          <w:kern w:val="0"/>
          <w:sz w:val="32"/>
          <w:szCs w:val="32"/>
          <w:highlight w:val="none"/>
        </w:rPr>
        <w:t>盖章</w:t>
      </w:r>
      <w:r>
        <w:rPr>
          <w:rFonts w:hint="eastAsia" w:ascii="宋体" w:hAnsi="宋体"/>
          <w:bCs/>
          <w:color w:val="auto"/>
          <w:sz w:val="32"/>
          <w:szCs w:val="32"/>
          <w:highlight w:val="none"/>
        </w:rPr>
        <w:t>)：</w:t>
      </w:r>
    </w:p>
    <w:p>
      <w:pPr>
        <w:adjustRightInd w:val="0"/>
        <w:snapToGrid w:val="0"/>
        <w:spacing w:line="480" w:lineRule="exact"/>
        <w:jc w:val="center"/>
        <w:rPr>
          <w:rFonts w:ascii="宋体"/>
          <w:bCs/>
          <w:color w:val="auto"/>
          <w:sz w:val="32"/>
          <w:szCs w:val="32"/>
          <w:highlight w:val="none"/>
        </w:rPr>
      </w:pPr>
    </w:p>
    <w:p>
      <w:pPr>
        <w:adjustRightInd w:val="0"/>
        <w:snapToGrid w:val="0"/>
        <w:spacing w:line="276" w:lineRule="auto"/>
        <w:rPr>
          <w:rFonts w:hint="default" w:ascii="宋体" w:hAnsi="宋体" w:eastAsiaTheme="minorEastAsia"/>
          <w:bCs/>
          <w:color w:val="auto"/>
          <w:sz w:val="32"/>
          <w:szCs w:val="24"/>
          <w:highlight w:val="none"/>
          <w:lang w:val="en-US" w:eastAsia="zh-CN"/>
        </w:rPr>
      </w:pPr>
      <w:r>
        <w:rPr>
          <w:rFonts w:hint="eastAsia" w:ascii="宋体" w:hAnsi="宋体"/>
          <w:bCs/>
          <w:color w:val="auto"/>
          <w:sz w:val="32"/>
          <w:szCs w:val="24"/>
          <w:highlight w:val="none"/>
        </w:rPr>
        <w:t>联系人：</w:t>
      </w:r>
      <w:r>
        <w:rPr>
          <w:rFonts w:hint="eastAsia" w:ascii="宋体" w:hAnsi="宋体"/>
          <w:bCs/>
          <w:color w:val="auto"/>
          <w:sz w:val="32"/>
          <w:szCs w:val="24"/>
          <w:highlight w:val="none"/>
          <w:lang w:val="en-US" w:eastAsia="zh-CN"/>
        </w:rPr>
        <w:t>刘孟健</w:t>
      </w:r>
    </w:p>
    <w:p>
      <w:pPr>
        <w:adjustRightInd w:val="0"/>
        <w:snapToGrid w:val="0"/>
        <w:spacing w:line="276" w:lineRule="auto"/>
        <w:jc w:val="center"/>
        <w:rPr>
          <w:rFonts w:ascii="宋体" w:hAnsi="宋体"/>
          <w:bCs/>
          <w:color w:val="auto"/>
          <w:sz w:val="32"/>
          <w:szCs w:val="24"/>
          <w:highlight w:val="none"/>
        </w:rPr>
      </w:pPr>
    </w:p>
    <w:p>
      <w:pPr>
        <w:adjustRightInd w:val="0"/>
        <w:snapToGrid w:val="0"/>
        <w:spacing w:line="276" w:lineRule="auto"/>
        <w:jc w:val="left"/>
        <w:rPr>
          <w:rFonts w:hint="default" w:ascii="宋体" w:hAnsi="宋体" w:eastAsiaTheme="minorEastAsia"/>
          <w:bCs/>
          <w:color w:val="auto"/>
          <w:sz w:val="32"/>
          <w:szCs w:val="24"/>
          <w:highlight w:val="none"/>
          <w:lang w:val="en-US" w:eastAsia="zh-CN"/>
        </w:rPr>
      </w:pPr>
      <w:r>
        <w:rPr>
          <w:rFonts w:hint="eastAsia" w:ascii="宋体" w:hAnsi="宋体"/>
          <w:bCs/>
          <w:color w:val="auto"/>
          <w:sz w:val="32"/>
          <w:szCs w:val="24"/>
          <w:highlight w:val="none"/>
        </w:rPr>
        <w:t>电话：</w:t>
      </w:r>
      <w:r>
        <w:rPr>
          <w:rFonts w:hint="eastAsia" w:ascii="宋体" w:hAnsi="宋体"/>
          <w:bCs/>
          <w:color w:val="auto"/>
          <w:sz w:val="32"/>
          <w:szCs w:val="24"/>
          <w:highlight w:val="none"/>
          <w:lang w:val="en-US" w:eastAsia="zh-CN"/>
        </w:rPr>
        <w:t>19999119118</w:t>
      </w:r>
    </w:p>
    <w:p>
      <w:pPr>
        <w:pStyle w:val="3"/>
        <w:rPr>
          <w:color w:val="auto"/>
          <w:highlight w:val="none"/>
        </w:rPr>
      </w:pPr>
    </w:p>
    <w:p>
      <w:pPr>
        <w:adjustRightInd w:val="0"/>
        <w:snapToGrid w:val="0"/>
        <w:spacing w:line="480" w:lineRule="exact"/>
        <w:jc w:val="left"/>
        <w:rPr>
          <w:rFonts w:ascii="宋体"/>
          <w:bCs/>
          <w:color w:val="auto"/>
          <w:kern w:val="0"/>
          <w:sz w:val="32"/>
          <w:szCs w:val="32"/>
          <w:highlight w:val="none"/>
        </w:rPr>
      </w:pPr>
      <w:r>
        <w:rPr>
          <w:rFonts w:ascii="宋体" w:hAnsi="宋体"/>
          <w:bCs/>
          <w:color w:val="auto"/>
          <w:kern w:val="0"/>
          <w:sz w:val="32"/>
          <w:szCs w:val="32"/>
          <w:highlight w:val="none"/>
        </w:rPr>
        <w:t>—————————————————————————————</w:t>
      </w:r>
    </w:p>
    <w:p>
      <w:pPr>
        <w:adjustRightInd w:val="0"/>
        <w:snapToGrid w:val="0"/>
        <w:spacing w:line="480" w:lineRule="exact"/>
        <w:jc w:val="center"/>
        <w:rPr>
          <w:rFonts w:ascii="宋体"/>
          <w:bCs/>
          <w:color w:val="auto"/>
          <w:sz w:val="32"/>
          <w:szCs w:val="32"/>
          <w:highlight w:val="none"/>
        </w:rPr>
      </w:pPr>
    </w:p>
    <w:p>
      <w:pPr>
        <w:adjustRightInd w:val="0"/>
        <w:snapToGrid w:val="0"/>
        <w:spacing w:line="480" w:lineRule="exact"/>
        <w:rPr>
          <w:rFonts w:ascii="宋体"/>
          <w:bCs/>
          <w:color w:val="auto"/>
          <w:sz w:val="32"/>
          <w:szCs w:val="32"/>
          <w:highlight w:val="none"/>
        </w:rPr>
      </w:pPr>
      <w:r>
        <w:rPr>
          <w:rFonts w:hint="eastAsia" w:ascii="宋体" w:hAnsi="宋体"/>
          <w:bCs/>
          <w:color w:val="auto"/>
          <w:sz w:val="32"/>
          <w:szCs w:val="32"/>
          <w:highlight w:val="none"/>
        </w:rPr>
        <w:t>采购代理机构</w:t>
      </w:r>
      <w:r>
        <w:rPr>
          <w:rFonts w:ascii="宋体" w:hAnsi="宋体"/>
          <w:color w:val="auto"/>
          <w:sz w:val="32"/>
          <w:szCs w:val="32"/>
          <w:highlight w:val="none"/>
        </w:rPr>
        <w:t>(</w:t>
      </w:r>
      <w:r>
        <w:rPr>
          <w:rFonts w:hint="eastAsia" w:ascii="宋体" w:hAnsi="宋体"/>
          <w:color w:val="auto"/>
          <w:sz w:val="32"/>
          <w:szCs w:val="32"/>
          <w:highlight w:val="none"/>
        </w:rPr>
        <w:t>盖章</w:t>
      </w:r>
      <w:r>
        <w:rPr>
          <w:rFonts w:ascii="宋体" w:hAnsi="宋体"/>
          <w:color w:val="auto"/>
          <w:sz w:val="32"/>
          <w:szCs w:val="32"/>
          <w:highlight w:val="none"/>
        </w:rPr>
        <w:t>)</w:t>
      </w:r>
      <w:r>
        <w:rPr>
          <w:rFonts w:hint="eastAsia" w:ascii="宋体" w:hAnsi="宋体"/>
          <w:bCs/>
          <w:color w:val="auto"/>
          <w:sz w:val="32"/>
          <w:szCs w:val="32"/>
          <w:highlight w:val="none"/>
        </w:rPr>
        <w:t>：新疆新世纪招标有限公司</w:t>
      </w:r>
    </w:p>
    <w:p>
      <w:pPr>
        <w:adjustRightInd w:val="0"/>
        <w:snapToGrid w:val="0"/>
        <w:spacing w:line="480" w:lineRule="exact"/>
        <w:jc w:val="center"/>
        <w:rPr>
          <w:rFonts w:ascii="宋体"/>
          <w:bCs/>
          <w:color w:val="auto"/>
          <w:sz w:val="32"/>
          <w:szCs w:val="32"/>
          <w:highlight w:val="none"/>
        </w:rPr>
      </w:pPr>
    </w:p>
    <w:p>
      <w:pPr>
        <w:adjustRightInd w:val="0"/>
        <w:snapToGrid w:val="0"/>
        <w:spacing w:line="480" w:lineRule="exact"/>
        <w:rPr>
          <w:rFonts w:ascii="宋体"/>
          <w:bCs/>
          <w:color w:val="auto"/>
          <w:sz w:val="32"/>
          <w:szCs w:val="32"/>
          <w:highlight w:val="none"/>
        </w:rPr>
      </w:pPr>
      <w:r>
        <w:rPr>
          <w:rFonts w:hint="eastAsia" w:ascii="宋体" w:hAnsi="宋体"/>
          <w:bCs/>
          <w:color w:val="auto"/>
          <w:sz w:val="32"/>
          <w:szCs w:val="32"/>
          <w:highlight w:val="none"/>
        </w:rPr>
        <w:t>法定代表人 (</w:t>
      </w:r>
      <w:r>
        <w:rPr>
          <w:rFonts w:hint="eastAsia" w:ascii="宋体" w:hAnsi="宋体"/>
          <w:bCs/>
          <w:color w:val="auto"/>
          <w:kern w:val="0"/>
          <w:sz w:val="32"/>
          <w:szCs w:val="32"/>
          <w:highlight w:val="none"/>
        </w:rPr>
        <w:t>盖章</w:t>
      </w:r>
      <w:r>
        <w:rPr>
          <w:rFonts w:hint="eastAsia" w:ascii="宋体" w:hAnsi="宋体"/>
          <w:bCs/>
          <w:color w:val="auto"/>
          <w:sz w:val="32"/>
          <w:szCs w:val="32"/>
          <w:highlight w:val="none"/>
        </w:rPr>
        <w:t>)：</w:t>
      </w:r>
    </w:p>
    <w:p>
      <w:pPr>
        <w:adjustRightInd w:val="0"/>
        <w:snapToGrid w:val="0"/>
        <w:spacing w:line="480" w:lineRule="exact"/>
        <w:jc w:val="center"/>
        <w:rPr>
          <w:rFonts w:ascii="宋体"/>
          <w:bCs/>
          <w:color w:val="auto"/>
          <w:sz w:val="32"/>
          <w:szCs w:val="32"/>
          <w:highlight w:val="none"/>
        </w:rPr>
      </w:pPr>
    </w:p>
    <w:p>
      <w:pPr>
        <w:adjustRightInd w:val="0"/>
        <w:snapToGrid w:val="0"/>
        <w:spacing w:line="480" w:lineRule="exact"/>
        <w:rPr>
          <w:rFonts w:ascii="宋体"/>
          <w:bCs/>
          <w:color w:val="auto"/>
          <w:sz w:val="32"/>
          <w:szCs w:val="32"/>
          <w:highlight w:val="none"/>
        </w:rPr>
      </w:pPr>
      <w:r>
        <w:rPr>
          <w:rFonts w:hint="eastAsia" w:ascii="宋体" w:hAnsi="宋体"/>
          <w:bCs/>
          <w:color w:val="auto"/>
          <w:sz w:val="32"/>
          <w:szCs w:val="32"/>
          <w:highlight w:val="none"/>
        </w:rPr>
        <w:t>联系人：</w:t>
      </w:r>
      <w:r>
        <w:rPr>
          <w:rFonts w:hint="eastAsia" w:ascii="宋体"/>
          <w:bCs/>
          <w:color w:val="auto"/>
          <w:sz w:val="32"/>
          <w:szCs w:val="32"/>
          <w:highlight w:val="none"/>
        </w:rPr>
        <w:t>马丹阳</w:t>
      </w:r>
    </w:p>
    <w:p>
      <w:pPr>
        <w:adjustRightInd w:val="0"/>
        <w:snapToGrid w:val="0"/>
        <w:spacing w:line="480" w:lineRule="exact"/>
        <w:jc w:val="center"/>
        <w:rPr>
          <w:rFonts w:ascii="宋体"/>
          <w:bCs/>
          <w:color w:val="auto"/>
          <w:sz w:val="32"/>
          <w:szCs w:val="32"/>
          <w:highlight w:val="none"/>
        </w:rPr>
      </w:pPr>
    </w:p>
    <w:p>
      <w:pPr>
        <w:adjustRightInd w:val="0"/>
        <w:snapToGrid w:val="0"/>
        <w:spacing w:line="480" w:lineRule="exact"/>
        <w:rPr>
          <w:rFonts w:ascii="宋体" w:hAnsi="宋体"/>
          <w:bCs/>
          <w:color w:val="auto"/>
          <w:sz w:val="32"/>
          <w:szCs w:val="32"/>
          <w:highlight w:val="none"/>
        </w:rPr>
      </w:pPr>
      <w:r>
        <w:rPr>
          <w:rFonts w:hint="eastAsia" w:ascii="宋体" w:hAnsi="宋体"/>
          <w:bCs/>
          <w:color w:val="auto"/>
          <w:kern w:val="0"/>
          <w:sz w:val="32"/>
          <w:szCs w:val="32"/>
          <w:highlight w:val="none"/>
        </w:rPr>
        <w:t>电话</w:t>
      </w:r>
      <w:r>
        <w:rPr>
          <w:rFonts w:hint="eastAsia" w:ascii="宋体" w:hAnsi="宋体"/>
          <w:bCs/>
          <w:color w:val="auto"/>
          <w:sz w:val="32"/>
          <w:szCs w:val="32"/>
          <w:highlight w:val="none"/>
        </w:rPr>
        <w:t>：0991-4661782</w:t>
      </w:r>
    </w:p>
    <w:p>
      <w:pPr>
        <w:adjustRightInd w:val="0"/>
        <w:snapToGrid w:val="0"/>
        <w:spacing w:line="480" w:lineRule="exact"/>
        <w:rPr>
          <w:rFonts w:ascii="宋体"/>
          <w:bCs/>
          <w:color w:val="auto"/>
          <w:sz w:val="32"/>
          <w:szCs w:val="32"/>
          <w:highlight w:val="none"/>
        </w:rPr>
      </w:pPr>
    </w:p>
    <w:p>
      <w:pPr>
        <w:adjustRightInd w:val="0"/>
        <w:snapToGrid w:val="0"/>
        <w:spacing w:line="480" w:lineRule="exact"/>
        <w:rPr>
          <w:rFonts w:ascii="宋体"/>
          <w:bCs/>
          <w:color w:val="auto"/>
          <w:sz w:val="32"/>
          <w:szCs w:val="32"/>
          <w:highlight w:val="none"/>
        </w:rPr>
      </w:pPr>
      <w:r>
        <w:rPr>
          <w:rFonts w:hint="eastAsia" w:ascii="宋体" w:hAnsi="宋体"/>
          <w:bCs/>
          <w:color w:val="auto"/>
          <w:sz w:val="32"/>
          <w:szCs w:val="32"/>
          <w:highlight w:val="none"/>
        </w:rPr>
        <w:t>详细地址：乌鲁木齐市新兴街</w:t>
      </w:r>
      <w:r>
        <w:rPr>
          <w:rFonts w:ascii="宋体" w:hAnsi="宋体"/>
          <w:bCs/>
          <w:color w:val="auto"/>
          <w:sz w:val="32"/>
          <w:szCs w:val="32"/>
          <w:highlight w:val="none"/>
        </w:rPr>
        <w:t>20</w:t>
      </w:r>
      <w:r>
        <w:rPr>
          <w:rFonts w:hint="eastAsia" w:ascii="宋体" w:hAnsi="宋体"/>
          <w:bCs/>
          <w:color w:val="auto"/>
          <w:sz w:val="32"/>
          <w:szCs w:val="32"/>
          <w:highlight w:val="none"/>
        </w:rPr>
        <w:t>号凤凰大厦五楼</w:t>
      </w:r>
    </w:p>
    <w:p>
      <w:pPr>
        <w:adjustRightInd w:val="0"/>
        <w:snapToGrid w:val="0"/>
        <w:spacing w:line="480" w:lineRule="exact"/>
        <w:rPr>
          <w:rFonts w:ascii="宋体"/>
          <w:bCs/>
          <w:color w:val="auto"/>
          <w:sz w:val="32"/>
          <w:szCs w:val="32"/>
          <w:highlight w:val="none"/>
        </w:rPr>
      </w:pPr>
    </w:p>
    <w:p>
      <w:pPr>
        <w:widowControl/>
        <w:jc w:val="left"/>
        <w:rPr>
          <w:rFonts w:ascii="宋体" w:cs="宋体"/>
          <w:b/>
          <w:bCs/>
          <w:color w:val="auto"/>
          <w:highlight w:val="none"/>
        </w:rPr>
      </w:pPr>
      <w:r>
        <w:rPr>
          <w:rFonts w:ascii="宋体" w:cs="宋体"/>
          <w:b/>
          <w:bCs/>
          <w:color w:val="auto"/>
          <w:highlight w:val="none"/>
        </w:rPr>
        <w:br w:type="page"/>
      </w:r>
    </w:p>
    <w:p>
      <w:pPr>
        <w:jc w:val="center"/>
        <w:rPr>
          <w:rFonts w:ascii="宋体" w:hAnsi="Calibri" w:eastAsia="宋体" w:cs="宋体"/>
          <w:b/>
          <w:bCs/>
          <w:color w:val="auto"/>
          <w:sz w:val="24"/>
          <w:szCs w:val="24"/>
          <w:highlight w:val="none"/>
        </w:rPr>
      </w:pPr>
      <w:r>
        <w:rPr>
          <w:rFonts w:hint="eastAsia" w:ascii="宋体" w:hAnsi="宋体" w:eastAsia="宋体" w:cs="宋体"/>
          <w:b/>
          <w:bCs/>
          <w:color w:val="auto"/>
          <w:sz w:val="24"/>
          <w:szCs w:val="24"/>
          <w:highlight w:val="none"/>
        </w:rPr>
        <w:t>目录</w:t>
      </w:r>
    </w:p>
    <w:p>
      <w:pPr>
        <w:pStyle w:val="24"/>
        <w:tabs>
          <w:tab w:val="right" w:leader="dot" w:pos="9344"/>
        </w:tabs>
        <w:rPr>
          <w:rFonts w:asciiTheme="minorHAnsi" w:hAnsiTheme="minorHAnsi" w:eastAsiaTheme="minorEastAsia" w:cstheme="minorBidi"/>
          <w:color w:val="auto"/>
          <w:szCs w:val="22"/>
          <w:highlight w:val="none"/>
        </w:rPr>
      </w:pPr>
      <w:r>
        <w:rPr>
          <w:rFonts w:ascii="宋体" w:hAnsi="宋体" w:cs="宋体"/>
          <w:b/>
          <w:bCs/>
          <w:color w:val="auto"/>
          <w:sz w:val="24"/>
          <w:highlight w:val="none"/>
        </w:rPr>
        <w:fldChar w:fldCharType="begin"/>
      </w:r>
      <w:r>
        <w:rPr>
          <w:rFonts w:ascii="宋体" w:hAnsi="宋体" w:cs="宋体"/>
          <w:b/>
          <w:bCs/>
          <w:color w:val="auto"/>
          <w:sz w:val="24"/>
          <w:highlight w:val="none"/>
        </w:rPr>
        <w:instrText xml:space="preserve">TOC \o "1-3" \h \u </w:instrText>
      </w:r>
      <w:r>
        <w:rPr>
          <w:rFonts w:ascii="宋体" w:hAnsi="宋体" w:cs="宋体"/>
          <w:b/>
          <w:bCs/>
          <w:color w:val="auto"/>
          <w:sz w:val="24"/>
          <w:highlight w:val="none"/>
        </w:rPr>
        <w:fldChar w:fldCharType="separate"/>
      </w:r>
      <w:r>
        <w:rPr>
          <w:color w:val="auto"/>
          <w:highlight w:val="none"/>
        </w:rPr>
        <w:fldChar w:fldCharType="begin"/>
      </w:r>
      <w:r>
        <w:rPr>
          <w:color w:val="auto"/>
          <w:highlight w:val="none"/>
        </w:rPr>
        <w:instrText xml:space="preserve"> HYPERLINK \l "_Toc141050488" </w:instrText>
      </w:r>
      <w:r>
        <w:rPr>
          <w:color w:val="auto"/>
          <w:highlight w:val="none"/>
        </w:rPr>
        <w:fldChar w:fldCharType="separate"/>
      </w:r>
      <w:r>
        <w:rPr>
          <w:rStyle w:val="47"/>
          <w:rFonts w:hint="eastAsia" w:ascii="宋体" w:hAnsi="宋体" w:cs="宋体"/>
          <w:b/>
          <w:color w:val="auto"/>
          <w:highlight w:val="none"/>
        </w:rPr>
        <w:t>投标人须知前附表</w:t>
      </w:r>
      <w:r>
        <w:rPr>
          <w:color w:val="auto"/>
          <w:highlight w:val="none"/>
        </w:rPr>
        <w:tab/>
      </w:r>
      <w:r>
        <w:rPr>
          <w:color w:val="auto"/>
          <w:highlight w:val="none"/>
        </w:rPr>
        <w:fldChar w:fldCharType="begin"/>
      </w:r>
      <w:r>
        <w:rPr>
          <w:color w:val="auto"/>
          <w:highlight w:val="none"/>
        </w:rPr>
        <w:instrText xml:space="preserve"> PAGEREF _Toc141050488 \h </w:instrText>
      </w:r>
      <w:r>
        <w:rPr>
          <w:color w:val="auto"/>
          <w:highlight w:val="none"/>
        </w:rPr>
        <w:fldChar w:fldCharType="separate"/>
      </w:r>
      <w:r>
        <w:rPr>
          <w:color w:val="auto"/>
          <w:highlight w:val="none"/>
        </w:rPr>
        <w:t>1</w:t>
      </w:r>
      <w:r>
        <w:rPr>
          <w:color w:val="auto"/>
          <w:highlight w:val="none"/>
        </w:rPr>
        <w:fldChar w:fldCharType="end"/>
      </w:r>
      <w:r>
        <w:rPr>
          <w:color w:val="auto"/>
          <w:highlight w:val="none"/>
        </w:rPr>
        <w:fldChar w:fldCharType="end"/>
      </w:r>
    </w:p>
    <w:p>
      <w:pPr>
        <w:pStyle w:val="24"/>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"_Toc141050489" </w:instrText>
      </w:r>
      <w:r>
        <w:rPr>
          <w:color w:val="auto"/>
          <w:highlight w:val="none"/>
        </w:rPr>
        <w:fldChar w:fldCharType="separate"/>
      </w:r>
      <w:r>
        <w:rPr>
          <w:rStyle w:val="47"/>
          <w:rFonts w:hint="eastAsia" w:ascii="宋体" w:hAnsi="宋体" w:cs="宋体"/>
          <w:b/>
          <w:color w:val="auto"/>
          <w:highlight w:val="none"/>
        </w:rPr>
        <w:t>第一章投标人须知</w:t>
      </w:r>
      <w:r>
        <w:rPr>
          <w:color w:val="auto"/>
          <w:highlight w:val="none"/>
        </w:rPr>
        <w:tab/>
      </w:r>
      <w:r>
        <w:rPr>
          <w:color w:val="auto"/>
          <w:highlight w:val="none"/>
        </w:rPr>
        <w:fldChar w:fldCharType="begin"/>
      </w:r>
      <w:r>
        <w:rPr>
          <w:color w:val="auto"/>
          <w:highlight w:val="none"/>
        </w:rPr>
        <w:instrText xml:space="preserve"> PAGEREF _Toc141050489 \h </w:instrText>
      </w:r>
      <w:r>
        <w:rPr>
          <w:color w:val="auto"/>
          <w:highlight w:val="none"/>
        </w:rPr>
        <w:fldChar w:fldCharType="separate"/>
      </w:r>
      <w:r>
        <w:rPr>
          <w:color w:val="auto"/>
          <w:highlight w:val="none"/>
        </w:rPr>
        <w:t>4</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"_Toc141050490" </w:instrText>
      </w:r>
      <w:r>
        <w:rPr>
          <w:color w:val="auto"/>
          <w:highlight w:val="none"/>
        </w:rPr>
        <w:fldChar w:fldCharType="separate"/>
      </w:r>
      <w:r>
        <w:rPr>
          <w:rStyle w:val="47"/>
          <w:rFonts w:ascii="宋体" w:hAnsi="宋体" w:cs="宋体"/>
          <w:b/>
          <w:color w:val="auto"/>
          <w:highlight w:val="none"/>
        </w:rPr>
        <w:t>1</w:t>
      </w:r>
      <w:r>
        <w:rPr>
          <w:rStyle w:val="47"/>
          <w:rFonts w:hint="eastAsia" w:ascii="宋体" w:hAnsi="宋体" w:cs="宋体"/>
          <w:b/>
          <w:color w:val="auto"/>
          <w:highlight w:val="none"/>
        </w:rPr>
        <w:t>．总则</w:t>
      </w:r>
      <w:r>
        <w:rPr>
          <w:color w:val="auto"/>
          <w:highlight w:val="none"/>
        </w:rPr>
        <w:tab/>
      </w:r>
      <w:r>
        <w:rPr>
          <w:color w:val="auto"/>
          <w:highlight w:val="none"/>
        </w:rPr>
        <w:fldChar w:fldCharType="begin"/>
      </w:r>
      <w:r>
        <w:rPr>
          <w:color w:val="auto"/>
          <w:highlight w:val="none"/>
        </w:rPr>
        <w:instrText xml:space="preserve"> PAGEREF _Toc141050490 \h </w:instrText>
      </w:r>
      <w:r>
        <w:rPr>
          <w:color w:val="auto"/>
          <w:highlight w:val="none"/>
        </w:rPr>
        <w:fldChar w:fldCharType="separate"/>
      </w:r>
      <w:r>
        <w:rPr>
          <w:color w:val="auto"/>
          <w:highlight w:val="none"/>
        </w:rPr>
        <w:t>4</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"_Toc141050491" </w:instrText>
      </w:r>
      <w:r>
        <w:rPr>
          <w:color w:val="auto"/>
          <w:highlight w:val="none"/>
        </w:rPr>
        <w:fldChar w:fldCharType="separate"/>
      </w:r>
      <w:r>
        <w:rPr>
          <w:rStyle w:val="47"/>
          <w:rFonts w:ascii="宋体" w:hAnsi="宋体" w:cs="宋体"/>
          <w:b/>
          <w:color w:val="auto"/>
          <w:highlight w:val="none"/>
        </w:rPr>
        <w:t>2</w:t>
      </w:r>
      <w:r>
        <w:rPr>
          <w:rStyle w:val="47"/>
          <w:rFonts w:hint="eastAsia" w:ascii="宋体" w:hAnsi="宋体" w:cs="宋体"/>
          <w:b/>
          <w:color w:val="auto"/>
          <w:highlight w:val="none"/>
        </w:rPr>
        <w:t>．招标文件</w:t>
      </w:r>
      <w:r>
        <w:rPr>
          <w:color w:val="auto"/>
          <w:highlight w:val="none"/>
        </w:rPr>
        <w:tab/>
      </w:r>
      <w:r>
        <w:rPr>
          <w:color w:val="auto"/>
          <w:highlight w:val="none"/>
        </w:rPr>
        <w:fldChar w:fldCharType="begin"/>
      </w:r>
      <w:r>
        <w:rPr>
          <w:color w:val="auto"/>
          <w:highlight w:val="none"/>
        </w:rPr>
        <w:instrText xml:space="preserve"> PAGEREF _Toc141050491 \h </w:instrText>
      </w:r>
      <w:r>
        <w:rPr>
          <w:color w:val="auto"/>
          <w:highlight w:val="none"/>
        </w:rPr>
        <w:fldChar w:fldCharType="separate"/>
      </w:r>
      <w:r>
        <w:rPr>
          <w:color w:val="auto"/>
          <w:highlight w:val="none"/>
        </w:rPr>
        <w:t>6</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"_Toc141050492" </w:instrText>
      </w:r>
      <w:r>
        <w:rPr>
          <w:color w:val="auto"/>
          <w:highlight w:val="none"/>
        </w:rPr>
        <w:fldChar w:fldCharType="separate"/>
      </w:r>
      <w:r>
        <w:rPr>
          <w:rStyle w:val="47"/>
          <w:rFonts w:ascii="宋体" w:hAnsi="宋体" w:cs="宋体"/>
          <w:b/>
          <w:color w:val="auto"/>
          <w:highlight w:val="none"/>
        </w:rPr>
        <w:t>3</w:t>
      </w:r>
      <w:r>
        <w:rPr>
          <w:rStyle w:val="47"/>
          <w:rFonts w:hint="eastAsia" w:ascii="宋体" w:hAnsi="宋体" w:cs="宋体"/>
          <w:b/>
          <w:color w:val="auto"/>
          <w:highlight w:val="none"/>
        </w:rPr>
        <w:t>．投标文件</w:t>
      </w:r>
      <w:r>
        <w:rPr>
          <w:color w:val="auto"/>
          <w:highlight w:val="none"/>
        </w:rPr>
        <w:tab/>
      </w:r>
      <w:r>
        <w:rPr>
          <w:color w:val="auto"/>
          <w:highlight w:val="none"/>
        </w:rPr>
        <w:fldChar w:fldCharType="begin"/>
      </w:r>
      <w:r>
        <w:rPr>
          <w:color w:val="auto"/>
          <w:highlight w:val="none"/>
        </w:rPr>
        <w:instrText xml:space="preserve"> PAGEREF _Toc141050492 \h </w:instrText>
      </w:r>
      <w:r>
        <w:rPr>
          <w:color w:val="auto"/>
          <w:highlight w:val="none"/>
        </w:rPr>
        <w:fldChar w:fldCharType="separate"/>
      </w:r>
      <w:r>
        <w:rPr>
          <w:color w:val="auto"/>
          <w:highlight w:val="none"/>
        </w:rPr>
        <w:t>7</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"_Toc141050493" </w:instrText>
      </w:r>
      <w:r>
        <w:rPr>
          <w:color w:val="auto"/>
          <w:highlight w:val="none"/>
        </w:rPr>
        <w:fldChar w:fldCharType="separate"/>
      </w:r>
      <w:r>
        <w:rPr>
          <w:rStyle w:val="47"/>
          <w:rFonts w:ascii="宋体" w:hAnsi="宋体" w:cs="宋体"/>
          <w:b/>
          <w:color w:val="auto"/>
          <w:highlight w:val="none"/>
        </w:rPr>
        <w:t>4</w:t>
      </w:r>
      <w:r>
        <w:rPr>
          <w:rStyle w:val="47"/>
          <w:rFonts w:hint="eastAsia" w:ascii="宋体" w:hAnsi="宋体" w:cs="宋体"/>
          <w:b/>
          <w:color w:val="auto"/>
          <w:highlight w:val="none"/>
        </w:rPr>
        <w:t>．投标</w:t>
      </w:r>
      <w:r>
        <w:rPr>
          <w:color w:val="auto"/>
          <w:highlight w:val="none"/>
        </w:rPr>
        <w:tab/>
      </w:r>
      <w:r>
        <w:rPr>
          <w:color w:val="auto"/>
          <w:highlight w:val="none"/>
        </w:rPr>
        <w:fldChar w:fldCharType="begin"/>
      </w:r>
      <w:r>
        <w:rPr>
          <w:color w:val="auto"/>
          <w:highlight w:val="none"/>
        </w:rPr>
        <w:instrText xml:space="preserve"> PAGEREF _Toc141050493 \h </w:instrText>
      </w:r>
      <w:r>
        <w:rPr>
          <w:color w:val="auto"/>
          <w:highlight w:val="none"/>
        </w:rPr>
        <w:fldChar w:fldCharType="separate"/>
      </w:r>
      <w:r>
        <w:rPr>
          <w:color w:val="auto"/>
          <w:highlight w:val="none"/>
        </w:rPr>
        <w:t>9</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"_Toc141050494" </w:instrText>
      </w:r>
      <w:r>
        <w:rPr>
          <w:color w:val="auto"/>
          <w:highlight w:val="none"/>
        </w:rPr>
        <w:fldChar w:fldCharType="separate"/>
      </w:r>
      <w:r>
        <w:rPr>
          <w:rStyle w:val="47"/>
          <w:rFonts w:ascii="宋体" w:hAnsi="宋体" w:cs="宋体"/>
          <w:b/>
          <w:color w:val="auto"/>
          <w:highlight w:val="none"/>
        </w:rPr>
        <w:t>5</w:t>
      </w:r>
      <w:r>
        <w:rPr>
          <w:rStyle w:val="47"/>
          <w:rFonts w:hint="eastAsia" w:ascii="宋体" w:hAnsi="宋体" w:cs="宋体"/>
          <w:b/>
          <w:color w:val="auto"/>
          <w:highlight w:val="none"/>
        </w:rPr>
        <w:t>．开标</w:t>
      </w:r>
      <w:r>
        <w:rPr>
          <w:color w:val="auto"/>
          <w:highlight w:val="none"/>
        </w:rPr>
        <w:tab/>
      </w:r>
      <w:r>
        <w:rPr>
          <w:color w:val="auto"/>
          <w:highlight w:val="none"/>
        </w:rPr>
        <w:fldChar w:fldCharType="begin"/>
      </w:r>
      <w:r>
        <w:rPr>
          <w:color w:val="auto"/>
          <w:highlight w:val="none"/>
        </w:rPr>
        <w:instrText xml:space="preserve"> PAGEREF _Toc141050494 \h </w:instrText>
      </w:r>
      <w:r>
        <w:rPr>
          <w:color w:val="auto"/>
          <w:highlight w:val="none"/>
        </w:rPr>
        <w:fldChar w:fldCharType="separate"/>
      </w:r>
      <w:r>
        <w:rPr>
          <w:color w:val="auto"/>
          <w:highlight w:val="none"/>
        </w:rPr>
        <w:t>10</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"_Toc141050495" </w:instrText>
      </w:r>
      <w:r>
        <w:rPr>
          <w:color w:val="auto"/>
          <w:highlight w:val="none"/>
        </w:rPr>
        <w:fldChar w:fldCharType="separate"/>
      </w:r>
      <w:r>
        <w:rPr>
          <w:rStyle w:val="47"/>
          <w:rFonts w:ascii="宋体" w:hAnsi="宋体" w:cs="宋体"/>
          <w:b/>
          <w:color w:val="auto"/>
          <w:highlight w:val="none"/>
        </w:rPr>
        <w:t>6</w:t>
      </w:r>
      <w:r>
        <w:rPr>
          <w:rStyle w:val="47"/>
          <w:rFonts w:hint="eastAsia" w:ascii="宋体" w:hAnsi="宋体" w:cs="宋体"/>
          <w:b/>
          <w:color w:val="auto"/>
          <w:highlight w:val="none"/>
        </w:rPr>
        <w:t>．评标</w:t>
      </w:r>
      <w:r>
        <w:rPr>
          <w:color w:val="auto"/>
          <w:highlight w:val="none"/>
        </w:rPr>
        <w:tab/>
      </w:r>
      <w:r>
        <w:rPr>
          <w:color w:val="auto"/>
          <w:highlight w:val="none"/>
        </w:rPr>
        <w:fldChar w:fldCharType="begin"/>
      </w:r>
      <w:r>
        <w:rPr>
          <w:color w:val="auto"/>
          <w:highlight w:val="none"/>
        </w:rPr>
        <w:instrText xml:space="preserve"> PAGEREF _Toc141050495 \h </w:instrText>
      </w:r>
      <w:r>
        <w:rPr>
          <w:color w:val="auto"/>
          <w:highlight w:val="none"/>
        </w:rPr>
        <w:fldChar w:fldCharType="separate"/>
      </w:r>
      <w:r>
        <w:rPr>
          <w:color w:val="auto"/>
          <w:highlight w:val="none"/>
        </w:rPr>
        <w:t>10</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"_Toc141050496" </w:instrText>
      </w:r>
      <w:r>
        <w:rPr>
          <w:color w:val="auto"/>
          <w:highlight w:val="none"/>
        </w:rPr>
        <w:fldChar w:fldCharType="separate"/>
      </w:r>
      <w:r>
        <w:rPr>
          <w:rStyle w:val="47"/>
          <w:rFonts w:ascii="宋体" w:hAnsi="宋体" w:cs="宋体"/>
          <w:b/>
          <w:color w:val="auto"/>
          <w:highlight w:val="none"/>
        </w:rPr>
        <w:t>7</w:t>
      </w:r>
      <w:r>
        <w:rPr>
          <w:rStyle w:val="47"/>
          <w:rFonts w:hint="eastAsia" w:ascii="宋体" w:hAnsi="宋体" w:cs="宋体"/>
          <w:b/>
          <w:color w:val="auto"/>
          <w:highlight w:val="none"/>
        </w:rPr>
        <w:t>．定标及合同授予</w:t>
      </w:r>
      <w:r>
        <w:rPr>
          <w:color w:val="auto"/>
          <w:highlight w:val="none"/>
        </w:rPr>
        <w:tab/>
      </w:r>
      <w:r>
        <w:rPr>
          <w:color w:val="auto"/>
          <w:highlight w:val="none"/>
        </w:rPr>
        <w:fldChar w:fldCharType="begin"/>
      </w:r>
      <w:r>
        <w:rPr>
          <w:color w:val="auto"/>
          <w:highlight w:val="none"/>
        </w:rPr>
        <w:instrText xml:space="preserve"> PAGEREF _Toc141050496 \h </w:instrText>
      </w:r>
      <w:r>
        <w:rPr>
          <w:color w:val="auto"/>
          <w:highlight w:val="none"/>
        </w:rPr>
        <w:fldChar w:fldCharType="separate"/>
      </w:r>
      <w:r>
        <w:rPr>
          <w:color w:val="auto"/>
          <w:highlight w:val="none"/>
        </w:rPr>
        <w:t>11</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"_Toc141050497" </w:instrText>
      </w:r>
      <w:r>
        <w:rPr>
          <w:color w:val="auto"/>
          <w:highlight w:val="none"/>
        </w:rPr>
        <w:fldChar w:fldCharType="separate"/>
      </w:r>
      <w:r>
        <w:rPr>
          <w:rStyle w:val="47"/>
          <w:rFonts w:ascii="宋体" w:hAnsi="宋体" w:cs="宋体"/>
          <w:b/>
          <w:color w:val="auto"/>
          <w:highlight w:val="none"/>
        </w:rPr>
        <w:t>8</w:t>
      </w:r>
      <w:r>
        <w:rPr>
          <w:rStyle w:val="47"/>
          <w:rFonts w:hint="eastAsia" w:ascii="宋体" w:hAnsi="宋体" w:cs="宋体"/>
          <w:b/>
          <w:color w:val="auto"/>
          <w:highlight w:val="none"/>
        </w:rPr>
        <w:t>．纪律和监督</w:t>
      </w:r>
      <w:r>
        <w:rPr>
          <w:color w:val="auto"/>
          <w:highlight w:val="none"/>
        </w:rPr>
        <w:tab/>
      </w:r>
      <w:r>
        <w:rPr>
          <w:color w:val="auto"/>
          <w:highlight w:val="none"/>
        </w:rPr>
        <w:fldChar w:fldCharType="begin"/>
      </w:r>
      <w:r>
        <w:rPr>
          <w:color w:val="auto"/>
          <w:highlight w:val="none"/>
        </w:rPr>
        <w:instrText xml:space="preserve"> PAGEREF _Toc141050497 \h </w:instrText>
      </w:r>
      <w:r>
        <w:rPr>
          <w:color w:val="auto"/>
          <w:highlight w:val="none"/>
        </w:rPr>
        <w:fldChar w:fldCharType="separate"/>
      </w:r>
      <w:r>
        <w:rPr>
          <w:color w:val="auto"/>
          <w:highlight w:val="none"/>
        </w:rPr>
        <w:t>12</w:t>
      </w:r>
      <w:r>
        <w:rPr>
          <w:color w:val="auto"/>
          <w:highlight w:val="none"/>
        </w:rPr>
        <w:fldChar w:fldCharType="end"/>
      </w:r>
      <w:r>
        <w:rPr>
          <w:color w:val="auto"/>
          <w:highlight w:val="none"/>
        </w:rPr>
        <w:fldChar w:fldCharType="end"/>
      </w:r>
    </w:p>
    <w:p>
      <w:pPr>
        <w:pStyle w:val="24"/>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"_Toc141050498" </w:instrText>
      </w:r>
      <w:r>
        <w:rPr>
          <w:color w:val="auto"/>
          <w:highlight w:val="none"/>
        </w:rPr>
        <w:fldChar w:fldCharType="separate"/>
      </w:r>
      <w:r>
        <w:rPr>
          <w:rStyle w:val="47"/>
          <w:rFonts w:hint="eastAsia" w:ascii="宋体" w:hAnsi="宋体" w:cs="宋体"/>
          <w:b/>
          <w:color w:val="auto"/>
          <w:highlight w:val="none"/>
        </w:rPr>
        <w:t>第二章评标办法</w:t>
      </w:r>
      <w:r>
        <w:rPr>
          <w:color w:val="auto"/>
          <w:highlight w:val="none"/>
        </w:rPr>
        <w:tab/>
      </w:r>
      <w:r>
        <w:rPr>
          <w:color w:val="auto"/>
          <w:highlight w:val="none"/>
        </w:rPr>
        <w:fldChar w:fldCharType="begin"/>
      </w:r>
      <w:r>
        <w:rPr>
          <w:color w:val="auto"/>
          <w:highlight w:val="none"/>
        </w:rPr>
        <w:instrText xml:space="preserve"> PAGEREF _Toc141050498 \h </w:instrText>
      </w:r>
      <w:r>
        <w:rPr>
          <w:color w:val="auto"/>
          <w:highlight w:val="none"/>
        </w:rPr>
        <w:fldChar w:fldCharType="separate"/>
      </w:r>
      <w:r>
        <w:rPr>
          <w:color w:val="auto"/>
          <w:highlight w:val="none"/>
        </w:rPr>
        <w:t>13</w:t>
      </w:r>
      <w:r>
        <w:rPr>
          <w:color w:val="auto"/>
          <w:highlight w:val="none"/>
        </w:rPr>
        <w:fldChar w:fldCharType="end"/>
      </w:r>
      <w:r>
        <w:rPr>
          <w:color w:val="auto"/>
          <w:highlight w:val="none"/>
        </w:rPr>
        <w:fldChar w:fldCharType="end"/>
      </w:r>
    </w:p>
    <w:p>
      <w:pPr>
        <w:pStyle w:val="16"/>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"_Toc141050499" </w:instrText>
      </w:r>
      <w:r>
        <w:rPr>
          <w:color w:val="auto"/>
          <w:highlight w:val="none"/>
        </w:rPr>
        <w:fldChar w:fldCharType="separate"/>
      </w:r>
      <w:r>
        <w:rPr>
          <w:rStyle w:val="47"/>
          <w:rFonts w:hint="eastAsia" w:ascii="宋体" w:hAnsi="宋体" w:cs="宋体"/>
          <w:b/>
          <w:color w:val="auto"/>
          <w:highlight w:val="none"/>
        </w:rPr>
        <w:t>评审办法前附表</w:t>
      </w:r>
      <w:r>
        <w:rPr>
          <w:color w:val="auto"/>
          <w:highlight w:val="none"/>
        </w:rPr>
        <w:tab/>
      </w:r>
      <w:r>
        <w:rPr>
          <w:color w:val="auto"/>
          <w:highlight w:val="none"/>
        </w:rPr>
        <w:fldChar w:fldCharType="begin"/>
      </w:r>
      <w:r>
        <w:rPr>
          <w:color w:val="auto"/>
          <w:highlight w:val="none"/>
        </w:rPr>
        <w:instrText xml:space="preserve"> PAGEREF _Toc141050499 \h </w:instrText>
      </w:r>
      <w:r>
        <w:rPr>
          <w:color w:val="auto"/>
          <w:highlight w:val="none"/>
        </w:rPr>
        <w:fldChar w:fldCharType="separate"/>
      </w:r>
      <w:r>
        <w:rPr>
          <w:color w:val="auto"/>
          <w:highlight w:val="none"/>
        </w:rPr>
        <w:t>13</w:t>
      </w:r>
      <w:r>
        <w:rPr>
          <w:color w:val="auto"/>
          <w:highlight w:val="none"/>
        </w:rPr>
        <w:fldChar w:fldCharType="end"/>
      </w:r>
      <w:r>
        <w:rPr>
          <w:color w:val="auto"/>
          <w:highlight w:val="none"/>
        </w:rPr>
        <w:fldChar w:fldCharType="end"/>
      </w:r>
    </w:p>
    <w:p>
      <w:pPr>
        <w:pStyle w:val="16"/>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"_Toc141050500" </w:instrText>
      </w:r>
      <w:r>
        <w:rPr>
          <w:color w:val="auto"/>
          <w:highlight w:val="none"/>
        </w:rPr>
        <w:fldChar w:fldCharType="separate"/>
      </w:r>
      <w:r>
        <w:rPr>
          <w:rStyle w:val="47"/>
          <w:rFonts w:ascii="宋体" w:hAnsi="宋体" w:cs="宋体"/>
          <w:b/>
          <w:color w:val="auto"/>
          <w:highlight w:val="none"/>
        </w:rPr>
        <w:t xml:space="preserve">1. </w:t>
      </w:r>
      <w:r>
        <w:rPr>
          <w:rStyle w:val="47"/>
          <w:rFonts w:hint="eastAsia" w:ascii="宋体" w:hAnsi="宋体" w:cs="宋体"/>
          <w:b/>
          <w:color w:val="auto"/>
          <w:highlight w:val="none"/>
        </w:rPr>
        <w:t>评标方法</w:t>
      </w:r>
      <w:r>
        <w:rPr>
          <w:color w:val="auto"/>
          <w:highlight w:val="none"/>
        </w:rPr>
        <w:tab/>
      </w:r>
      <w:r>
        <w:rPr>
          <w:color w:val="auto"/>
          <w:highlight w:val="none"/>
        </w:rPr>
        <w:fldChar w:fldCharType="begin"/>
      </w:r>
      <w:r>
        <w:rPr>
          <w:color w:val="auto"/>
          <w:highlight w:val="none"/>
        </w:rPr>
        <w:instrText xml:space="preserve"> PAGEREF _Toc141050500 \h </w:instrText>
      </w:r>
      <w:r>
        <w:rPr>
          <w:color w:val="auto"/>
          <w:highlight w:val="none"/>
        </w:rPr>
        <w:fldChar w:fldCharType="separate"/>
      </w:r>
      <w:r>
        <w:rPr>
          <w:color w:val="auto"/>
          <w:highlight w:val="none"/>
        </w:rPr>
        <w:t>15</w:t>
      </w:r>
      <w:r>
        <w:rPr>
          <w:color w:val="auto"/>
          <w:highlight w:val="none"/>
        </w:rPr>
        <w:fldChar w:fldCharType="end"/>
      </w:r>
      <w:r>
        <w:rPr>
          <w:color w:val="auto"/>
          <w:highlight w:val="none"/>
        </w:rPr>
        <w:fldChar w:fldCharType="end"/>
      </w:r>
    </w:p>
    <w:p>
      <w:pPr>
        <w:pStyle w:val="16"/>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"_Toc141050501" </w:instrText>
      </w:r>
      <w:r>
        <w:rPr>
          <w:color w:val="auto"/>
          <w:highlight w:val="none"/>
        </w:rPr>
        <w:fldChar w:fldCharType="separate"/>
      </w:r>
      <w:r>
        <w:rPr>
          <w:rStyle w:val="47"/>
          <w:rFonts w:ascii="宋体" w:hAnsi="宋体" w:cs="宋体"/>
          <w:b/>
          <w:color w:val="auto"/>
          <w:highlight w:val="none"/>
        </w:rPr>
        <w:t xml:space="preserve">2. </w:t>
      </w:r>
      <w:r>
        <w:rPr>
          <w:rStyle w:val="47"/>
          <w:rFonts w:hint="eastAsia" w:ascii="宋体" w:hAnsi="宋体" w:cs="宋体"/>
          <w:b/>
          <w:color w:val="auto"/>
          <w:highlight w:val="none"/>
        </w:rPr>
        <w:t>评审标</w:t>
      </w:r>
      <w:bookmarkStart w:id="152" w:name="_GoBack"/>
      <w:bookmarkEnd w:id="152"/>
      <w:r>
        <w:rPr>
          <w:rStyle w:val="47"/>
          <w:rFonts w:hint="eastAsia" w:ascii="宋体" w:hAnsi="宋体" w:cs="宋体"/>
          <w:b/>
          <w:color w:val="auto"/>
          <w:highlight w:val="none"/>
        </w:rPr>
        <w:t>准</w:t>
      </w:r>
      <w:r>
        <w:rPr>
          <w:color w:val="auto"/>
          <w:highlight w:val="none"/>
        </w:rPr>
        <w:tab/>
      </w:r>
      <w:r>
        <w:rPr>
          <w:color w:val="auto"/>
          <w:highlight w:val="none"/>
        </w:rPr>
        <w:fldChar w:fldCharType="begin"/>
      </w:r>
      <w:r>
        <w:rPr>
          <w:color w:val="auto"/>
          <w:highlight w:val="none"/>
        </w:rPr>
        <w:instrText xml:space="preserve"> PAGEREF _Toc141050501 \h </w:instrText>
      </w:r>
      <w:r>
        <w:rPr>
          <w:color w:val="auto"/>
          <w:highlight w:val="none"/>
        </w:rPr>
        <w:fldChar w:fldCharType="separate"/>
      </w:r>
      <w:r>
        <w:rPr>
          <w:color w:val="auto"/>
          <w:highlight w:val="none"/>
        </w:rPr>
        <w:t>15</w:t>
      </w:r>
      <w:r>
        <w:rPr>
          <w:color w:val="auto"/>
          <w:highlight w:val="none"/>
        </w:rPr>
        <w:fldChar w:fldCharType="end"/>
      </w:r>
      <w:r>
        <w:rPr>
          <w:color w:val="auto"/>
          <w:highlight w:val="none"/>
        </w:rPr>
        <w:fldChar w:fldCharType="end"/>
      </w:r>
    </w:p>
    <w:p>
      <w:pPr>
        <w:pStyle w:val="16"/>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"_Toc141050502" </w:instrText>
      </w:r>
      <w:r>
        <w:rPr>
          <w:color w:val="auto"/>
          <w:highlight w:val="none"/>
        </w:rPr>
        <w:fldChar w:fldCharType="separate"/>
      </w:r>
      <w:r>
        <w:rPr>
          <w:rStyle w:val="47"/>
          <w:rFonts w:ascii="宋体" w:hAnsi="宋体" w:cs="宋体"/>
          <w:b/>
          <w:color w:val="auto"/>
          <w:highlight w:val="none"/>
        </w:rPr>
        <w:t xml:space="preserve">3. </w:t>
      </w:r>
      <w:r>
        <w:rPr>
          <w:rStyle w:val="47"/>
          <w:rFonts w:hint="eastAsia" w:ascii="宋体" w:hAnsi="宋体" w:cs="宋体"/>
          <w:b/>
          <w:color w:val="auto"/>
          <w:highlight w:val="none"/>
        </w:rPr>
        <w:t>评标程序</w:t>
      </w:r>
      <w:r>
        <w:rPr>
          <w:color w:val="auto"/>
          <w:highlight w:val="none"/>
        </w:rPr>
        <w:tab/>
      </w:r>
      <w:r>
        <w:rPr>
          <w:color w:val="auto"/>
          <w:highlight w:val="none"/>
        </w:rPr>
        <w:fldChar w:fldCharType="begin"/>
      </w:r>
      <w:r>
        <w:rPr>
          <w:color w:val="auto"/>
          <w:highlight w:val="none"/>
        </w:rPr>
        <w:instrText xml:space="preserve"> PAGEREF _Toc141050502 \h </w:instrText>
      </w:r>
      <w:r>
        <w:rPr>
          <w:color w:val="auto"/>
          <w:highlight w:val="none"/>
        </w:rPr>
        <w:fldChar w:fldCharType="separate"/>
      </w:r>
      <w:r>
        <w:rPr>
          <w:color w:val="auto"/>
          <w:highlight w:val="none"/>
        </w:rPr>
        <w:t>16</w:t>
      </w:r>
      <w:r>
        <w:rPr>
          <w:color w:val="auto"/>
          <w:highlight w:val="none"/>
        </w:rPr>
        <w:fldChar w:fldCharType="end"/>
      </w:r>
      <w:r>
        <w:rPr>
          <w:color w:val="auto"/>
          <w:highlight w:val="none"/>
        </w:rPr>
        <w:fldChar w:fldCharType="end"/>
      </w:r>
    </w:p>
    <w:p>
      <w:pPr>
        <w:pStyle w:val="24"/>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"_Toc141050503" </w:instrText>
      </w:r>
      <w:r>
        <w:rPr>
          <w:color w:val="auto"/>
          <w:highlight w:val="none"/>
        </w:rPr>
        <w:fldChar w:fldCharType="separate"/>
      </w:r>
      <w:r>
        <w:rPr>
          <w:rStyle w:val="47"/>
          <w:rFonts w:hint="eastAsia" w:ascii="宋体" w:hAnsi="宋体" w:cs="宋体"/>
          <w:b/>
          <w:color w:val="auto"/>
          <w:highlight w:val="none"/>
        </w:rPr>
        <w:t>第三章合同条款</w:t>
      </w:r>
      <w:r>
        <w:rPr>
          <w:color w:val="auto"/>
          <w:highlight w:val="none"/>
        </w:rPr>
        <w:tab/>
      </w:r>
      <w:r>
        <w:rPr>
          <w:color w:val="auto"/>
          <w:highlight w:val="none"/>
        </w:rPr>
        <w:fldChar w:fldCharType="begin"/>
      </w:r>
      <w:r>
        <w:rPr>
          <w:color w:val="auto"/>
          <w:highlight w:val="none"/>
        </w:rPr>
        <w:instrText xml:space="preserve"> PAGEREF _Toc141050503 \h </w:instrText>
      </w:r>
      <w:r>
        <w:rPr>
          <w:color w:val="auto"/>
          <w:highlight w:val="none"/>
        </w:rPr>
        <w:fldChar w:fldCharType="separate"/>
      </w:r>
      <w:r>
        <w:rPr>
          <w:color w:val="auto"/>
          <w:highlight w:val="none"/>
        </w:rPr>
        <w:t>20</w:t>
      </w:r>
      <w:r>
        <w:rPr>
          <w:color w:val="auto"/>
          <w:highlight w:val="none"/>
        </w:rPr>
        <w:fldChar w:fldCharType="end"/>
      </w:r>
      <w:r>
        <w:rPr>
          <w:color w:val="auto"/>
          <w:highlight w:val="none"/>
        </w:rPr>
        <w:fldChar w:fldCharType="end"/>
      </w:r>
    </w:p>
    <w:p>
      <w:pPr>
        <w:pStyle w:val="24"/>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"_Toc141050504" </w:instrText>
      </w:r>
      <w:r>
        <w:rPr>
          <w:color w:val="auto"/>
          <w:highlight w:val="none"/>
        </w:rPr>
        <w:fldChar w:fldCharType="separate"/>
      </w:r>
      <w:r>
        <w:rPr>
          <w:rStyle w:val="47"/>
          <w:rFonts w:hint="eastAsia" w:ascii="宋体" w:hAnsi="宋体" w:cs="宋体"/>
          <w:b/>
          <w:color w:val="auto"/>
          <w:highlight w:val="none"/>
        </w:rPr>
        <w:t>第四章技术标准和要求</w:t>
      </w:r>
      <w:r>
        <w:rPr>
          <w:color w:val="auto"/>
          <w:highlight w:val="none"/>
        </w:rPr>
        <w:tab/>
      </w:r>
      <w:r>
        <w:rPr>
          <w:color w:val="auto"/>
          <w:highlight w:val="none"/>
        </w:rPr>
        <w:fldChar w:fldCharType="begin"/>
      </w:r>
      <w:r>
        <w:rPr>
          <w:color w:val="auto"/>
          <w:highlight w:val="none"/>
        </w:rPr>
        <w:instrText xml:space="preserve"> PAGEREF _Toc141050504 \h </w:instrText>
      </w:r>
      <w:r>
        <w:rPr>
          <w:color w:val="auto"/>
          <w:highlight w:val="none"/>
        </w:rPr>
        <w:fldChar w:fldCharType="separate"/>
      </w:r>
      <w:r>
        <w:rPr>
          <w:color w:val="auto"/>
          <w:highlight w:val="none"/>
        </w:rPr>
        <w:t>22</w:t>
      </w:r>
      <w:r>
        <w:rPr>
          <w:color w:val="auto"/>
          <w:highlight w:val="none"/>
        </w:rPr>
        <w:fldChar w:fldCharType="end"/>
      </w:r>
      <w:r>
        <w:rPr>
          <w:color w:val="auto"/>
          <w:highlight w:val="none"/>
        </w:rPr>
        <w:fldChar w:fldCharType="end"/>
      </w:r>
    </w:p>
    <w:p>
      <w:pPr>
        <w:pStyle w:val="24"/>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"_Toc141050505" </w:instrText>
      </w:r>
      <w:r>
        <w:rPr>
          <w:color w:val="auto"/>
          <w:highlight w:val="none"/>
        </w:rPr>
        <w:fldChar w:fldCharType="separate"/>
      </w:r>
      <w:r>
        <w:rPr>
          <w:rStyle w:val="47"/>
          <w:rFonts w:hint="eastAsia" w:ascii="宋体" w:hAnsi="宋体" w:cs="宋体"/>
          <w:b/>
          <w:color w:val="auto"/>
          <w:highlight w:val="none"/>
        </w:rPr>
        <w:t>第五章投标文件格式</w:t>
      </w:r>
      <w:r>
        <w:rPr>
          <w:color w:val="auto"/>
          <w:highlight w:val="none"/>
        </w:rPr>
        <w:tab/>
      </w:r>
      <w:r>
        <w:rPr>
          <w:color w:val="auto"/>
          <w:highlight w:val="none"/>
        </w:rPr>
        <w:fldChar w:fldCharType="begin"/>
      </w:r>
      <w:r>
        <w:rPr>
          <w:color w:val="auto"/>
          <w:highlight w:val="none"/>
        </w:rPr>
        <w:instrText xml:space="preserve"> PAGEREF _Toc141050505 \h </w:instrText>
      </w:r>
      <w:r>
        <w:rPr>
          <w:color w:val="auto"/>
          <w:highlight w:val="none"/>
        </w:rPr>
        <w:fldChar w:fldCharType="separate"/>
      </w:r>
      <w:r>
        <w:rPr>
          <w:color w:val="auto"/>
          <w:highlight w:val="none"/>
        </w:rPr>
        <w:t>31</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"_Toc141050506" </w:instrText>
      </w:r>
      <w:r>
        <w:rPr>
          <w:color w:val="auto"/>
          <w:highlight w:val="none"/>
        </w:rPr>
        <w:fldChar w:fldCharType="separate"/>
      </w:r>
      <w:r>
        <w:rPr>
          <w:rStyle w:val="47"/>
          <w:rFonts w:hint="eastAsia" w:ascii="宋体" w:hAnsi="宋体" w:cs="宋体"/>
          <w:b/>
          <w:color w:val="auto"/>
          <w:highlight w:val="none"/>
        </w:rPr>
        <w:t>目录</w:t>
      </w:r>
      <w:r>
        <w:rPr>
          <w:color w:val="auto"/>
          <w:highlight w:val="none"/>
        </w:rPr>
        <w:tab/>
      </w:r>
      <w:r>
        <w:rPr>
          <w:color w:val="auto"/>
          <w:highlight w:val="none"/>
        </w:rPr>
        <w:fldChar w:fldCharType="begin"/>
      </w:r>
      <w:r>
        <w:rPr>
          <w:color w:val="auto"/>
          <w:highlight w:val="none"/>
        </w:rPr>
        <w:instrText xml:space="preserve"> PAGEREF _Toc141050506 \h </w:instrText>
      </w:r>
      <w:r>
        <w:rPr>
          <w:color w:val="auto"/>
          <w:highlight w:val="none"/>
        </w:rPr>
        <w:fldChar w:fldCharType="separate"/>
      </w:r>
      <w:r>
        <w:rPr>
          <w:color w:val="auto"/>
          <w:highlight w:val="none"/>
        </w:rPr>
        <w:t>32</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"_Toc141050507" </w:instrText>
      </w:r>
      <w:r>
        <w:rPr>
          <w:color w:val="auto"/>
          <w:highlight w:val="none"/>
        </w:rPr>
        <w:fldChar w:fldCharType="separate"/>
      </w:r>
      <w:r>
        <w:rPr>
          <w:rStyle w:val="47"/>
          <w:rFonts w:hint="eastAsia" w:ascii="宋体" w:hAnsi="宋体" w:cs="宋体"/>
          <w:b/>
          <w:color w:val="auto"/>
          <w:highlight w:val="none"/>
        </w:rPr>
        <w:t>一、投标函</w:t>
      </w:r>
      <w:r>
        <w:rPr>
          <w:color w:val="auto"/>
          <w:highlight w:val="none"/>
        </w:rPr>
        <w:tab/>
      </w:r>
      <w:r>
        <w:rPr>
          <w:color w:val="auto"/>
          <w:highlight w:val="none"/>
        </w:rPr>
        <w:fldChar w:fldCharType="begin"/>
      </w:r>
      <w:r>
        <w:rPr>
          <w:color w:val="auto"/>
          <w:highlight w:val="none"/>
        </w:rPr>
        <w:instrText xml:space="preserve"> PAGEREF _Toc141050507 \h </w:instrText>
      </w:r>
      <w:r>
        <w:rPr>
          <w:color w:val="auto"/>
          <w:highlight w:val="none"/>
        </w:rPr>
        <w:fldChar w:fldCharType="separate"/>
      </w:r>
      <w:r>
        <w:rPr>
          <w:color w:val="auto"/>
          <w:highlight w:val="none"/>
        </w:rPr>
        <w:t>33</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"_Toc141050508" </w:instrText>
      </w:r>
      <w:r>
        <w:rPr>
          <w:color w:val="auto"/>
          <w:highlight w:val="none"/>
        </w:rPr>
        <w:fldChar w:fldCharType="separate"/>
      </w:r>
      <w:r>
        <w:rPr>
          <w:rStyle w:val="47"/>
          <w:rFonts w:hint="eastAsia" w:ascii="宋体" w:hAnsi="宋体" w:cs="宋体"/>
          <w:b/>
          <w:color w:val="auto"/>
          <w:highlight w:val="none"/>
        </w:rPr>
        <w:t>二、投标价格明细表</w:t>
      </w:r>
      <w:r>
        <w:rPr>
          <w:color w:val="auto"/>
          <w:highlight w:val="none"/>
        </w:rPr>
        <w:tab/>
      </w:r>
      <w:r>
        <w:rPr>
          <w:color w:val="auto"/>
          <w:highlight w:val="none"/>
        </w:rPr>
        <w:fldChar w:fldCharType="begin"/>
      </w:r>
      <w:r>
        <w:rPr>
          <w:color w:val="auto"/>
          <w:highlight w:val="none"/>
        </w:rPr>
        <w:instrText xml:space="preserve"> PAGEREF _Toc141050508 \h </w:instrText>
      </w:r>
      <w:r>
        <w:rPr>
          <w:color w:val="auto"/>
          <w:highlight w:val="none"/>
        </w:rPr>
        <w:fldChar w:fldCharType="separate"/>
      </w:r>
      <w:r>
        <w:rPr>
          <w:color w:val="auto"/>
          <w:highlight w:val="none"/>
        </w:rPr>
        <w:t>34</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"_Toc141050509" </w:instrText>
      </w:r>
      <w:r>
        <w:rPr>
          <w:color w:val="auto"/>
          <w:highlight w:val="none"/>
        </w:rPr>
        <w:fldChar w:fldCharType="separate"/>
      </w:r>
      <w:r>
        <w:rPr>
          <w:rStyle w:val="47"/>
          <w:rFonts w:hint="eastAsia" w:ascii="宋体" w:hAnsi="宋体"/>
          <w:color w:val="auto"/>
          <w:highlight w:val="none"/>
        </w:rPr>
        <w:t>三、</w:t>
      </w:r>
      <w:r>
        <w:rPr>
          <w:rStyle w:val="47"/>
          <w:rFonts w:hint="eastAsia" w:ascii="宋体" w:hAnsi="宋体" w:cs="宋体"/>
          <w:b/>
          <w:color w:val="auto"/>
          <w:highlight w:val="none"/>
        </w:rPr>
        <w:t>中小微企业投标价格统计表</w:t>
      </w:r>
      <w:r>
        <w:rPr>
          <w:color w:val="auto"/>
          <w:highlight w:val="none"/>
        </w:rPr>
        <w:tab/>
      </w:r>
      <w:r>
        <w:rPr>
          <w:color w:val="auto"/>
          <w:highlight w:val="none"/>
        </w:rPr>
        <w:fldChar w:fldCharType="begin"/>
      </w:r>
      <w:r>
        <w:rPr>
          <w:color w:val="auto"/>
          <w:highlight w:val="none"/>
        </w:rPr>
        <w:instrText xml:space="preserve"> PAGEREF _Toc141050509 \h </w:instrText>
      </w:r>
      <w:r>
        <w:rPr>
          <w:color w:val="auto"/>
          <w:highlight w:val="none"/>
        </w:rPr>
        <w:fldChar w:fldCharType="separate"/>
      </w:r>
      <w:r>
        <w:rPr>
          <w:color w:val="auto"/>
          <w:highlight w:val="none"/>
        </w:rPr>
        <w:t>35</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"_Toc141050510" </w:instrText>
      </w:r>
      <w:r>
        <w:rPr>
          <w:color w:val="auto"/>
          <w:highlight w:val="none"/>
        </w:rPr>
        <w:fldChar w:fldCharType="separate"/>
      </w:r>
      <w:r>
        <w:rPr>
          <w:rStyle w:val="47"/>
          <w:rFonts w:hint="eastAsia" w:ascii="宋体" w:hAnsi="宋体" w:cs="宋体"/>
          <w:b/>
          <w:color w:val="auto"/>
          <w:highlight w:val="none"/>
        </w:rPr>
        <w:t>四、技术条款偏离表</w:t>
      </w:r>
      <w:r>
        <w:rPr>
          <w:color w:val="auto"/>
          <w:highlight w:val="none"/>
        </w:rPr>
        <w:tab/>
      </w:r>
      <w:r>
        <w:rPr>
          <w:color w:val="auto"/>
          <w:highlight w:val="none"/>
        </w:rPr>
        <w:fldChar w:fldCharType="begin"/>
      </w:r>
      <w:r>
        <w:rPr>
          <w:color w:val="auto"/>
          <w:highlight w:val="none"/>
        </w:rPr>
        <w:instrText xml:space="preserve"> PAGEREF _Toc141050510 \h </w:instrText>
      </w:r>
      <w:r>
        <w:rPr>
          <w:color w:val="auto"/>
          <w:highlight w:val="none"/>
        </w:rPr>
        <w:fldChar w:fldCharType="separate"/>
      </w:r>
      <w:r>
        <w:rPr>
          <w:color w:val="auto"/>
          <w:highlight w:val="none"/>
        </w:rPr>
        <w:t>36</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"_Toc141050511" </w:instrText>
      </w:r>
      <w:r>
        <w:rPr>
          <w:color w:val="auto"/>
          <w:highlight w:val="none"/>
        </w:rPr>
        <w:fldChar w:fldCharType="separate"/>
      </w:r>
      <w:r>
        <w:rPr>
          <w:rStyle w:val="47"/>
          <w:rFonts w:hint="eastAsia" w:ascii="宋体" w:hAnsi="宋体" w:cs="宋体"/>
          <w:b/>
          <w:color w:val="auto"/>
          <w:highlight w:val="none"/>
        </w:rPr>
        <w:t>五、商务条款偏离表</w:t>
      </w:r>
      <w:r>
        <w:rPr>
          <w:color w:val="auto"/>
          <w:highlight w:val="none"/>
        </w:rPr>
        <w:tab/>
      </w:r>
      <w:r>
        <w:rPr>
          <w:color w:val="auto"/>
          <w:highlight w:val="none"/>
        </w:rPr>
        <w:fldChar w:fldCharType="begin"/>
      </w:r>
      <w:r>
        <w:rPr>
          <w:color w:val="auto"/>
          <w:highlight w:val="none"/>
        </w:rPr>
        <w:instrText xml:space="preserve"> PAGEREF _Toc141050511 \h </w:instrText>
      </w:r>
      <w:r>
        <w:rPr>
          <w:color w:val="auto"/>
          <w:highlight w:val="none"/>
        </w:rPr>
        <w:fldChar w:fldCharType="separate"/>
      </w:r>
      <w:r>
        <w:rPr>
          <w:color w:val="auto"/>
          <w:highlight w:val="none"/>
        </w:rPr>
        <w:t>37</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"_Toc141050512" </w:instrText>
      </w:r>
      <w:r>
        <w:rPr>
          <w:color w:val="auto"/>
          <w:highlight w:val="none"/>
        </w:rPr>
        <w:fldChar w:fldCharType="separate"/>
      </w:r>
      <w:r>
        <w:rPr>
          <w:rStyle w:val="47"/>
          <w:rFonts w:hint="eastAsia" w:ascii="宋体" w:hAnsi="宋体" w:cs="宋体"/>
          <w:b/>
          <w:color w:val="auto"/>
          <w:highlight w:val="none"/>
        </w:rPr>
        <w:t>六、法定代表人身份证明书</w:t>
      </w:r>
      <w:r>
        <w:rPr>
          <w:color w:val="auto"/>
          <w:highlight w:val="none"/>
        </w:rPr>
        <w:tab/>
      </w:r>
      <w:r>
        <w:rPr>
          <w:color w:val="auto"/>
          <w:highlight w:val="none"/>
        </w:rPr>
        <w:fldChar w:fldCharType="begin"/>
      </w:r>
      <w:r>
        <w:rPr>
          <w:color w:val="auto"/>
          <w:highlight w:val="none"/>
        </w:rPr>
        <w:instrText xml:space="preserve"> PAGEREF _Toc141050512 \h </w:instrText>
      </w:r>
      <w:r>
        <w:rPr>
          <w:color w:val="auto"/>
          <w:highlight w:val="none"/>
        </w:rPr>
        <w:fldChar w:fldCharType="separate"/>
      </w:r>
      <w:r>
        <w:rPr>
          <w:color w:val="auto"/>
          <w:highlight w:val="none"/>
        </w:rPr>
        <w:t>38</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"_Toc141050513" </w:instrText>
      </w:r>
      <w:r>
        <w:rPr>
          <w:color w:val="auto"/>
          <w:highlight w:val="none"/>
        </w:rPr>
        <w:fldChar w:fldCharType="separate"/>
      </w:r>
      <w:r>
        <w:rPr>
          <w:rStyle w:val="47"/>
          <w:rFonts w:hint="eastAsia" w:ascii="宋体" w:hAnsi="宋体" w:cs="宋体"/>
          <w:b/>
          <w:color w:val="auto"/>
          <w:highlight w:val="none"/>
        </w:rPr>
        <w:t>七、法定代表人授权委托书</w:t>
      </w:r>
      <w:r>
        <w:rPr>
          <w:color w:val="auto"/>
          <w:highlight w:val="none"/>
        </w:rPr>
        <w:tab/>
      </w:r>
      <w:r>
        <w:rPr>
          <w:color w:val="auto"/>
          <w:highlight w:val="none"/>
        </w:rPr>
        <w:fldChar w:fldCharType="begin"/>
      </w:r>
      <w:r>
        <w:rPr>
          <w:color w:val="auto"/>
          <w:highlight w:val="none"/>
        </w:rPr>
        <w:instrText xml:space="preserve"> PAGEREF _Toc141050513 \h </w:instrText>
      </w:r>
      <w:r>
        <w:rPr>
          <w:color w:val="auto"/>
          <w:highlight w:val="none"/>
        </w:rPr>
        <w:fldChar w:fldCharType="separate"/>
      </w:r>
      <w:r>
        <w:rPr>
          <w:color w:val="auto"/>
          <w:highlight w:val="none"/>
        </w:rPr>
        <w:t>39</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"_Toc141050514" </w:instrText>
      </w:r>
      <w:r>
        <w:rPr>
          <w:color w:val="auto"/>
          <w:highlight w:val="none"/>
        </w:rPr>
        <w:fldChar w:fldCharType="separate"/>
      </w:r>
      <w:r>
        <w:rPr>
          <w:rStyle w:val="47"/>
          <w:rFonts w:hint="eastAsia" w:ascii="宋体" w:hAnsi="宋体" w:cs="宋体"/>
          <w:b/>
          <w:color w:val="auto"/>
          <w:highlight w:val="none"/>
        </w:rPr>
        <w:t>八、</w:t>
      </w:r>
      <w:r>
        <w:rPr>
          <w:rStyle w:val="47"/>
          <w:rFonts w:hint="eastAsia" w:ascii="宋体" w:hAnsi="宋体"/>
          <w:b/>
          <w:bCs/>
          <w:color w:val="auto"/>
          <w:highlight w:val="none"/>
        </w:rPr>
        <w:t>投标人资格条件证明材料</w:t>
      </w:r>
      <w:r>
        <w:rPr>
          <w:color w:val="auto"/>
          <w:highlight w:val="none"/>
        </w:rPr>
        <w:tab/>
      </w:r>
      <w:r>
        <w:rPr>
          <w:color w:val="auto"/>
          <w:highlight w:val="none"/>
        </w:rPr>
        <w:fldChar w:fldCharType="begin"/>
      </w:r>
      <w:r>
        <w:rPr>
          <w:color w:val="auto"/>
          <w:highlight w:val="none"/>
        </w:rPr>
        <w:instrText xml:space="preserve"> PAGEREF _Toc141050514 \h </w:instrText>
      </w:r>
      <w:r>
        <w:rPr>
          <w:color w:val="auto"/>
          <w:highlight w:val="none"/>
        </w:rPr>
        <w:fldChar w:fldCharType="separate"/>
      </w:r>
      <w:r>
        <w:rPr>
          <w:color w:val="auto"/>
          <w:highlight w:val="none"/>
        </w:rPr>
        <w:t>40</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"_Toc141050520" </w:instrText>
      </w:r>
      <w:r>
        <w:rPr>
          <w:color w:val="auto"/>
          <w:highlight w:val="none"/>
        </w:rPr>
        <w:fldChar w:fldCharType="separate"/>
      </w:r>
      <w:r>
        <w:rPr>
          <w:rStyle w:val="47"/>
          <w:rFonts w:hint="eastAsia" w:ascii="宋体" w:hAnsi="宋体" w:cs="宋体"/>
          <w:b/>
          <w:color w:val="auto"/>
          <w:highlight w:val="none"/>
        </w:rPr>
        <w:t>九、投标人近年类似项目情况表</w:t>
      </w:r>
      <w:r>
        <w:rPr>
          <w:color w:val="auto"/>
          <w:highlight w:val="none"/>
        </w:rPr>
        <w:tab/>
      </w:r>
      <w:r>
        <w:rPr>
          <w:color w:val="auto"/>
          <w:highlight w:val="none"/>
        </w:rPr>
        <w:fldChar w:fldCharType="begin"/>
      </w:r>
      <w:r>
        <w:rPr>
          <w:color w:val="auto"/>
          <w:highlight w:val="none"/>
        </w:rPr>
        <w:instrText xml:space="preserve"> PAGEREF _Toc141050520 \h </w:instrText>
      </w:r>
      <w:r>
        <w:rPr>
          <w:color w:val="auto"/>
          <w:highlight w:val="none"/>
        </w:rPr>
        <w:fldChar w:fldCharType="separate"/>
      </w:r>
      <w:r>
        <w:rPr>
          <w:color w:val="auto"/>
          <w:highlight w:val="none"/>
        </w:rPr>
        <w:t>48</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"_Toc141050521" </w:instrText>
      </w:r>
      <w:r>
        <w:rPr>
          <w:color w:val="auto"/>
          <w:highlight w:val="none"/>
        </w:rPr>
        <w:fldChar w:fldCharType="separate"/>
      </w:r>
      <w:r>
        <w:rPr>
          <w:rStyle w:val="47"/>
          <w:rFonts w:hint="eastAsia" w:ascii="宋体" w:hAnsi="宋体" w:cs="宋体"/>
          <w:b/>
          <w:color w:val="auto"/>
          <w:highlight w:val="none"/>
        </w:rPr>
        <w:t>十、售后服务承诺书</w:t>
      </w:r>
      <w:r>
        <w:rPr>
          <w:color w:val="auto"/>
          <w:highlight w:val="none"/>
        </w:rPr>
        <w:tab/>
      </w:r>
      <w:r>
        <w:rPr>
          <w:color w:val="auto"/>
          <w:highlight w:val="none"/>
        </w:rPr>
        <w:fldChar w:fldCharType="begin"/>
      </w:r>
      <w:r>
        <w:rPr>
          <w:color w:val="auto"/>
          <w:highlight w:val="none"/>
        </w:rPr>
        <w:instrText xml:space="preserve"> PAGEREF _Toc141050521 \h </w:instrText>
      </w:r>
      <w:r>
        <w:rPr>
          <w:color w:val="auto"/>
          <w:highlight w:val="none"/>
        </w:rPr>
        <w:fldChar w:fldCharType="separate"/>
      </w:r>
      <w:r>
        <w:rPr>
          <w:color w:val="auto"/>
          <w:highlight w:val="none"/>
        </w:rPr>
        <w:t>49</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"_Toc141050522" </w:instrText>
      </w:r>
      <w:r>
        <w:rPr>
          <w:color w:val="auto"/>
          <w:highlight w:val="none"/>
        </w:rPr>
        <w:fldChar w:fldCharType="separate"/>
      </w:r>
      <w:r>
        <w:rPr>
          <w:rStyle w:val="47"/>
          <w:rFonts w:hint="eastAsia" w:ascii="宋体" w:hAnsi="宋体" w:cs="宋体"/>
          <w:b/>
          <w:color w:val="auto"/>
          <w:highlight w:val="none"/>
        </w:rPr>
        <w:t>十一、技术方案</w:t>
      </w:r>
      <w:r>
        <w:rPr>
          <w:color w:val="auto"/>
          <w:highlight w:val="none"/>
        </w:rPr>
        <w:tab/>
      </w:r>
      <w:r>
        <w:rPr>
          <w:color w:val="auto"/>
          <w:highlight w:val="none"/>
        </w:rPr>
        <w:fldChar w:fldCharType="begin"/>
      </w:r>
      <w:r>
        <w:rPr>
          <w:color w:val="auto"/>
          <w:highlight w:val="none"/>
        </w:rPr>
        <w:instrText xml:space="preserve"> PAGEREF _Toc141050522 \h </w:instrText>
      </w:r>
      <w:r>
        <w:rPr>
          <w:color w:val="auto"/>
          <w:highlight w:val="none"/>
        </w:rPr>
        <w:fldChar w:fldCharType="separate"/>
      </w:r>
      <w:r>
        <w:rPr>
          <w:color w:val="auto"/>
          <w:highlight w:val="none"/>
        </w:rPr>
        <w:t>50</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"_Toc141050523" </w:instrText>
      </w:r>
      <w:r>
        <w:rPr>
          <w:color w:val="auto"/>
          <w:highlight w:val="none"/>
        </w:rPr>
        <w:fldChar w:fldCharType="separate"/>
      </w:r>
      <w:r>
        <w:rPr>
          <w:rStyle w:val="47"/>
          <w:rFonts w:hint="eastAsia" w:ascii="宋体" w:hAnsi="宋体" w:cs="宋体"/>
          <w:b/>
          <w:color w:val="auto"/>
          <w:highlight w:val="none"/>
        </w:rPr>
        <w:t>十二、其它需要提交的资料</w:t>
      </w:r>
      <w:r>
        <w:rPr>
          <w:color w:val="auto"/>
          <w:highlight w:val="none"/>
        </w:rPr>
        <w:tab/>
      </w:r>
      <w:r>
        <w:rPr>
          <w:color w:val="auto"/>
          <w:highlight w:val="none"/>
        </w:rPr>
        <w:fldChar w:fldCharType="begin"/>
      </w:r>
      <w:r>
        <w:rPr>
          <w:color w:val="auto"/>
          <w:highlight w:val="none"/>
        </w:rPr>
        <w:instrText xml:space="preserve"> PAGEREF _Toc141050523 \h </w:instrText>
      </w:r>
      <w:r>
        <w:rPr>
          <w:color w:val="auto"/>
          <w:highlight w:val="none"/>
        </w:rPr>
        <w:fldChar w:fldCharType="separate"/>
      </w:r>
      <w:r>
        <w:rPr>
          <w:color w:val="auto"/>
          <w:highlight w:val="none"/>
        </w:rPr>
        <w:t>50</w:t>
      </w:r>
      <w:r>
        <w:rPr>
          <w:color w:val="auto"/>
          <w:highlight w:val="none"/>
        </w:rPr>
        <w:fldChar w:fldCharType="end"/>
      </w:r>
      <w:r>
        <w:rPr>
          <w:color w:val="auto"/>
          <w:highlight w:val="none"/>
        </w:rPr>
        <w:fldChar w:fldCharType="end"/>
      </w:r>
    </w:p>
    <w:p>
      <w:pPr>
        <w:pStyle w:val="24"/>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"_Toc141050524" </w:instrText>
      </w:r>
      <w:r>
        <w:rPr>
          <w:color w:val="auto"/>
          <w:highlight w:val="none"/>
        </w:rPr>
        <w:fldChar w:fldCharType="separate"/>
      </w:r>
      <w:r>
        <w:rPr>
          <w:rStyle w:val="47"/>
          <w:rFonts w:hint="eastAsia" w:ascii="宋体" w:hAnsi="宋体" w:cs="宋体"/>
          <w:b/>
          <w:color w:val="auto"/>
          <w:highlight w:val="none"/>
        </w:rPr>
        <w:t>第六章补充条款</w:t>
      </w:r>
      <w:r>
        <w:rPr>
          <w:color w:val="auto"/>
          <w:highlight w:val="none"/>
        </w:rPr>
        <w:tab/>
      </w:r>
      <w:r>
        <w:rPr>
          <w:color w:val="auto"/>
          <w:highlight w:val="none"/>
        </w:rPr>
        <w:fldChar w:fldCharType="begin"/>
      </w:r>
      <w:r>
        <w:rPr>
          <w:color w:val="auto"/>
          <w:highlight w:val="none"/>
        </w:rPr>
        <w:instrText xml:space="preserve"> PAGEREF _Toc141050524 \h </w:instrText>
      </w:r>
      <w:r>
        <w:rPr>
          <w:color w:val="auto"/>
          <w:highlight w:val="none"/>
        </w:rPr>
        <w:fldChar w:fldCharType="separate"/>
      </w:r>
      <w:r>
        <w:rPr>
          <w:color w:val="auto"/>
          <w:highlight w:val="none"/>
        </w:rPr>
        <w:t>51</w:t>
      </w:r>
      <w:r>
        <w:rPr>
          <w:color w:val="auto"/>
          <w:highlight w:val="none"/>
        </w:rPr>
        <w:fldChar w:fldCharType="end"/>
      </w:r>
      <w:r>
        <w:rPr>
          <w:color w:val="auto"/>
          <w:highlight w:val="none"/>
        </w:rPr>
        <w:fldChar w:fldCharType="end"/>
      </w:r>
    </w:p>
    <w:p>
      <w:pPr>
        <w:rPr>
          <w:rFonts w:ascii="宋体" w:hAnsi="Calibri" w:eastAsia="宋体" w:cs="宋体"/>
          <w:b/>
          <w:bCs/>
          <w:color w:val="auto"/>
          <w:highlight w:val="none"/>
        </w:rPr>
        <w:sectPr>
          <w:headerReference r:id="rId3" w:type="default"/>
          <w:footerReference r:id="rId4" w:type="default"/>
          <w:footerReference r:id="rId5" w:type="even"/>
          <w:pgSz w:w="11906" w:h="16838"/>
          <w:pgMar w:top="1361" w:right="1134" w:bottom="1361" w:left="1418" w:header="851" w:footer="992" w:gutter="0"/>
          <w:pgNumType w:start="1"/>
          <w:cols w:space="720" w:num="1"/>
          <w:docGrid w:type="lines" w:linePitch="312" w:charSpace="0"/>
        </w:sectPr>
      </w:pPr>
      <w:r>
        <w:rPr>
          <w:rFonts w:ascii="宋体" w:hAnsi="宋体" w:eastAsia="宋体" w:cs="宋体"/>
          <w:b/>
          <w:bCs/>
          <w:color w:val="auto"/>
          <w:sz w:val="24"/>
          <w:highlight w:val="none"/>
        </w:rPr>
        <w:fldChar w:fldCharType="end"/>
      </w:r>
    </w:p>
    <w:p>
      <w:pPr>
        <w:spacing w:line="440" w:lineRule="exact"/>
        <w:jc w:val="center"/>
        <w:outlineLvl w:val="0"/>
        <w:rPr>
          <w:rFonts w:ascii="宋体" w:hAnsi="宋体" w:eastAsia="宋体" w:cs="宋体"/>
          <w:b/>
          <w:color w:val="auto"/>
          <w:sz w:val="24"/>
          <w:szCs w:val="24"/>
          <w:highlight w:val="none"/>
        </w:rPr>
      </w:pPr>
      <w:bookmarkStart w:id="0" w:name="_Toc141050488"/>
      <w:r>
        <w:rPr>
          <w:rFonts w:hint="eastAsia" w:ascii="宋体" w:hAnsi="宋体" w:eastAsia="宋体" w:cs="宋体"/>
          <w:b/>
          <w:color w:val="auto"/>
          <w:sz w:val="24"/>
          <w:szCs w:val="24"/>
          <w:highlight w:val="none"/>
        </w:rPr>
        <w:t>投标人须知前附表</w:t>
      </w:r>
      <w:bookmarkEnd w:id="0"/>
    </w:p>
    <w:tbl>
      <w:tblPr>
        <w:tblStyle w:val="37"/>
        <w:tblW w:w="908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57" w:type="dxa"/>
          <w:left w:w="57" w:type="dxa"/>
          <w:bottom w:w="57" w:type="dxa"/>
          <w:right w:w="57" w:type="dxa"/>
        </w:tblCellMar>
      </w:tblPr>
      <w:tblGrid>
        <w:gridCol w:w="597"/>
        <w:gridCol w:w="1410"/>
        <w:gridCol w:w="707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87" w:hRule="atLeast"/>
          <w:jc w:val="center"/>
        </w:trPr>
        <w:tc>
          <w:tcPr>
            <w:tcW w:w="597" w:type="dxa"/>
            <w:vAlign w:val="center"/>
          </w:tcPr>
          <w:p>
            <w:pPr>
              <w:jc w:val="center"/>
              <w:rPr>
                <w:rFonts w:ascii="宋体" w:hAnsi="宋体" w:cs="Times New Roman"/>
                <w:b/>
                <w:color w:val="auto"/>
                <w:kern w:val="0"/>
                <w:szCs w:val="21"/>
                <w:highlight w:val="none"/>
              </w:rPr>
            </w:pPr>
            <w:r>
              <w:rPr>
                <w:rFonts w:hint="eastAsia" w:ascii="宋体" w:hAnsi="宋体" w:cs="Times New Roman"/>
                <w:b/>
                <w:color w:val="auto"/>
                <w:kern w:val="0"/>
                <w:szCs w:val="21"/>
                <w:highlight w:val="none"/>
              </w:rPr>
              <w:t>项号</w:t>
            </w:r>
          </w:p>
        </w:tc>
        <w:tc>
          <w:tcPr>
            <w:tcW w:w="8483" w:type="dxa"/>
            <w:gridSpan w:val="2"/>
            <w:vAlign w:val="center"/>
          </w:tcPr>
          <w:p>
            <w:pPr>
              <w:jc w:val="center"/>
              <w:rPr>
                <w:rFonts w:ascii="宋体" w:hAnsi="宋体" w:cs="Times New Roman"/>
                <w:b/>
                <w:color w:val="auto"/>
                <w:kern w:val="0"/>
                <w:szCs w:val="21"/>
                <w:highlight w:val="none"/>
              </w:rPr>
            </w:pPr>
            <w:r>
              <w:rPr>
                <w:rFonts w:hint="eastAsia" w:ascii="宋体" w:hAnsi="宋体" w:cs="Times New Roman"/>
                <w:b/>
                <w:color w:val="auto"/>
                <w:kern w:val="0"/>
                <w:szCs w:val="21"/>
                <w:highlight w:val="none"/>
              </w:rPr>
              <w:t>编列内容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pPr>
              <w:jc w:val="center"/>
              <w:rPr>
                <w:rFonts w:ascii="宋体" w:hAnsi="宋体" w:cs="Times New Roman"/>
                <w:color w:val="auto"/>
                <w:kern w:val="0"/>
                <w:szCs w:val="21"/>
                <w:highlight w:val="none"/>
              </w:rPr>
            </w:pPr>
            <w:r>
              <w:rPr>
                <w:rFonts w:ascii="宋体" w:hAnsi="宋体" w:cs="Times New Roman"/>
                <w:color w:val="auto"/>
                <w:kern w:val="0"/>
                <w:szCs w:val="21"/>
                <w:highlight w:val="none"/>
              </w:rPr>
              <w:t>1</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项目名称</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新疆农业大学生物饲料研发创新平台仪器设备采购项目三标段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ascii="宋体" w:hAnsi="宋体" w:cs="Times New Roman"/>
                <w:color w:val="auto"/>
                <w:kern w:val="0"/>
                <w:szCs w:val="21"/>
                <w:highlight w:val="none"/>
              </w:rPr>
            </w:pP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项目编号</w:t>
            </w:r>
          </w:p>
        </w:tc>
        <w:tc>
          <w:tcPr>
            <w:tcW w:w="7073" w:type="dxa"/>
            <w:vAlign w:val="center"/>
          </w:tcPr>
          <w:p>
            <w:pPr>
              <w:keepNext/>
              <w:widowControl/>
              <w:jc w:val="left"/>
              <w:rPr>
                <w:rFonts w:hint="default" w:ascii="宋体" w:hAnsi="宋体" w:cs="Arial"/>
                <w:color w:val="auto"/>
                <w:kern w:val="0"/>
                <w:szCs w:val="21"/>
                <w:highlight w:val="none"/>
                <w:lang w:val="en-US"/>
              </w:rPr>
            </w:pPr>
            <w:r>
              <w:rPr>
                <w:rFonts w:hint="eastAsia" w:ascii="宋体" w:hAnsi="宋体" w:cs="Arial"/>
                <w:color w:val="auto"/>
                <w:kern w:val="0"/>
                <w:szCs w:val="21"/>
                <w:highlight w:val="none"/>
              </w:rPr>
              <w:t>x</w:t>
            </w:r>
            <w:r>
              <w:rPr>
                <w:rFonts w:ascii="宋体" w:hAnsi="宋体" w:cs="Arial"/>
                <w:color w:val="auto"/>
                <w:kern w:val="0"/>
                <w:szCs w:val="21"/>
                <w:highlight w:val="none"/>
              </w:rPr>
              <w:t>sj2023</w:t>
            </w:r>
            <w:r>
              <w:rPr>
                <w:rFonts w:hint="eastAsia" w:ascii="宋体" w:hAnsi="宋体" w:cs="Arial"/>
                <w:color w:val="auto"/>
                <w:kern w:val="0"/>
                <w:szCs w:val="21"/>
                <w:highlight w:val="none"/>
              </w:rPr>
              <w:t>0</w:t>
            </w:r>
            <w:r>
              <w:rPr>
                <w:rFonts w:hint="eastAsia" w:ascii="宋体" w:hAnsi="宋体" w:cs="Arial"/>
                <w:color w:val="auto"/>
                <w:kern w:val="0"/>
                <w:szCs w:val="21"/>
                <w:highlight w:val="none"/>
                <w:lang w:val="en-US" w:eastAsia="zh-CN"/>
              </w:rPr>
              <w:t>901-03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ascii="宋体" w:hAnsi="宋体" w:cs="Times New Roman"/>
                <w:color w:val="auto"/>
                <w:kern w:val="0"/>
                <w:szCs w:val="21"/>
                <w:highlight w:val="none"/>
              </w:rPr>
            </w:pP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采购人</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新疆农业大学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ascii="宋体" w:hAnsi="宋体" w:cs="Times New Roman"/>
                <w:color w:val="auto"/>
                <w:kern w:val="0"/>
                <w:szCs w:val="21"/>
                <w:highlight w:val="none"/>
              </w:rPr>
            </w:pP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采购代理机构</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新疆新世纪招标有限公司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ascii="宋体" w:hAnsi="宋体" w:cs="Times New Roman"/>
                <w:color w:val="auto"/>
                <w:kern w:val="0"/>
                <w:szCs w:val="21"/>
                <w:highlight w:val="none"/>
              </w:rPr>
            </w:pP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项目地点</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乌鲁木齐市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ascii="宋体" w:hAnsi="宋体" w:cs="Times New Roman"/>
                <w:color w:val="auto"/>
                <w:kern w:val="0"/>
                <w:szCs w:val="21"/>
                <w:highlight w:val="none"/>
              </w:rPr>
            </w:pP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资金来源</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中央引导地方科技发展专项资金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ascii="宋体" w:hAnsi="宋体" w:cs="Times New Roman"/>
                <w:color w:val="auto"/>
                <w:kern w:val="0"/>
                <w:szCs w:val="21"/>
                <w:highlight w:val="none"/>
              </w:rPr>
            </w:pP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采购预算金额</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lang w:val="en-US" w:eastAsia="zh-CN"/>
              </w:rPr>
              <w:t>126.67</w:t>
            </w:r>
            <w:r>
              <w:rPr>
                <w:rFonts w:hint="eastAsia" w:ascii="宋体" w:hAnsi="宋体" w:cs="Arial"/>
                <w:color w:val="auto"/>
                <w:kern w:val="0"/>
                <w:szCs w:val="21"/>
                <w:highlight w:val="none"/>
              </w:rPr>
              <w:t>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ascii="宋体" w:hAnsi="宋体" w:cs="Times New Roman"/>
                <w:color w:val="auto"/>
                <w:kern w:val="0"/>
                <w:szCs w:val="21"/>
                <w:highlight w:val="none"/>
              </w:rPr>
            </w:pP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是否单一产品</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否，核心产品为：多功能质构仪</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ascii="宋体" w:hAnsi="宋体" w:cs="Times New Roman"/>
                <w:color w:val="auto"/>
                <w:kern w:val="0"/>
                <w:szCs w:val="21"/>
                <w:highlight w:val="none"/>
              </w:rPr>
            </w:pPr>
          </w:p>
        </w:tc>
        <w:tc>
          <w:tcPr>
            <w:tcW w:w="1410" w:type="dxa"/>
            <w:vAlign w:val="center"/>
          </w:tcPr>
          <w:p>
            <w:pPr>
              <w:keepNext/>
              <w:widowControl/>
              <w:jc w:val="center"/>
              <w:rPr>
                <w:rFonts w:ascii="宋体" w:hAnsi="宋体"/>
                <w:color w:val="auto"/>
                <w:szCs w:val="21"/>
                <w:highlight w:val="none"/>
              </w:rPr>
            </w:pPr>
            <w:r>
              <w:rPr>
                <w:rFonts w:hint="eastAsia" w:ascii="宋体" w:hAnsi="宋体" w:cs="Arial"/>
                <w:color w:val="auto"/>
                <w:kern w:val="0"/>
                <w:szCs w:val="21"/>
                <w:highlight w:val="none"/>
              </w:rPr>
              <w:t>供货周期</w:t>
            </w:r>
          </w:p>
        </w:tc>
        <w:tc>
          <w:tcPr>
            <w:tcW w:w="7073" w:type="dxa"/>
            <w:vAlign w:val="center"/>
          </w:tcPr>
          <w:p>
            <w:pPr>
              <w:jc w:val="left"/>
              <w:rPr>
                <w:rFonts w:ascii="宋体" w:hAnsi="宋体"/>
                <w:color w:val="auto"/>
                <w:szCs w:val="21"/>
                <w:highlight w:val="none"/>
              </w:rPr>
            </w:pPr>
            <w:r>
              <w:rPr>
                <w:rFonts w:hint="eastAsia" w:ascii="宋体" w:hAnsi="宋体"/>
                <w:color w:val="auto"/>
                <w:szCs w:val="21"/>
                <w:highlight w:val="none"/>
              </w:rPr>
              <w:t>自合同签订之日起30个日历日内送达采购人指定地点并安装调试完毕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ascii="宋体" w:hAnsi="宋体" w:cs="Times New Roman"/>
                <w:color w:val="auto"/>
                <w:kern w:val="0"/>
                <w:szCs w:val="21"/>
                <w:highlight w:val="none"/>
              </w:rPr>
            </w:pP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供货地点</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olor w:val="auto"/>
                <w:szCs w:val="21"/>
                <w:highlight w:val="none"/>
              </w:rPr>
              <w:t>采购人指定地点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ascii="宋体" w:hAnsi="宋体" w:cs="Times New Roman"/>
                <w:color w:val="auto"/>
                <w:kern w:val="0"/>
                <w:szCs w:val="21"/>
                <w:highlight w:val="none"/>
              </w:rPr>
            </w:pP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质保期</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壹年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2</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采购范围</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新疆农业大学生物饲料研发创新平台仪器设备采购项目三标段范围内的所有工作内容，关于采购范围的详细说明见招标文件第四章“技术标准和要求”。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3</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采购方式</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公开招标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ascii="宋体" w:hAnsi="宋体" w:cs="Times New Roman"/>
                <w:color w:val="auto"/>
                <w:kern w:val="0"/>
                <w:szCs w:val="21"/>
                <w:highlight w:val="none"/>
              </w:rPr>
            </w:pP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资格审查方式</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资格后审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4</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评审办法</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综合评分法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ascii="宋体" w:hAnsi="宋体" w:cs="Times New Roman"/>
                <w:color w:val="auto"/>
                <w:kern w:val="0"/>
                <w:szCs w:val="21"/>
                <w:highlight w:val="none"/>
              </w:rPr>
            </w:pP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定标方法</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评标委员会推荐三名中标候选人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5</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投标人资格条件和能力</w:t>
            </w:r>
          </w:p>
        </w:tc>
        <w:tc>
          <w:tcPr>
            <w:tcW w:w="7073" w:type="dxa"/>
            <w:vAlign w:val="center"/>
          </w:tcPr>
          <w:p>
            <w:pPr>
              <w:keepNext/>
              <w:widowControl/>
              <w:ind w:firstLine="420" w:firstLineChars="200"/>
              <w:jc w:val="left"/>
              <w:rPr>
                <w:rFonts w:ascii="宋体" w:hAnsi="宋体" w:cs="Arial"/>
                <w:color w:val="auto"/>
                <w:kern w:val="0"/>
                <w:szCs w:val="21"/>
                <w:highlight w:val="none"/>
              </w:rPr>
            </w:pPr>
            <w:r>
              <w:rPr>
                <w:rFonts w:hint="eastAsia" w:ascii="宋体" w:hAnsi="宋体" w:cs="Arial"/>
                <w:color w:val="auto"/>
                <w:kern w:val="0"/>
                <w:szCs w:val="21"/>
                <w:highlight w:val="none"/>
              </w:rPr>
              <w:t>1、满足《中华人民共和国政府采购法》第二十二条规定。</w:t>
            </w:r>
          </w:p>
          <w:p>
            <w:pPr>
              <w:keepNext/>
              <w:widowControl/>
              <w:ind w:firstLine="420" w:firstLineChars="200"/>
              <w:jc w:val="left"/>
              <w:rPr>
                <w:rFonts w:ascii="宋体" w:hAnsi="宋体" w:cs="Arial"/>
                <w:color w:val="auto"/>
                <w:kern w:val="0"/>
                <w:szCs w:val="21"/>
                <w:highlight w:val="none"/>
              </w:rPr>
            </w:pPr>
            <w:r>
              <w:rPr>
                <w:rFonts w:hint="eastAsia" w:ascii="宋体" w:hAnsi="宋体" w:cs="Arial"/>
                <w:color w:val="auto"/>
                <w:kern w:val="0"/>
                <w:szCs w:val="21"/>
                <w:highlight w:val="none"/>
              </w:rPr>
              <w:t>2、投标人如在“信用中国”网站（www.creditchina.gov.cn）、中国政府采购网（www.ccgp.gov.cn）等渠道被列入失信被执行人、重大税收违法失信主体、政府采购严重违法失信行为记录名单及其它不符合《中华人民共和国政府采购法》第二十二条规定条件的投标人，尚在处罚期内的将被拒绝参加本次采购活动。</w:t>
            </w:r>
          </w:p>
          <w:p>
            <w:pPr>
              <w:keepNext/>
              <w:widowControl/>
              <w:ind w:firstLine="420" w:firstLineChars="200"/>
              <w:jc w:val="left"/>
              <w:rPr>
                <w:rFonts w:ascii="宋体" w:hAnsi="宋体" w:cs="Arial"/>
                <w:color w:val="auto"/>
                <w:kern w:val="0"/>
                <w:szCs w:val="21"/>
                <w:highlight w:val="none"/>
              </w:rPr>
            </w:pPr>
            <w:r>
              <w:rPr>
                <w:rFonts w:hint="eastAsia" w:ascii="宋体" w:hAnsi="宋体" w:cs="Arial"/>
                <w:color w:val="auto"/>
                <w:kern w:val="0"/>
                <w:szCs w:val="21"/>
                <w:highlight w:val="none"/>
              </w:rPr>
              <w:t>3、本项目不接受联合体。</w:t>
            </w:r>
          </w:p>
          <w:p>
            <w:pPr>
              <w:ind w:firstLine="420" w:firstLineChars="200"/>
              <w:jc w:val="left"/>
              <w:rPr>
                <w:rFonts w:ascii="宋体" w:hAnsi="宋体" w:cs="Arial"/>
                <w:color w:val="auto"/>
                <w:szCs w:val="21"/>
                <w:highlight w:val="none"/>
              </w:rPr>
            </w:pPr>
            <w:r>
              <w:rPr>
                <w:rFonts w:hint="eastAsia" w:ascii="宋体" w:hAnsi="宋体" w:cs="Arial"/>
                <w:color w:val="auto"/>
                <w:kern w:val="0"/>
                <w:szCs w:val="21"/>
                <w:highlight w:val="none"/>
              </w:rPr>
              <w:t>4、其它说明：①与采购人存在利害关系可能影响招标公正性的法人、其它组织或者个人，不得参加投标。②单位负责人为同一人或者存在控股、管理关系的不同单位，不得参加同一标段投标或者未划分标段的同一招标项目投标。违反前两款规定的，相关投标均无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6</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文件费</w:t>
            </w:r>
          </w:p>
        </w:tc>
        <w:tc>
          <w:tcPr>
            <w:tcW w:w="7073" w:type="dxa"/>
            <w:vAlign w:val="center"/>
          </w:tcPr>
          <w:p>
            <w:pPr>
              <w:keepNext/>
              <w:widowControl/>
              <w:jc w:val="left"/>
              <w:rPr>
                <w:rFonts w:ascii="宋体" w:hAnsi="宋体" w:cs="Arial"/>
                <w:color w:val="auto"/>
                <w:kern w:val="0"/>
                <w:szCs w:val="21"/>
                <w:highlight w:val="none"/>
              </w:rPr>
            </w:pPr>
            <w:r>
              <w:rPr>
                <w:rFonts w:ascii="宋体" w:hAnsi="宋体" w:cs="Arial"/>
                <w:color w:val="auto"/>
                <w:kern w:val="0"/>
                <w:szCs w:val="21"/>
                <w:highlight w:val="none"/>
              </w:rPr>
              <w:t>0</w:t>
            </w:r>
            <w:r>
              <w:rPr>
                <w:rFonts w:hint="eastAsia" w:ascii="宋体" w:hAnsi="宋体" w:cs="Arial"/>
                <w:color w:val="auto"/>
                <w:kern w:val="0"/>
                <w:szCs w:val="21"/>
                <w:highlight w:val="none"/>
              </w:rPr>
              <w:t>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7</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投标保证金</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Times New Roman"/>
                <w:color w:val="auto"/>
                <w:kern w:val="0"/>
                <w:szCs w:val="21"/>
                <w:highlight w:val="none"/>
                <w:lang w:val="en-US" w:eastAsia="zh-CN"/>
              </w:rPr>
              <w:t>壹万贰仟陆佰元整</w:t>
            </w:r>
            <w:r>
              <w:rPr>
                <w:rFonts w:hint="eastAsia" w:ascii="宋体" w:hAnsi="宋体" w:cs="Times New Roman"/>
                <w:color w:val="auto"/>
                <w:kern w:val="0"/>
                <w:szCs w:val="21"/>
                <w:highlight w:val="none"/>
              </w:rPr>
              <w:t>（详见第一章3.4.2条）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8</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现场踏勘</w:t>
            </w:r>
          </w:p>
        </w:tc>
        <w:tc>
          <w:tcPr>
            <w:tcW w:w="7073" w:type="dxa"/>
            <w:vAlign w:val="center"/>
          </w:tcPr>
          <w:p>
            <w:pPr>
              <w:ind w:firstLine="420" w:firstLineChars="200"/>
              <w:jc w:val="left"/>
              <w:rPr>
                <w:rFonts w:ascii="宋体" w:hAnsi="宋体" w:cs="Arial"/>
                <w:color w:val="auto"/>
                <w:kern w:val="0"/>
                <w:szCs w:val="21"/>
                <w:highlight w:val="none"/>
              </w:rPr>
            </w:pPr>
            <w:r>
              <w:rPr>
                <w:rFonts w:hint="eastAsia" w:ascii="宋体" w:hAnsi="宋体" w:cs="Arial"/>
                <w:color w:val="auto"/>
                <w:szCs w:val="21"/>
                <w:highlight w:val="none"/>
              </w:rPr>
              <w:t>不组织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9</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招标答疑</w:t>
            </w:r>
          </w:p>
        </w:tc>
        <w:tc>
          <w:tcPr>
            <w:tcW w:w="7073" w:type="dxa"/>
            <w:vAlign w:val="center"/>
          </w:tcPr>
          <w:p>
            <w:pPr>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提出询问的，应当在投标文件递交截止时间6日前以书面形式（加盖公章）递交至新疆新世纪招标有限公司，否则采购人不作任何解释。</w:t>
            </w:r>
          </w:p>
          <w:p>
            <w:pPr>
              <w:ind w:firstLine="420" w:firstLineChars="200"/>
              <w:jc w:val="left"/>
              <w:rPr>
                <w:rFonts w:ascii="宋体" w:hAnsi="宋体" w:cs="Arial"/>
                <w:color w:val="auto"/>
                <w:szCs w:val="21"/>
                <w:highlight w:val="none"/>
              </w:rPr>
            </w:pPr>
            <w:r>
              <w:rPr>
                <w:rFonts w:ascii="宋体" w:hAnsi="宋体" w:cs="Arial"/>
                <w:color w:val="auto"/>
                <w:szCs w:val="21"/>
                <w:highlight w:val="none"/>
              </w:rPr>
              <w:t>对招标文件提出质疑的，应当在获取</w:t>
            </w:r>
            <w:r>
              <w:rPr>
                <w:rFonts w:hint="eastAsia" w:ascii="宋体" w:hAnsi="宋体" w:cs="Arial"/>
                <w:color w:val="auto"/>
                <w:szCs w:val="21"/>
                <w:highlight w:val="none"/>
              </w:rPr>
              <w:t>招标文件</w:t>
            </w:r>
            <w:r>
              <w:rPr>
                <w:rFonts w:ascii="宋体" w:hAnsi="宋体" w:cs="Arial"/>
                <w:color w:val="auto"/>
                <w:szCs w:val="21"/>
                <w:highlight w:val="none"/>
              </w:rPr>
              <w:t>或者</w:t>
            </w:r>
            <w:r>
              <w:rPr>
                <w:rFonts w:hint="eastAsia" w:ascii="宋体" w:hAnsi="宋体" w:cs="Arial"/>
                <w:color w:val="auto"/>
                <w:szCs w:val="21"/>
                <w:highlight w:val="none"/>
              </w:rPr>
              <w:t>招标文件</w:t>
            </w:r>
            <w:r>
              <w:rPr>
                <w:rFonts w:ascii="宋体" w:hAnsi="宋体" w:cs="Arial"/>
                <w:color w:val="auto"/>
                <w:szCs w:val="21"/>
                <w:highlight w:val="none"/>
              </w:rPr>
              <w:t>公告期限届满之日起7个工作日内一次性以书面形式（</w:t>
            </w:r>
            <w:r>
              <w:rPr>
                <w:rFonts w:hint="eastAsia" w:ascii="宋体" w:hAnsi="宋体" w:cs="Arial"/>
                <w:color w:val="auto"/>
                <w:szCs w:val="21"/>
                <w:highlight w:val="none"/>
              </w:rPr>
              <w:t>按照</w:t>
            </w:r>
            <w:r>
              <w:rPr>
                <w:rFonts w:ascii="宋体" w:hAnsi="宋体" w:cs="Arial"/>
                <w:color w:val="auto"/>
                <w:szCs w:val="21"/>
                <w:highlight w:val="none"/>
              </w:rPr>
              <w:t>财政部制定的质疑函范本编写）提出</w:t>
            </w:r>
            <w:r>
              <w:rPr>
                <w:rFonts w:hint="eastAsia" w:ascii="宋体" w:hAnsi="宋体" w:cs="Arial"/>
                <w:color w:val="auto"/>
                <w:szCs w:val="21"/>
                <w:highlight w:val="none"/>
              </w:rPr>
              <w:t>并</w:t>
            </w:r>
            <w:r>
              <w:rPr>
                <w:rFonts w:ascii="宋体" w:hAnsi="宋体" w:cs="Arial"/>
                <w:color w:val="auto"/>
                <w:szCs w:val="21"/>
                <w:highlight w:val="none"/>
              </w:rPr>
              <w:t>递交至采购代理机构</w:t>
            </w:r>
            <w:r>
              <w:rPr>
                <w:rFonts w:hint="eastAsia" w:ascii="宋体" w:hAnsi="宋体" w:cs="Arial"/>
                <w:color w:val="auto"/>
                <w:szCs w:val="21"/>
                <w:highlight w:val="none"/>
              </w:rPr>
              <w:t>。</w:t>
            </w:r>
          </w:p>
          <w:p>
            <w:pPr>
              <w:ind w:firstLine="420" w:firstLineChars="200"/>
              <w:jc w:val="left"/>
              <w:rPr>
                <w:rFonts w:ascii="宋体" w:hAnsi="宋体" w:cs="Arial"/>
                <w:color w:val="auto"/>
                <w:szCs w:val="21"/>
                <w:highlight w:val="none"/>
              </w:rPr>
            </w:pPr>
            <w:r>
              <w:rPr>
                <w:rFonts w:hint="eastAsia" w:ascii="宋体" w:hAnsi="宋体" w:cs="Arial"/>
                <w:color w:val="auto"/>
                <w:szCs w:val="21"/>
                <w:highlight w:val="none"/>
              </w:rPr>
              <w:t>质疑接收人：马丹阳；联系方式：0991-4661782。</w:t>
            </w:r>
          </w:p>
          <w:p>
            <w:pPr>
              <w:ind w:firstLine="420" w:firstLineChars="200"/>
              <w:jc w:val="left"/>
              <w:rPr>
                <w:rFonts w:ascii="宋体" w:hAnsi="宋体" w:cs="Arial"/>
                <w:color w:val="auto"/>
                <w:szCs w:val="21"/>
                <w:highlight w:val="none"/>
              </w:rPr>
            </w:pPr>
            <w:r>
              <w:rPr>
                <w:rFonts w:hint="eastAsia" w:ascii="宋体" w:hAnsi="宋体" w:cs="Arial"/>
                <w:color w:val="auto"/>
                <w:kern w:val="0"/>
                <w:szCs w:val="21"/>
                <w:highlight w:val="none"/>
              </w:rPr>
              <w:t>注：1、投标人必须在法定质疑期内一次性提出针对同一采购程序环节的质疑；</w:t>
            </w:r>
            <w:r>
              <w:rPr>
                <w:rFonts w:hint="eastAsia" w:ascii="宋体" w:hAnsi="宋体" w:cs="Arial"/>
                <w:color w:val="auto"/>
                <w:szCs w:val="21"/>
                <w:highlight w:val="none"/>
              </w:rPr>
              <w:t>投标人投诉的事项不得超出已质疑事项的范围。2、</w:t>
            </w:r>
            <w:r>
              <w:rPr>
                <w:rFonts w:hint="eastAsia" w:ascii="宋体" w:hAnsi="宋体" w:cs="Arial"/>
                <w:color w:val="auto"/>
                <w:kern w:val="0"/>
                <w:szCs w:val="21"/>
                <w:highlight w:val="none"/>
              </w:rPr>
              <w:t>投标人</w:t>
            </w:r>
            <w:r>
              <w:rPr>
                <w:rFonts w:hint="eastAsia" w:ascii="宋体" w:hAnsi="宋体" w:cs="Arial"/>
                <w:color w:val="auto"/>
                <w:szCs w:val="21"/>
                <w:highlight w:val="none"/>
              </w:rPr>
              <w:t>在国家法律规定的时间内未提出书面疑问，视为对招标文件的技术参数、资格条件、评审方法、合同文本等所有内容无异议，开标后不得对招标文件提出质疑。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10</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投标文件</w:t>
            </w:r>
          </w:p>
        </w:tc>
        <w:tc>
          <w:tcPr>
            <w:tcW w:w="7073" w:type="dxa"/>
            <w:shd w:val="clear" w:color="auto" w:fill="auto"/>
            <w:vAlign w:val="center"/>
          </w:tcPr>
          <w:p>
            <w:pPr>
              <w:keepNext/>
              <w:widowControl/>
              <w:ind w:firstLine="420" w:firstLineChars="200"/>
              <w:jc w:val="left"/>
              <w:rPr>
                <w:rFonts w:ascii="宋体" w:hAnsi="宋体" w:cs="Times New Roman"/>
                <w:color w:val="auto"/>
                <w:kern w:val="0"/>
                <w:szCs w:val="21"/>
                <w:highlight w:val="none"/>
              </w:rPr>
            </w:pPr>
            <w:r>
              <w:rPr>
                <w:rFonts w:hint="eastAsia" w:ascii="宋体" w:hAnsi="宋体" w:cs="Times New Roman"/>
                <w:color w:val="auto"/>
                <w:kern w:val="0"/>
                <w:szCs w:val="21"/>
                <w:highlight w:val="none"/>
              </w:rPr>
              <w:t xml:space="preserve">1、本次采购采用电子交易方式，电子交易平台为“政采云平台（https://www.zcygov.cn/）”。投标人参与本项目电子交易活动前，应注册成为政府采购云平台正式投标人。编制电子投标文件前还需申领CA证书并绑定帐号。投标人应充分考虑完成平台注册、申领CA证书等所需的时间。因未注册入库、未办理CA数字证书等原因造成无法投标或投标失败等后果由投标人自行承担。 </w:t>
            </w:r>
          </w:p>
          <w:p>
            <w:pPr>
              <w:keepNext/>
              <w:widowControl/>
              <w:ind w:firstLine="420" w:firstLineChars="200"/>
              <w:jc w:val="left"/>
              <w:rPr>
                <w:rFonts w:ascii="宋体" w:hAnsi="宋体" w:cs="Times New Roman"/>
                <w:color w:val="auto"/>
                <w:kern w:val="0"/>
                <w:szCs w:val="21"/>
                <w:highlight w:val="none"/>
              </w:rPr>
            </w:pPr>
            <w:r>
              <w:rPr>
                <w:rFonts w:hint="eastAsia" w:ascii="宋体" w:hAnsi="宋体" w:cs="Times New Roman"/>
                <w:color w:val="auto"/>
                <w:kern w:val="0"/>
                <w:szCs w:val="21"/>
                <w:highlight w:val="none"/>
              </w:rPr>
              <w:t xml:space="preserve">2、投标人将政采云电子交易客户端下载、安装完成后，可通过账号密码或CA登录客户端进行投标文件制作。在使用政采云投标客户端时，建议使用WIN7及以上操作系统。客户端请至新疆政府采购网（www.ccgp-xinjiang.gov.cn）下载专区查看，如有问题可拨打政采云客户服务热线95763进行咨询。 </w:t>
            </w:r>
          </w:p>
          <w:p>
            <w:pPr>
              <w:keepNext/>
              <w:widowControl/>
              <w:ind w:firstLine="420" w:firstLineChars="200"/>
              <w:jc w:val="left"/>
              <w:rPr>
                <w:rFonts w:ascii="宋体" w:hAnsi="宋体" w:cs="Times New Roman"/>
                <w:color w:val="auto"/>
                <w:kern w:val="0"/>
                <w:szCs w:val="21"/>
                <w:highlight w:val="none"/>
              </w:rPr>
            </w:pPr>
            <w:r>
              <w:rPr>
                <w:rFonts w:hint="eastAsia" w:ascii="宋体" w:hAnsi="宋体" w:cs="Times New Roman"/>
                <w:color w:val="auto"/>
                <w:kern w:val="0"/>
                <w:szCs w:val="21"/>
                <w:highlight w:val="none"/>
              </w:rPr>
              <w:t>3、加密的电子投标文件应在投标文件递交截止时间前通过政采云平台上传完成。逾期上传或者未上传指定地点的投标文件，不予受理。</w:t>
            </w:r>
          </w:p>
          <w:p>
            <w:pPr>
              <w:keepNext/>
              <w:widowControl/>
              <w:ind w:firstLine="420" w:firstLineChars="200"/>
              <w:jc w:val="left"/>
              <w:rPr>
                <w:rFonts w:ascii="宋体" w:hAnsi="宋体" w:cs="Times New Roman"/>
                <w:color w:val="auto"/>
                <w:kern w:val="0"/>
                <w:szCs w:val="21"/>
                <w:highlight w:val="none"/>
              </w:rPr>
            </w:pPr>
            <w:r>
              <w:rPr>
                <w:rFonts w:hint="eastAsia" w:ascii="宋体" w:hAnsi="宋体" w:cs="Times New Roman"/>
                <w:color w:val="auto"/>
                <w:kern w:val="0"/>
                <w:szCs w:val="21"/>
                <w:highlight w:val="none"/>
              </w:rPr>
              <w:t>4、投标人在开标前须提前配置好电脑浏览器，开标时请使用制作加密电子投标文件的CA锁进行解密及报价确认。本项目投标文件解密时间定为30分钟，如因自身原因导致无法正常解密，后果由投标人自行承担。</w:t>
            </w:r>
          </w:p>
          <w:p>
            <w:pPr>
              <w:keepNext/>
              <w:widowControl/>
              <w:ind w:firstLine="420" w:firstLineChars="200"/>
              <w:jc w:val="left"/>
              <w:rPr>
                <w:rFonts w:ascii="宋体" w:hAnsi="宋体" w:cs="Times New Roman"/>
                <w:color w:val="auto"/>
                <w:kern w:val="0"/>
                <w:szCs w:val="21"/>
                <w:highlight w:val="none"/>
              </w:rPr>
            </w:pPr>
            <w:r>
              <w:rPr>
                <w:rFonts w:hint="eastAsia" w:ascii="宋体" w:hAnsi="宋体" w:cs="Times New Roman"/>
                <w:color w:val="auto"/>
                <w:kern w:val="0"/>
                <w:szCs w:val="21"/>
                <w:highlight w:val="none"/>
              </w:rPr>
              <w:t>5、如遇“政采云平台（https://www.zcygov.cn/）”电子交易规则调整，以最新要求为准。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11</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投标文件递交</w:t>
            </w:r>
          </w:p>
        </w:tc>
        <w:tc>
          <w:tcPr>
            <w:tcW w:w="7073" w:type="dxa"/>
            <w:shd w:val="clear" w:color="auto" w:fill="auto"/>
            <w:vAlign w:val="center"/>
          </w:tcPr>
          <w:p>
            <w:pPr>
              <w:jc w:val="left"/>
              <w:rPr>
                <w:rFonts w:ascii="宋体" w:hAnsi="宋体" w:cs="宋体"/>
                <w:color w:val="auto"/>
                <w:kern w:val="0"/>
                <w:szCs w:val="21"/>
                <w:highlight w:val="none"/>
              </w:rPr>
            </w:pPr>
            <w:r>
              <w:rPr>
                <w:rFonts w:hint="eastAsia" w:ascii="宋体" w:hAnsi="宋体" w:cs="宋体"/>
                <w:color w:val="auto"/>
                <w:kern w:val="0"/>
                <w:szCs w:val="21"/>
                <w:highlight w:val="none"/>
              </w:rPr>
              <w:t>截止时间：</w:t>
            </w:r>
            <w:r>
              <w:rPr>
                <w:rFonts w:hint="eastAsia" w:ascii="宋体" w:hAnsi="宋体" w:cs="宋体"/>
                <w:color w:val="auto"/>
                <w:kern w:val="0"/>
                <w:szCs w:val="21"/>
                <w:highlight w:val="none"/>
                <w:u w:val="single"/>
              </w:rPr>
              <w:t>2023年09月25日 11:00</w:t>
            </w:r>
            <w:r>
              <w:rPr>
                <w:rFonts w:hint="eastAsia" w:ascii="宋体" w:hAnsi="宋体" w:cs="宋体"/>
                <w:color w:val="auto"/>
                <w:kern w:val="0"/>
                <w:szCs w:val="21"/>
                <w:highlight w:val="none"/>
              </w:rPr>
              <w:t>（北京时间）</w:t>
            </w:r>
          </w:p>
          <w:p>
            <w:pPr>
              <w:keepNext/>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递交地点：</w:t>
            </w:r>
            <w:r>
              <w:rPr>
                <w:rFonts w:hint="eastAsia" w:ascii="宋体" w:hAnsi="宋体" w:cs="Times New Roman"/>
                <w:color w:val="auto"/>
                <w:kern w:val="0"/>
                <w:szCs w:val="21"/>
                <w:highlight w:val="none"/>
              </w:rPr>
              <w:t>政采云平台（https://www.zcygov.cn/）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12</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开标</w:t>
            </w:r>
          </w:p>
        </w:tc>
        <w:tc>
          <w:tcPr>
            <w:tcW w:w="7073" w:type="dxa"/>
            <w:shd w:val="clear" w:color="auto" w:fill="auto"/>
            <w:vAlign w:val="center"/>
          </w:tcPr>
          <w:p>
            <w:pPr>
              <w:jc w:val="left"/>
              <w:rPr>
                <w:rFonts w:ascii="宋体" w:hAnsi="宋体" w:cs="宋体"/>
                <w:color w:val="auto"/>
                <w:kern w:val="0"/>
                <w:szCs w:val="21"/>
                <w:highlight w:val="none"/>
                <w:u w:val="single"/>
              </w:rPr>
            </w:pPr>
            <w:r>
              <w:rPr>
                <w:rFonts w:hint="eastAsia" w:ascii="宋体" w:hAnsi="宋体" w:cs="宋体"/>
                <w:color w:val="auto"/>
                <w:kern w:val="0"/>
                <w:szCs w:val="21"/>
                <w:highlight w:val="none"/>
              </w:rPr>
              <w:t>时间：</w:t>
            </w:r>
            <w:r>
              <w:rPr>
                <w:rFonts w:hint="eastAsia" w:ascii="宋体" w:hAnsi="宋体" w:cs="宋体"/>
                <w:color w:val="auto"/>
                <w:kern w:val="0"/>
                <w:szCs w:val="21"/>
                <w:highlight w:val="none"/>
                <w:u w:val="single"/>
              </w:rPr>
              <w:t>2023年09月25日11:00</w:t>
            </w:r>
            <w:r>
              <w:rPr>
                <w:rFonts w:hint="eastAsia" w:ascii="宋体" w:hAnsi="宋体" w:cs="宋体"/>
                <w:color w:val="auto"/>
                <w:kern w:val="0"/>
                <w:szCs w:val="21"/>
                <w:highlight w:val="none"/>
              </w:rPr>
              <w:t>（北京时间）</w:t>
            </w:r>
          </w:p>
          <w:p>
            <w:pPr>
              <w:keepNext/>
              <w:widowControl/>
              <w:jc w:val="left"/>
              <w:rPr>
                <w:rFonts w:ascii="宋体" w:hAnsi="宋体" w:cs="Times New Roman"/>
                <w:color w:val="auto"/>
                <w:kern w:val="0"/>
                <w:szCs w:val="21"/>
                <w:highlight w:val="none"/>
              </w:rPr>
            </w:pPr>
            <w:r>
              <w:rPr>
                <w:rFonts w:hint="eastAsia" w:ascii="宋体" w:hAnsi="宋体" w:cs="宋体"/>
                <w:color w:val="auto"/>
                <w:kern w:val="0"/>
                <w:szCs w:val="21"/>
                <w:highlight w:val="none"/>
              </w:rPr>
              <w:t>地点：</w:t>
            </w:r>
            <w:r>
              <w:rPr>
                <w:rFonts w:hint="eastAsia" w:ascii="宋体" w:hAnsi="宋体" w:cs="Times New Roman"/>
                <w:color w:val="auto"/>
                <w:kern w:val="0"/>
                <w:szCs w:val="21"/>
                <w:highlight w:val="none"/>
              </w:rPr>
              <w:t>政采云平台（https://www.zcygov.cn/）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13</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响应有效期</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自投标截止之日9</w:t>
            </w:r>
            <w:r>
              <w:rPr>
                <w:rFonts w:ascii="宋体" w:hAnsi="宋体" w:cs="Arial"/>
                <w:color w:val="auto"/>
                <w:kern w:val="0"/>
                <w:szCs w:val="21"/>
                <w:highlight w:val="none"/>
              </w:rPr>
              <w:t>0</w:t>
            </w:r>
            <w:r>
              <w:rPr>
                <w:rFonts w:hint="eastAsia" w:ascii="宋体" w:hAnsi="宋体" w:cs="Arial"/>
                <w:color w:val="auto"/>
                <w:kern w:val="0"/>
                <w:szCs w:val="21"/>
                <w:highlight w:val="none"/>
              </w:rPr>
              <w:t>日历日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14</w:t>
            </w:r>
          </w:p>
        </w:tc>
        <w:tc>
          <w:tcPr>
            <w:tcW w:w="1410" w:type="dxa"/>
            <w:vAlign w:val="center"/>
          </w:tcPr>
          <w:p>
            <w:pPr>
              <w:jc w:val="center"/>
              <w:rPr>
                <w:rFonts w:ascii="宋体" w:hAnsi="宋体" w:cs="宋体"/>
                <w:color w:val="auto"/>
                <w:kern w:val="0"/>
                <w:szCs w:val="21"/>
                <w:highlight w:val="none"/>
              </w:rPr>
            </w:pPr>
            <w:r>
              <w:rPr>
                <w:rFonts w:hint="eastAsia" w:ascii="宋体" w:hAnsi="宋体" w:cs="宋体"/>
                <w:color w:val="auto"/>
                <w:kern w:val="0"/>
                <w:szCs w:val="21"/>
                <w:highlight w:val="none"/>
              </w:rPr>
              <w:t>公告发布媒体</w:t>
            </w:r>
          </w:p>
        </w:tc>
        <w:tc>
          <w:tcPr>
            <w:tcW w:w="7073" w:type="dxa"/>
            <w:vAlign w:val="center"/>
          </w:tcPr>
          <w:p>
            <w:pPr>
              <w:jc w:val="left"/>
              <w:rPr>
                <w:rFonts w:ascii="宋体" w:hAnsi="宋体" w:cs="宋体"/>
                <w:color w:val="auto"/>
                <w:kern w:val="0"/>
                <w:szCs w:val="21"/>
                <w:highlight w:val="none"/>
                <w:u w:val="single"/>
              </w:rPr>
            </w:pPr>
            <w:r>
              <w:rPr>
                <w:rFonts w:hint="eastAsia" w:ascii="宋体" w:hAnsi="宋体" w:cs="Arial"/>
                <w:color w:val="auto"/>
                <w:kern w:val="0"/>
                <w:szCs w:val="21"/>
                <w:highlight w:val="none"/>
              </w:rPr>
              <w:t>新疆维吾尔自治区政府采购网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15</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履约保证金</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1</w:t>
            </w:r>
            <w:r>
              <w:rPr>
                <w:rFonts w:ascii="宋体" w:hAnsi="宋体" w:cs="Times New Roman"/>
                <w:color w:val="auto"/>
                <w:kern w:val="0"/>
                <w:szCs w:val="21"/>
                <w:highlight w:val="none"/>
              </w:rPr>
              <w:t>6</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中小企业政策说明</w:t>
            </w:r>
          </w:p>
        </w:tc>
        <w:tc>
          <w:tcPr>
            <w:tcW w:w="7073" w:type="dxa"/>
            <w:vAlign w:val="center"/>
          </w:tcPr>
          <w:p>
            <w:pPr>
              <w:keepNext/>
              <w:widowControl/>
              <w:ind w:firstLine="420" w:firstLineChars="200"/>
              <w:jc w:val="left"/>
              <w:rPr>
                <w:rFonts w:ascii="宋体" w:hAnsi="宋体" w:cs="Arial"/>
                <w:color w:val="auto"/>
                <w:kern w:val="0"/>
                <w:szCs w:val="21"/>
                <w:highlight w:val="none"/>
              </w:rPr>
            </w:pPr>
            <w:r>
              <w:rPr>
                <w:rFonts w:hint="eastAsia" w:ascii="宋体" w:hAnsi="宋体" w:cs="Arial"/>
                <w:color w:val="auto"/>
                <w:kern w:val="0"/>
                <w:szCs w:val="21"/>
                <w:highlight w:val="none"/>
              </w:rPr>
              <w:t>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pPr>
              <w:keepNext/>
              <w:widowControl/>
              <w:ind w:firstLine="420" w:firstLineChars="200"/>
              <w:jc w:val="left"/>
              <w:rPr>
                <w:rFonts w:ascii="宋体" w:hAnsi="宋体" w:cs="Arial"/>
                <w:color w:val="auto"/>
                <w:kern w:val="0"/>
                <w:szCs w:val="21"/>
                <w:highlight w:val="none"/>
              </w:rPr>
            </w:pPr>
            <w:r>
              <w:rPr>
                <w:rFonts w:hint="eastAsia" w:ascii="宋体" w:hAnsi="宋体" w:cs="Arial"/>
                <w:color w:val="auto"/>
                <w:kern w:val="0"/>
                <w:szCs w:val="21"/>
                <w:highlight w:val="none"/>
              </w:rPr>
              <w:t>2、在政府采购活动中，投标人提供的货物、工程或者服务符合下列情形的，享受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的人员为中小企业依照《中华人民共和国劳动合同法》订立劳动合同的从业人员。</w:t>
            </w:r>
          </w:p>
          <w:p>
            <w:pPr>
              <w:keepNext/>
              <w:widowControl/>
              <w:ind w:firstLine="420" w:firstLineChars="200"/>
              <w:jc w:val="left"/>
              <w:rPr>
                <w:rFonts w:ascii="宋体" w:hAnsi="宋体" w:cs="Arial"/>
                <w:color w:val="auto"/>
                <w:kern w:val="0"/>
                <w:szCs w:val="21"/>
                <w:highlight w:val="none"/>
              </w:rPr>
            </w:pPr>
            <w:r>
              <w:rPr>
                <w:rFonts w:hint="eastAsia" w:ascii="宋体" w:hAnsi="宋体" w:cs="Arial"/>
                <w:color w:val="auto"/>
                <w:kern w:val="0"/>
                <w:szCs w:val="21"/>
                <w:highlight w:val="none"/>
              </w:rPr>
              <w:t>3、在货物采购项目中，投标人提供的货物既有中小企业制造货物，也有大型企业制造货物的，不享受本办法规定的中小企业扶持政策。</w:t>
            </w:r>
          </w:p>
          <w:p>
            <w:pPr>
              <w:keepNext/>
              <w:widowControl/>
              <w:ind w:firstLine="420" w:firstLineChars="200"/>
              <w:jc w:val="left"/>
              <w:rPr>
                <w:rFonts w:ascii="宋体" w:hAnsi="宋体" w:cs="Arial"/>
                <w:color w:val="auto"/>
                <w:kern w:val="0"/>
                <w:szCs w:val="21"/>
                <w:highlight w:val="none"/>
              </w:rPr>
            </w:pPr>
            <w:r>
              <w:rPr>
                <w:rFonts w:hint="eastAsia" w:ascii="宋体" w:hAnsi="宋体" w:cs="Arial"/>
                <w:color w:val="auto"/>
                <w:kern w:val="0"/>
                <w:szCs w:val="21"/>
                <w:highlight w:val="none"/>
              </w:rPr>
              <w:t>4、以联合体形式参加政府采购活动，联合体各方均为中小企业的，联合体视同中小企业。其中，联合体各方均为小微企业的，联合体视同小微企业。</w:t>
            </w:r>
          </w:p>
          <w:p>
            <w:pPr>
              <w:keepNext/>
              <w:widowControl/>
              <w:ind w:firstLine="420" w:firstLineChars="200"/>
              <w:jc w:val="left"/>
              <w:rPr>
                <w:rFonts w:ascii="宋体" w:hAnsi="宋体" w:cs="Arial"/>
                <w:color w:val="auto"/>
                <w:kern w:val="0"/>
                <w:szCs w:val="21"/>
                <w:highlight w:val="none"/>
              </w:rPr>
            </w:pPr>
            <w:r>
              <w:rPr>
                <w:rFonts w:hint="eastAsia" w:ascii="宋体" w:hAnsi="宋体" w:cs="Arial"/>
                <w:color w:val="auto"/>
                <w:kern w:val="0"/>
                <w:szCs w:val="21"/>
                <w:highlight w:val="none"/>
              </w:rPr>
              <w:t>5、投标人经享受扶持政策获得政府采购合同的，小微企业不得将合同分包给大中型企业，中型企业不得将合同分包给大型企业；</w:t>
            </w:r>
          </w:p>
          <w:p>
            <w:pPr>
              <w:ind w:firstLine="420" w:firstLineChars="200"/>
              <w:jc w:val="left"/>
              <w:rPr>
                <w:rFonts w:ascii="宋体" w:hAnsi="宋体" w:cs="Arial"/>
                <w:color w:val="auto"/>
                <w:szCs w:val="21"/>
                <w:highlight w:val="none"/>
              </w:rPr>
            </w:pPr>
            <w:r>
              <w:rPr>
                <w:rFonts w:hint="eastAsia" w:ascii="宋体" w:hAnsi="宋体" w:cs="Arial"/>
                <w:color w:val="auto"/>
                <w:kern w:val="0"/>
                <w:szCs w:val="21"/>
                <w:highlight w:val="none"/>
              </w:rPr>
              <w:t>6、残疾人福利性单位和监狱企业视同小型、微型企业。</w:t>
            </w:r>
          </w:p>
          <w:p>
            <w:pPr>
              <w:keepNext/>
              <w:widowControl/>
              <w:ind w:firstLine="420" w:firstLineChars="200"/>
              <w:jc w:val="left"/>
              <w:rPr>
                <w:rFonts w:ascii="宋体" w:hAnsi="宋体" w:cs="Arial"/>
                <w:color w:val="auto"/>
                <w:szCs w:val="21"/>
                <w:highlight w:val="none"/>
              </w:rPr>
            </w:pPr>
            <w:r>
              <w:rPr>
                <w:rFonts w:hint="eastAsia" w:ascii="宋体" w:hAnsi="宋体" w:cs="Arial"/>
                <w:color w:val="auto"/>
                <w:szCs w:val="21"/>
                <w:highlight w:val="none"/>
              </w:rPr>
              <w:t>7、本项目中小企业扶持政策：①、符合政府采购优先(节约能源、保护环境) 采购政策及促进中小企业(监狱企业、残疾人福利性单位) 发展政策的，依据规定给予评审优惠。②、因落实政府采购政策对小微企业、残疾人福利性单位、监狱企业的价格给予10%价格扣除；以扣除后的价格参与评审，不重复享受价格扣除政策。</w:t>
            </w:r>
          </w:p>
          <w:p>
            <w:pPr>
              <w:keepNext/>
              <w:widowControl/>
              <w:ind w:firstLine="420" w:firstLineChars="20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8、根据“关于印发中小企业划型标准规定的通知(工信部联企业〔2011〕300号)”等有关规定，本项目标的所属行业为工业。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17</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说明</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本表内容如与后文内容不一致处，以本表为准。</w:t>
            </w:r>
          </w:p>
        </w:tc>
      </w:tr>
    </w:tbl>
    <w:p>
      <w:pPr>
        <w:rPr>
          <w:rFonts w:ascii="宋体" w:hAnsi="Calibri" w:eastAsia="宋体" w:cs="Times New Roman"/>
          <w:color w:val="auto"/>
          <w:kern w:val="0"/>
          <w:sz w:val="24"/>
          <w:szCs w:val="24"/>
          <w:highlight w:val="none"/>
        </w:rPr>
      </w:pPr>
    </w:p>
    <w:p>
      <w:pPr>
        <w:spacing w:line="360" w:lineRule="auto"/>
        <w:jc w:val="center"/>
        <w:outlineLvl w:val="0"/>
        <w:rPr>
          <w:rFonts w:ascii="宋体" w:hAnsi="宋体" w:eastAsia="宋体" w:cs="宋体"/>
          <w:b/>
          <w:color w:val="auto"/>
          <w:sz w:val="24"/>
          <w:szCs w:val="24"/>
          <w:highlight w:val="none"/>
        </w:rPr>
      </w:pPr>
      <w:bookmarkStart w:id="1" w:name="_BookMark_3"/>
      <w:bookmarkEnd w:id="1"/>
      <w:r>
        <w:rPr>
          <w:rFonts w:ascii="宋体" w:hAnsi="Calibri" w:eastAsia="宋体" w:cs="Arial"/>
          <w:color w:val="auto"/>
          <w:kern w:val="0"/>
          <w:sz w:val="24"/>
          <w:szCs w:val="24"/>
          <w:highlight w:val="none"/>
        </w:rPr>
        <w:br w:type="page"/>
      </w:r>
      <w:bookmarkStart w:id="2" w:name="_Toc141050489"/>
      <w:r>
        <w:rPr>
          <w:rFonts w:hint="eastAsia" w:ascii="宋体" w:hAnsi="宋体" w:eastAsia="宋体" w:cs="宋体"/>
          <w:b/>
          <w:color w:val="auto"/>
          <w:sz w:val="24"/>
          <w:szCs w:val="24"/>
          <w:highlight w:val="none"/>
        </w:rPr>
        <w:t>第一章 投标人须知</w:t>
      </w:r>
      <w:bookmarkEnd w:id="2"/>
      <w:bookmarkStart w:id="3" w:name="_BookMark_2"/>
      <w:bookmarkEnd w:id="3"/>
    </w:p>
    <w:p>
      <w:pPr>
        <w:tabs>
          <w:tab w:val="center" w:pos="4832"/>
          <w:tab w:val="left" w:pos="7140"/>
        </w:tabs>
        <w:spacing w:line="360" w:lineRule="auto"/>
        <w:ind w:firstLine="472" w:firstLineChars="196"/>
        <w:jc w:val="left"/>
        <w:outlineLvl w:val="1"/>
        <w:rPr>
          <w:rFonts w:ascii="宋体" w:cs="宋体"/>
          <w:b/>
          <w:color w:val="auto"/>
          <w:sz w:val="24"/>
          <w:szCs w:val="24"/>
          <w:highlight w:val="none"/>
        </w:rPr>
      </w:pPr>
      <w:bookmarkStart w:id="4" w:name="_Toc141050490"/>
      <w:bookmarkStart w:id="5" w:name="_Toc130252597"/>
      <w:r>
        <w:rPr>
          <w:rFonts w:ascii="宋体" w:hAnsi="宋体" w:cs="宋体"/>
          <w:b/>
          <w:color w:val="auto"/>
          <w:sz w:val="24"/>
          <w:szCs w:val="24"/>
          <w:highlight w:val="none"/>
        </w:rPr>
        <w:t>1</w:t>
      </w:r>
      <w:r>
        <w:rPr>
          <w:rFonts w:hint="eastAsia" w:ascii="宋体" w:hAnsi="宋体" w:cs="宋体"/>
          <w:b/>
          <w:color w:val="auto"/>
          <w:sz w:val="24"/>
          <w:szCs w:val="24"/>
          <w:highlight w:val="none"/>
        </w:rPr>
        <w:t>．总则</w:t>
      </w:r>
      <w:bookmarkEnd w:id="4"/>
      <w:bookmarkEnd w:id="5"/>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1.1</w:t>
      </w:r>
      <w:r>
        <w:rPr>
          <w:rFonts w:hint="eastAsia" w:ascii="宋体" w:hAnsi="宋体" w:cs="Arial"/>
          <w:color w:val="auto"/>
          <w:kern w:val="0"/>
          <w:sz w:val="24"/>
          <w:szCs w:val="24"/>
          <w:highlight w:val="none"/>
        </w:rPr>
        <w:t>采购项目概况</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ascii="宋体" w:hAnsi="宋体" w:cs="Arial"/>
          <w:color w:val="auto"/>
          <w:kern w:val="0"/>
          <w:sz w:val="24"/>
          <w:szCs w:val="24"/>
          <w:highlight w:val="none"/>
        </w:rPr>
        <w:t>1.1.1</w:t>
      </w:r>
      <w:r>
        <w:rPr>
          <w:rFonts w:hint="eastAsia" w:ascii="宋体" w:hAnsi="宋体" w:cs="Arial"/>
          <w:color w:val="auto"/>
          <w:kern w:val="0"/>
          <w:sz w:val="24"/>
          <w:szCs w:val="24"/>
          <w:highlight w:val="none"/>
        </w:rPr>
        <w:t>项目名称：见投标人须知前附表。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ascii="宋体" w:hAnsi="宋体" w:cs="Arial"/>
          <w:color w:val="auto"/>
          <w:kern w:val="0"/>
          <w:sz w:val="24"/>
          <w:szCs w:val="24"/>
          <w:highlight w:val="none"/>
        </w:rPr>
        <w:t>1.1.2</w:t>
      </w:r>
      <w:r>
        <w:rPr>
          <w:rFonts w:hint="eastAsia" w:ascii="宋体" w:hAnsi="宋体" w:cs="Arial"/>
          <w:color w:val="auto"/>
          <w:kern w:val="0"/>
          <w:sz w:val="24"/>
          <w:szCs w:val="24"/>
          <w:highlight w:val="none"/>
        </w:rPr>
        <w:t>项目编号：见投标人须知前附表。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ascii="宋体" w:hAnsi="宋体" w:cs="Arial"/>
          <w:color w:val="auto"/>
          <w:kern w:val="0"/>
          <w:sz w:val="24"/>
          <w:szCs w:val="24"/>
          <w:highlight w:val="none"/>
        </w:rPr>
        <w:t>1.1.3</w:t>
      </w:r>
      <w:r>
        <w:rPr>
          <w:rFonts w:hint="eastAsia" w:ascii="宋体" w:hAnsi="宋体" w:cs="Arial"/>
          <w:color w:val="auto"/>
          <w:kern w:val="0"/>
          <w:sz w:val="24"/>
          <w:szCs w:val="24"/>
          <w:highlight w:val="none"/>
        </w:rPr>
        <w:t>采购人：见投标人须知前附表。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ascii="宋体" w:hAnsi="宋体" w:cs="Arial"/>
          <w:color w:val="auto"/>
          <w:kern w:val="0"/>
          <w:sz w:val="24"/>
          <w:szCs w:val="24"/>
          <w:highlight w:val="none"/>
        </w:rPr>
        <w:t>1.1.4</w:t>
      </w:r>
      <w:r>
        <w:rPr>
          <w:rFonts w:hint="eastAsia" w:ascii="宋体" w:hAnsi="宋体" w:cs="Arial"/>
          <w:color w:val="auto"/>
          <w:kern w:val="0"/>
          <w:sz w:val="24"/>
          <w:szCs w:val="24"/>
          <w:highlight w:val="none"/>
        </w:rPr>
        <w:t>采购代理机构：见投标人须知前附表。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ascii="宋体" w:hAnsi="宋体" w:cs="Arial"/>
          <w:color w:val="auto"/>
          <w:kern w:val="0"/>
          <w:sz w:val="24"/>
          <w:szCs w:val="24"/>
          <w:highlight w:val="none"/>
        </w:rPr>
        <w:t>1.1.5</w:t>
      </w:r>
      <w:r>
        <w:rPr>
          <w:rFonts w:hint="eastAsia" w:ascii="宋体" w:hAnsi="宋体" w:cs="Arial"/>
          <w:color w:val="auto"/>
          <w:kern w:val="0"/>
          <w:sz w:val="24"/>
          <w:szCs w:val="24"/>
          <w:highlight w:val="none"/>
        </w:rPr>
        <w:t>项目地点：见投标人须知前附表。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ascii="宋体" w:hAnsi="宋体" w:cs="Arial"/>
          <w:color w:val="auto"/>
          <w:kern w:val="0"/>
          <w:sz w:val="24"/>
          <w:szCs w:val="24"/>
          <w:highlight w:val="none"/>
        </w:rPr>
        <w:t>1.1.6</w:t>
      </w:r>
      <w:r>
        <w:rPr>
          <w:rFonts w:hint="eastAsia" w:ascii="宋体" w:hAnsi="宋体" w:cs="Arial"/>
          <w:color w:val="auto"/>
          <w:kern w:val="0"/>
          <w:sz w:val="24"/>
          <w:szCs w:val="24"/>
          <w:highlight w:val="none"/>
        </w:rPr>
        <w:t>资金来源：见投标人须知前附表。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ascii="宋体" w:hAnsi="宋体" w:cs="Arial"/>
          <w:color w:val="auto"/>
          <w:kern w:val="0"/>
          <w:sz w:val="24"/>
          <w:szCs w:val="24"/>
          <w:highlight w:val="none"/>
        </w:rPr>
        <w:t>1.1.7</w:t>
      </w:r>
      <w:r>
        <w:rPr>
          <w:rFonts w:hint="eastAsia" w:ascii="宋体" w:hAnsi="宋体" w:cs="Arial"/>
          <w:color w:val="auto"/>
          <w:kern w:val="0"/>
          <w:sz w:val="24"/>
          <w:szCs w:val="24"/>
          <w:highlight w:val="none"/>
        </w:rPr>
        <w:t>采购预算金额：见投标人须知前附表。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ascii="宋体" w:hAnsi="宋体" w:cs="Arial"/>
          <w:color w:val="auto"/>
          <w:kern w:val="0"/>
          <w:sz w:val="24"/>
          <w:szCs w:val="24"/>
          <w:highlight w:val="none"/>
        </w:rPr>
        <w:t>1.1.</w:t>
      </w:r>
      <w:r>
        <w:rPr>
          <w:rFonts w:hint="eastAsia" w:ascii="宋体" w:hAnsi="宋体" w:cs="Arial"/>
          <w:color w:val="auto"/>
          <w:kern w:val="0"/>
          <w:sz w:val="24"/>
          <w:szCs w:val="24"/>
          <w:highlight w:val="none"/>
        </w:rPr>
        <w:t>8是否单一产品：见投标人须知前附表。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1.1.9供货周期：见投标人须知前附表。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1.1.10供货地点：见投标人须知前附表。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1.1.11质保期：见投标人须知前附表。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ascii="宋体" w:hAnsi="宋体" w:cs="Arial"/>
          <w:color w:val="auto"/>
          <w:kern w:val="0"/>
          <w:sz w:val="24"/>
          <w:szCs w:val="24"/>
          <w:highlight w:val="none"/>
        </w:rPr>
        <w:t>1.2</w:t>
      </w:r>
      <w:r>
        <w:rPr>
          <w:rFonts w:hint="eastAsia" w:ascii="宋体" w:hAnsi="宋体" w:cs="Arial"/>
          <w:color w:val="auto"/>
          <w:kern w:val="0"/>
          <w:sz w:val="24"/>
          <w:szCs w:val="24"/>
          <w:highlight w:val="none"/>
        </w:rPr>
        <w:t>采购范围：见投标人须知前附表。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ascii="宋体" w:hAnsi="宋体" w:cs="Arial"/>
          <w:color w:val="auto"/>
          <w:kern w:val="0"/>
          <w:sz w:val="24"/>
          <w:szCs w:val="24"/>
          <w:highlight w:val="none"/>
        </w:rPr>
        <w:t>1.3</w:t>
      </w:r>
      <w:r>
        <w:rPr>
          <w:rFonts w:hint="eastAsia" w:ascii="宋体" w:hAnsi="宋体" w:cs="Arial"/>
          <w:color w:val="auto"/>
          <w:kern w:val="0"/>
          <w:sz w:val="24"/>
          <w:szCs w:val="24"/>
          <w:highlight w:val="none"/>
        </w:rPr>
        <w:t>采购方式和资格审查方式</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1.3.1</w:t>
      </w:r>
      <w:r>
        <w:rPr>
          <w:rFonts w:hint="eastAsia" w:ascii="宋体" w:hAnsi="宋体" w:cs="Arial"/>
          <w:color w:val="auto"/>
          <w:kern w:val="0"/>
          <w:sz w:val="24"/>
          <w:szCs w:val="24"/>
          <w:highlight w:val="none"/>
        </w:rPr>
        <w:t>采购方式：见投标人须知前附表。</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1.3.2</w:t>
      </w:r>
      <w:r>
        <w:rPr>
          <w:rFonts w:hint="eastAsia" w:ascii="宋体" w:hAnsi="宋体" w:cs="Arial"/>
          <w:color w:val="auto"/>
          <w:kern w:val="0"/>
          <w:sz w:val="24"/>
          <w:szCs w:val="24"/>
          <w:highlight w:val="none"/>
        </w:rPr>
        <w:t>资格审查方式：见投标人须知前附表。</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 xml:space="preserve">1.4 </w:t>
      </w:r>
      <w:r>
        <w:rPr>
          <w:rFonts w:hint="eastAsia" w:ascii="宋体" w:hAnsi="宋体" w:cs="Arial"/>
          <w:color w:val="auto"/>
          <w:kern w:val="0"/>
          <w:sz w:val="24"/>
          <w:szCs w:val="24"/>
          <w:highlight w:val="none"/>
        </w:rPr>
        <w:t>评审办法及定标方法</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1.4.1</w:t>
      </w:r>
      <w:r>
        <w:rPr>
          <w:rFonts w:hint="eastAsia" w:ascii="宋体" w:hAnsi="宋体" w:cs="Arial"/>
          <w:color w:val="auto"/>
          <w:kern w:val="0"/>
          <w:sz w:val="24"/>
          <w:szCs w:val="24"/>
          <w:highlight w:val="none"/>
        </w:rPr>
        <w:t>评审办法：见投标人须知前附表。</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1.4.2</w:t>
      </w:r>
      <w:r>
        <w:rPr>
          <w:rFonts w:hint="eastAsia" w:ascii="宋体" w:hAnsi="宋体" w:cs="Arial"/>
          <w:color w:val="auto"/>
          <w:kern w:val="0"/>
          <w:sz w:val="24"/>
          <w:szCs w:val="24"/>
          <w:highlight w:val="none"/>
        </w:rPr>
        <w:t>定标方法：见投标人须知前附表。</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1.5</w:t>
      </w:r>
      <w:r>
        <w:rPr>
          <w:rFonts w:hint="eastAsia" w:ascii="宋体" w:hAnsi="宋体" w:cs="Arial"/>
          <w:color w:val="auto"/>
          <w:kern w:val="0"/>
          <w:sz w:val="24"/>
          <w:szCs w:val="24"/>
          <w:highlight w:val="none"/>
        </w:rPr>
        <w:t>投标人资格条件和能力要求</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1.5.1</w:t>
      </w:r>
      <w:r>
        <w:rPr>
          <w:rFonts w:hint="eastAsia" w:ascii="宋体" w:hAnsi="宋体" w:cs="Arial"/>
          <w:color w:val="auto"/>
          <w:kern w:val="0"/>
          <w:sz w:val="24"/>
          <w:szCs w:val="24"/>
          <w:highlight w:val="none"/>
        </w:rPr>
        <w:t>投标人应具备承担本采购项目的资格条件和能力，具体要求见投标人须知前附表。</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1.5.2</w:t>
      </w:r>
      <w:r>
        <w:rPr>
          <w:rFonts w:hint="eastAsia" w:ascii="宋体" w:hAnsi="宋体" w:cs="Arial"/>
          <w:color w:val="auto"/>
          <w:kern w:val="0"/>
          <w:sz w:val="24"/>
          <w:szCs w:val="24"/>
          <w:highlight w:val="none"/>
        </w:rPr>
        <w:t>投标人须知前附表规定接受联合体投标的，除应符合本章第</w:t>
      </w: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5</w:t>
      </w: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款和投标人须知前附表的要求外，还应遵守以下规定：（</w:t>
      </w: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）联合体各方应按招标文件提供的格式签订联合体协议书，明确联合体牵头人和各方权利义务；（</w:t>
      </w:r>
      <w:r>
        <w:rPr>
          <w:rFonts w:ascii="宋体" w:hAnsi="宋体" w:cs="Arial"/>
          <w:color w:val="auto"/>
          <w:kern w:val="0"/>
          <w:sz w:val="24"/>
          <w:szCs w:val="24"/>
          <w:highlight w:val="none"/>
        </w:rPr>
        <w:t>2</w:t>
      </w:r>
      <w:r>
        <w:rPr>
          <w:rFonts w:hint="eastAsia" w:ascii="宋体" w:hAnsi="宋体" w:cs="Arial"/>
          <w:color w:val="auto"/>
          <w:kern w:val="0"/>
          <w:sz w:val="24"/>
          <w:szCs w:val="24"/>
          <w:highlight w:val="none"/>
        </w:rPr>
        <w:t>）联合体各方不得再以自己名义单独或参加其他联合体在本采购项目中投标。</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1.5.3</w:t>
      </w:r>
      <w:r>
        <w:rPr>
          <w:rFonts w:hint="eastAsia" w:ascii="宋体" w:hAnsi="宋体" w:cs="Arial"/>
          <w:color w:val="auto"/>
          <w:kern w:val="0"/>
          <w:sz w:val="24"/>
          <w:szCs w:val="24"/>
          <w:highlight w:val="none"/>
        </w:rPr>
        <w:t>投标人不得存在下列情形之一，否则相关投标均应被否决：</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hint="eastAsia" w:ascii="宋体" w:hAnsi="宋体" w:cs="Arial"/>
          <w:color w:val="auto"/>
          <w:kern w:val="0"/>
          <w:sz w:val="24"/>
          <w:szCs w:val="24"/>
          <w:highlight w:val="none"/>
        </w:rPr>
        <w:t>（</w:t>
      </w: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）与采购人存在利害关系可能影响招标公正性的法人、其他组织或者个人的；</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hint="eastAsia" w:ascii="宋体" w:hAnsi="宋体" w:cs="Arial"/>
          <w:color w:val="auto"/>
          <w:kern w:val="0"/>
          <w:sz w:val="24"/>
          <w:szCs w:val="24"/>
          <w:highlight w:val="none"/>
        </w:rPr>
        <w:t>（</w:t>
      </w:r>
      <w:r>
        <w:rPr>
          <w:rFonts w:ascii="宋体" w:hAnsi="宋体" w:cs="Arial"/>
          <w:color w:val="auto"/>
          <w:kern w:val="0"/>
          <w:sz w:val="24"/>
          <w:szCs w:val="24"/>
          <w:highlight w:val="none"/>
        </w:rPr>
        <w:t>2</w:t>
      </w:r>
      <w:r>
        <w:rPr>
          <w:rFonts w:hint="eastAsia" w:ascii="宋体" w:hAnsi="宋体" w:cs="Arial"/>
          <w:color w:val="auto"/>
          <w:kern w:val="0"/>
          <w:sz w:val="24"/>
          <w:szCs w:val="24"/>
          <w:highlight w:val="none"/>
        </w:rPr>
        <w:t>）单位负责人为同一人或者存在控股、管理关系的不同单位，参加同一标段投标或者未划分标段的同一采购项目投标的；</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hint="eastAsia" w:ascii="宋体" w:hAnsi="宋体" w:cs="Arial"/>
          <w:color w:val="auto"/>
          <w:kern w:val="0"/>
          <w:sz w:val="24"/>
          <w:szCs w:val="24"/>
          <w:highlight w:val="none"/>
        </w:rPr>
        <w:t>（</w:t>
      </w:r>
      <w:r>
        <w:rPr>
          <w:rFonts w:ascii="宋体" w:hAnsi="宋体" w:cs="Arial"/>
          <w:color w:val="auto"/>
          <w:kern w:val="0"/>
          <w:sz w:val="24"/>
          <w:szCs w:val="24"/>
          <w:highlight w:val="none"/>
        </w:rPr>
        <w:t>3</w:t>
      </w:r>
      <w:r>
        <w:rPr>
          <w:rFonts w:hint="eastAsia" w:ascii="宋体" w:hAnsi="宋体" w:cs="Arial"/>
          <w:color w:val="auto"/>
          <w:kern w:val="0"/>
          <w:sz w:val="24"/>
          <w:szCs w:val="24"/>
          <w:highlight w:val="none"/>
        </w:rPr>
        <w:t>）法定代表人为同一个人的两个及两个以上法人，母公司、全资子公司及其控股公司，参加同一标段投标或者未划分标段的同一采购项目投标的；</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hint="eastAsia" w:ascii="宋体" w:hAnsi="宋体" w:cs="Arial"/>
          <w:color w:val="auto"/>
          <w:kern w:val="0"/>
          <w:sz w:val="24"/>
          <w:szCs w:val="24"/>
          <w:highlight w:val="none"/>
        </w:rPr>
        <w:t>（4）被责令停业的；</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hint="eastAsia" w:ascii="宋体" w:hAnsi="宋体" w:cs="Arial"/>
          <w:color w:val="auto"/>
          <w:kern w:val="0"/>
          <w:sz w:val="24"/>
          <w:szCs w:val="24"/>
          <w:highlight w:val="none"/>
        </w:rPr>
        <w:t>（5）被暂停或取消投标资格的；</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hint="eastAsia" w:ascii="宋体" w:hAnsi="宋体" w:cs="Arial"/>
          <w:color w:val="auto"/>
          <w:kern w:val="0"/>
          <w:sz w:val="24"/>
          <w:szCs w:val="24"/>
          <w:highlight w:val="none"/>
        </w:rPr>
        <w:t>（6）财产被接管或冻结的；</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hint="eastAsia" w:ascii="宋体" w:hAnsi="宋体" w:cs="Arial"/>
          <w:color w:val="auto"/>
          <w:kern w:val="0"/>
          <w:sz w:val="24"/>
          <w:szCs w:val="24"/>
          <w:highlight w:val="none"/>
        </w:rPr>
        <w:t>（7）在最近三年内有骗取中标或严重违约或重大质量问题的；</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hint="eastAsia" w:ascii="宋体" w:hAnsi="宋体" w:cs="Arial"/>
          <w:color w:val="auto"/>
          <w:kern w:val="0"/>
          <w:sz w:val="24"/>
          <w:szCs w:val="24"/>
          <w:highlight w:val="none"/>
        </w:rPr>
        <w:t>（8）法律规定的其他情形。</w:t>
      </w:r>
      <w:bookmarkStart w:id="6" w:name="_BookMark_5"/>
      <w:bookmarkEnd w:id="6"/>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6费用承担</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1.6.1招标文件费：见投标人须知前附表。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1.6.2投标人应承担其编制投标文件与递交投标文件所涉及的一切费用，无论投标结果如何，采购人及采购代理机构对上述费用不作任何补偿。采购代理咨询费由成交投标人支付。</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7投标保证金：见投标人须知前附表。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1.8踏勘现场</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8</w:t>
      </w: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投标人须知前附表规定组织踏勘现场的，采购人或采购代理机构按投标人须知前附表规定的时间、地点组织投标人踏勘项目现场。</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8</w:t>
      </w:r>
      <w:r>
        <w:rPr>
          <w:rFonts w:ascii="宋体" w:hAnsi="宋体" w:cs="Arial"/>
          <w:color w:val="auto"/>
          <w:kern w:val="0"/>
          <w:sz w:val="24"/>
          <w:szCs w:val="24"/>
          <w:highlight w:val="none"/>
        </w:rPr>
        <w:t>.2</w:t>
      </w:r>
      <w:r>
        <w:rPr>
          <w:rFonts w:hint="eastAsia" w:ascii="宋体" w:hAnsi="宋体" w:cs="Arial"/>
          <w:color w:val="auto"/>
          <w:kern w:val="0"/>
          <w:sz w:val="24"/>
          <w:szCs w:val="24"/>
          <w:highlight w:val="none"/>
        </w:rPr>
        <w:t>投标人踏勘现场发生的费用自理。</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8</w:t>
      </w:r>
      <w:r>
        <w:rPr>
          <w:rFonts w:ascii="宋体" w:hAnsi="宋体" w:cs="Arial"/>
          <w:color w:val="auto"/>
          <w:kern w:val="0"/>
          <w:sz w:val="24"/>
          <w:szCs w:val="24"/>
          <w:highlight w:val="none"/>
        </w:rPr>
        <w:t>.3</w:t>
      </w:r>
      <w:r>
        <w:rPr>
          <w:rFonts w:hint="eastAsia" w:ascii="宋体" w:hAnsi="宋体" w:cs="Arial"/>
          <w:color w:val="auto"/>
          <w:kern w:val="0"/>
          <w:sz w:val="24"/>
          <w:szCs w:val="24"/>
          <w:highlight w:val="none"/>
        </w:rPr>
        <w:t>除采购人或采购代理机构的原因外，投标人自行负责在踏勘现场中所发生的人员伤亡和财产损失。</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8</w:t>
      </w:r>
      <w:r>
        <w:rPr>
          <w:rFonts w:ascii="宋体" w:hAnsi="宋体" w:cs="Arial"/>
          <w:color w:val="auto"/>
          <w:kern w:val="0"/>
          <w:sz w:val="24"/>
          <w:szCs w:val="24"/>
          <w:highlight w:val="none"/>
        </w:rPr>
        <w:t>.4</w:t>
      </w:r>
      <w:r>
        <w:rPr>
          <w:rFonts w:hint="eastAsia" w:ascii="宋体" w:hAnsi="宋体" w:cs="Arial"/>
          <w:color w:val="auto"/>
          <w:kern w:val="0"/>
          <w:sz w:val="24"/>
          <w:szCs w:val="24"/>
          <w:highlight w:val="none"/>
        </w:rPr>
        <w:t>采购人或采购代理机构在踏勘现场中介绍的项目有关情况，供投标人在编制投标文件时参考，采购人或采购代理机构不对投标人据此作出的判断和决策负责。</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9招标答疑</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9</w:t>
      </w: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投标人若有疑问，应按投标人须知前附表规定的时间、方式向采购人或采购代理机构提出，要求采购人对招标文件予以澄清。</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1.10投标文件：见投标人须知前附表。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1.11投标文件递交：见投标人须知前附表。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1.12开标：见投标人须知前附表。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1.13响应有效期：见投标人须知前附表。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1.14公告发布媒体：见投标人须知前附表。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1.15履约保证金：见投标人须知前附表。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1.16中小企业政策说明：见投标人须知前附表。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1.17保密</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参与招标投标活动的各方应当对招标文件和投标文件中的商业和技术等秘密保密，否则应当承担相应的法律责任。</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18语言文字</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hint="eastAsia" w:ascii="宋体" w:hAnsi="宋体" w:cs="Arial"/>
          <w:color w:val="auto"/>
          <w:kern w:val="0"/>
          <w:sz w:val="24"/>
          <w:szCs w:val="24"/>
          <w:highlight w:val="none"/>
        </w:rPr>
        <w:t>除专用术语外，与招标投标有关的语言均应当使用中文。必要时专用术语应附有中文注释。</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19计量单位</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hint="eastAsia" w:ascii="宋体" w:hAnsi="宋体" w:cs="Arial"/>
          <w:color w:val="auto"/>
          <w:kern w:val="0"/>
          <w:sz w:val="24"/>
          <w:szCs w:val="24"/>
          <w:highlight w:val="none"/>
        </w:rPr>
        <w:t>所有计量均采用中华人民共和国法定计量单位。</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20偏离</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hint="eastAsia" w:ascii="宋体" w:hAnsi="宋体" w:cs="Arial"/>
          <w:color w:val="auto"/>
          <w:kern w:val="0"/>
          <w:sz w:val="24"/>
          <w:szCs w:val="24"/>
          <w:highlight w:val="none"/>
        </w:rPr>
        <w:t>投标文件与招标文件某些要求产生偏离的，偏离应当符合招标文件规定的偏离范围和幅度。</w:t>
      </w:r>
    </w:p>
    <w:p>
      <w:pPr>
        <w:tabs>
          <w:tab w:val="center" w:pos="4832"/>
          <w:tab w:val="left" w:pos="7140"/>
        </w:tabs>
        <w:spacing w:line="360" w:lineRule="auto"/>
        <w:ind w:firstLine="472" w:firstLineChars="196"/>
        <w:jc w:val="left"/>
        <w:outlineLvl w:val="1"/>
        <w:rPr>
          <w:rFonts w:ascii="宋体" w:hAnsi="Calibri" w:eastAsia="宋体" w:cs="宋体"/>
          <w:b/>
          <w:color w:val="auto"/>
          <w:sz w:val="24"/>
          <w:szCs w:val="24"/>
          <w:highlight w:val="none"/>
        </w:rPr>
      </w:pPr>
      <w:bookmarkStart w:id="7" w:name="_Toc535592196"/>
      <w:bookmarkStart w:id="8" w:name="_Toc141050491"/>
      <w:r>
        <w:rPr>
          <w:rFonts w:ascii="宋体" w:hAnsi="宋体" w:eastAsia="宋体" w:cs="宋体"/>
          <w:b/>
          <w:color w:val="auto"/>
          <w:sz w:val="24"/>
          <w:szCs w:val="24"/>
          <w:highlight w:val="none"/>
        </w:rPr>
        <w:t>2</w:t>
      </w:r>
      <w:r>
        <w:rPr>
          <w:rFonts w:hint="eastAsia" w:ascii="宋体" w:hAnsi="宋体" w:eastAsia="宋体" w:cs="宋体"/>
          <w:b/>
          <w:color w:val="auto"/>
          <w:sz w:val="24"/>
          <w:szCs w:val="24"/>
          <w:highlight w:val="none"/>
        </w:rPr>
        <w:t>．招标文件</w:t>
      </w:r>
      <w:bookmarkEnd w:id="7"/>
      <w:bookmarkEnd w:id="8"/>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2.1 </w:t>
      </w:r>
      <w:r>
        <w:rPr>
          <w:rFonts w:hint="eastAsia" w:ascii="宋体" w:hAnsi="宋体" w:eastAsia="宋体" w:cs="Arial"/>
          <w:color w:val="auto"/>
          <w:kern w:val="0"/>
          <w:sz w:val="24"/>
          <w:szCs w:val="24"/>
          <w:highlight w:val="none"/>
        </w:rPr>
        <w:t>招标文件的组成</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1</w:t>
      </w:r>
      <w:r>
        <w:rPr>
          <w:rFonts w:hint="eastAsia" w:ascii="宋体" w:hAnsi="宋体" w:eastAsia="宋体" w:cs="Arial"/>
          <w:color w:val="auto"/>
          <w:kern w:val="0"/>
          <w:sz w:val="24"/>
          <w:szCs w:val="24"/>
          <w:highlight w:val="none"/>
        </w:rPr>
        <w:t>）投标人须知；</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）评标办法；</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）合同条款；</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4</w:t>
      </w:r>
      <w:r>
        <w:rPr>
          <w:rFonts w:hint="eastAsia" w:ascii="宋体" w:hAnsi="宋体" w:eastAsia="宋体" w:cs="Arial"/>
          <w:color w:val="auto"/>
          <w:kern w:val="0"/>
          <w:sz w:val="24"/>
          <w:szCs w:val="24"/>
          <w:highlight w:val="none"/>
        </w:rPr>
        <w:t>）技术标准和要求；</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5</w:t>
      </w:r>
      <w:r>
        <w:rPr>
          <w:rFonts w:hint="eastAsia" w:ascii="宋体" w:hAnsi="宋体" w:eastAsia="宋体" w:cs="Arial"/>
          <w:color w:val="auto"/>
          <w:kern w:val="0"/>
          <w:sz w:val="24"/>
          <w:szCs w:val="24"/>
          <w:highlight w:val="none"/>
        </w:rPr>
        <w:t>）投标文件格式；</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6</w:t>
      </w:r>
      <w:r>
        <w:rPr>
          <w:rFonts w:hint="eastAsia" w:ascii="宋体" w:hAnsi="宋体" w:eastAsia="宋体" w:cs="Arial"/>
          <w:color w:val="auto"/>
          <w:kern w:val="0"/>
          <w:sz w:val="24"/>
          <w:szCs w:val="24"/>
          <w:highlight w:val="none"/>
        </w:rPr>
        <w:t>）补充条款。</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根据本章第</w:t>
      </w:r>
      <w:r>
        <w:rPr>
          <w:rFonts w:ascii="宋体" w:hAnsi="宋体" w:eastAsia="宋体" w:cs="Arial"/>
          <w:color w:val="auto"/>
          <w:kern w:val="0"/>
          <w:sz w:val="24"/>
          <w:szCs w:val="24"/>
          <w:highlight w:val="none"/>
        </w:rPr>
        <w:t>2.4</w:t>
      </w:r>
      <w:r>
        <w:rPr>
          <w:rFonts w:hint="eastAsia" w:ascii="宋体" w:hAnsi="宋体" w:eastAsia="宋体" w:cs="Arial"/>
          <w:color w:val="auto"/>
          <w:kern w:val="0"/>
          <w:sz w:val="24"/>
          <w:szCs w:val="24"/>
          <w:highlight w:val="none"/>
        </w:rPr>
        <w:t>款和第</w:t>
      </w:r>
      <w:r>
        <w:rPr>
          <w:rFonts w:ascii="宋体" w:hAnsi="宋体" w:eastAsia="宋体" w:cs="Arial"/>
          <w:color w:val="auto"/>
          <w:kern w:val="0"/>
          <w:sz w:val="24"/>
          <w:szCs w:val="24"/>
          <w:highlight w:val="none"/>
        </w:rPr>
        <w:t>2.5</w:t>
      </w:r>
      <w:r>
        <w:rPr>
          <w:rFonts w:hint="eastAsia" w:ascii="宋体" w:hAnsi="宋体" w:eastAsia="宋体" w:cs="Arial"/>
          <w:color w:val="auto"/>
          <w:kern w:val="0"/>
          <w:sz w:val="24"/>
          <w:szCs w:val="24"/>
          <w:highlight w:val="none"/>
        </w:rPr>
        <w:t>款对招标文件所作的澄清、修改，构成招标文件的组成部分。</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2招标文件的获取</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凡有意参加并符合投标人须知前附表“投标人资格条件和能力”的投标人，均可在采购代理机构获取招标文件。</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3招标文件的澄清</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3</w:t>
      </w:r>
      <w:r>
        <w:rPr>
          <w:rFonts w:ascii="宋体" w:hAnsi="宋体" w:eastAsia="宋体" w:cs="Arial"/>
          <w:color w:val="auto"/>
          <w:kern w:val="0"/>
          <w:sz w:val="24"/>
          <w:szCs w:val="24"/>
          <w:highlight w:val="none"/>
        </w:rPr>
        <w:t xml:space="preserve">.1 </w:t>
      </w:r>
      <w:r>
        <w:rPr>
          <w:rFonts w:hint="eastAsia" w:ascii="宋体" w:hAnsi="宋体" w:eastAsia="宋体" w:cs="Arial"/>
          <w:color w:val="auto"/>
          <w:kern w:val="0"/>
          <w:sz w:val="24"/>
          <w:szCs w:val="24"/>
          <w:highlight w:val="none"/>
        </w:rPr>
        <w:t>投标人应当仔细阅读和检查招标文件的全部内容。如发现缺页或附件不全，应当及时向采购人提出，以便补齐。如有疑问，应当在投标人须知前附表规定的时间、方式向采购人提出，要求采购人对招标文件予以澄清。</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3</w:t>
      </w:r>
      <w:r>
        <w:rPr>
          <w:rFonts w:ascii="宋体" w:hAnsi="宋体" w:eastAsia="宋体" w:cs="Arial"/>
          <w:color w:val="auto"/>
          <w:kern w:val="0"/>
          <w:sz w:val="24"/>
          <w:szCs w:val="24"/>
          <w:highlight w:val="none"/>
        </w:rPr>
        <w:t xml:space="preserve">.2 </w:t>
      </w:r>
      <w:r>
        <w:rPr>
          <w:rFonts w:hint="eastAsia" w:ascii="宋体" w:hAnsi="宋体" w:eastAsia="宋体" w:cs="Arial"/>
          <w:color w:val="auto"/>
          <w:kern w:val="0"/>
          <w:sz w:val="24"/>
          <w:szCs w:val="24"/>
          <w:highlight w:val="none"/>
        </w:rPr>
        <w:t>招标文件的澄清将按照投标人须知前附表规定的时间、方式发布，但不指明澄清问题的来源。</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4招标文件的修改</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4</w:t>
      </w:r>
      <w:r>
        <w:rPr>
          <w:rFonts w:ascii="宋体" w:hAnsi="宋体" w:eastAsia="宋体" w:cs="Arial"/>
          <w:color w:val="auto"/>
          <w:kern w:val="0"/>
          <w:sz w:val="24"/>
          <w:szCs w:val="24"/>
          <w:highlight w:val="none"/>
        </w:rPr>
        <w:t xml:space="preserve">.1 </w:t>
      </w:r>
      <w:r>
        <w:rPr>
          <w:rFonts w:hint="eastAsia" w:ascii="宋体" w:hAnsi="宋体" w:eastAsia="宋体" w:cs="Arial"/>
          <w:color w:val="auto"/>
          <w:kern w:val="0"/>
          <w:sz w:val="24"/>
          <w:szCs w:val="24"/>
          <w:highlight w:val="none"/>
        </w:rPr>
        <w:t>招标文件的修改将按照投标人须知前附表规定的时间、方式发布，但不指明澄清问题的来源。</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4</w:t>
      </w:r>
      <w:r>
        <w:rPr>
          <w:rFonts w:ascii="宋体" w:hAnsi="宋体" w:eastAsia="宋体" w:cs="Arial"/>
          <w:color w:val="auto"/>
          <w:kern w:val="0"/>
          <w:sz w:val="24"/>
          <w:szCs w:val="24"/>
          <w:highlight w:val="none"/>
        </w:rPr>
        <w:t xml:space="preserve">.2 </w:t>
      </w:r>
      <w:r>
        <w:rPr>
          <w:rFonts w:hint="eastAsia" w:ascii="宋体" w:hAnsi="宋体" w:eastAsia="宋体" w:cs="Arial"/>
          <w:color w:val="auto"/>
          <w:kern w:val="0"/>
          <w:sz w:val="24"/>
          <w:szCs w:val="24"/>
          <w:highlight w:val="none"/>
        </w:rPr>
        <w:t>在投标人须知前附表规定的截止时间前，无论出于何种原因，采购代理机构和采购人可主动地或在解答潜在投标人提出的澄清问题时对招标文件进行修改。</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4</w:t>
      </w:r>
      <w:r>
        <w:rPr>
          <w:rFonts w:ascii="宋体" w:hAnsi="宋体" w:eastAsia="宋体" w:cs="Arial"/>
          <w:color w:val="auto"/>
          <w:kern w:val="0"/>
          <w:sz w:val="24"/>
          <w:szCs w:val="24"/>
          <w:highlight w:val="none"/>
        </w:rPr>
        <w:t xml:space="preserve">.3 </w:t>
      </w:r>
      <w:r>
        <w:rPr>
          <w:rFonts w:hint="eastAsia" w:ascii="宋体" w:hAnsi="宋体" w:eastAsia="宋体" w:cs="Arial"/>
          <w:color w:val="auto"/>
          <w:kern w:val="0"/>
          <w:sz w:val="24"/>
          <w:szCs w:val="24"/>
          <w:highlight w:val="none"/>
        </w:rPr>
        <w:t>招标文件的修改部分是招标文件的组成部分对投标人具有约束力。</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4</w:t>
      </w:r>
      <w:r>
        <w:rPr>
          <w:rFonts w:ascii="宋体" w:hAnsi="宋体" w:eastAsia="宋体" w:cs="Arial"/>
          <w:color w:val="auto"/>
          <w:kern w:val="0"/>
          <w:sz w:val="24"/>
          <w:szCs w:val="24"/>
          <w:highlight w:val="none"/>
        </w:rPr>
        <w:t xml:space="preserve">.4 </w:t>
      </w:r>
      <w:r>
        <w:rPr>
          <w:rFonts w:hint="eastAsia" w:ascii="宋体" w:hAnsi="宋体" w:eastAsia="宋体" w:cs="Arial"/>
          <w:color w:val="auto"/>
          <w:kern w:val="0"/>
          <w:sz w:val="24"/>
          <w:szCs w:val="24"/>
          <w:highlight w:val="none"/>
        </w:rPr>
        <w:t>为使投标人准备投标时有充分时间对招标文件的修改部分进行研究，采购人可适当推迟投标截止期。</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4</w:t>
      </w:r>
      <w:r>
        <w:rPr>
          <w:rFonts w:ascii="宋体" w:hAnsi="宋体" w:eastAsia="宋体" w:cs="Arial"/>
          <w:color w:val="auto"/>
          <w:kern w:val="0"/>
          <w:sz w:val="24"/>
          <w:szCs w:val="24"/>
          <w:highlight w:val="none"/>
        </w:rPr>
        <w:t xml:space="preserve">.5 </w:t>
      </w:r>
      <w:r>
        <w:rPr>
          <w:rFonts w:hint="eastAsia" w:ascii="宋体" w:hAnsi="宋体" w:eastAsia="宋体" w:cs="Arial"/>
          <w:color w:val="auto"/>
          <w:kern w:val="0"/>
          <w:sz w:val="24"/>
          <w:szCs w:val="24"/>
          <w:highlight w:val="none"/>
        </w:rPr>
        <w:t>当采购人发放的招标文件及招标文件的答疑文件、修改文件、补充文件前后不一致，发生矛盾情况时，以最后发出的为准。</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4</w:t>
      </w:r>
      <w:r>
        <w:rPr>
          <w:rFonts w:ascii="宋体" w:hAnsi="宋体" w:eastAsia="宋体" w:cs="Arial"/>
          <w:color w:val="auto"/>
          <w:kern w:val="0"/>
          <w:sz w:val="24"/>
          <w:szCs w:val="24"/>
          <w:highlight w:val="none"/>
        </w:rPr>
        <w:t xml:space="preserve">.6 </w:t>
      </w:r>
      <w:r>
        <w:rPr>
          <w:rFonts w:hint="eastAsia" w:ascii="宋体" w:hAnsi="宋体" w:eastAsia="宋体" w:cs="Arial"/>
          <w:color w:val="auto"/>
          <w:kern w:val="0"/>
          <w:sz w:val="24"/>
          <w:szCs w:val="24"/>
          <w:highlight w:val="none"/>
        </w:rPr>
        <w:t>如果招标文件各个组成部分之间出现歧义或相互矛盾，或任何文件中呈现明显的或不符合逻辑等的错误，或在文件编写过程中经常出现的打印错误等，投标人应将需要澄清的内容在投标人须知前附表规定的时间之前提出。根据合同条款中的相关约定，如果投标人在投标过程中未能发现并对有关歧义、矛盾或错误提出澄清请求，而在中标后发现并提出，中标人将必须接受由采购人依据合同有关条款而做出的书面澄清。</w:t>
      </w:r>
    </w:p>
    <w:p>
      <w:pPr>
        <w:tabs>
          <w:tab w:val="center" w:pos="4832"/>
          <w:tab w:val="left" w:pos="7140"/>
        </w:tabs>
        <w:spacing w:line="360" w:lineRule="auto"/>
        <w:ind w:firstLine="472" w:firstLineChars="196"/>
        <w:jc w:val="left"/>
        <w:outlineLvl w:val="1"/>
        <w:rPr>
          <w:rFonts w:ascii="宋体" w:hAnsi="Calibri" w:eastAsia="宋体" w:cs="宋体"/>
          <w:b/>
          <w:color w:val="auto"/>
          <w:sz w:val="24"/>
          <w:szCs w:val="24"/>
          <w:highlight w:val="none"/>
        </w:rPr>
      </w:pPr>
      <w:bookmarkStart w:id="9" w:name="_BookMark_6"/>
      <w:bookmarkEnd w:id="9"/>
      <w:bookmarkStart w:id="10" w:name="_Toc141050492"/>
      <w:bookmarkStart w:id="11" w:name="_Toc535592197"/>
      <w:r>
        <w:rPr>
          <w:rFonts w:ascii="宋体" w:hAnsi="宋体" w:eastAsia="宋体" w:cs="宋体"/>
          <w:b/>
          <w:color w:val="auto"/>
          <w:sz w:val="24"/>
          <w:szCs w:val="24"/>
          <w:highlight w:val="none"/>
        </w:rPr>
        <w:t>3</w:t>
      </w:r>
      <w:r>
        <w:rPr>
          <w:rFonts w:hint="eastAsia" w:ascii="宋体" w:hAnsi="宋体" w:eastAsia="宋体" w:cs="宋体"/>
          <w:b/>
          <w:color w:val="auto"/>
          <w:sz w:val="24"/>
          <w:szCs w:val="24"/>
          <w:highlight w:val="none"/>
        </w:rPr>
        <w:t>．投标文件</w:t>
      </w:r>
      <w:bookmarkEnd w:id="10"/>
      <w:bookmarkEnd w:id="11"/>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3.1 </w:t>
      </w:r>
      <w:r>
        <w:rPr>
          <w:rFonts w:hint="eastAsia" w:ascii="宋体" w:hAnsi="宋体" w:eastAsia="宋体" w:cs="Arial"/>
          <w:color w:val="auto"/>
          <w:kern w:val="0"/>
          <w:sz w:val="24"/>
          <w:szCs w:val="24"/>
          <w:highlight w:val="none"/>
        </w:rPr>
        <w:t>投标文件的组成</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3.1.1</w:t>
      </w:r>
      <w:r>
        <w:rPr>
          <w:rFonts w:hint="eastAsia" w:ascii="宋体" w:hAnsi="宋体" w:eastAsia="宋体" w:cs="Arial"/>
          <w:color w:val="auto"/>
          <w:kern w:val="0"/>
          <w:sz w:val="24"/>
          <w:szCs w:val="24"/>
          <w:highlight w:val="none"/>
        </w:rPr>
        <w:t>投标文件应包括下列内容：</w:t>
      </w:r>
    </w:p>
    <w:p>
      <w:pPr>
        <w:spacing w:line="360" w:lineRule="auto"/>
        <w:ind w:firstLine="480" w:firstLineChars="200"/>
        <w:rPr>
          <w:rFonts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（1）、投标函</w:t>
      </w:r>
      <w:r>
        <w:rPr>
          <w:rFonts w:hint="eastAsia" w:ascii="宋体" w:hAnsi="宋体" w:eastAsia="宋体" w:cs="Times New Roman"/>
          <w:bCs/>
          <w:color w:val="auto"/>
          <w:sz w:val="24"/>
          <w:szCs w:val="24"/>
          <w:highlight w:val="none"/>
        </w:rPr>
        <w:tab/>
      </w:r>
    </w:p>
    <w:p>
      <w:pPr>
        <w:spacing w:line="360" w:lineRule="auto"/>
        <w:ind w:firstLine="480" w:firstLineChars="200"/>
        <w:rPr>
          <w:rFonts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（2）、投标价格明细表</w:t>
      </w:r>
    </w:p>
    <w:p>
      <w:pPr>
        <w:spacing w:line="360" w:lineRule="auto"/>
        <w:ind w:firstLine="480" w:firstLineChars="200"/>
        <w:rPr>
          <w:rFonts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（3）、中小微企业投标价格统计表</w:t>
      </w:r>
    </w:p>
    <w:p>
      <w:pPr>
        <w:spacing w:line="360" w:lineRule="auto"/>
        <w:ind w:firstLine="480" w:firstLineChars="200"/>
        <w:rPr>
          <w:rFonts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（4）、技术条款偏离表</w:t>
      </w:r>
    </w:p>
    <w:p>
      <w:pPr>
        <w:spacing w:line="360" w:lineRule="auto"/>
        <w:ind w:firstLine="480" w:firstLineChars="200"/>
        <w:rPr>
          <w:rFonts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（5）、商务条款偏离表</w:t>
      </w:r>
    </w:p>
    <w:p>
      <w:pPr>
        <w:spacing w:line="360" w:lineRule="auto"/>
        <w:ind w:firstLine="480" w:firstLineChars="200"/>
        <w:rPr>
          <w:rFonts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（6）、法定代表人身份证明书</w:t>
      </w:r>
      <w:r>
        <w:rPr>
          <w:rFonts w:hint="eastAsia" w:ascii="宋体" w:hAnsi="宋体" w:eastAsia="宋体" w:cs="Times New Roman"/>
          <w:bCs/>
          <w:color w:val="auto"/>
          <w:sz w:val="24"/>
          <w:szCs w:val="24"/>
          <w:highlight w:val="none"/>
        </w:rPr>
        <w:tab/>
      </w:r>
    </w:p>
    <w:p>
      <w:pPr>
        <w:spacing w:line="360" w:lineRule="auto"/>
        <w:ind w:firstLine="480" w:firstLineChars="200"/>
        <w:rPr>
          <w:rFonts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（7）、法定代表人授权委托书</w:t>
      </w:r>
      <w:r>
        <w:rPr>
          <w:rFonts w:hint="eastAsia" w:ascii="宋体" w:hAnsi="宋体" w:eastAsia="宋体" w:cs="Times New Roman"/>
          <w:bCs/>
          <w:color w:val="auto"/>
          <w:sz w:val="24"/>
          <w:szCs w:val="24"/>
          <w:highlight w:val="none"/>
        </w:rPr>
        <w:tab/>
      </w:r>
    </w:p>
    <w:p>
      <w:pPr>
        <w:spacing w:line="360" w:lineRule="auto"/>
        <w:ind w:firstLine="480" w:firstLineChars="200"/>
        <w:rPr>
          <w:rFonts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（8）、</w:t>
      </w:r>
      <w:r>
        <w:rPr>
          <w:rFonts w:hint="eastAsia" w:ascii="宋体" w:hAnsi="宋体" w:cs="Arial"/>
          <w:color w:val="auto"/>
          <w:kern w:val="0"/>
          <w:sz w:val="24"/>
          <w:szCs w:val="24"/>
          <w:highlight w:val="none"/>
        </w:rPr>
        <w:t>投标人资格条件证明材料</w:t>
      </w:r>
    </w:p>
    <w:p>
      <w:pPr>
        <w:spacing w:line="360" w:lineRule="auto"/>
        <w:ind w:firstLine="480" w:firstLineChars="200"/>
        <w:rPr>
          <w:rFonts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（9）、</w:t>
      </w:r>
      <w:r>
        <w:rPr>
          <w:rFonts w:hint="eastAsia" w:ascii="宋体" w:hAnsi="宋体" w:cs="Arial"/>
          <w:color w:val="auto"/>
          <w:kern w:val="0"/>
          <w:sz w:val="24"/>
          <w:szCs w:val="24"/>
          <w:highlight w:val="none"/>
        </w:rPr>
        <w:t>投标人近年类似项目情况表</w:t>
      </w:r>
    </w:p>
    <w:p>
      <w:pPr>
        <w:spacing w:line="360" w:lineRule="auto"/>
        <w:ind w:firstLine="480" w:firstLineChars="200"/>
        <w:rPr>
          <w:rFonts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（10）、</w:t>
      </w:r>
      <w:r>
        <w:rPr>
          <w:rFonts w:hint="eastAsia" w:ascii="宋体" w:hAnsi="宋体" w:cs="Arial"/>
          <w:color w:val="auto"/>
          <w:kern w:val="0"/>
          <w:sz w:val="24"/>
          <w:szCs w:val="24"/>
          <w:highlight w:val="none"/>
        </w:rPr>
        <w:t>售后服务承诺书</w:t>
      </w:r>
    </w:p>
    <w:p>
      <w:pPr>
        <w:spacing w:line="360" w:lineRule="auto"/>
        <w:ind w:firstLine="480" w:firstLineChars="200"/>
        <w:rPr>
          <w:rFonts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（11）、</w:t>
      </w:r>
      <w:r>
        <w:rPr>
          <w:rFonts w:hint="eastAsia" w:ascii="宋体" w:hAnsi="宋体" w:cs="Arial"/>
          <w:color w:val="auto"/>
          <w:kern w:val="0"/>
          <w:sz w:val="24"/>
          <w:szCs w:val="24"/>
          <w:highlight w:val="none"/>
        </w:rPr>
        <w:t>技术方案</w:t>
      </w:r>
    </w:p>
    <w:p>
      <w:pPr>
        <w:spacing w:line="360" w:lineRule="auto"/>
        <w:ind w:firstLine="480" w:firstLineChars="200"/>
        <w:rPr>
          <w:rFonts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（12）、其他需要提交的资料</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3.1.2 </w:t>
      </w:r>
      <w:r>
        <w:rPr>
          <w:rFonts w:hint="eastAsia" w:ascii="宋体" w:hAnsi="宋体" w:eastAsia="宋体" w:cs="Arial"/>
          <w:color w:val="auto"/>
          <w:kern w:val="0"/>
          <w:sz w:val="24"/>
          <w:szCs w:val="24"/>
          <w:highlight w:val="none"/>
        </w:rPr>
        <w:t>投标人须知前附表规定不接受联合体投标的，或投标人没有组成联合体的，投标文件不包括本章第</w:t>
      </w:r>
      <w:r>
        <w:rPr>
          <w:rFonts w:ascii="宋体" w:hAnsi="宋体" w:eastAsia="宋体" w:cs="Arial"/>
          <w:color w:val="auto"/>
          <w:kern w:val="0"/>
          <w:sz w:val="24"/>
          <w:szCs w:val="24"/>
          <w:highlight w:val="none"/>
        </w:rPr>
        <w:t>3.1.1</w:t>
      </w: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7</w:t>
      </w:r>
      <w:r>
        <w:rPr>
          <w:rFonts w:hint="eastAsia" w:ascii="宋体" w:hAnsi="宋体" w:eastAsia="宋体" w:cs="Arial"/>
          <w:color w:val="auto"/>
          <w:kern w:val="0"/>
          <w:sz w:val="24"/>
          <w:szCs w:val="24"/>
          <w:highlight w:val="none"/>
        </w:rPr>
        <w:t>）款所指的联合体协议书。</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3.2 </w:t>
      </w:r>
      <w:r>
        <w:rPr>
          <w:rFonts w:hint="eastAsia" w:ascii="宋体" w:hAnsi="宋体" w:eastAsia="宋体" w:cs="Arial"/>
          <w:color w:val="auto"/>
          <w:kern w:val="0"/>
          <w:sz w:val="24"/>
          <w:szCs w:val="24"/>
          <w:highlight w:val="none"/>
        </w:rPr>
        <w:t>投标价格</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3.2.1</w:t>
      </w:r>
      <w:r>
        <w:rPr>
          <w:rFonts w:hint="eastAsia" w:ascii="宋体" w:hAnsi="宋体" w:eastAsia="宋体" w:cs="Arial"/>
          <w:color w:val="auto"/>
          <w:kern w:val="0"/>
          <w:sz w:val="24"/>
          <w:szCs w:val="24"/>
          <w:highlight w:val="none"/>
        </w:rPr>
        <w:t>投标价格应包括投标人履行本项目合同（如果中标）所必须的所有成本费用和中标人应承担的一切税费；未列和没有填写的项目费用，采购人将视为已包括在投标价格中。</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3.2.2 </w:t>
      </w:r>
      <w:r>
        <w:rPr>
          <w:rFonts w:hint="eastAsia" w:ascii="宋体" w:hAnsi="宋体" w:eastAsia="宋体" w:cs="Arial"/>
          <w:color w:val="auto"/>
          <w:kern w:val="0"/>
          <w:sz w:val="24"/>
          <w:szCs w:val="24"/>
          <w:highlight w:val="none"/>
        </w:rPr>
        <w:t>投标人的投标价格不能超出本项目采购预算金额。</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3.3 </w:t>
      </w:r>
      <w:r>
        <w:rPr>
          <w:rFonts w:hint="eastAsia" w:ascii="宋体" w:hAnsi="宋体" w:eastAsia="宋体" w:cs="Arial"/>
          <w:color w:val="auto"/>
          <w:kern w:val="0"/>
          <w:sz w:val="24"/>
          <w:szCs w:val="24"/>
          <w:highlight w:val="none"/>
        </w:rPr>
        <w:t>投标有效期</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3.3.1 </w:t>
      </w:r>
      <w:r>
        <w:rPr>
          <w:rFonts w:hint="eastAsia" w:ascii="宋体" w:hAnsi="宋体" w:eastAsia="宋体" w:cs="Arial"/>
          <w:color w:val="auto"/>
          <w:kern w:val="0"/>
          <w:sz w:val="24"/>
          <w:szCs w:val="24"/>
          <w:highlight w:val="none"/>
        </w:rPr>
        <w:t>在投标人须知前附表规定的投标有效期内，投标人不得要求撤销或修改其投标文件。</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3.3.2 </w:t>
      </w:r>
      <w:r>
        <w:rPr>
          <w:rFonts w:hint="eastAsia" w:ascii="宋体" w:hAnsi="宋体" w:eastAsia="宋体" w:cs="Arial"/>
          <w:color w:val="auto"/>
          <w:kern w:val="0"/>
          <w:sz w:val="24"/>
          <w:szCs w:val="24"/>
          <w:highlight w:val="none"/>
        </w:rPr>
        <w:t>出现特殊情况需要延长投标有效期的，采购人将通知所有投标人延长投标有效期。投标人同意延长的，应当相应延长其投标保证金的有效期，但不得要求或被允许修改或撤销其投标文件；投标人拒绝延长的，其投标失效，但投标人有权收回其投标保证金。</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3.3.3 </w:t>
      </w:r>
      <w:r>
        <w:rPr>
          <w:rFonts w:hint="eastAsia" w:ascii="宋体" w:hAnsi="宋体" w:eastAsia="宋体" w:cs="Arial"/>
          <w:color w:val="auto"/>
          <w:kern w:val="0"/>
          <w:sz w:val="24"/>
          <w:szCs w:val="24"/>
          <w:highlight w:val="none"/>
        </w:rPr>
        <w:t>投标保证金的有效期与投标有效期一致。</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3.4 </w:t>
      </w:r>
      <w:r>
        <w:rPr>
          <w:rFonts w:hint="eastAsia" w:ascii="宋体" w:hAnsi="宋体" w:eastAsia="宋体" w:cs="Arial"/>
          <w:color w:val="auto"/>
          <w:kern w:val="0"/>
          <w:sz w:val="24"/>
          <w:szCs w:val="24"/>
          <w:highlight w:val="none"/>
        </w:rPr>
        <w:t>投标保证金</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 xml:space="preserve">3.4.1 </w:t>
      </w:r>
      <w:r>
        <w:rPr>
          <w:rFonts w:hint="eastAsia" w:ascii="宋体" w:hAnsi="宋体" w:eastAsia="宋体" w:cs="Arial"/>
          <w:color w:val="auto"/>
          <w:kern w:val="0"/>
          <w:sz w:val="24"/>
          <w:szCs w:val="24"/>
          <w:highlight w:val="none"/>
        </w:rPr>
        <w:t>投标人应于投标截止时间前按投标人须知前附表规定数额提交投标保证金。未提交投标保证金的，将被视为非响应性投标而予以拒绝。联合体投标的，其投标保证金由牵头人递交，并应符合投标人须知前附表的规定。</w:t>
      </w:r>
    </w:p>
    <w:p>
      <w:pPr>
        <w:shd w:val="clear" w:color="auto" w:fill="FFFFFF"/>
        <w:snapToGrid w:val="0"/>
        <w:spacing w:line="384" w:lineRule="auto"/>
        <w:ind w:firstLine="360" w:firstLineChars="150"/>
        <w:rPr>
          <w:rFonts w:ascii="宋体" w:hAnsi="宋体" w:eastAsia="宋体" w:cs="Times New Roman"/>
          <w:color w:val="auto"/>
          <w:sz w:val="24"/>
          <w:szCs w:val="24"/>
          <w:highlight w:val="none"/>
        </w:rPr>
      </w:pPr>
      <w:r>
        <w:rPr>
          <w:rFonts w:ascii="宋体" w:hAnsi="宋体" w:eastAsia="宋体" w:cs="Arial"/>
          <w:color w:val="auto"/>
          <w:kern w:val="0"/>
          <w:sz w:val="24"/>
          <w:szCs w:val="24"/>
          <w:highlight w:val="none"/>
        </w:rPr>
        <w:t>3.4.2</w:t>
      </w:r>
      <w:r>
        <w:rPr>
          <w:rFonts w:hint="eastAsia" w:ascii="宋体" w:hAnsi="宋体" w:eastAsia="宋体" w:cs="Times New Roman"/>
          <w:color w:val="auto"/>
          <w:sz w:val="24"/>
          <w:szCs w:val="24"/>
          <w:highlight w:val="none"/>
        </w:rPr>
        <w:t>投标保证金以支票、汇票、本票或者金融机构、担保机构出具的保函等非现金形式提交至采购代理机构。</w:t>
      </w:r>
    </w:p>
    <w:p>
      <w:pPr>
        <w:shd w:val="clear" w:color="auto" w:fill="FFFFFF"/>
        <w:snapToGrid w:val="0"/>
        <w:spacing w:line="384" w:lineRule="auto"/>
        <w:ind w:firstLine="360" w:firstLineChars="15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采购代理机构名称：新疆新世纪招标有限公司</w:t>
      </w:r>
    </w:p>
    <w:p>
      <w:pPr>
        <w:shd w:val="clear" w:color="auto" w:fill="FFFFFF"/>
        <w:snapToGrid w:val="0"/>
        <w:spacing w:line="384" w:lineRule="auto"/>
        <w:ind w:firstLine="360" w:firstLineChars="15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纳税人识别号：91650100726988855F</w:t>
      </w:r>
    </w:p>
    <w:p>
      <w:pPr>
        <w:shd w:val="clear" w:color="auto" w:fill="FFFFFF"/>
        <w:snapToGrid w:val="0"/>
        <w:spacing w:line="384" w:lineRule="auto"/>
        <w:ind w:firstLine="360" w:firstLineChars="15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开户行：中国农业银行乌鲁木齐新民西街支行</w:t>
      </w:r>
    </w:p>
    <w:p>
      <w:pPr>
        <w:shd w:val="clear" w:color="auto" w:fill="FFFFFF"/>
        <w:snapToGrid w:val="0"/>
        <w:spacing w:line="384" w:lineRule="auto"/>
        <w:ind w:firstLine="360" w:firstLineChars="15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账号：30014701040000595</w:t>
      </w:r>
    </w:p>
    <w:p>
      <w:pPr>
        <w:shd w:val="clear" w:color="auto" w:fill="FFFFFF"/>
        <w:snapToGrid w:val="0"/>
        <w:spacing w:line="384" w:lineRule="auto"/>
        <w:ind w:firstLine="360" w:firstLineChars="15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3.4.</w:t>
      </w:r>
      <w:r>
        <w:rPr>
          <w:rFonts w:hint="eastAsia" w:ascii="宋体" w:hAnsi="宋体" w:eastAsia="宋体" w:cs="Arial"/>
          <w:color w:val="auto"/>
          <w:kern w:val="0"/>
          <w:sz w:val="24"/>
          <w:szCs w:val="24"/>
          <w:highlight w:val="none"/>
        </w:rPr>
        <w:t>3投标保证金是为了保护采购人免遭因投标人的行为而蒙受损失。采购人在因投标人的行为受到损害时可根据相关法律规定没收投标人的投标保证金。</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3.4.</w:t>
      </w:r>
      <w:r>
        <w:rPr>
          <w:rFonts w:hint="eastAsia" w:ascii="宋体" w:hAnsi="宋体" w:eastAsia="宋体" w:cs="Arial"/>
          <w:color w:val="auto"/>
          <w:kern w:val="0"/>
          <w:sz w:val="24"/>
          <w:szCs w:val="24"/>
          <w:highlight w:val="none"/>
        </w:rPr>
        <w:t>4</w:t>
      </w:r>
      <w:r>
        <w:rPr>
          <w:rFonts w:ascii="宋体" w:hAnsi="宋体" w:eastAsia="宋体" w:cs="Arial"/>
          <w:color w:val="auto"/>
          <w:kern w:val="0"/>
          <w:sz w:val="24"/>
          <w:szCs w:val="24"/>
          <w:highlight w:val="none"/>
        </w:rPr>
        <w:t xml:space="preserve"> 采购人或者采购代理机构应当自中标通知书发出之日起5个工作日内退还未中标人的投标保证金，自采购合同签订之日起5个工作日内退还中标人的投标保证金</w:t>
      </w:r>
      <w:r>
        <w:rPr>
          <w:rFonts w:hint="eastAsia" w:ascii="宋体" w:hAnsi="宋体" w:eastAsia="宋体" w:cs="Arial"/>
          <w:color w:val="auto"/>
          <w:kern w:val="0"/>
          <w:sz w:val="24"/>
          <w:szCs w:val="24"/>
          <w:highlight w:val="none"/>
        </w:rPr>
        <w:t>。</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3.4.</w:t>
      </w:r>
      <w:r>
        <w:rPr>
          <w:rFonts w:hint="eastAsia" w:ascii="宋体" w:hAnsi="宋体" w:eastAsia="宋体" w:cs="Arial"/>
          <w:color w:val="auto"/>
          <w:kern w:val="0"/>
          <w:sz w:val="24"/>
          <w:szCs w:val="24"/>
          <w:highlight w:val="none"/>
        </w:rPr>
        <w:t>5投标保证金有效期与投标有效期一致。</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3.4.</w:t>
      </w:r>
      <w:r>
        <w:rPr>
          <w:rFonts w:hint="eastAsia" w:ascii="宋体" w:hAnsi="宋体" w:eastAsia="宋体" w:cs="Arial"/>
          <w:color w:val="auto"/>
          <w:kern w:val="0"/>
          <w:sz w:val="24"/>
          <w:szCs w:val="24"/>
          <w:highlight w:val="none"/>
        </w:rPr>
        <w:t>6有下列情形之一的，投标保证金不予退还：</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1</w:t>
      </w:r>
      <w:r>
        <w:rPr>
          <w:rFonts w:hint="eastAsia" w:ascii="宋体" w:hAnsi="宋体" w:eastAsia="宋体" w:cs="Arial"/>
          <w:color w:val="auto"/>
          <w:kern w:val="0"/>
          <w:sz w:val="24"/>
          <w:szCs w:val="24"/>
          <w:highlight w:val="none"/>
        </w:rPr>
        <w:t>）投标人在规定的投标有效期内撤销或修改其投标文件的；</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）中标人在收到中标通知书后，无正当理由拒签合同协议书或在签订合同时提出附加条件或者更改合同实质性内容的；</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）未按招标文件规定提交履约保证金的。</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3.5 </w:t>
      </w:r>
      <w:r>
        <w:rPr>
          <w:rFonts w:hint="eastAsia" w:ascii="宋体" w:hAnsi="宋体" w:eastAsia="宋体" w:cs="Arial"/>
          <w:color w:val="auto"/>
          <w:kern w:val="0"/>
          <w:sz w:val="24"/>
          <w:szCs w:val="24"/>
          <w:highlight w:val="none"/>
        </w:rPr>
        <w:t>投标文件的编制</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3.5.1</w:t>
      </w:r>
      <w:r>
        <w:rPr>
          <w:rFonts w:hint="eastAsia" w:ascii="宋体" w:hAnsi="宋体" w:eastAsia="宋体" w:cs="Arial"/>
          <w:color w:val="auto"/>
          <w:kern w:val="0"/>
          <w:sz w:val="24"/>
          <w:szCs w:val="24"/>
          <w:highlight w:val="none"/>
        </w:rPr>
        <w:t>投标文件应按第五章“投标文件格式”进行编写，如有必要，可以增加附页，作为投标文件的组成部分。</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3.5.2</w:t>
      </w:r>
      <w:r>
        <w:rPr>
          <w:rFonts w:hint="eastAsia" w:ascii="宋体" w:hAnsi="宋体" w:eastAsia="宋体" w:cs="Arial"/>
          <w:color w:val="auto"/>
          <w:kern w:val="0"/>
          <w:sz w:val="24"/>
          <w:szCs w:val="24"/>
          <w:highlight w:val="none"/>
        </w:rPr>
        <w:t>投标文件应当对招标文件有关采购范围、技术与服务要求等实质性内容做出响应。</w:t>
      </w:r>
    </w:p>
    <w:p>
      <w:pPr>
        <w:widowControl/>
        <w:shd w:val="clear" w:color="auto" w:fill="FFFFFF"/>
        <w:snapToGrid w:val="0"/>
        <w:spacing w:line="360" w:lineRule="auto"/>
        <w:ind w:firstLine="480" w:firstLineChars="200"/>
        <w:rPr>
          <w:rFonts w:ascii="宋体" w:cs="Arial"/>
          <w:color w:val="auto"/>
          <w:kern w:val="0"/>
          <w:sz w:val="24"/>
          <w:szCs w:val="24"/>
          <w:highlight w:val="none"/>
          <w:shd w:val="clear" w:color="auto" w:fill="FFFFFF" w:themeFill="background1"/>
        </w:rPr>
      </w:pPr>
      <w:bookmarkStart w:id="12" w:name="_BookMark_7"/>
      <w:bookmarkEnd w:id="12"/>
      <w:bookmarkStart w:id="13" w:name="_Toc535592198"/>
      <w:r>
        <w:rPr>
          <w:rFonts w:hint="eastAsia" w:ascii="宋体" w:cs="Arial"/>
          <w:color w:val="auto"/>
          <w:kern w:val="0"/>
          <w:sz w:val="24"/>
          <w:szCs w:val="24"/>
          <w:highlight w:val="none"/>
          <w:shd w:val="clear" w:color="auto" w:fill="FFFFFF" w:themeFill="background1"/>
        </w:rPr>
        <w:t>3</w:t>
      </w:r>
      <w:r>
        <w:rPr>
          <w:rFonts w:ascii="宋体" w:cs="Arial"/>
          <w:color w:val="auto"/>
          <w:kern w:val="0"/>
          <w:sz w:val="24"/>
          <w:szCs w:val="24"/>
          <w:highlight w:val="none"/>
          <w:shd w:val="clear" w:color="auto" w:fill="FFFFFF" w:themeFill="background1"/>
        </w:rPr>
        <w:t>.5.3</w:t>
      </w:r>
      <w:r>
        <w:rPr>
          <w:rFonts w:hint="eastAsia" w:ascii="宋体" w:cs="Arial"/>
          <w:color w:val="auto"/>
          <w:kern w:val="0"/>
          <w:sz w:val="24"/>
          <w:szCs w:val="24"/>
          <w:highlight w:val="none"/>
          <w:shd w:val="clear" w:color="auto" w:fill="FFFFFF" w:themeFill="background1"/>
        </w:rPr>
        <w:t>电子投标文件使用政采云平台投标文件制作工具以及招标文件要求进行制作编制。投标文件制作时，按照招标文件中明确的投标文件目录和格式进行编制，保证目录清晰、内容完整。</w:t>
      </w:r>
    </w:p>
    <w:p>
      <w:pPr>
        <w:widowControl/>
        <w:shd w:val="clear" w:color="auto" w:fill="FFFFFF"/>
        <w:snapToGrid w:val="0"/>
        <w:spacing w:line="360" w:lineRule="auto"/>
        <w:ind w:firstLine="480" w:firstLineChars="200"/>
        <w:rPr>
          <w:rFonts w:ascii="宋体" w:cs="Arial"/>
          <w:color w:val="auto"/>
          <w:kern w:val="0"/>
          <w:sz w:val="24"/>
          <w:szCs w:val="24"/>
          <w:highlight w:val="none"/>
          <w:shd w:val="clear" w:color="auto" w:fill="FFFFFF" w:themeFill="background1"/>
        </w:rPr>
      </w:pPr>
      <w:r>
        <w:rPr>
          <w:rFonts w:hint="eastAsia" w:ascii="宋体" w:cs="Arial"/>
          <w:color w:val="auto"/>
          <w:kern w:val="0"/>
          <w:sz w:val="24"/>
          <w:szCs w:val="24"/>
          <w:highlight w:val="none"/>
          <w:shd w:val="clear" w:color="auto" w:fill="FFFFFF" w:themeFill="background1"/>
        </w:rPr>
        <w:t>3</w:t>
      </w:r>
      <w:r>
        <w:rPr>
          <w:rFonts w:ascii="宋体" w:cs="Arial"/>
          <w:color w:val="auto"/>
          <w:kern w:val="0"/>
          <w:sz w:val="24"/>
          <w:szCs w:val="24"/>
          <w:highlight w:val="none"/>
          <w:shd w:val="clear" w:color="auto" w:fill="FFFFFF" w:themeFill="background1"/>
        </w:rPr>
        <w:t>.5.4</w:t>
      </w:r>
      <w:r>
        <w:rPr>
          <w:rFonts w:hint="eastAsia" w:ascii="宋体" w:cs="Arial"/>
          <w:color w:val="auto"/>
          <w:kern w:val="0"/>
          <w:sz w:val="24"/>
          <w:szCs w:val="24"/>
          <w:highlight w:val="none"/>
          <w:shd w:val="clear" w:color="auto" w:fill="FFFFFF" w:themeFill="background1"/>
        </w:rPr>
        <w:t>电子投标文件须使用投标人电子公章及法定代表人的电子签名。</w:t>
      </w:r>
    </w:p>
    <w:p>
      <w:pPr>
        <w:widowControl/>
        <w:shd w:val="clear" w:color="auto" w:fill="FFFFFF"/>
        <w:snapToGrid w:val="0"/>
        <w:spacing w:line="360" w:lineRule="auto"/>
        <w:ind w:firstLine="480" w:firstLineChars="200"/>
        <w:rPr>
          <w:rFonts w:ascii="宋体" w:hAnsi="宋体"/>
          <w:color w:val="auto"/>
          <w:sz w:val="24"/>
          <w:highlight w:val="none"/>
          <w:shd w:val="clear" w:color="auto" w:fill="FFFFFF" w:themeFill="background1"/>
        </w:rPr>
      </w:pPr>
      <w:r>
        <w:rPr>
          <w:rFonts w:hint="eastAsia" w:ascii="宋体" w:cs="Arial"/>
          <w:color w:val="auto"/>
          <w:kern w:val="0"/>
          <w:sz w:val="24"/>
          <w:szCs w:val="24"/>
          <w:highlight w:val="none"/>
          <w:shd w:val="clear" w:color="auto" w:fill="FFFFFF" w:themeFill="background1"/>
        </w:rPr>
        <w:t>3</w:t>
      </w:r>
      <w:r>
        <w:rPr>
          <w:rFonts w:ascii="宋体" w:cs="Arial"/>
          <w:color w:val="auto"/>
          <w:kern w:val="0"/>
          <w:sz w:val="24"/>
          <w:szCs w:val="24"/>
          <w:highlight w:val="none"/>
          <w:shd w:val="clear" w:color="auto" w:fill="FFFFFF" w:themeFill="background1"/>
        </w:rPr>
        <w:t>.5.5</w:t>
      </w:r>
      <w:r>
        <w:rPr>
          <w:rFonts w:hint="eastAsia" w:ascii="宋体" w:cs="Arial"/>
          <w:color w:val="auto"/>
          <w:kern w:val="0"/>
          <w:sz w:val="24"/>
          <w:szCs w:val="24"/>
          <w:highlight w:val="none"/>
          <w:shd w:val="clear" w:color="auto" w:fill="FFFFFF" w:themeFill="background1"/>
        </w:rPr>
        <w:t>电子招投标文件具有法律效力，与其他形式的招投标文件在内容和格式上等同，若投标文件与招标文件要求不一致，其内容影响成交结果时，责任由投标人自行承担。投标人递交的电子投标文件因投标人自身原因而导致无法导入电子辅助评标系统，该投标文件视为无效投标文件，将导致其投标被拒绝</w:t>
      </w:r>
      <w:r>
        <w:rPr>
          <w:rFonts w:hint="eastAsia" w:ascii="宋体" w:hAnsi="宋体"/>
          <w:color w:val="auto"/>
          <w:sz w:val="24"/>
          <w:highlight w:val="none"/>
          <w:shd w:val="clear" w:color="auto" w:fill="FFFFFF" w:themeFill="background1"/>
        </w:rPr>
        <w:t>。</w:t>
      </w:r>
    </w:p>
    <w:p>
      <w:pPr>
        <w:tabs>
          <w:tab w:val="center" w:pos="4832"/>
          <w:tab w:val="left" w:pos="7140"/>
        </w:tabs>
        <w:spacing w:line="360" w:lineRule="auto"/>
        <w:ind w:firstLine="470" w:firstLineChars="196"/>
        <w:jc w:val="left"/>
        <w:rPr>
          <w:rFonts w:ascii="宋体" w:hAnsi="宋体"/>
          <w:color w:val="auto"/>
          <w:sz w:val="24"/>
          <w:highlight w:val="none"/>
          <w:shd w:val="clear" w:color="auto" w:fill="FFFFFF" w:themeFill="background1"/>
        </w:rPr>
      </w:pPr>
      <w:r>
        <w:rPr>
          <w:rFonts w:hint="eastAsia" w:ascii="宋体" w:cs="Arial"/>
          <w:color w:val="auto"/>
          <w:kern w:val="0"/>
          <w:sz w:val="24"/>
          <w:szCs w:val="24"/>
          <w:highlight w:val="none"/>
          <w:shd w:val="clear" w:color="auto" w:fill="FFFFFF" w:themeFill="background1"/>
        </w:rPr>
        <w:t>3</w:t>
      </w:r>
      <w:r>
        <w:rPr>
          <w:rFonts w:ascii="宋体" w:cs="Arial"/>
          <w:color w:val="auto"/>
          <w:kern w:val="0"/>
          <w:sz w:val="24"/>
          <w:szCs w:val="24"/>
          <w:highlight w:val="none"/>
          <w:shd w:val="clear" w:color="auto" w:fill="FFFFFF" w:themeFill="background1"/>
        </w:rPr>
        <w:t>.5.6</w:t>
      </w:r>
      <w:r>
        <w:rPr>
          <w:rFonts w:hint="eastAsia" w:ascii="宋体" w:hAnsi="宋体"/>
          <w:color w:val="auto"/>
          <w:sz w:val="24"/>
          <w:highlight w:val="none"/>
          <w:shd w:val="clear" w:color="auto" w:fill="FFFFFF" w:themeFill="background1"/>
        </w:rPr>
        <w:t>未按招标文件要求签署和盖章的投标文件，其投标将被认定为投标无效。</w:t>
      </w:r>
    </w:p>
    <w:p>
      <w:pPr>
        <w:tabs>
          <w:tab w:val="center" w:pos="4832"/>
          <w:tab w:val="left" w:pos="7140"/>
        </w:tabs>
        <w:spacing w:line="360" w:lineRule="auto"/>
        <w:ind w:firstLine="472" w:firstLineChars="196"/>
        <w:jc w:val="left"/>
        <w:outlineLvl w:val="1"/>
        <w:rPr>
          <w:rFonts w:ascii="宋体" w:hAnsi="Calibri" w:eastAsia="宋体" w:cs="宋体"/>
          <w:b/>
          <w:color w:val="auto"/>
          <w:sz w:val="24"/>
          <w:szCs w:val="24"/>
          <w:highlight w:val="none"/>
        </w:rPr>
      </w:pPr>
      <w:bookmarkStart w:id="14" w:name="_Toc141050493"/>
      <w:r>
        <w:rPr>
          <w:rFonts w:ascii="宋体" w:hAnsi="宋体" w:eastAsia="宋体" w:cs="宋体"/>
          <w:b/>
          <w:color w:val="auto"/>
          <w:sz w:val="24"/>
          <w:szCs w:val="24"/>
          <w:highlight w:val="none"/>
        </w:rPr>
        <w:t>4</w:t>
      </w:r>
      <w:r>
        <w:rPr>
          <w:rFonts w:hint="eastAsia" w:ascii="宋体" w:hAnsi="宋体" w:eastAsia="宋体" w:cs="宋体"/>
          <w:b/>
          <w:color w:val="auto"/>
          <w:sz w:val="24"/>
          <w:szCs w:val="24"/>
          <w:highlight w:val="none"/>
        </w:rPr>
        <w:t>．投标</w:t>
      </w:r>
      <w:bookmarkEnd w:id="13"/>
      <w:bookmarkEnd w:id="14"/>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bookmarkStart w:id="15" w:name="_BookMark_8"/>
      <w:bookmarkEnd w:id="15"/>
      <w:bookmarkStart w:id="16" w:name="_Toc535592199"/>
      <w:r>
        <w:rPr>
          <w:rFonts w:ascii="宋体" w:hAnsi="宋体" w:eastAsia="宋体" w:cs="宋体"/>
          <w:bCs/>
          <w:color w:val="auto"/>
          <w:sz w:val="24"/>
          <w:szCs w:val="24"/>
          <w:highlight w:val="none"/>
        </w:rPr>
        <w:t>4.1</w:t>
      </w:r>
      <w:r>
        <w:rPr>
          <w:rFonts w:hint="eastAsia" w:ascii="宋体" w:hAnsi="宋体" w:eastAsia="宋体" w:cs="宋体"/>
          <w:bCs/>
          <w:color w:val="auto"/>
          <w:sz w:val="24"/>
          <w:szCs w:val="24"/>
          <w:highlight w:val="none"/>
        </w:rPr>
        <w:t xml:space="preserve">本次采购采用电子交易方式，电子交易平台为“政采云平台（https://www.zcygov.cn/）”。投标人参与本项目电子交易活动前，应注册成为政府采购云平台投标人。编制电子投标文件前还需申领CA证书并绑定帐号。投标人应充分考虑完成平台注册、申领CA证书等所需的时间。因未注册入库、未办理CA数字证书等原因造成无法投标或投标失败等后果由投标人自行承担。 </w:t>
      </w:r>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w:t>
      </w:r>
      <w:r>
        <w:rPr>
          <w:rFonts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rPr>
        <w:t>投标人将政采云电子交易客户端下载、安装完成后，可通过账号密码或CA登录客户端进行投标文件制作。在使用政采云投标客户端时，建议使用WIN7及以上操作系统。客户端请至新疆政府采购网（www.ccgp-xinjiang.gov.cn）下载专区查看，如有问题可拨打政采云客户服务热线95763进行咨询。</w:t>
      </w:r>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4.</w:t>
      </w:r>
      <w:r>
        <w:rPr>
          <w:rFonts w:hint="eastAsia" w:ascii="宋体" w:hAnsi="宋体" w:eastAsia="宋体" w:cs="宋体"/>
          <w:bCs/>
          <w:color w:val="auto"/>
          <w:sz w:val="24"/>
          <w:szCs w:val="24"/>
          <w:highlight w:val="none"/>
        </w:rPr>
        <w:t>3投标文件的递交</w:t>
      </w:r>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4.</w:t>
      </w:r>
      <w:r>
        <w:rPr>
          <w:rFonts w:hint="eastAsia" w:ascii="宋体" w:hAnsi="宋体" w:eastAsia="宋体" w:cs="宋体"/>
          <w:bCs/>
          <w:color w:val="auto"/>
          <w:sz w:val="24"/>
          <w:szCs w:val="24"/>
          <w:highlight w:val="none"/>
        </w:rPr>
        <w:t>3</w:t>
      </w:r>
      <w:r>
        <w:rPr>
          <w:rFonts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rPr>
        <w:t>加密的电子投标文件应在投标文件递交截止时间前通过政采云平台上传完成。逾期上传或者未上传指定地点的投标文件，采购人不予受理。</w:t>
      </w:r>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4.</w:t>
      </w:r>
      <w:r>
        <w:rPr>
          <w:rFonts w:hint="eastAsia" w:ascii="宋体" w:hAnsi="宋体" w:eastAsia="宋体" w:cs="宋体"/>
          <w:bCs/>
          <w:color w:val="auto"/>
          <w:sz w:val="24"/>
          <w:szCs w:val="24"/>
          <w:highlight w:val="none"/>
        </w:rPr>
        <w:t>3</w:t>
      </w:r>
      <w:r>
        <w:rPr>
          <w:rFonts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rPr>
        <w:t>采购人事先约定延长投标文件递交截止时间的，采购人与投标人以前的投标截止期方面的全部权利、责任和义务，将适用延长至新的投标截止期。</w:t>
      </w:r>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4.</w:t>
      </w:r>
      <w:r>
        <w:rPr>
          <w:rFonts w:hint="eastAsia" w:ascii="宋体" w:hAnsi="宋体" w:eastAsia="宋体" w:cs="宋体"/>
          <w:bCs/>
          <w:color w:val="auto"/>
          <w:sz w:val="24"/>
          <w:szCs w:val="24"/>
          <w:highlight w:val="none"/>
        </w:rPr>
        <w:t>3</w:t>
      </w:r>
      <w:r>
        <w:rPr>
          <w:rFonts w:ascii="宋体" w:hAnsi="宋体" w:eastAsia="宋体" w:cs="宋体"/>
          <w:bCs/>
          <w:color w:val="auto"/>
          <w:sz w:val="24"/>
          <w:szCs w:val="24"/>
          <w:highlight w:val="none"/>
        </w:rPr>
        <w:t>.</w:t>
      </w:r>
      <w:r>
        <w:rPr>
          <w:rFonts w:hint="eastAsia" w:ascii="宋体" w:hAnsi="宋体" w:eastAsia="宋体" w:cs="宋体"/>
          <w:bCs/>
          <w:color w:val="auto"/>
          <w:sz w:val="24"/>
          <w:szCs w:val="24"/>
          <w:highlight w:val="none"/>
        </w:rPr>
        <w:t>3投标人或其投标文件存在下列情形之一的，采购人对其投标文件不予受理：</w:t>
      </w:r>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rPr>
        <w:t>）逾期上传的投标文件；</w:t>
      </w:r>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rPr>
        <w:t>）未按本章第</w:t>
      </w:r>
      <w:r>
        <w:rPr>
          <w:rFonts w:ascii="宋体" w:hAnsi="宋体" w:eastAsia="宋体" w:cs="宋体"/>
          <w:bCs/>
          <w:color w:val="auto"/>
          <w:sz w:val="24"/>
          <w:szCs w:val="24"/>
          <w:highlight w:val="none"/>
        </w:rPr>
        <w:t>4.2.1</w:t>
      </w:r>
      <w:r>
        <w:rPr>
          <w:rFonts w:hint="eastAsia" w:ascii="宋体" w:hAnsi="宋体" w:eastAsia="宋体" w:cs="宋体"/>
          <w:bCs/>
          <w:color w:val="auto"/>
          <w:sz w:val="24"/>
          <w:szCs w:val="24"/>
          <w:highlight w:val="none"/>
        </w:rPr>
        <w:t>款要求加密的投标文件。</w:t>
      </w:r>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4.</w:t>
      </w:r>
      <w:r>
        <w:rPr>
          <w:rFonts w:hint="eastAsia" w:ascii="宋体" w:hAnsi="宋体" w:eastAsia="宋体" w:cs="宋体"/>
          <w:bCs/>
          <w:color w:val="auto"/>
          <w:sz w:val="24"/>
          <w:szCs w:val="24"/>
          <w:highlight w:val="none"/>
        </w:rPr>
        <w:t>4投标文件的修改与撤回</w:t>
      </w:r>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4.</w:t>
      </w:r>
      <w:r>
        <w:rPr>
          <w:rFonts w:hint="eastAsia" w:ascii="宋体" w:hAnsi="宋体" w:eastAsia="宋体" w:cs="宋体"/>
          <w:bCs/>
          <w:color w:val="auto"/>
          <w:sz w:val="24"/>
          <w:szCs w:val="24"/>
          <w:highlight w:val="none"/>
        </w:rPr>
        <w:t>4</w:t>
      </w:r>
      <w:r>
        <w:rPr>
          <w:rFonts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rPr>
        <w:t>投标人应在投标须知前附表中规定的截止时间前，可以撤回已上传的投标文件。如要修改，必须在撤回并修改后在规定的投标文件递交截止时间之前将修改后的投标文件再重新上传。在投标文件递交截止时间之后，投标人不得对上传的投标文件撤销或修改。</w:t>
      </w:r>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4.</w:t>
      </w:r>
      <w:r>
        <w:rPr>
          <w:rFonts w:hint="eastAsia" w:ascii="宋体" w:hAnsi="宋体" w:eastAsia="宋体" w:cs="宋体"/>
          <w:bCs/>
          <w:color w:val="auto"/>
          <w:sz w:val="24"/>
          <w:szCs w:val="24"/>
          <w:highlight w:val="none"/>
        </w:rPr>
        <w:t>5投标文件格式</w:t>
      </w:r>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4.</w:t>
      </w:r>
      <w:r>
        <w:rPr>
          <w:rFonts w:hint="eastAsia" w:ascii="宋体" w:hAnsi="宋体" w:eastAsia="宋体" w:cs="宋体"/>
          <w:bCs/>
          <w:color w:val="auto"/>
          <w:sz w:val="24"/>
          <w:szCs w:val="24"/>
          <w:highlight w:val="none"/>
        </w:rPr>
        <w:t>5</w:t>
      </w:r>
      <w:r>
        <w:rPr>
          <w:rFonts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rPr>
        <w:t>投标文件格式见第五章。</w:t>
      </w:r>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4.</w:t>
      </w:r>
      <w:r>
        <w:rPr>
          <w:rFonts w:hint="eastAsia" w:ascii="宋体" w:hAnsi="宋体" w:eastAsia="宋体" w:cs="宋体"/>
          <w:bCs/>
          <w:color w:val="auto"/>
          <w:sz w:val="24"/>
          <w:szCs w:val="24"/>
          <w:highlight w:val="none"/>
        </w:rPr>
        <w:t>5</w:t>
      </w:r>
      <w:r>
        <w:rPr>
          <w:rFonts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rPr>
        <w:t>投标人应使用本招标文件后面提供的投标文件格式填写，如不够用时，投标人可按同样格式自行编制和填补，如果本招标文件未提供格式的，投标人可自行编制。</w:t>
      </w:r>
    </w:p>
    <w:p>
      <w:pPr>
        <w:tabs>
          <w:tab w:val="center" w:pos="4832"/>
          <w:tab w:val="left" w:pos="7140"/>
        </w:tabs>
        <w:spacing w:line="360" w:lineRule="auto"/>
        <w:ind w:firstLine="472" w:firstLineChars="196"/>
        <w:jc w:val="left"/>
        <w:outlineLvl w:val="1"/>
        <w:rPr>
          <w:rFonts w:ascii="宋体" w:hAnsi="Calibri" w:eastAsia="宋体" w:cs="宋体"/>
          <w:b/>
          <w:color w:val="auto"/>
          <w:sz w:val="24"/>
          <w:szCs w:val="24"/>
          <w:highlight w:val="none"/>
        </w:rPr>
      </w:pPr>
      <w:bookmarkStart w:id="17" w:name="_Toc141050494"/>
      <w:r>
        <w:rPr>
          <w:rFonts w:ascii="宋体" w:hAnsi="宋体" w:eastAsia="宋体" w:cs="宋体"/>
          <w:b/>
          <w:color w:val="auto"/>
          <w:sz w:val="24"/>
          <w:szCs w:val="24"/>
          <w:highlight w:val="none"/>
        </w:rPr>
        <w:t>5</w:t>
      </w:r>
      <w:r>
        <w:rPr>
          <w:rFonts w:hint="eastAsia" w:ascii="宋体" w:hAnsi="宋体" w:eastAsia="宋体" w:cs="宋体"/>
          <w:b/>
          <w:color w:val="auto"/>
          <w:sz w:val="24"/>
          <w:szCs w:val="24"/>
          <w:highlight w:val="none"/>
        </w:rPr>
        <w:t>．开标</w:t>
      </w:r>
      <w:bookmarkEnd w:id="16"/>
      <w:bookmarkEnd w:id="17"/>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5.1 </w:t>
      </w:r>
      <w:r>
        <w:rPr>
          <w:rFonts w:hint="eastAsia" w:ascii="宋体" w:hAnsi="宋体" w:eastAsia="宋体" w:cs="Arial"/>
          <w:color w:val="auto"/>
          <w:kern w:val="0"/>
          <w:sz w:val="24"/>
          <w:szCs w:val="24"/>
          <w:highlight w:val="none"/>
        </w:rPr>
        <w:t>开标时间和地点</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采购人在投标人须知前附表规定的时间、地点公开开标，并邀请所有投标人的法定代表人或其授权委托人参加。</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5.</w:t>
      </w:r>
      <w:r>
        <w:rPr>
          <w:rFonts w:hint="eastAsia" w:ascii="宋体" w:hAnsi="宋体" w:eastAsia="宋体" w:cs="Arial"/>
          <w:color w:val="auto"/>
          <w:kern w:val="0"/>
          <w:sz w:val="24"/>
          <w:szCs w:val="24"/>
          <w:highlight w:val="none"/>
        </w:rPr>
        <w:t>2 开标程序</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按下列程序进行开标：</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1</w:t>
      </w:r>
      <w:r>
        <w:rPr>
          <w:rFonts w:hint="eastAsia" w:ascii="宋体" w:hAnsi="宋体" w:eastAsia="宋体" w:cs="Arial"/>
          <w:color w:val="auto"/>
          <w:kern w:val="0"/>
          <w:sz w:val="24"/>
          <w:szCs w:val="24"/>
          <w:highlight w:val="none"/>
        </w:rPr>
        <w:t>）投标人解密投标文件</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）唱标</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）投标人确认</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4</w:t>
      </w:r>
      <w:r>
        <w:rPr>
          <w:rFonts w:hint="eastAsia" w:ascii="宋体" w:hAnsi="宋体" w:eastAsia="宋体" w:cs="Arial"/>
          <w:color w:val="auto"/>
          <w:kern w:val="0"/>
          <w:sz w:val="24"/>
          <w:szCs w:val="24"/>
          <w:highlight w:val="none"/>
        </w:rPr>
        <w:t>）开标结束</w:t>
      </w:r>
    </w:p>
    <w:p>
      <w:pPr>
        <w:tabs>
          <w:tab w:val="center" w:pos="4832"/>
          <w:tab w:val="left" w:pos="7140"/>
        </w:tabs>
        <w:spacing w:line="360" w:lineRule="auto"/>
        <w:ind w:firstLine="472" w:firstLineChars="196"/>
        <w:jc w:val="left"/>
        <w:outlineLvl w:val="1"/>
        <w:rPr>
          <w:rFonts w:ascii="宋体" w:hAnsi="Calibri" w:eastAsia="宋体" w:cs="宋体"/>
          <w:b/>
          <w:color w:val="auto"/>
          <w:sz w:val="24"/>
          <w:szCs w:val="24"/>
          <w:highlight w:val="none"/>
        </w:rPr>
      </w:pPr>
      <w:bookmarkStart w:id="18" w:name="_BookMark_9"/>
      <w:bookmarkEnd w:id="18"/>
      <w:bookmarkStart w:id="19" w:name="_Toc535592200"/>
      <w:bookmarkStart w:id="20" w:name="_Toc141050495"/>
      <w:r>
        <w:rPr>
          <w:rFonts w:ascii="宋体" w:hAnsi="宋体" w:eastAsia="宋体" w:cs="宋体"/>
          <w:b/>
          <w:color w:val="auto"/>
          <w:sz w:val="24"/>
          <w:szCs w:val="24"/>
          <w:highlight w:val="none"/>
        </w:rPr>
        <w:t>6</w:t>
      </w:r>
      <w:r>
        <w:rPr>
          <w:rFonts w:hint="eastAsia" w:ascii="宋体" w:hAnsi="宋体" w:eastAsia="宋体" w:cs="宋体"/>
          <w:b/>
          <w:color w:val="auto"/>
          <w:sz w:val="24"/>
          <w:szCs w:val="24"/>
          <w:highlight w:val="none"/>
        </w:rPr>
        <w:t>．评标</w:t>
      </w:r>
      <w:bookmarkEnd w:id="19"/>
      <w:bookmarkEnd w:id="20"/>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6.1 </w:t>
      </w:r>
      <w:r>
        <w:rPr>
          <w:rFonts w:hint="eastAsia" w:ascii="宋体" w:hAnsi="宋体" w:eastAsia="宋体" w:cs="Arial"/>
          <w:color w:val="auto"/>
          <w:kern w:val="0"/>
          <w:sz w:val="24"/>
          <w:szCs w:val="24"/>
          <w:highlight w:val="none"/>
        </w:rPr>
        <w:t>评标小组</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6.1.1 </w:t>
      </w:r>
      <w:r>
        <w:rPr>
          <w:rFonts w:hint="eastAsia" w:ascii="宋体" w:hAnsi="宋体" w:eastAsia="宋体" w:cs="Arial"/>
          <w:color w:val="auto"/>
          <w:kern w:val="0"/>
          <w:sz w:val="24"/>
          <w:szCs w:val="24"/>
          <w:highlight w:val="none"/>
        </w:rPr>
        <w:t>评标由采购人按照《政府采购评标专家管理办法》财库〔2016〕198号，依法组建的评标小组负责。评标小组由采购人熟悉相关业务的代表，以及有关技术、经济等方面的专家组成。</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 xml:space="preserve">6.1.2 </w:t>
      </w:r>
      <w:r>
        <w:rPr>
          <w:rFonts w:hint="eastAsia" w:ascii="宋体" w:hAnsi="宋体" w:eastAsia="宋体" w:cs="Arial"/>
          <w:color w:val="auto"/>
          <w:kern w:val="0"/>
          <w:sz w:val="24"/>
          <w:szCs w:val="24"/>
          <w:highlight w:val="none"/>
        </w:rPr>
        <w:t>评标小组成员有下列情形之一的，应当回避：</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1</w:t>
      </w:r>
      <w:r>
        <w:rPr>
          <w:rFonts w:hint="eastAsia" w:ascii="宋体" w:hAnsi="宋体" w:eastAsia="宋体" w:cs="Arial"/>
          <w:color w:val="auto"/>
          <w:kern w:val="0"/>
          <w:sz w:val="24"/>
          <w:szCs w:val="24"/>
          <w:highlight w:val="none"/>
        </w:rPr>
        <w:t>）</w:t>
      </w:r>
      <w:r>
        <w:rPr>
          <w:rFonts w:hint="eastAsia" w:ascii="宋体" w:hAnsi="Calibri" w:eastAsia="宋体" w:cs="Arial"/>
          <w:color w:val="auto"/>
          <w:kern w:val="0"/>
          <w:sz w:val="24"/>
          <w:szCs w:val="24"/>
          <w:highlight w:val="none"/>
        </w:rPr>
        <w:t>参加采购活动前三年内,与投标人存在劳动关系,或者担任过投标人的董事、监事,或者是投标人的控股股东或实际控制人。</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w:t>
      </w:r>
      <w:r>
        <w:rPr>
          <w:rFonts w:hint="eastAsia" w:ascii="宋体" w:hAnsi="Calibri" w:eastAsia="宋体" w:cs="Arial"/>
          <w:color w:val="auto"/>
          <w:kern w:val="0"/>
          <w:sz w:val="24"/>
          <w:szCs w:val="24"/>
          <w:highlight w:val="none"/>
        </w:rPr>
        <w:t>与投标人的法定代表人或者负责人有夫妻、直系血亲、三代以内旁系血亲或者近姻亲关系。</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w:t>
      </w:r>
      <w:r>
        <w:rPr>
          <w:rFonts w:hint="eastAsia" w:ascii="宋体" w:hAnsi="Calibri" w:eastAsia="宋体" w:cs="Arial"/>
          <w:color w:val="auto"/>
          <w:kern w:val="0"/>
          <w:sz w:val="24"/>
          <w:szCs w:val="24"/>
          <w:highlight w:val="none"/>
        </w:rPr>
        <w:t>与投标人有其他可能影响政府采购活动公平、公正进行的关系。</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6.2 </w:t>
      </w:r>
      <w:r>
        <w:rPr>
          <w:rFonts w:hint="eastAsia" w:ascii="宋体" w:hAnsi="宋体" w:eastAsia="宋体" w:cs="Arial"/>
          <w:color w:val="auto"/>
          <w:kern w:val="0"/>
          <w:sz w:val="24"/>
          <w:szCs w:val="24"/>
          <w:highlight w:val="none"/>
        </w:rPr>
        <w:t>评标原则</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评标活动遵循公平、公正、科学和择优的原则。</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6.3 </w:t>
      </w:r>
      <w:r>
        <w:rPr>
          <w:rFonts w:hint="eastAsia" w:ascii="宋体" w:hAnsi="宋体" w:eastAsia="宋体" w:cs="Arial"/>
          <w:color w:val="auto"/>
          <w:kern w:val="0"/>
          <w:sz w:val="24"/>
          <w:szCs w:val="24"/>
          <w:highlight w:val="none"/>
        </w:rPr>
        <w:t>评标</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评标小组按照招标文件中规定的方法、评标因素、标准和程序对投标文件进行评标。</w:t>
      </w:r>
    </w:p>
    <w:p>
      <w:pPr>
        <w:tabs>
          <w:tab w:val="center" w:pos="4832"/>
          <w:tab w:val="left" w:pos="7140"/>
        </w:tabs>
        <w:spacing w:line="360" w:lineRule="auto"/>
        <w:ind w:firstLine="472" w:firstLineChars="196"/>
        <w:jc w:val="left"/>
        <w:outlineLvl w:val="1"/>
        <w:rPr>
          <w:rFonts w:ascii="宋体" w:hAnsi="Calibri" w:eastAsia="宋体" w:cs="宋体"/>
          <w:b/>
          <w:color w:val="auto"/>
          <w:sz w:val="24"/>
          <w:szCs w:val="24"/>
          <w:highlight w:val="none"/>
        </w:rPr>
      </w:pPr>
      <w:bookmarkStart w:id="21" w:name="_BookMark_10"/>
      <w:bookmarkEnd w:id="21"/>
      <w:bookmarkStart w:id="22" w:name="_Toc141050496"/>
      <w:bookmarkStart w:id="23" w:name="_Toc535592201"/>
      <w:r>
        <w:rPr>
          <w:rFonts w:ascii="宋体" w:hAnsi="宋体" w:eastAsia="宋体" w:cs="宋体"/>
          <w:b/>
          <w:color w:val="auto"/>
          <w:sz w:val="24"/>
          <w:szCs w:val="24"/>
          <w:highlight w:val="none"/>
        </w:rPr>
        <w:t>7</w:t>
      </w:r>
      <w:r>
        <w:rPr>
          <w:rFonts w:hint="eastAsia" w:ascii="宋体" w:hAnsi="宋体" w:eastAsia="宋体" w:cs="宋体"/>
          <w:b/>
          <w:color w:val="auto"/>
          <w:sz w:val="24"/>
          <w:szCs w:val="24"/>
          <w:highlight w:val="none"/>
        </w:rPr>
        <w:t>．定标及合同授予</w:t>
      </w:r>
      <w:bookmarkEnd w:id="22"/>
      <w:bookmarkEnd w:id="23"/>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7.1 </w:t>
      </w:r>
      <w:r>
        <w:rPr>
          <w:rFonts w:hint="eastAsia" w:ascii="宋体" w:hAnsi="宋体" w:eastAsia="宋体" w:cs="Arial"/>
          <w:color w:val="auto"/>
          <w:kern w:val="0"/>
          <w:sz w:val="24"/>
          <w:szCs w:val="24"/>
          <w:highlight w:val="none"/>
        </w:rPr>
        <w:t>定标方法</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7.1.1 </w:t>
      </w:r>
      <w:r>
        <w:rPr>
          <w:rFonts w:hint="eastAsia" w:ascii="宋体" w:hAnsi="宋体" w:eastAsia="宋体" w:cs="Arial"/>
          <w:color w:val="auto"/>
          <w:kern w:val="0"/>
          <w:sz w:val="24"/>
          <w:szCs w:val="24"/>
          <w:highlight w:val="none"/>
        </w:rPr>
        <w:t>评标活动遵循公平、公正、科学和择优的原则。评标小组按照招标文件中规定的方法、评标因素、标准和程序对投标文件进行评标，并按投标人须知前附表的规定向采购人推荐中标候选人。采购人依据评标小组推荐的中标候选人确定中标人。</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7.1.</w:t>
      </w:r>
      <w:r>
        <w:rPr>
          <w:rFonts w:hint="eastAsia" w:ascii="宋体" w:hAnsi="宋体" w:eastAsia="宋体" w:cs="Arial"/>
          <w:color w:val="auto"/>
          <w:kern w:val="0"/>
          <w:sz w:val="24"/>
          <w:szCs w:val="24"/>
          <w:highlight w:val="none"/>
        </w:rPr>
        <w:t>2采购人从中标候选人中确定出中标人的原则：采购人应当确定排名第一的中标候选人为中标人。排名第一的中标候选人放弃中标、因不可抗力不能履行合同，不按照招标文件要求提交履约保证金、或者被查实存在影响中标结果的违法行为等情形，不符合中标条件的，采购人可以按照评标小组提出的中标候选人名单排名依次确定其他中标候选人为中标人。</w:t>
      </w:r>
    </w:p>
    <w:p>
      <w:pPr>
        <w:widowControl/>
        <w:shd w:val="clear" w:color="auto" w:fill="FFFFFF"/>
        <w:snapToGrid w:val="0"/>
        <w:spacing w:line="360" w:lineRule="auto"/>
        <w:ind w:firstLine="480" w:firstLineChars="200"/>
        <w:rPr>
          <w:rFonts w:ascii="宋体" w:hAnsi="宋体" w:cs="Arial"/>
          <w:color w:val="auto"/>
          <w:kern w:val="0"/>
          <w:sz w:val="24"/>
          <w:szCs w:val="24"/>
          <w:highlight w:val="none"/>
          <w:shd w:val="clear" w:color="auto" w:fill="FFFFFF" w:themeFill="background1"/>
        </w:rPr>
      </w:pPr>
      <w:r>
        <w:rPr>
          <w:rFonts w:ascii="宋体" w:hAnsi="宋体" w:cs="Arial"/>
          <w:color w:val="auto"/>
          <w:kern w:val="0"/>
          <w:sz w:val="24"/>
          <w:szCs w:val="24"/>
          <w:highlight w:val="none"/>
          <w:shd w:val="clear" w:color="auto" w:fill="FFFFFF" w:themeFill="background1"/>
        </w:rPr>
        <w:t>7.2</w:t>
      </w:r>
      <w:r>
        <w:rPr>
          <w:rFonts w:hint="eastAsia" w:ascii="宋体" w:hAnsi="宋体" w:cs="Arial"/>
          <w:color w:val="auto"/>
          <w:kern w:val="0"/>
          <w:sz w:val="24"/>
          <w:szCs w:val="24"/>
          <w:highlight w:val="none"/>
          <w:shd w:val="clear" w:color="auto" w:fill="FFFFFF" w:themeFill="background1"/>
        </w:rPr>
        <w:t>中标</w:t>
      </w:r>
      <w:r>
        <w:rPr>
          <w:rFonts w:ascii="Arial" w:hAnsi="Arial" w:cs="Arial"/>
          <w:color w:val="auto"/>
          <w:kern w:val="0"/>
          <w:sz w:val="24"/>
          <w:szCs w:val="24"/>
          <w:highlight w:val="none"/>
          <w:shd w:val="clear" w:color="auto" w:fill="FFFFFF" w:themeFill="background1"/>
        </w:rPr>
        <w:t>结果</w:t>
      </w:r>
      <w:r>
        <w:rPr>
          <w:rFonts w:hint="eastAsia" w:ascii="宋体" w:hAnsi="宋体" w:cs="Arial"/>
          <w:color w:val="auto"/>
          <w:kern w:val="0"/>
          <w:sz w:val="24"/>
          <w:szCs w:val="24"/>
          <w:highlight w:val="none"/>
          <w:shd w:val="clear" w:color="auto" w:fill="FFFFFF" w:themeFill="background1"/>
        </w:rPr>
        <w:t>公告</w:t>
      </w:r>
    </w:p>
    <w:p>
      <w:pPr>
        <w:widowControl/>
        <w:shd w:val="clear" w:color="auto" w:fill="FFFFFF"/>
        <w:snapToGrid w:val="0"/>
        <w:spacing w:line="360" w:lineRule="auto"/>
        <w:ind w:firstLine="480" w:firstLineChars="200"/>
        <w:rPr>
          <w:rFonts w:ascii="Arial" w:hAnsi="Arial" w:cs="Arial"/>
          <w:color w:val="auto"/>
          <w:kern w:val="0"/>
          <w:sz w:val="24"/>
          <w:szCs w:val="24"/>
          <w:highlight w:val="none"/>
          <w:shd w:val="clear" w:color="auto" w:fill="FFFFFF" w:themeFill="background1"/>
        </w:rPr>
      </w:pPr>
      <w:r>
        <w:rPr>
          <w:rFonts w:ascii="Arial" w:hAnsi="Arial" w:cs="Arial"/>
          <w:color w:val="auto"/>
          <w:kern w:val="0"/>
          <w:sz w:val="24"/>
          <w:szCs w:val="24"/>
          <w:highlight w:val="none"/>
          <w:shd w:val="clear" w:color="auto" w:fill="FFFFFF" w:themeFill="background1"/>
        </w:rPr>
        <w:t>在公告</w:t>
      </w:r>
      <w:r>
        <w:rPr>
          <w:rFonts w:hint="eastAsia" w:ascii="宋体" w:hAnsi="宋体" w:cs="Arial"/>
          <w:color w:val="auto"/>
          <w:kern w:val="0"/>
          <w:sz w:val="24"/>
          <w:szCs w:val="24"/>
          <w:highlight w:val="none"/>
          <w:shd w:val="clear" w:color="auto" w:fill="FFFFFF" w:themeFill="background1"/>
        </w:rPr>
        <w:t>中标</w:t>
      </w:r>
      <w:r>
        <w:rPr>
          <w:rFonts w:ascii="Arial" w:hAnsi="Arial" w:cs="Arial"/>
          <w:color w:val="auto"/>
          <w:kern w:val="0"/>
          <w:sz w:val="24"/>
          <w:szCs w:val="24"/>
          <w:highlight w:val="none"/>
          <w:shd w:val="clear" w:color="auto" w:fill="FFFFFF" w:themeFill="background1"/>
        </w:rPr>
        <w:t>结果的同时，采购人或者采购代理机构向</w:t>
      </w:r>
      <w:r>
        <w:rPr>
          <w:rFonts w:hint="eastAsia" w:ascii="宋体" w:hAnsi="宋体" w:cs="Arial"/>
          <w:color w:val="auto"/>
          <w:kern w:val="0"/>
          <w:sz w:val="24"/>
          <w:szCs w:val="24"/>
          <w:highlight w:val="none"/>
          <w:shd w:val="clear" w:color="auto" w:fill="FFFFFF" w:themeFill="background1"/>
        </w:rPr>
        <w:t>中标人</w:t>
      </w:r>
      <w:r>
        <w:rPr>
          <w:rFonts w:ascii="Arial" w:hAnsi="Arial" w:cs="Arial"/>
          <w:color w:val="auto"/>
          <w:kern w:val="0"/>
          <w:sz w:val="24"/>
          <w:szCs w:val="24"/>
          <w:highlight w:val="none"/>
          <w:shd w:val="clear" w:color="auto" w:fill="FFFFFF" w:themeFill="background1"/>
        </w:rPr>
        <w:t>发出</w:t>
      </w:r>
      <w:r>
        <w:rPr>
          <w:rFonts w:hint="eastAsia" w:ascii="宋体" w:hAnsi="宋体" w:cs="Arial"/>
          <w:color w:val="auto"/>
          <w:kern w:val="0"/>
          <w:sz w:val="24"/>
          <w:szCs w:val="24"/>
          <w:highlight w:val="none"/>
          <w:shd w:val="clear" w:color="auto" w:fill="FFFFFF" w:themeFill="background1"/>
        </w:rPr>
        <w:t>中标通知书</w:t>
      </w:r>
      <w:r>
        <w:rPr>
          <w:rFonts w:ascii="Arial" w:hAnsi="Arial" w:cs="Arial"/>
          <w:color w:val="auto"/>
          <w:kern w:val="0"/>
          <w:sz w:val="24"/>
          <w:szCs w:val="24"/>
          <w:highlight w:val="none"/>
          <w:shd w:val="clear" w:color="auto" w:fill="FFFFFF" w:themeFill="background1"/>
        </w:rPr>
        <w:t>；对未通过资格审查的</w:t>
      </w:r>
      <w:r>
        <w:rPr>
          <w:rFonts w:hint="eastAsia" w:ascii="宋体" w:hAnsi="宋体" w:cs="Arial"/>
          <w:color w:val="auto"/>
          <w:kern w:val="0"/>
          <w:sz w:val="24"/>
          <w:szCs w:val="24"/>
          <w:highlight w:val="none"/>
          <w:shd w:val="clear" w:color="auto" w:fill="FFFFFF" w:themeFill="background1"/>
        </w:rPr>
        <w:t>投标人</w:t>
      </w:r>
      <w:r>
        <w:rPr>
          <w:rFonts w:ascii="Arial" w:hAnsi="Arial" w:cs="Arial"/>
          <w:color w:val="auto"/>
          <w:kern w:val="0"/>
          <w:sz w:val="24"/>
          <w:szCs w:val="24"/>
          <w:highlight w:val="none"/>
          <w:shd w:val="clear" w:color="auto" w:fill="FFFFFF" w:themeFill="background1"/>
        </w:rPr>
        <w:t>，应当告知其未通过的原因。</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7.</w:t>
      </w:r>
      <w:r>
        <w:rPr>
          <w:rFonts w:hint="eastAsia" w:ascii="宋体" w:hAnsi="宋体" w:eastAsia="宋体" w:cs="Arial"/>
          <w:color w:val="auto"/>
          <w:kern w:val="0"/>
          <w:sz w:val="24"/>
          <w:szCs w:val="24"/>
          <w:highlight w:val="none"/>
        </w:rPr>
        <w:t>3履约保证金</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7.</w:t>
      </w:r>
      <w:r>
        <w:rPr>
          <w:rFonts w:hint="eastAsia" w:ascii="宋体" w:hAnsi="宋体" w:eastAsia="宋体" w:cs="Arial"/>
          <w:color w:val="auto"/>
          <w:kern w:val="0"/>
          <w:sz w:val="24"/>
          <w:szCs w:val="24"/>
          <w:highlight w:val="none"/>
        </w:rPr>
        <w:t>3</w:t>
      </w:r>
      <w:r>
        <w:rPr>
          <w:rFonts w:ascii="宋体" w:hAnsi="宋体" w:eastAsia="宋体" w:cs="Arial"/>
          <w:color w:val="auto"/>
          <w:kern w:val="0"/>
          <w:sz w:val="24"/>
          <w:szCs w:val="24"/>
          <w:highlight w:val="none"/>
        </w:rPr>
        <w:t xml:space="preserve">.1 </w:t>
      </w:r>
      <w:r>
        <w:rPr>
          <w:rFonts w:hint="eastAsia" w:ascii="宋体" w:hAnsi="宋体" w:eastAsia="宋体" w:cs="Arial"/>
          <w:color w:val="auto"/>
          <w:kern w:val="0"/>
          <w:sz w:val="24"/>
          <w:szCs w:val="24"/>
          <w:highlight w:val="none"/>
        </w:rPr>
        <w:t>在签订合同前，中标人应按投标人须知前附表规定的金额、形式向采购人提交履约保证金。联合体中标的，其履约保证金由牵头人提交，并应符合投标人须知前附表的规定。</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7.</w:t>
      </w:r>
      <w:r>
        <w:rPr>
          <w:rFonts w:hint="eastAsia" w:ascii="宋体" w:hAnsi="宋体" w:eastAsia="宋体" w:cs="Arial"/>
          <w:color w:val="auto"/>
          <w:kern w:val="0"/>
          <w:sz w:val="24"/>
          <w:szCs w:val="24"/>
          <w:highlight w:val="none"/>
        </w:rPr>
        <w:t>3</w:t>
      </w:r>
      <w:r>
        <w:rPr>
          <w:rFonts w:ascii="宋体" w:hAnsi="宋体" w:eastAsia="宋体" w:cs="Arial"/>
          <w:color w:val="auto"/>
          <w:kern w:val="0"/>
          <w:sz w:val="24"/>
          <w:szCs w:val="24"/>
          <w:highlight w:val="none"/>
        </w:rPr>
        <w:t xml:space="preserve">.2 </w:t>
      </w:r>
      <w:r>
        <w:rPr>
          <w:rFonts w:hint="eastAsia" w:ascii="宋体" w:hAnsi="宋体" w:eastAsia="宋体" w:cs="Arial"/>
          <w:color w:val="auto"/>
          <w:kern w:val="0"/>
          <w:sz w:val="24"/>
          <w:szCs w:val="24"/>
          <w:highlight w:val="none"/>
        </w:rPr>
        <w:t>中标人不能按本章第</w:t>
      </w:r>
      <w:r>
        <w:rPr>
          <w:rFonts w:ascii="宋体" w:hAnsi="宋体" w:eastAsia="宋体" w:cs="Arial"/>
          <w:color w:val="auto"/>
          <w:kern w:val="0"/>
          <w:sz w:val="24"/>
          <w:szCs w:val="24"/>
          <w:highlight w:val="none"/>
        </w:rPr>
        <w:t>7.4.1</w:t>
      </w:r>
      <w:r>
        <w:rPr>
          <w:rFonts w:hint="eastAsia" w:ascii="宋体" w:hAnsi="宋体" w:eastAsia="宋体" w:cs="Arial"/>
          <w:color w:val="auto"/>
          <w:kern w:val="0"/>
          <w:sz w:val="24"/>
          <w:szCs w:val="24"/>
          <w:highlight w:val="none"/>
        </w:rPr>
        <w:t>款要求提交履约保证金的，视为放弃中标，其投标保证金不予退还；给采购人造成的损失超过投标保证金数额的，中标人还应当对超过部分予以赔偿。</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7.</w:t>
      </w:r>
      <w:r>
        <w:rPr>
          <w:rFonts w:hint="eastAsia" w:ascii="宋体" w:hAnsi="宋体" w:eastAsia="宋体" w:cs="Arial"/>
          <w:color w:val="auto"/>
          <w:kern w:val="0"/>
          <w:sz w:val="24"/>
          <w:szCs w:val="24"/>
          <w:highlight w:val="none"/>
        </w:rPr>
        <w:t>4签订合同</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7.</w:t>
      </w:r>
      <w:r>
        <w:rPr>
          <w:rFonts w:hint="eastAsia" w:ascii="宋体" w:hAnsi="宋体" w:eastAsia="宋体" w:cs="Arial"/>
          <w:color w:val="auto"/>
          <w:kern w:val="0"/>
          <w:sz w:val="24"/>
          <w:szCs w:val="24"/>
          <w:highlight w:val="none"/>
        </w:rPr>
        <w:t>4</w:t>
      </w:r>
      <w:r>
        <w:rPr>
          <w:rFonts w:ascii="宋体" w:hAnsi="宋体" w:eastAsia="宋体" w:cs="Arial"/>
          <w:color w:val="auto"/>
          <w:kern w:val="0"/>
          <w:sz w:val="24"/>
          <w:szCs w:val="24"/>
          <w:highlight w:val="none"/>
        </w:rPr>
        <w:t>.1</w:t>
      </w:r>
      <w:r>
        <w:rPr>
          <w:rFonts w:hint="eastAsia" w:ascii="宋体" w:hAnsi="Calibri" w:eastAsia="宋体" w:cs="Arial"/>
          <w:color w:val="auto"/>
          <w:kern w:val="0"/>
          <w:sz w:val="24"/>
          <w:szCs w:val="24"/>
          <w:highlight w:val="none"/>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hint="eastAsia" w:ascii="宋体" w:hAnsi="宋体" w:eastAsia="宋体" w:cs="Arial"/>
          <w:color w:val="auto"/>
          <w:kern w:val="0"/>
          <w:sz w:val="24"/>
          <w:szCs w:val="24"/>
          <w:highlight w:val="none"/>
        </w:rPr>
        <w:t>7.4.2发出中标通知书后，采购人无正当理由拒签合同的，给中标人造成损失的，还应当赔偿中标人损失。</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Calibri" w:eastAsia="宋体" w:cs="Arial"/>
          <w:color w:val="auto"/>
          <w:kern w:val="0"/>
          <w:sz w:val="24"/>
          <w:szCs w:val="24"/>
          <w:highlight w:val="none"/>
        </w:rPr>
        <w:t>7.</w:t>
      </w:r>
      <w:r>
        <w:rPr>
          <w:rFonts w:hint="eastAsia" w:ascii="宋体" w:hAnsi="Calibri" w:eastAsia="宋体" w:cs="Arial"/>
          <w:color w:val="auto"/>
          <w:kern w:val="0"/>
          <w:sz w:val="24"/>
          <w:szCs w:val="24"/>
          <w:highlight w:val="none"/>
        </w:rPr>
        <w:t>4</w:t>
      </w:r>
      <w:r>
        <w:rPr>
          <w:rFonts w:ascii="宋体" w:hAnsi="Calibri" w:eastAsia="宋体" w:cs="Arial"/>
          <w:color w:val="auto"/>
          <w:kern w:val="0"/>
          <w:sz w:val="24"/>
          <w:szCs w:val="24"/>
          <w:highlight w:val="none"/>
        </w:rPr>
        <w:t>.</w:t>
      </w:r>
      <w:r>
        <w:rPr>
          <w:rFonts w:hint="eastAsia" w:ascii="宋体" w:hAnsi="Calibri" w:eastAsia="宋体" w:cs="Arial"/>
          <w:color w:val="auto"/>
          <w:kern w:val="0"/>
          <w:sz w:val="24"/>
          <w:szCs w:val="24"/>
          <w:highlight w:val="none"/>
        </w:rPr>
        <w:t>3发出中标通知书后，中标人无正当理由拒签合同的，采购人取消其中标资格，其投标保证金不予退还；给采购人造成的损失超过投标保证金数额的，中标人还应当对超过部分予以赔偿。</w:t>
      </w:r>
    </w:p>
    <w:p>
      <w:pPr>
        <w:tabs>
          <w:tab w:val="center" w:pos="4832"/>
          <w:tab w:val="left" w:pos="7140"/>
        </w:tabs>
        <w:spacing w:line="360" w:lineRule="auto"/>
        <w:ind w:firstLine="472" w:firstLineChars="196"/>
        <w:jc w:val="left"/>
        <w:outlineLvl w:val="1"/>
        <w:rPr>
          <w:rFonts w:ascii="宋体" w:hAnsi="Calibri" w:eastAsia="宋体" w:cs="宋体"/>
          <w:b/>
          <w:color w:val="auto"/>
          <w:sz w:val="24"/>
          <w:szCs w:val="24"/>
          <w:highlight w:val="none"/>
        </w:rPr>
      </w:pPr>
      <w:bookmarkStart w:id="24" w:name="_BookMark_11"/>
      <w:bookmarkEnd w:id="24"/>
      <w:bookmarkStart w:id="25" w:name="_Toc535592202"/>
      <w:bookmarkStart w:id="26" w:name="_Toc141050497"/>
      <w:r>
        <w:rPr>
          <w:rFonts w:ascii="宋体" w:hAnsi="宋体" w:eastAsia="宋体" w:cs="宋体"/>
          <w:b/>
          <w:color w:val="auto"/>
          <w:sz w:val="24"/>
          <w:szCs w:val="24"/>
          <w:highlight w:val="none"/>
        </w:rPr>
        <w:t>8</w:t>
      </w:r>
      <w:r>
        <w:rPr>
          <w:rFonts w:hint="eastAsia" w:ascii="宋体" w:hAnsi="宋体" w:eastAsia="宋体" w:cs="宋体"/>
          <w:b/>
          <w:color w:val="auto"/>
          <w:sz w:val="24"/>
          <w:szCs w:val="24"/>
          <w:highlight w:val="none"/>
        </w:rPr>
        <w:t>．纪律和监督</w:t>
      </w:r>
      <w:bookmarkEnd w:id="25"/>
      <w:bookmarkEnd w:id="26"/>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8.1 </w:t>
      </w:r>
      <w:r>
        <w:rPr>
          <w:rFonts w:hint="eastAsia" w:ascii="宋体" w:hAnsi="宋体" w:eastAsia="宋体" w:cs="Arial"/>
          <w:color w:val="auto"/>
          <w:kern w:val="0"/>
          <w:sz w:val="24"/>
          <w:szCs w:val="24"/>
          <w:highlight w:val="none"/>
        </w:rPr>
        <w:t>对采购人的纪律要求</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采购人不得泄漏招标投标活动中应当保密的情况和资料，不得与投标人串通损害国家利益、社会公共利益或者他人合法权益。</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8.2 </w:t>
      </w:r>
      <w:r>
        <w:rPr>
          <w:rFonts w:hint="eastAsia" w:ascii="宋体" w:hAnsi="宋体" w:eastAsia="宋体" w:cs="Arial"/>
          <w:color w:val="auto"/>
          <w:kern w:val="0"/>
          <w:sz w:val="24"/>
          <w:szCs w:val="24"/>
          <w:highlight w:val="none"/>
        </w:rPr>
        <w:t>对投标人的纪律要求</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投标人不得相互串通投标或者与采购人串通投标，不得向采购人或者评标小组成员行贿谋取中标，不得以他人名义投标或者以其他方式弄虚作假骗取中标；投标人不得以任何方式干扰、影响评标工作。</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8.3 </w:t>
      </w:r>
      <w:r>
        <w:rPr>
          <w:rFonts w:hint="eastAsia" w:ascii="宋体" w:hAnsi="宋体" w:eastAsia="宋体" w:cs="Arial"/>
          <w:color w:val="auto"/>
          <w:kern w:val="0"/>
          <w:sz w:val="24"/>
          <w:szCs w:val="24"/>
          <w:highlight w:val="none"/>
        </w:rPr>
        <w:t>对评标小组成员的纪律要求</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评标小组成员不得收受他人的财物或者其他好处，不得向他人透漏对投标文件的评标和比较、中标候选人的推荐情况以及评标有关的其他情况。在评标活动中，评标小组成员不得擅离职守，影响评标程序正常进行，不得使用评标办法没有规定的评标因素和标准进行评标。</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8.4 </w:t>
      </w:r>
      <w:r>
        <w:rPr>
          <w:rFonts w:hint="eastAsia" w:ascii="宋体" w:hAnsi="宋体" w:eastAsia="宋体" w:cs="Arial"/>
          <w:color w:val="auto"/>
          <w:kern w:val="0"/>
          <w:sz w:val="24"/>
          <w:szCs w:val="24"/>
          <w:highlight w:val="none"/>
        </w:rPr>
        <w:t>对与评标活动有关的工作人员的纪律要求</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与评标活动有关的工作人员不得收受他人的财物或者其他好处，不得向他人透漏对投标文件的评标和比较、中标候选人的推荐情况以及评标有关的其他情况。在评标活动中，与评标活动有关的工作人员不得擅离职守，影响评标程序正常进行。</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 xml:space="preserve">8.5 </w:t>
      </w:r>
      <w:r>
        <w:rPr>
          <w:rFonts w:hint="eastAsia" w:ascii="宋体" w:hAnsi="宋体" w:eastAsia="宋体" w:cs="Arial"/>
          <w:color w:val="auto"/>
          <w:kern w:val="0"/>
          <w:sz w:val="24"/>
          <w:szCs w:val="24"/>
          <w:highlight w:val="none"/>
        </w:rPr>
        <w:t>监督</w:t>
      </w:r>
    </w:p>
    <w:p>
      <w:pPr>
        <w:widowControl/>
        <w:shd w:val="clear" w:color="auto" w:fill="FFFFFF"/>
        <w:snapToGrid w:val="0"/>
        <w:spacing w:line="360" w:lineRule="auto"/>
        <w:ind w:firstLine="480" w:firstLineChars="200"/>
        <w:rPr>
          <w:rFonts w:ascii="宋体" w:hAnsi="Calibri" w:eastAsia="宋体" w:cs="Arial"/>
          <w:bCs/>
          <w:color w:val="auto"/>
          <w:kern w:val="0"/>
          <w:sz w:val="24"/>
          <w:szCs w:val="24"/>
          <w:highlight w:val="none"/>
        </w:rPr>
      </w:pPr>
      <w:r>
        <w:rPr>
          <w:rFonts w:hint="eastAsia" w:ascii="宋体" w:hAnsi="宋体" w:eastAsia="宋体" w:cs="Arial"/>
          <w:color w:val="auto"/>
          <w:kern w:val="0"/>
          <w:sz w:val="24"/>
          <w:szCs w:val="24"/>
          <w:highlight w:val="none"/>
        </w:rPr>
        <w:t>本项目的招标投标活动及其相关当事人应当接受有管辖权的监督部门依法实施的监督。</w:t>
      </w:r>
      <w:r>
        <w:rPr>
          <w:rFonts w:ascii="宋体" w:hAnsi="Calibri" w:eastAsia="宋体" w:cs="Arial"/>
          <w:bCs/>
          <w:color w:val="auto"/>
          <w:kern w:val="0"/>
          <w:sz w:val="24"/>
          <w:szCs w:val="24"/>
          <w:highlight w:val="none"/>
        </w:rPr>
        <w:br w:type="page"/>
      </w:r>
    </w:p>
    <w:p>
      <w:pPr>
        <w:widowControl/>
        <w:shd w:val="clear" w:color="auto" w:fill="FFFFFF"/>
        <w:snapToGrid w:val="0"/>
        <w:spacing w:line="360" w:lineRule="auto"/>
        <w:jc w:val="center"/>
        <w:outlineLvl w:val="0"/>
        <w:rPr>
          <w:rFonts w:ascii="宋体" w:hAnsi="宋体" w:eastAsia="宋体" w:cs="宋体"/>
          <w:b/>
          <w:color w:val="auto"/>
          <w:sz w:val="24"/>
          <w:szCs w:val="24"/>
          <w:highlight w:val="none"/>
        </w:rPr>
      </w:pPr>
      <w:bookmarkStart w:id="27" w:name="_Toc141050498"/>
      <w:r>
        <w:rPr>
          <w:rFonts w:hint="eastAsia" w:ascii="宋体" w:hAnsi="宋体" w:eastAsia="宋体" w:cs="宋体"/>
          <w:b/>
          <w:color w:val="auto"/>
          <w:sz w:val="24"/>
          <w:szCs w:val="24"/>
          <w:highlight w:val="none"/>
        </w:rPr>
        <w:t>第二章 评标办法</w:t>
      </w:r>
      <w:bookmarkEnd w:id="27"/>
    </w:p>
    <w:p>
      <w:pPr>
        <w:tabs>
          <w:tab w:val="center" w:pos="4832"/>
          <w:tab w:val="left" w:pos="7140"/>
        </w:tabs>
        <w:spacing w:line="360" w:lineRule="auto"/>
        <w:jc w:val="center"/>
        <w:outlineLvl w:val="2"/>
        <w:rPr>
          <w:rFonts w:ascii="宋体" w:hAnsi="宋体" w:eastAsia="宋体" w:cs="宋体"/>
          <w:b/>
          <w:color w:val="auto"/>
          <w:sz w:val="24"/>
          <w:szCs w:val="24"/>
          <w:highlight w:val="none"/>
        </w:rPr>
      </w:pPr>
      <w:bookmarkStart w:id="28" w:name="_BookMark_1"/>
      <w:bookmarkEnd w:id="28"/>
      <w:bookmarkStart w:id="29" w:name="_Toc141050499"/>
      <w:bookmarkStart w:id="30" w:name="_Toc58342531"/>
      <w:bookmarkStart w:id="31" w:name="_Toc501719166"/>
      <w:r>
        <w:rPr>
          <w:rFonts w:hint="eastAsia" w:ascii="宋体" w:hAnsi="宋体" w:eastAsia="宋体" w:cs="宋体"/>
          <w:b/>
          <w:color w:val="auto"/>
          <w:sz w:val="24"/>
          <w:szCs w:val="24"/>
          <w:highlight w:val="none"/>
        </w:rPr>
        <w:t>评审办法前附表</w:t>
      </w:r>
      <w:bookmarkEnd w:id="29"/>
      <w:bookmarkEnd w:id="30"/>
    </w:p>
    <w:tbl>
      <w:tblPr>
        <w:tblStyle w:val="37"/>
        <w:tblW w:w="9160" w:type="dxa"/>
        <w:jc w:val="center"/>
        <w:tblLayout w:type="fixed"/>
        <w:tblCellMar>
          <w:top w:w="0" w:type="dxa"/>
          <w:left w:w="0" w:type="dxa"/>
          <w:bottom w:w="0" w:type="dxa"/>
          <w:right w:w="0" w:type="dxa"/>
        </w:tblCellMar>
      </w:tblPr>
      <w:tblGrid>
        <w:gridCol w:w="612"/>
        <w:gridCol w:w="2783"/>
        <w:gridCol w:w="5765"/>
      </w:tblGrid>
      <w:tr>
        <w:tblPrEx>
          <w:tblCellMar>
            <w:top w:w="0" w:type="dxa"/>
            <w:left w:w="0" w:type="dxa"/>
            <w:bottom w:w="0" w:type="dxa"/>
            <w:right w:w="0" w:type="dxa"/>
          </w:tblCellMar>
        </w:tblPrEx>
        <w:trPr>
          <w:cantSplit/>
          <w:trHeight w:val="325" w:hRule="atLeast"/>
          <w:jc w:val="center"/>
        </w:trPr>
        <w:tc>
          <w:tcPr>
            <w:tcW w:w="612"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Calibri" w:eastAsia="宋体" w:cs="Times New Roman"/>
                <w:color w:val="auto"/>
                <w:szCs w:val="21"/>
                <w:highlight w:val="none"/>
              </w:rPr>
            </w:pPr>
            <w:r>
              <w:rPr>
                <w:rFonts w:hint="eastAsia" w:ascii="宋体" w:hAnsi="宋体" w:eastAsia="宋体" w:cs="Times New Roman"/>
                <w:color w:val="auto"/>
                <w:szCs w:val="21"/>
                <w:highlight w:val="none"/>
              </w:rPr>
              <w:t>序号</w:t>
            </w:r>
          </w:p>
        </w:tc>
        <w:tc>
          <w:tcPr>
            <w:tcW w:w="2783"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Calibri" w:eastAsia="宋体" w:cs="Times New Roman"/>
                <w:color w:val="auto"/>
                <w:szCs w:val="21"/>
                <w:highlight w:val="none"/>
              </w:rPr>
            </w:pPr>
            <w:r>
              <w:rPr>
                <w:rFonts w:hint="eastAsia" w:ascii="宋体" w:hAnsi="宋体" w:eastAsia="宋体" w:cs="Times New Roman"/>
                <w:color w:val="auto"/>
                <w:szCs w:val="21"/>
                <w:highlight w:val="none"/>
              </w:rPr>
              <w:t>条款内容</w:t>
            </w:r>
          </w:p>
        </w:tc>
        <w:tc>
          <w:tcPr>
            <w:tcW w:w="5765"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Calibri" w:eastAsia="宋体" w:cs="Times New Roman"/>
                <w:color w:val="auto"/>
                <w:szCs w:val="21"/>
                <w:highlight w:val="none"/>
              </w:rPr>
            </w:pPr>
            <w:r>
              <w:rPr>
                <w:rFonts w:hint="eastAsia" w:ascii="宋体" w:hAnsi="宋体" w:eastAsia="宋体" w:cs="Times New Roman"/>
                <w:color w:val="auto"/>
                <w:szCs w:val="21"/>
                <w:highlight w:val="none"/>
              </w:rPr>
              <w:t>编列内容</w:t>
            </w:r>
          </w:p>
        </w:tc>
      </w:tr>
      <w:tr>
        <w:tblPrEx>
          <w:tblCellMar>
            <w:top w:w="0" w:type="dxa"/>
            <w:left w:w="0" w:type="dxa"/>
            <w:bottom w:w="0" w:type="dxa"/>
            <w:right w:w="0" w:type="dxa"/>
          </w:tblCellMar>
        </w:tblPrEx>
        <w:trPr>
          <w:cantSplit/>
          <w:trHeight w:val="630" w:hRule="atLeast"/>
          <w:jc w:val="center"/>
        </w:trPr>
        <w:tc>
          <w:tcPr>
            <w:tcW w:w="612"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宋体" w:eastAsia="宋体" w:cs="Times New Roman"/>
                <w:color w:val="auto"/>
                <w:szCs w:val="21"/>
                <w:highlight w:val="none"/>
              </w:rPr>
            </w:pPr>
            <w:r>
              <w:rPr>
                <w:rFonts w:ascii="宋体" w:hAnsi="宋体" w:eastAsia="宋体" w:cs="Times New Roman"/>
                <w:color w:val="auto"/>
                <w:szCs w:val="21"/>
                <w:highlight w:val="none"/>
              </w:rPr>
              <w:t>1</w:t>
            </w:r>
          </w:p>
        </w:tc>
        <w:tc>
          <w:tcPr>
            <w:tcW w:w="2783"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分值构成及权重</w:t>
            </w:r>
          </w:p>
          <w:p>
            <w:pPr>
              <w:spacing w:line="360" w:lineRule="auto"/>
              <w:jc w:val="center"/>
              <w:rPr>
                <w:rFonts w:ascii="宋体" w:hAnsi="宋体" w:eastAsia="宋体" w:cs="Times New Roman"/>
                <w:color w:val="auto"/>
                <w:szCs w:val="21"/>
                <w:highlight w:val="none"/>
              </w:rPr>
            </w:pPr>
            <w:r>
              <w:rPr>
                <w:rFonts w:ascii="宋体" w:hAnsi="宋体" w:eastAsia="宋体" w:cs="Times New Roman"/>
                <w:color w:val="auto"/>
                <w:szCs w:val="21"/>
                <w:highlight w:val="none"/>
              </w:rPr>
              <w:t>(</w:t>
            </w:r>
            <w:r>
              <w:rPr>
                <w:rFonts w:hint="eastAsia" w:ascii="宋体" w:hAnsi="宋体" w:eastAsia="宋体" w:cs="Times New Roman"/>
                <w:color w:val="auto"/>
                <w:szCs w:val="21"/>
                <w:highlight w:val="none"/>
              </w:rPr>
              <w:t>总分</w:t>
            </w:r>
            <w:r>
              <w:rPr>
                <w:rFonts w:ascii="宋体" w:hAnsi="宋体" w:eastAsia="宋体" w:cs="Times New Roman"/>
                <w:color w:val="auto"/>
                <w:szCs w:val="21"/>
                <w:highlight w:val="none"/>
              </w:rPr>
              <w:t>100</w:t>
            </w:r>
            <w:r>
              <w:rPr>
                <w:rFonts w:hint="eastAsia" w:ascii="宋体" w:hAnsi="宋体" w:eastAsia="宋体" w:cs="Times New Roman"/>
                <w:color w:val="auto"/>
                <w:szCs w:val="21"/>
                <w:highlight w:val="none"/>
              </w:rPr>
              <w:t>分</w:t>
            </w:r>
            <w:r>
              <w:rPr>
                <w:rFonts w:ascii="宋体" w:hAnsi="宋体" w:eastAsia="宋体" w:cs="Times New Roman"/>
                <w:color w:val="auto"/>
                <w:szCs w:val="21"/>
                <w:highlight w:val="none"/>
              </w:rPr>
              <w:t>)</w:t>
            </w:r>
          </w:p>
        </w:tc>
        <w:tc>
          <w:tcPr>
            <w:tcW w:w="5765"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rPr>
                <w:rFonts w:ascii="宋体" w:hAnsi="宋体" w:eastAsia="宋体" w:cs="Times New Roman"/>
                <w:color w:val="auto"/>
                <w:szCs w:val="21"/>
                <w:highlight w:val="none"/>
              </w:rPr>
            </w:pPr>
            <w:r>
              <w:rPr>
                <w:rFonts w:ascii="宋体" w:hAnsi="宋体" w:eastAsia="宋体" w:cs="Times New Roman"/>
                <w:color w:val="auto"/>
                <w:szCs w:val="21"/>
                <w:highlight w:val="none"/>
              </w:rPr>
              <w:t>1.</w:t>
            </w:r>
            <w:r>
              <w:rPr>
                <w:rFonts w:hint="eastAsia" w:ascii="宋体" w:hAnsi="宋体" w:eastAsia="宋体" w:cs="Times New Roman"/>
                <w:color w:val="auto"/>
                <w:szCs w:val="21"/>
                <w:highlight w:val="none"/>
              </w:rPr>
              <w:t>详细评审部分7</w:t>
            </w:r>
            <w:r>
              <w:rPr>
                <w:rFonts w:ascii="宋体" w:hAnsi="宋体" w:eastAsia="宋体" w:cs="Times New Roman"/>
                <w:color w:val="auto"/>
                <w:szCs w:val="21"/>
                <w:highlight w:val="none"/>
              </w:rPr>
              <w:t>0</w:t>
            </w:r>
            <w:r>
              <w:rPr>
                <w:rFonts w:hint="eastAsia" w:ascii="宋体" w:hAnsi="宋体" w:eastAsia="宋体" w:cs="Times New Roman"/>
                <w:color w:val="auto"/>
                <w:szCs w:val="21"/>
                <w:highlight w:val="none"/>
              </w:rPr>
              <w:t>分</w:t>
            </w:r>
          </w:p>
          <w:p>
            <w:pPr>
              <w:spacing w:line="360" w:lineRule="auto"/>
              <w:rPr>
                <w:rFonts w:ascii="宋体" w:hAnsi="宋体" w:eastAsia="宋体" w:cs="Times New Roman"/>
                <w:color w:val="auto"/>
                <w:szCs w:val="21"/>
                <w:highlight w:val="none"/>
              </w:rPr>
            </w:pPr>
            <w:r>
              <w:rPr>
                <w:rFonts w:ascii="宋体" w:hAnsi="宋体" w:eastAsia="宋体" w:cs="Times New Roman"/>
                <w:color w:val="auto"/>
                <w:szCs w:val="21"/>
                <w:highlight w:val="none"/>
              </w:rPr>
              <w:t>2.</w:t>
            </w:r>
            <w:r>
              <w:rPr>
                <w:rFonts w:hint="eastAsia" w:ascii="宋体" w:hAnsi="宋体" w:eastAsia="宋体" w:cs="Times New Roman"/>
                <w:color w:val="auto"/>
                <w:szCs w:val="21"/>
                <w:highlight w:val="none"/>
              </w:rPr>
              <w:t>投标报价3</w:t>
            </w:r>
            <w:r>
              <w:rPr>
                <w:rFonts w:ascii="宋体" w:hAnsi="宋体" w:eastAsia="宋体" w:cs="Times New Roman"/>
                <w:color w:val="auto"/>
                <w:szCs w:val="21"/>
                <w:highlight w:val="none"/>
              </w:rPr>
              <w:t>0</w:t>
            </w:r>
            <w:r>
              <w:rPr>
                <w:rFonts w:hint="eastAsia" w:ascii="宋体" w:hAnsi="宋体" w:eastAsia="宋体" w:cs="Times New Roman"/>
                <w:color w:val="auto"/>
                <w:szCs w:val="21"/>
                <w:highlight w:val="none"/>
              </w:rPr>
              <w:t>分</w:t>
            </w:r>
          </w:p>
        </w:tc>
      </w:tr>
      <w:tr>
        <w:tblPrEx>
          <w:tblCellMar>
            <w:top w:w="0" w:type="dxa"/>
            <w:left w:w="0" w:type="dxa"/>
            <w:bottom w:w="0" w:type="dxa"/>
            <w:right w:w="0" w:type="dxa"/>
          </w:tblCellMar>
        </w:tblPrEx>
        <w:trPr>
          <w:cantSplit/>
          <w:trHeight w:val="147" w:hRule="atLeast"/>
          <w:jc w:val="center"/>
        </w:trPr>
        <w:tc>
          <w:tcPr>
            <w:tcW w:w="612"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w:t>
            </w:r>
          </w:p>
        </w:tc>
        <w:tc>
          <w:tcPr>
            <w:tcW w:w="2783"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资格审查</w:t>
            </w:r>
          </w:p>
        </w:tc>
        <w:tc>
          <w:tcPr>
            <w:tcW w:w="5765"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详见《资格审查标准》</w:t>
            </w:r>
          </w:p>
        </w:tc>
      </w:tr>
      <w:tr>
        <w:tblPrEx>
          <w:tblCellMar>
            <w:top w:w="0" w:type="dxa"/>
            <w:left w:w="0" w:type="dxa"/>
            <w:bottom w:w="0" w:type="dxa"/>
            <w:right w:w="0" w:type="dxa"/>
          </w:tblCellMar>
        </w:tblPrEx>
        <w:trPr>
          <w:cantSplit/>
          <w:trHeight w:val="325" w:hRule="atLeast"/>
          <w:jc w:val="center"/>
        </w:trPr>
        <w:tc>
          <w:tcPr>
            <w:tcW w:w="612"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3</w:t>
            </w:r>
          </w:p>
        </w:tc>
        <w:tc>
          <w:tcPr>
            <w:tcW w:w="2783"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完备性及符合性审查</w:t>
            </w:r>
          </w:p>
        </w:tc>
        <w:tc>
          <w:tcPr>
            <w:tcW w:w="5765"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详见《完备性及符合性审查标准》</w:t>
            </w:r>
          </w:p>
        </w:tc>
      </w:tr>
      <w:tr>
        <w:tblPrEx>
          <w:tblCellMar>
            <w:top w:w="0" w:type="dxa"/>
            <w:left w:w="0" w:type="dxa"/>
            <w:bottom w:w="0" w:type="dxa"/>
            <w:right w:w="0" w:type="dxa"/>
          </w:tblCellMar>
        </w:tblPrEx>
        <w:trPr>
          <w:cantSplit/>
          <w:trHeight w:val="325" w:hRule="atLeast"/>
          <w:jc w:val="center"/>
        </w:trPr>
        <w:tc>
          <w:tcPr>
            <w:tcW w:w="612"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4</w:t>
            </w:r>
          </w:p>
        </w:tc>
        <w:tc>
          <w:tcPr>
            <w:tcW w:w="2783"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tcPr>
          <w:p>
            <w:pPr>
              <w:spacing w:line="360" w:lineRule="auto"/>
              <w:jc w:val="center"/>
              <w:rPr>
                <w:color w:val="auto"/>
                <w:highlight w:val="none"/>
              </w:rPr>
            </w:pPr>
            <w:r>
              <w:rPr>
                <w:rFonts w:hint="eastAsia" w:ascii="宋体" w:hAnsi="宋体" w:eastAsia="宋体" w:cs="Times New Roman"/>
                <w:color w:val="auto"/>
                <w:szCs w:val="21"/>
                <w:highlight w:val="none"/>
              </w:rPr>
              <w:t>投标品牌</w:t>
            </w:r>
          </w:p>
        </w:tc>
        <w:tc>
          <w:tcPr>
            <w:tcW w:w="5765"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tcPr>
          <w:p>
            <w:pPr>
              <w:rPr>
                <w:color w:val="auto"/>
                <w:highlight w:val="none"/>
              </w:rPr>
            </w:pPr>
            <w:r>
              <w:rPr>
                <w:rFonts w:hint="eastAsia"/>
                <w:color w:val="auto"/>
                <w:highlight w:val="none"/>
              </w:rPr>
              <w:t>详见《投标品牌统计》</w:t>
            </w:r>
          </w:p>
        </w:tc>
      </w:tr>
      <w:tr>
        <w:tblPrEx>
          <w:tblCellMar>
            <w:top w:w="0" w:type="dxa"/>
            <w:left w:w="0" w:type="dxa"/>
            <w:bottom w:w="0" w:type="dxa"/>
            <w:right w:w="0" w:type="dxa"/>
          </w:tblCellMar>
        </w:tblPrEx>
        <w:trPr>
          <w:cantSplit/>
          <w:trHeight w:val="325" w:hRule="atLeast"/>
          <w:jc w:val="center"/>
        </w:trPr>
        <w:tc>
          <w:tcPr>
            <w:tcW w:w="612" w:type="dxa"/>
            <w:vMerge w:val="restart"/>
            <w:tcBorders>
              <w:top w:val="single" w:color="auto" w:sz="8" w:space="0"/>
              <w:left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5</w:t>
            </w:r>
          </w:p>
        </w:tc>
        <w:tc>
          <w:tcPr>
            <w:tcW w:w="2783" w:type="dxa"/>
            <w:vMerge w:val="restart"/>
            <w:tcBorders>
              <w:top w:val="single" w:color="auto" w:sz="8" w:space="0"/>
              <w:left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详细评审</w:t>
            </w:r>
          </w:p>
        </w:tc>
        <w:tc>
          <w:tcPr>
            <w:tcW w:w="5765"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详见《详细评审标准》及本节第3.6款</w:t>
            </w:r>
          </w:p>
        </w:tc>
      </w:tr>
      <w:tr>
        <w:tblPrEx>
          <w:tblCellMar>
            <w:top w:w="0" w:type="dxa"/>
            <w:left w:w="0" w:type="dxa"/>
            <w:bottom w:w="0" w:type="dxa"/>
            <w:right w:w="0" w:type="dxa"/>
          </w:tblCellMar>
        </w:tblPrEx>
        <w:trPr>
          <w:cantSplit/>
          <w:trHeight w:val="2332" w:hRule="atLeast"/>
          <w:jc w:val="center"/>
        </w:trPr>
        <w:tc>
          <w:tcPr>
            <w:tcW w:w="612" w:type="dxa"/>
            <w:vMerge w:val="continue"/>
            <w:tcBorders>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宋体" w:eastAsia="宋体" w:cs="Times New Roman"/>
                <w:color w:val="auto"/>
                <w:szCs w:val="21"/>
                <w:highlight w:val="none"/>
              </w:rPr>
            </w:pPr>
          </w:p>
        </w:tc>
        <w:tc>
          <w:tcPr>
            <w:tcW w:w="2783" w:type="dxa"/>
            <w:vMerge w:val="continue"/>
            <w:tcBorders>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宋体" w:eastAsia="宋体" w:cs="Times New Roman"/>
                <w:color w:val="auto"/>
                <w:szCs w:val="21"/>
                <w:highlight w:val="none"/>
              </w:rPr>
            </w:pPr>
          </w:p>
        </w:tc>
        <w:tc>
          <w:tcPr>
            <w:tcW w:w="5765"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投标报价得分计算方法：</w:t>
            </w:r>
          </w:p>
          <w:p>
            <w:pPr>
              <w:spacing w:line="360" w:lineRule="auto"/>
              <w:rPr>
                <w:rFonts w:ascii="宋体" w:hAnsi="宋体" w:eastAsia="宋体" w:cs="Times New Roman"/>
                <w:bCs/>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bCs/>
                <w:color w:val="auto"/>
                <w:szCs w:val="21"/>
                <w:highlight w:val="none"/>
              </w:rPr>
              <w:t>.投标报价的确定</w:t>
            </w:r>
          </w:p>
          <w:p>
            <w:pPr>
              <w:spacing w:line="360" w:lineRule="auto"/>
              <w:rPr>
                <w:rFonts w:ascii="宋体" w:hAnsi="宋体" w:eastAsia="宋体" w:cs="Times New Roman"/>
                <w:bCs/>
                <w:color w:val="auto"/>
                <w:szCs w:val="21"/>
                <w:highlight w:val="none"/>
              </w:rPr>
            </w:pPr>
            <w:r>
              <w:rPr>
                <w:rFonts w:hint="eastAsia" w:ascii="宋体" w:hAnsi="宋体" w:eastAsia="宋体" w:cs="Times New Roman"/>
                <w:bCs/>
                <w:color w:val="auto"/>
                <w:szCs w:val="21"/>
                <w:highlight w:val="none"/>
              </w:rPr>
              <w:t>投标报价是指经评审的且不超过采购预算金额的投标价格</w:t>
            </w:r>
          </w:p>
          <w:p>
            <w:pPr>
              <w:spacing w:line="360" w:lineRule="auto"/>
              <w:rPr>
                <w:rFonts w:ascii="宋体" w:hAnsi="宋体" w:eastAsia="宋体" w:cs="Times New Roman"/>
                <w:bCs/>
                <w:color w:val="auto"/>
                <w:szCs w:val="21"/>
                <w:highlight w:val="none"/>
              </w:rPr>
            </w:pPr>
            <w:r>
              <w:rPr>
                <w:rFonts w:hint="eastAsia" w:ascii="宋体" w:hAnsi="宋体" w:eastAsia="宋体" w:cs="Times New Roman"/>
                <w:bCs/>
                <w:color w:val="auto"/>
                <w:szCs w:val="21"/>
                <w:highlight w:val="none"/>
              </w:rPr>
              <w:t>2.评标基准价的确定</w:t>
            </w:r>
          </w:p>
          <w:p>
            <w:pPr>
              <w:spacing w:line="360" w:lineRule="auto"/>
              <w:rPr>
                <w:rFonts w:ascii="宋体" w:hAnsi="宋体" w:eastAsia="宋体" w:cs="Times New Roman"/>
                <w:bCs/>
                <w:color w:val="auto"/>
                <w:szCs w:val="21"/>
                <w:highlight w:val="none"/>
              </w:rPr>
            </w:pPr>
            <w:r>
              <w:rPr>
                <w:rFonts w:ascii="宋体" w:hAnsi="宋体" w:eastAsia="宋体" w:cs="Times New Roman"/>
                <w:bCs/>
                <w:color w:val="auto"/>
                <w:szCs w:val="21"/>
                <w:highlight w:val="none"/>
              </w:rPr>
              <w:t>满足招标文件要求且</w:t>
            </w:r>
            <w:r>
              <w:rPr>
                <w:rFonts w:hint="eastAsia" w:ascii="宋体" w:hAnsi="宋体" w:eastAsia="宋体" w:cs="Times New Roman"/>
                <w:bCs/>
                <w:color w:val="auto"/>
                <w:szCs w:val="21"/>
                <w:highlight w:val="none"/>
              </w:rPr>
              <w:t>投标报价</w:t>
            </w:r>
            <w:r>
              <w:rPr>
                <w:rFonts w:ascii="宋体" w:hAnsi="宋体" w:eastAsia="宋体" w:cs="Times New Roman"/>
                <w:bCs/>
                <w:color w:val="auto"/>
                <w:szCs w:val="21"/>
                <w:highlight w:val="none"/>
              </w:rPr>
              <w:t>最低的为评标基准价</w:t>
            </w:r>
          </w:p>
          <w:p>
            <w:pPr>
              <w:spacing w:line="360" w:lineRule="auto"/>
              <w:rPr>
                <w:rFonts w:hint="eastAsia" w:ascii="宋体" w:hAnsi="宋体" w:eastAsia="宋体" w:cs="Times New Roman"/>
                <w:bCs/>
                <w:color w:val="auto"/>
                <w:szCs w:val="21"/>
                <w:highlight w:val="none"/>
              </w:rPr>
            </w:pPr>
            <w:r>
              <w:rPr>
                <w:rFonts w:hint="eastAsia" w:ascii="宋体" w:hAnsi="宋体" w:eastAsia="宋体" w:cs="Times New Roman"/>
                <w:bCs/>
                <w:color w:val="auto"/>
                <w:szCs w:val="21"/>
                <w:highlight w:val="none"/>
              </w:rPr>
              <w:t>3.</w:t>
            </w:r>
            <w:r>
              <w:rPr>
                <w:rFonts w:ascii="宋体" w:hAnsi="宋体" w:eastAsia="宋体" w:cs="Times New Roman"/>
                <w:bCs/>
                <w:color w:val="auto"/>
                <w:szCs w:val="21"/>
                <w:highlight w:val="none"/>
              </w:rPr>
              <w:t>投标报价得</w:t>
            </w:r>
            <w:r>
              <w:rPr>
                <w:rFonts w:hint="eastAsia" w:ascii="宋体" w:hAnsi="宋体" w:eastAsia="宋体" w:cs="Times New Roman"/>
                <w:bCs/>
                <w:color w:val="auto"/>
                <w:szCs w:val="21"/>
                <w:highlight w:val="none"/>
              </w:rPr>
              <w:t>分=(评标基准价／投标报价)×30</w:t>
            </w:r>
          </w:p>
          <w:p>
            <w:pPr>
              <w:spacing w:line="360" w:lineRule="auto"/>
              <w:rPr>
                <w:rFonts w:hint="eastAsia" w:ascii="宋体" w:hAnsi="宋体" w:eastAsia="宋体" w:cs="Times New Roman"/>
                <w:bCs/>
                <w:color w:val="auto"/>
                <w:szCs w:val="21"/>
                <w:highlight w:val="none"/>
              </w:rPr>
            </w:pPr>
            <w:r>
              <w:rPr>
                <w:rFonts w:hint="eastAsia" w:ascii="宋体" w:hAnsi="宋体" w:eastAsia="宋体" w:cs="Times New Roman"/>
                <w:bCs/>
                <w:color w:val="auto"/>
                <w:szCs w:val="21"/>
                <w:highlight w:val="none"/>
              </w:rPr>
              <w:t>4.评分分值计算保留小数点后两位，小数点后三位“四舍五入”。</w:t>
            </w:r>
          </w:p>
          <w:p>
            <w:pPr>
              <w:spacing w:line="360" w:lineRule="auto"/>
              <w:rPr>
                <w:color w:val="auto"/>
                <w:highlight w:val="none"/>
              </w:rPr>
            </w:pPr>
            <w:r>
              <w:rPr>
                <w:rFonts w:hint="eastAsia" w:ascii="宋体" w:hAnsi="宋体" w:eastAsia="宋体" w:cs="Times New Roman"/>
                <w:bCs/>
                <w:color w:val="auto"/>
                <w:szCs w:val="21"/>
                <w:highlight w:val="none"/>
                <w:lang w:val="en-US" w:eastAsia="zh-CN"/>
              </w:rPr>
              <w:t>5.</w:t>
            </w:r>
            <w:r>
              <w:rPr>
                <w:rFonts w:hint="eastAsia" w:ascii="宋体" w:hAnsi="宋体" w:eastAsia="宋体" w:cs="Times New Roman"/>
                <w:bCs/>
                <w:color w:val="auto"/>
                <w:szCs w:val="21"/>
                <w:highlight w:val="none"/>
              </w:rPr>
              <w:t>因落实政府采购政策对小微企业、残疾人福利性单位、监狱企业的价格给予10%价格扣除；以扣除后的价格参与评审，不重复享受价格扣除政策。</w:t>
            </w:r>
          </w:p>
        </w:tc>
      </w:tr>
    </w:tbl>
    <w:p>
      <w:pPr>
        <w:widowControl/>
        <w:shd w:val="clear" w:color="auto" w:fill="FFFFFF"/>
        <w:snapToGrid w:val="0"/>
        <w:spacing w:line="276" w:lineRule="auto"/>
        <w:jc w:val="center"/>
        <w:rPr>
          <w:rFonts w:ascii="宋体" w:hAnsi="宋体" w:eastAsia="宋体" w:cs="Arial"/>
          <w:b/>
          <w:color w:val="auto"/>
          <w:kern w:val="0"/>
          <w:sz w:val="24"/>
          <w:szCs w:val="24"/>
          <w:highlight w:val="none"/>
        </w:rPr>
      </w:pPr>
      <w:r>
        <w:rPr>
          <w:rFonts w:hint="eastAsia" w:ascii="宋体" w:hAnsi="宋体" w:eastAsia="宋体" w:cs="Arial"/>
          <w:b/>
          <w:color w:val="auto"/>
          <w:kern w:val="0"/>
          <w:sz w:val="24"/>
          <w:szCs w:val="24"/>
          <w:highlight w:val="none"/>
        </w:rPr>
        <w:t>《资格审查标准》</w:t>
      </w:r>
      <w:bookmarkEnd w:id="31"/>
    </w:p>
    <w:tbl>
      <w:tblPr>
        <w:tblStyle w:val="37"/>
        <w:tblW w:w="91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41"/>
        <w:gridCol w:w="3623"/>
        <w:gridCol w:w="50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441" w:type="dxa"/>
            <w:vAlign w:val="center"/>
          </w:tcPr>
          <w:p>
            <w:pPr>
              <w:widowControl/>
              <w:shd w:val="clear" w:color="auto" w:fill="FFFFFF"/>
              <w:snapToGrid w:val="0"/>
              <w:spacing w:line="360" w:lineRule="auto"/>
              <w:jc w:val="center"/>
              <w:rPr>
                <w:rFonts w:ascii="宋体" w:hAnsi="宋体" w:cs="Arial"/>
                <w:color w:val="auto"/>
                <w:kern w:val="0"/>
                <w:szCs w:val="24"/>
                <w:highlight w:val="none"/>
              </w:rPr>
            </w:pPr>
            <w:bookmarkStart w:id="32" w:name="_Toc501719167"/>
            <w:r>
              <w:rPr>
                <w:rFonts w:hint="eastAsia" w:ascii="宋体" w:hAnsi="宋体" w:cs="Arial"/>
                <w:color w:val="auto"/>
                <w:kern w:val="0"/>
                <w:szCs w:val="24"/>
                <w:highlight w:val="none"/>
              </w:rPr>
              <w:t>序号</w:t>
            </w:r>
          </w:p>
        </w:tc>
        <w:tc>
          <w:tcPr>
            <w:tcW w:w="3623" w:type="dxa"/>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审查要求</w:t>
            </w:r>
          </w:p>
        </w:tc>
        <w:tc>
          <w:tcPr>
            <w:tcW w:w="5043" w:type="dxa"/>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要求说明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441" w:type="dxa"/>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ascii="宋体" w:hAnsi="宋体" w:cs="Arial"/>
                <w:color w:val="auto"/>
                <w:kern w:val="0"/>
                <w:szCs w:val="24"/>
                <w:highlight w:val="none"/>
              </w:rPr>
              <w:t>1</w:t>
            </w:r>
          </w:p>
        </w:tc>
        <w:tc>
          <w:tcPr>
            <w:tcW w:w="3623" w:type="dxa"/>
            <w:vAlign w:val="center"/>
          </w:tcPr>
          <w:p>
            <w:pPr>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满足《中华人民共和国政府采购法》第二十二条规定。</w:t>
            </w:r>
          </w:p>
        </w:tc>
        <w:tc>
          <w:tcPr>
            <w:tcW w:w="5043" w:type="dxa"/>
            <w:vAlign w:val="center"/>
          </w:tcPr>
          <w:p>
            <w:pPr>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提供下列材料：①、法人或者其他组织的营业执照等证明文件，自然人的身份证明；②、财务状况报告，依法缴纳税收和社会保障资金的相关材料；③、具备履行合同所必需的设备和专业技术能力的证明材料；④、参加政府采购活动前3年内在经营活动中没有重大违法记录的书面声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441" w:type="dxa"/>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ascii="宋体" w:hAnsi="宋体" w:cs="Arial"/>
                <w:color w:val="auto"/>
                <w:kern w:val="0"/>
                <w:szCs w:val="24"/>
                <w:highlight w:val="none"/>
              </w:rPr>
              <w:t>2</w:t>
            </w:r>
          </w:p>
        </w:tc>
        <w:tc>
          <w:tcPr>
            <w:tcW w:w="3623" w:type="dxa"/>
            <w:vAlign w:val="center"/>
          </w:tcPr>
          <w:p>
            <w:pPr>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投标人如在“信用中国”网站（www.creditchina.gov.cn）、中国政府采购网（www.ccgp.gov.cn）等渠道被列入失信被执行人、重大税收违法失信主体、政府采购严重违法失信行为记录名单及其它不符合《中华人民共和国政府采购法》第二十二条规定条件的投标人，尚在处罚期内的将被拒绝参加本次采购活动。</w:t>
            </w:r>
          </w:p>
        </w:tc>
        <w:tc>
          <w:tcPr>
            <w:tcW w:w="5043" w:type="dxa"/>
            <w:vAlign w:val="center"/>
          </w:tcPr>
          <w:p>
            <w:pPr>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以采购人或者采购代理机构查询记录为准。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441" w:type="dxa"/>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3</w:t>
            </w:r>
          </w:p>
        </w:tc>
        <w:tc>
          <w:tcPr>
            <w:tcW w:w="3623" w:type="dxa"/>
            <w:vAlign w:val="center"/>
          </w:tcPr>
          <w:p>
            <w:pPr>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投标保证金必须按照招标文件要求缴纳。</w:t>
            </w:r>
          </w:p>
        </w:tc>
        <w:tc>
          <w:tcPr>
            <w:tcW w:w="5043" w:type="dxa"/>
            <w:vAlign w:val="center"/>
          </w:tcPr>
          <w:p>
            <w:pPr>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保证金缴纳凭证：投标人可将本项目保证金支付的汇款凭证、支票、汇票或保证金收据的扫描件作为缴纳凭证制作在投标文件中。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50" w:hRule="atLeast"/>
          <w:jc w:val="center"/>
        </w:trPr>
        <w:tc>
          <w:tcPr>
            <w:tcW w:w="9107" w:type="dxa"/>
            <w:gridSpan w:val="3"/>
            <w:vAlign w:val="center"/>
          </w:tcPr>
          <w:p>
            <w:pPr>
              <w:widowControl/>
              <w:shd w:val="clear" w:color="auto" w:fill="FFFFFF"/>
              <w:snapToGrid w:val="0"/>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备注：如果资格评审中有一项不满足审查标准的，采购人将认定该投标人不通过资格审查，投标文件将被拒绝评审。并且不允许投标人通过修改或撤销其不符合要求的差异或保留，使之成为具有响应性的投标。</w:t>
            </w:r>
          </w:p>
        </w:tc>
      </w:tr>
    </w:tbl>
    <w:p>
      <w:pPr>
        <w:widowControl/>
        <w:shd w:val="clear" w:color="auto" w:fill="FFFFFF"/>
        <w:snapToGrid w:val="0"/>
        <w:spacing w:line="276" w:lineRule="auto"/>
        <w:jc w:val="center"/>
        <w:rPr>
          <w:rFonts w:ascii="宋体" w:hAnsi="宋体" w:eastAsia="宋体" w:cs="Arial"/>
          <w:b/>
          <w:color w:val="auto"/>
          <w:kern w:val="0"/>
          <w:sz w:val="24"/>
          <w:szCs w:val="24"/>
          <w:highlight w:val="none"/>
        </w:rPr>
      </w:pPr>
    </w:p>
    <w:p>
      <w:pPr>
        <w:widowControl/>
        <w:shd w:val="clear" w:color="auto" w:fill="FFFFFF"/>
        <w:snapToGrid w:val="0"/>
        <w:spacing w:line="276" w:lineRule="auto"/>
        <w:jc w:val="center"/>
        <w:rPr>
          <w:rFonts w:ascii="宋体" w:hAnsi="宋体" w:eastAsia="宋体" w:cs="Arial"/>
          <w:b/>
          <w:color w:val="auto"/>
          <w:kern w:val="0"/>
          <w:sz w:val="24"/>
          <w:szCs w:val="24"/>
          <w:highlight w:val="none"/>
        </w:rPr>
      </w:pPr>
      <w:r>
        <w:rPr>
          <w:rFonts w:hint="eastAsia" w:ascii="宋体" w:hAnsi="宋体" w:eastAsia="宋体" w:cs="Arial"/>
          <w:b/>
          <w:color w:val="auto"/>
          <w:kern w:val="0"/>
          <w:sz w:val="24"/>
          <w:szCs w:val="24"/>
          <w:highlight w:val="none"/>
        </w:rPr>
        <w:t>《完备性及符合性审查标准》</w:t>
      </w:r>
      <w:bookmarkEnd w:id="32"/>
    </w:p>
    <w:tbl>
      <w:tblPr>
        <w:tblStyle w:val="37"/>
        <w:tblW w:w="91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21"/>
        <w:gridCol w:w="6638"/>
        <w:gridCol w:w="18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5" w:hRule="atLeast"/>
          <w:jc w:val="center"/>
        </w:trPr>
        <w:tc>
          <w:tcPr>
            <w:tcW w:w="621" w:type="dxa"/>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序号</w:t>
            </w:r>
          </w:p>
        </w:tc>
        <w:tc>
          <w:tcPr>
            <w:tcW w:w="6638" w:type="dxa"/>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审查要求</w:t>
            </w:r>
          </w:p>
        </w:tc>
        <w:tc>
          <w:tcPr>
            <w:tcW w:w="1868" w:type="dxa"/>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要求说明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5" w:hRule="atLeast"/>
          <w:jc w:val="center"/>
        </w:trPr>
        <w:tc>
          <w:tcPr>
            <w:tcW w:w="621" w:type="dxa"/>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ascii="宋体" w:hAnsi="宋体" w:cs="Arial"/>
                <w:color w:val="auto"/>
                <w:kern w:val="0"/>
                <w:szCs w:val="24"/>
                <w:highlight w:val="none"/>
              </w:rPr>
              <w:t>1</w:t>
            </w:r>
          </w:p>
        </w:tc>
        <w:tc>
          <w:tcPr>
            <w:tcW w:w="6638" w:type="dxa"/>
            <w:vAlign w:val="center"/>
          </w:tcPr>
          <w:p>
            <w:pPr>
              <w:widowControl/>
              <w:shd w:val="clear" w:color="auto" w:fill="FFFFFF"/>
              <w:snapToGrid w:val="0"/>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投标文件必须按照招标文件规定要求加盖投标人电子印章、法定代表人电子印章。</w:t>
            </w:r>
          </w:p>
        </w:tc>
        <w:tc>
          <w:tcPr>
            <w:tcW w:w="1868" w:type="dxa"/>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5" w:hRule="atLeast"/>
          <w:jc w:val="center"/>
        </w:trPr>
        <w:tc>
          <w:tcPr>
            <w:tcW w:w="621" w:type="dxa"/>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ascii="宋体" w:hAnsi="宋体" w:cs="Arial"/>
                <w:color w:val="auto"/>
                <w:kern w:val="0"/>
                <w:szCs w:val="24"/>
                <w:highlight w:val="none"/>
              </w:rPr>
              <w:t>2</w:t>
            </w:r>
          </w:p>
        </w:tc>
        <w:tc>
          <w:tcPr>
            <w:tcW w:w="6638" w:type="dxa"/>
            <w:vAlign w:val="center"/>
          </w:tcPr>
          <w:p>
            <w:pPr>
              <w:widowControl/>
              <w:shd w:val="clear" w:color="auto" w:fill="FFFFFF"/>
              <w:snapToGrid w:val="0"/>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投标价格明细表和中小微企业投标价格统计表必须完整填写。</w:t>
            </w:r>
          </w:p>
        </w:tc>
        <w:tc>
          <w:tcPr>
            <w:tcW w:w="1868" w:type="dxa"/>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5" w:hRule="atLeast"/>
          <w:jc w:val="center"/>
        </w:trPr>
        <w:tc>
          <w:tcPr>
            <w:tcW w:w="621" w:type="dxa"/>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ascii="宋体" w:hAnsi="宋体" w:cs="Arial"/>
                <w:color w:val="auto"/>
                <w:kern w:val="0"/>
                <w:szCs w:val="24"/>
                <w:highlight w:val="none"/>
              </w:rPr>
              <w:t>3</w:t>
            </w:r>
          </w:p>
        </w:tc>
        <w:tc>
          <w:tcPr>
            <w:tcW w:w="6638" w:type="dxa"/>
            <w:vAlign w:val="center"/>
          </w:tcPr>
          <w:p>
            <w:pPr>
              <w:widowControl/>
              <w:shd w:val="clear" w:color="auto" w:fill="FFFFFF"/>
              <w:snapToGrid w:val="0"/>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售后服务承诺必须提供。</w:t>
            </w:r>
          </w:p>
        </w:tc>
        <w:tc>
          <w:tcPr>
            <w:tcW w:w="1868" w:type="dxa"/>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 w:hRule="atLeast"/>
          <w:jc w:val="center"/>
        </w:trPr>
        <w:tc>
          <w:tcPr>
            <w:tcW w:w="621" w:type="dxa"/>
            <w:tcMar>
              <w:top w:w="0" w:type="dxa"/>
              <w:left w:w="28" w:type="dxa"/>
              <w:bottom w:w="0" w:type="dxa"/>
              <w:right w:w="28" w:type="dxa"/>
            </w:tcMar>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ascii="宋体" w:hAnsi="宋体" w:cs="Arial"/>
                <w:color w:val="auto"/>
                <w:kern w:val="0"/>
                <w:szCs w:val="24"/>
                <w:highlight w:val="none"/>
              </w:rPr>
              <w:t>4</w:t>
            </w:r>
          </w:p>
        </w:tc>
        <w:tc>
          <w:tcPr>
            <w:tcW w:w="6638" w:type="dxa"/>
            <w:vAlign w:val="center"/>
          </w:tcPr>
          <w:p>
            <w:pPr>
              <w:widowControl/>
              <w:shd w:val="clear" w:color="auto" w:fill="FFFFFF"/>
              <w:snapToGrid w:val="0"/>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投标价格不得超过投标人须知前附表中的采购预算金额。</w:t>
            </w:r>
          </w:p>
        </w:tc>
        <w:tc>
          <w:tcPr>
            <w:tcW w:w="1868" w:type="dxa"/>
            <w:tcMar>
              <w:top w:w="0" w:type="dxa"/>
              <w:left w:w="28" w:type="dxa"/>
              <w:bottom w:w="0" w:type="dxa"/>
              <w:right w:w="28" w:type="dxa"/>
            </w:tcMar>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 w:hRule="atLeast"/>
          <w:jc w:val="center"/>
        </w:trPr>
        <w:tc>
          <w:tcPr>
            <w:tcW w:w="621" w:type="dxa"/>
            <w:tcMar>
              <w:top w:w="0" w:type="dxa"/>
              <w:left w:w="28" w:type="dxa"/>
              <w:bottom w:w="0" w:type="dxa"/>
              <w:right w:w="28" w:type="dxa"/>
            </w:tcMar>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ascii="宋体" w:hAnsi="宋体" w:cs="Arial"/>
                <w:color w:val="auto"/>
                <w:kern w:val="0"/>
                <w:szCs w:val="24"/>
                <w:highlight w:val="none"/>
              </w:rPr>
              <w:t>5</w:t>
            </w:r>
          </w:p>
        </w:tc>
        <w:tc>
          <w:tcPr>
            <w:tcW w:w="6638" w:type="dxa"/>
            <w:vAlign w:val="center"/>
          </w:tcPr>
          <w:p>
            <w:pPr>
              <w:widowControl/>
              <w:shd w:val="clear" w:color="auto" w:fill="FFFFFF"/>
              <w:snapToGrid w:val="0"/>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供货周期必须满足招标文件要求。</w:t>
            </w:r>
          </w:p>
        </w:tc>
        <w:tc>
          <w:tcPr>
            <w:tcW w:w="1868" w:type="dxa"/>
            <w:tcMar>
              <w:top w:w="0" w:type="dxa"/>
              <w:left w:w="28" w:type="dxa"/>
              <w:bottom w:w="0" w:type="dxa"/>
              <w:right w:w="28" w:type="dxa"/>
            </w:tcMar>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 w:hRule="atLeast"/>
          <w:jc w:val="center"/>
        </w:trPr>
        <w:tc>
          <w:tcPr>
            <w:tcW w:w="621" w:type="dxa"/>
            <w:tcMar>
              <w:top w:w="0" w:type="dxa"/>
              <w:left w:w="28" w:type="dxa"/>
              <w:bottom w:w="0" w:type="dxa"/>
              <w:right w:w="28" w:type="dxa"/>
            </w:tcMar>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ascii="宋体" w:hAnsi="宋体" w:cs="Arial"/>
                <w:color w:val="auto"/>
                <w:kern w:val="0"/>
                <w:szCs w:val="24"/>
                <w:highlight w:val="none"/>
              </w:rPr>
              <w:t>6</w:t>
            </w:r>
          </w:p>
        </w:tc>
        <w:tc>
          <w:tcPr>
            <w:tcW w:w="6638" w:type="dxa"/>
            <w:vAlign w:val="center"/>
          </w:tcPr>
          <w:p>
            <w:pPr>
              <w:widowControl/>
              <w:shd w:val="clear" w:color="auto" w:fill="FFFFFF"/>
              <w:snapToGrid w:val="0"/>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投标文件符合招标文件全部实质性要求。</w:t>
            </w:r>
          </w:p>
        </w:tc>
        <w:tc>
          <w:tcPr>
            <w:tcW w:w="1868" w:type="dxa"/>
            <w:tcMar>
              <w:top w:w="0" w:type="dxa"/>
              <w:left w:w="28" w:type="dxa"/>
              <w:bottom w:w="0" w:type="dxa"/>
              <w:right w:w="28" w:type="dxa"/>
            </w:tcMar>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 w:hRule="atLeast"/>
          <w:jc w:val="center"/>
        </w:trPr>
        <w:tc>
          <w:tcPr>
            <w:tcW w:w="9127" w:type="dxa"/>
            <w:gridSpan w:val="3"/>
            <w:vAlign w:val="center"/>
          </w:tcPr>
          <w:p>
            <w:pPr>
              <w:widowControl/>
              <w:shd w:val="clear" w:color="auto" w:fill="FFFFFF"/>
              <w:snapToGrid w:val="0"/>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备注：完备性及符合性审查中有一项不满足评审标准的，评标委员会将认定该投标人不通过完备性及符合性审查，不得进入下一阶段评审。并且不允许投标人通过修改或撤销其不符合要求的差异或保留，使之成为具有响应性的投标。</w:t>
            </w:r>
          </w:p>
        </w:tc>
      </w:tr>
    </w:tbl>
    <w:p>
      <w:pPr>
        <w:widowControl/>
        <w:shd w:val="clear" w:color="auto" w:fill="FFFFFF"/>
        <w:snapToGrid w:val="0"/>
        <w:jc w:val="center"/>
        <w:rPr>
          <w:rFonts w:ascii="宋体" w:hAnsi="宋体" w:eastAsia="宋体" w:cs="Arial"/>
          <w:b/>
          <w:color w:val="auto"/>
          <w:kern w:val="0"/>
          <w:sz w:val="24"/>
          <w:szCs w:val="24"/>
          <w:highlight w:val="none"/>
        </w:rPr>
      </w:pPr>
    </w:p>
    <w:p>
      <w:pPr>
        <w:widowControl/>
        <w:shd w:val="clear" w:color="auto" w:fill="FFFFFF"/>
        <w:snapToGrid w:val="0"/>
        <w:jc w:val="center"/>
        <w:rPr>
          <w:rFonts w:ascii="宋体" w:hAnsi="宋体" w:eastAsia="宋体" w:cs="Arial"/>
          <w:b/>
          <w:color w:val="auto"/>
          <w:kern w:val="0"/>
          <w:sz w:val="24"/>
          <w:szCs w:val="24"/>
          <w:highlight w:val="none"/>
        </w:rPr>
      </w:pPr>
      <w:r>
        <w:rPr>
          <w:rFonts w:hint="eastAsia" w:ascii="宋体" w:hAnsi="宋体" w:eastAsia="宋体" w:cs="Arial"/>
          <w:b/>
          <w:color w:val="auto"/>
          <w:kern w:val="0"/>
          <w:sz w:val="24"/>
          <w:szCs w:val="24"/>
          <w:highlight w:val="none"/>
        </w:rPr>
        <w:t>《投标品牌统计》</w:t>
      </w:r>
    </w:p>
    <w:tbl>
      <w:tblPr>
        <w:tblStyle w:val="37"/>
        <w:tblW w:w="9177" w:type="dxa"/>
        <w:jc w:val="center"/>
        <w:tblLayout w:type="fixed"/>
        <w:tblCellMar>
          <w:top w:w="0" w:type="dxa"/>
          <w:left w:w="0" w:type="dxa"/>
          <w:bottom w:w="0" w:type="dxa"/>
          <w:right w:w="0" w:type="dxa"/>
        </w:tblCellMar>
      </w:tblPr>
      <w:tblGrid>
        <w:gridCol w:w="621"/>
        <w:gridCol w:w="8556"/>
      </w:tblGrid>
      <w:tr>
        <w:tblPrEx>
          <w:tblCellMar>
            <w:top w:w="0" w:type="dxa"/>
            <w:left w:w="0" w:type="dxa"/>
            <w:bottom w:w="0" w:type="dxa"/>
            <w:right w:w="0" w:type="dxa"/>
          </w:tblCellMar>
        </w:tblPrEx>
        <w:trPr>
          <w:cantSplit/>
          <w:trHeight w:val="691" w:hRule="atLeast"/>
          <w:jc w:val="center"/>
        </w:trPr>
        <w:tc>
          <w:tcPr>
            <w:tcW w:w="621" w:type="dxa"/>
            <w:tcBorders>
              <w:top w:val="single" w:color="auto" w:sz="8" w:space="0"/>
              <w:left w:val="single" w:color="auto" w:sz="8" w:space="0"/>
              <w:bottom w:val="single" w:color="auto" w:sz="8" w:space="0"/>
              <w:right w:val="single" w:color="auto" w:sz="8" w:space="0"/>
            </w:tcBorders>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序号</w:t>
            </w:r>
          </w:p>
        </w:tc>
        <w:tc>
          <w:tcPr>
            <w:tcW w:w="8556" w:type="dxa"/>
            <w:tcBorders>
              <w:top w:val="single" w:color="auto" w:sz="8" w:space="0"/>
              <w:left w:val="single" w:color="auto" w:sz="8" w:space="0"/>
              <w:bottom w:val="single" w:color="auto" w:sz="8" w:space="0"/>
              <w:right w:val="single" w:color="auto" w:sz="8" w:space="0"/>
            </w:tcBorders>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统计内容</w:t>
            </w:r>
          </w:p>
        </w:tc>
      </w:tr>
      <w:tr>
        <w:tblPrEx>
          <w:tblCellMar>
            <w:top w:w="0" w:type="dxa"/>
            <w:left w:w="0" w:type="dxa"/>
            <w:bottom w:w="0" w:type="dxa"/>
            <w:right w:w="0" w:type="dxa"/>
          </w:tblCellMar>
        </w:tblPrEx>
        <w:trPr>
          <w:cantSplit/>
          <w:trHeight w:val="227" w:hRule="atLeast"/>
          <w:jc w:val="center"/>
        </w:trPr>
        <w:tc>
          <w:tcPr>
            <w:tcW w:w="621" w:type="dxa"/>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ascii="宋体" w:hAnsi="宋体" w:cs="Arial"/>
                <w:color w:val="auto"/>
                <w:kern w:val="0"/>
                <w:szCs w:val="24"/>
                <w:highlight w:val="none"/>
              </w:rPr>
              <w:t>1</w:t>
            </w:r>
          </w:p>
        </w:tc>
        <w:tc>
          <w:tcPr>
            <w:tcW w:w="8556" w:type="dxa"/>
            <w:tcBorders>
              <w:top w:val="nil"/>
              <w:left w:val="nil"/>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spacing w:line="360" w:lineRule="auto"/>
              <w:rPr>
                <w:rFonts w:ascii="宋体" w:hAnsi="宋体" w:cs="Arial"/>
                <w:color w:val="auto"/>
                <w:kern w:val="0"/>
                <w:szCs w:val="24"/>
                <w:highlight w:val="none"/>
              </w:rPr>
            </w:pPr>
            <w:r>
              <w:rPr>
                <w:rFonts w:hint="eastAsia" w:ascii="宋体" w:hAnsi="宋体" w:cs="Arial"/>
                <w:color w:val="auto"/>
                <w:kern w:val="0"/>
                <w:szCs w:val="24"/>
                <w:highlight w:val="none"/>
              </w:rPr>
              <w:t>投标人所报品牌（核心产品为：多功能质构仪）</w:t>
            </w:r>
          </w:p>
        </w:tc>
      </w:tr>
      <w:tr>
        <w:tblPrEx>
          <w:tblCellMar>
            <w:top w:w="0" w:type="dxa"/>
            <w:left w:w="0" w:type="dxa"/>
            <w:bottom w:w="0" w:type="dxa"/>
            <w:right w:w="0" w:type="dxa"/>
          </w:tblCellMar>
        </w:tblPrEx>
        <w:trPr>
          <w:cantSplit/>
          <w:trHeight w:val="20" w:hRule="atLeast"/>
          <w:jc w:val="center"/>
        </w:trPr>
        <w:tc>
          <w:tcPr>
            <w:tcW w:w="9177" w:type="dxa"/>
            <w:gridSpan w:val="2"/>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spacing w:line="360" w:lineRule="auto"/>
              <w:rPr>
                <w:rFonts w:ascii="宋体" w:hAnsi="宋体" w:cs="Arial"/>
                <w:color w:val="auto"/>
                <w:kern w:val="0"/>
                <w:szCs w:val="24"/>
                <w:highlight w:val="none"/>
              </w:rPr>
            </w:pPr>
            <w:r>
              <w:rPr>
                <w:rFonts w:hint="eastAsia" w:ascii="宋体" w:hAnsi="宋体" w:cs="Arial"/>
                <w:color w:val="auto"/>
                <w:kern w:val="0"/>
                <w:szCs w:val="24"/>
                <w:highlight w:val="none"/>
              </w:rPr>
              <w:t>备注：如招标文件前附表中约定了单一产品或核心产品，则</w:t>
            </w:r>
            <w:r>
              <w:rPr>
                <w:rFonts w:ascii="宋体" w:hAnsi="宋体" w:cs="Arial"/>
                <w:color w:val="auto"/>
                <w:kern w:val="0"/>
                <w:szCs w:val="24"/>
                <w:highlight w:val="none"/>
              </w:rPr>
              <w:t>提供相同品牌产品且通过资格审查、</w:t>
            </w:r>
            <w:r>
              <w:rPr>
                <w:rFonts w:hint="eastAsia" w:ascii="宋体" w:hAnsi="宋体" w:cs="Arial"/>
                <w:color w:val="auto"/>
                <w:kern w:val="0"/>
                <w:szCs w:val="24"/>
                <w:highlight w:val="none"/>
              </w:rPr>
              <w:t>完备性及符合性审查</w:t>
            </w:r>
            <w:r>
              <w:rPr>
                <w:rFonts w:ascii="宋体" w:hAnsi="宋体" w:cs="Arial"/>
                <w:color w:val="auto"/>
                <w:kern w:val="0"/>
                <w:szCs w:val="24"/>
                <w:highlight w:val="none"/>
              </w:rPr>
              <w:t>的不同投标人参加同一合同项下投标的，按一家投标人计算</w:t>
            </w:r>
            <w:r>
              <w:rPr>
                <w:rFonts w:hint="eastAsia" w:ascii="宋体" w:hAnsi="宋体" w:cs="Arial"/>
                <w:color w:val="auto"/>
                <w:kern w:val="0"/>
                <w:szCs w:val="24"/>
                <w:highlight w:val="none"/>
              </w:rPr>
              <w:t>。</w:t>
            </w:r>
          </w:p>
        </w:tc>
      </w:tr>
    </w:tbl>
    <w:p>
      <w:pPr>
        <w:pStyle w:val="3"/>
        <w:jc w:val="center"/>
        <w:rPr>
          <w:rFonts w:ascii="宋体" w:hAnsi="宋体" w:cs="Arial"/>
          <w:b/>
          <w:color w:val="auto"/>
          <w:szCs w:val="24"/>
          <w:highlight w:val="none"/>
        </w:rPr>
      </w:pPr>
    </w:p>
    <w:p>
      <w:pPr>
        <w:pStyle w:val="3"/>
        <w:jc w:val="center"/>
        <w:rPr>
          <w:color w:val="auto"/>
          <w:highlight w:val="none"/>
        </w:rPr>
      </w:pPr>
      <w:r>
        <w:rPr>
          <w:rFonts w:hint="eastAsia" w:ascii="宋体" w:hAnsi="宋体" w:cs="Arial"/>
          <w:b/>
          <w:color w:val="auto"/>
          <w:szCs w:val="24"/>
          <w:highlight w:val="none"/>
        </w:rPr>
        <w:t>《详细评审标准》</w:t>
      </w:r>
    </w:p>
    <w:p>
      <w:pPr>
        <w:widowControl/>
        <w:jc w:val="left"/>
        <w:rPr>
          <w:color w:val="auto"/>
          <w:highlight w:val="none"/>
        </w:rPr>
      </w:pPr>
    </w:p>
    <w:tbl>
      <w:tblPr>
        <w:tblStyle w:val="37"/>
        <w:tblW w:w="5031" w:type="pct"/>
        <w:jc w:val="center"/>
        <w:tblLayout w:type="autofit"/>
        <w:tblCellMar>
          <w:top w:w="0" w:type="dxa"/>
          <w:left w:w="0" w:type="dxa"/>
          <w:bottom w:w="0" w:type="dxa"/>
          <w:right w:w="0" w:type="dxa"/>
        </w:tblCellMar>
      </w:tblPr>
      <w:tblGrid>
        <w:gridCol w:w="656"/>
        <w:gridCol w:w="1407"/>
        <w:gridCol w:w="942"/>
        <w:gridCol w:w="6141"/>
      </w:tblGrid>
      <w:tr>
        <w:tblPrEx>
          <w:tblCellMar>
            <w:top w:w="0" w:type="dxa"/>
            <w:left w:w="0" w:type="dxa"/>
            <w:bottom w:w="0" w:type="dxa"/>
            <w:right w:w="0" w:type="dxa"/>
          </w:tblCellMar>
        </w:tblPrEx>
        <w:trPr>
          <w:trHeight w:val="80" w:hRule="atLeast"/>
          <w:jc w:val="center"/>
        </w:trPr>
        <w:tc>
          <w:tcPr>
            <w:tcW w:w="359" w:type="pct"/>
            <w:tcBorders>
              <w:top w:val="single" w:color="auto" w:sz="8" w:space="0"/>
              <w:left w:val="single" w:color="auto" w:sz="8" w:space="0"/>
              <w:bottom w:val="single" w:color="auto" w:sz="8" w:space="0"/>
              <w:right w:val="single" w:color="auto" w:sz="8" w:space="0"/>
            </w:tcBorders>
            <w:vAlign w:val="center"/>
          </w:tcPr>
          <w:p>
            <w:pPr>
              <w:widowControl/>
              <w:shd w:val="clear" w:color="auto" w:fill="FFFFFF"/>
              <w:snapToGrid w:val="0"/>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序号</w:t>
            </w:r>
          </w:p>
        </w:tc>
        <w:tc>
          <w:tcPr>
            <w:tcW w:w="769" w:type="pct"/>
            <w:tcBorders>
              <w:top w:val="single" w:color="auto" w:sz="8" w:space="0"/>
              <w:left w:val="nil"/>
              <w:bottom w:val="single" w:color="auto" w:sz="8" w:space="0"/>
              <w:right w:val="single" w:color="auto" w:sz="8" w:space="0"/>
            </w:tcBorders>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评审项目</w:t>
            </w:r>
          </w:p>
        </w:tc>
        <w:tc>
          <w:tcPr>
            <w:tcW w:w="515" w:type="pct"/>
            <w:tcBorders>
              <w:top w:val="single" w:color="auto" w:sz="8" w:space="0"/>
              <w:left w:val="nil"/>
              <w:bottom w:val="single" w:color="auto" w:sz="8" w:space="0"/>
              <w:right w:val="single" w:color="auto" w:sz="8" w:space="0"/>
            </w:tcBorders>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标准分</w:t>
            </w:r>
          </w:p>
        </w:tc>
        <w:tc>
          <w:tcPr>
            <w:tcW w:w="3357" w:type="pct"/>
            <w:tcBorders>
              <w:top w:val="single" w:color="auto" w:sz="8" w:space="0"/>
              <w:left w:val="nil"/>
              <w:bottom w:val="single" w:color="auto" w:sz="8" w:space="0"/>
              <w:right w:val="single" w:color="auto" w:sz="8" w:space="0"/>
            </w:tcBorders>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评审标准</w:t>
            </w:r>
          </w:p>
        </w:tc>
      </w:tr>
      <w:tr>
        <w:tblPrEx>
          <w:tblCellMar>
            <w:top w:w="0" w:type="dxa"/>
            <w:left w:w="0" w:type="dxa"/>
            <w:bottom w:w="0" w:type="dxa"/>
            <w:right w:w="0" w:type="dxa"/>
          </w:tblCellMar>
        </w:tblPrEx>
        <w:trPr>
          <w:trHeight w:val="79" w:hRule="atLeast"/>
          <w:jc w:val="center"/>
        </w:trPr>
        <w:tc>
          <w:tcPr>
            <w:tcW w:w="359" w:type="pc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1</w:t>
            </w:r>
          </w:p>
        </w:tc>
        <w:tc>
          <w:tcPr>
            <w:tcW w:w="769" w:type="pct"/>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ind w:left="-105" w:leftChars="-50" w:right="-105" w:rightChars="-50"/>
              <w:jc w:val="center"/>
              <w:rPr>
                <w:rFonts w:ascii="宋体" w:hAnsi="宋体" w:cs="Arial"/>
                <w:color w:val="auto"/>
                <w:kern w:val="0"/>
                <w:szCs w:val="21"/>
                <w:highlight w:val="none"/>
              </w:rPr>
            </w:pPr>
            <w:r>
              <w:rPr>
                <w:rFonts w:hint="eastAsia" w:ascii="宋体" w:hAnsi="宋体" w:cs="Arial"/>
                <w:color w:val="auto"/>
                <w:kern w:val="0"/>
                <w:szCs w:val="21"/>
                <w:highlight w:val="none"/>
              </w:rPr>
              <w:t>近三年类似业绩</w:t>
            </w:r>
          </w:p>
        </w:tc>
        <w:tc>
          <w:tcPr>
            <w:tcW w:w="515" w:type="pct"/>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2</w:t>
            </w:r>
          </w:p>
        </w:tc>
        <w:tc>
          <w:tcPr>
            <w:tcW w:w="3357" w:type="pct"/>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投标人近三年(20</w:t>
            </w:r>
            <w:r>
              <w:rPr>
                <w:rFonts w:ascii="宋体" w:hAnsi="宋体" w:cs="宋体"/>
                <w:color w:val="auto"/>
                <w:kern w:val="0"/>
                <w:szCs w:val="21"/>
                <w:highlight w:val="none"/>
              </w:rPr>
              <w:t>20</w:t>
            </w:r>
            <w:r>
              <w:rPr>
                <w:rFonts w:hint="eastAsia" w:ascii="宋体" w:hAnsi="宋体" w:cs="宋体"/>
                <w:color w:val="auto"/>
                <w:kern w:val="0"/>
                <w:szCs w:val="21"/>
                <w:highlight w:val="none"/>
              </w:rPr>
              <w:t>年1月1日-至今)完成的类似业绩，一项计1分，最多计2项；(须提供中标通知书和合同)。</w:t>
            </w:r>
          </w:p>
        </w:tc>
      </w:tr>
      <w:tr>
        <w:tblPrEx>
          <w:tblCellMar>
            <w:top w:w="0" w:type="dxa"/>
            <w:left w:w="0" w:type="dxa"/>
            <w:bottom w:w="0" w:type="dxa"/>
            <w:right w:w="0" w:type="dxa"/>
          </w:tblCellMar>
        </w:tblPrEx>
        <w:trPr>
          <w:trHeight w:val="79" w:hRule="atLeast"/>
          <w:jc w:val="center"/>
        </w:trPr>
        <w:tc>
          <w:tcPr>
            <w:tcW w:w="359" w:type="pc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2</w:t>
            </w:r>
          </w:p>
        </w:tc>
        <w:tc>
          <w:tcPr>
            <w:tcW w:w="769" w:type="pct"/>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ind w:left="-105" w:leftChars="-50" w:right="-105" w:rightChars="-50"/>
              <w:jc w:val="center"/>
              <w:rPr>
                <w:rFonts w:ascii="宋体" w:hAnsi="宋体" w:cs="Arial"/>
                <w:color w:val="auto"/>
                <w:kern w:val="0"/>
                <w:szCs w:val="21"/>
                <w:highlight w:val="none"/>
              </w:rPr>
            </w:pPr>
            <w:r>
              <w:rPr>
                <w:rFonts w:hint="eastAsia" w:ascii="宋体" w:hAnsi="宋体" w:cs="Arial"/>
                <w:color w:val="auto"/>
                <w:kern w:val="0"/>
                <w:szCs w:val="21"/>
                <w:highlight w:val="none"/>
              </w:rPr>
              <w:t>产品性能技术指标</w:t>
            </w:r>
          </w:p>
        </w:tc>
        <w:tc>
          <w:tcPr>
            <w:tcW w:w="515" w:type="pct"/>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30</w:t>
            </w:r>
          </w:p>
        </w:tc>
        <w:tc>
          <w:tcPr>
            <w:tcW w:w="3357" w:type="pct"/>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产品性能技术指标满足招标文件技术要求，科学合理，技术要求无偏离，全部满足以上要求最高得30分，标“</w:t>
            </w:r>
            <w:r>
              <w:rPr>
                <w:rFonts w:hint="eastAsia" w:ascii="宋体" w:hAnsi="宋体"/>
                <w:color w:val="auto"/>
                <w:szCs w:val="21"/>
                <w:highlight w:val="none"/>
              </w:rPr>
              <w:t>★</w:t>
            </w:r>
            <w:r>
              <w:rPr>
                <w:rFonts w:hint="eastAsia" w:ascii="宋体" w:hAnsi="宋体" w:cs="宋体"/>
                <w:color w:val="auto"/>
                <w:kern w:val="0"/>
                <w:szCs w:val="21"/>
                <w:highlight w:val="none"/>
              </w:rPr>
              <w:t>”参数缺一项或不满足的项扣2分；非标“</w:t>
            </w:r>
            <w:r>
              <w:rPr>
                <w:rFonts w:hint="eastAsia" w:ascii="宋体" w:hAnsi="宋体"/>
                <w:color w:val="auto"/>
                <w:szCs w:val="21"/>
                <w:highlight w:val="none"/>
              </w:rPr>
              <w:t>★</w:t>
            </w:r>
            <w:r>
              <w:rPr>
                <w:rFonts w:hint="eastAsia" w:ascii="宋体" w:hAnsi="宋体" w:cs="宋体"/>
                <w:color w:val="auto"/>
                <w:kern w:val="0"/>
                <w:szCs w:val="21"/>
                <w:highlight w:val="none"/>
              </w:rPr>
              <w:t>”参数缺一项或不满足的项扣1分；扣完为止。</w:t>
            </w:r>
          </w:p>
        </w:tc>
      </w:tr>
      <w:tr>
        <w:tblPrEx>
          <w:tblCellMar>
            <w:top w:w="0" w:type="dxa"/>
            <w:left w:w="0" w:type="dxa"/>
            <w:bottom w:w="0" w:type="dxa"/>
            <w:right w:w="0" w:type="dxa"/>
          </w:tblCellMar>
        </w:tblPrEx>
        <w:trPr>
          <w:trHeight w:val="79" w:hRule="atLeast"/>
          <w:jc w:val="center"/>
        </w:trPr>
        <w:tc>
          <w:tcPr>
            <w:tcW w:w="359" w:type="pc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3</w:t>
            </w:r>
          </w:p>
        </w:tc>
        <w:tc>
          <w:tcPr>
            <w:tcW w:w="769" w:type="pct"/>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ind w:left="-105" w:leftChars="-50" w:right="-105" w:rightChars="-50"/>
              <w:jc w:val="center"/>
              <w:rPr>
                <w:rFonts w:ascii="宋体" w:hAnsi="宋体" w:cs="Arial"/>
                <w:color w:val="auto"/>
                <w:kern w:val="0"/>
                <w:szCs w:val="21"/>
                <w:highlight w:val="none"/>
              </w:rPr>
            </w:pPr>
            <w:r>
              <w:rPr>
                <w:rFonts w:hint="eastAsia" w:ascii="宋体" w:hAnsi="宋体" w:cs="宋体"/>
                <w:color w:val="auto"/>
                <w:kern w:val="0"/>
                <w:szCs w:val="21"/>
                <w:highlight w:val="none"/>
              </w:rPr>
              <w:t>实施方案</w:t>
            </w:r>
          </w:p>
        </w:tc>
        <w:tc>
          <w:tcPr>
            <w:tcW w:w="515" w:type="pct"/>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8</w:t>
            </w:r>
          </w:p>
        </w:tc>
        <w:tc>
          <w:tcPr>
            <w:tcW w:w="3357" w:type="pct"/>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实施方案内容包含：①供货计划、②安装调试措施、③应急预案、④故障维修处理方案等4部分要素。</w:t>
            </w:r>
          </w:p>
          <w:p>
            <w:pPr>
              <w:spacing w:line="360" w:lineRule="auto"/>
              <w:ind w:firstLine="420" w:firstLineChars="200"/>
              <w:rPr>
                <w:rFonts w:asciiTheme="minorEastAsia" w:hAnsiTheme="minorEastAsia"/>
                <w:color w:val="auto"/>
                <w:szCs w:val="21"/>
                <w:highlight w:val="none"/>
              </w:rPr>
            </w:pPr>
            <w:r>
              <w:rPr>
                <w:rFonts w:asciiTheme="minorEastAsia" w:hAnsiTheme="minorEastAsia"/>
                <w:color w:val="auto"/>
                <w:szCs w:val="21"/>
                <w:highlight w:val="none"/>
              </w:rPr>
              <w:t>所有</w:t>
            </w:r>
            <w:r>
              <w:rPr>
                <w:rFonts w:hint="eastAsia" w:asciiTheme="minorEastAsia" w:hAnsiTheme="minorEastAsia"/>
                <w:color w:val="auto"/>
                <w:szCs w:val="21"/>
                <w:highlight w:val="none"/>
              </w:rPr>
              <w:t>要素齐全</w:t>
            </w:r>
            <w:r>
              <w:rPr>
                <w:rFonts w:asciiTheme="minorEastAsia" w:hAnsiTheme="minorEastAsia"/>
                <w:color w:val="auto"/>
                <w:szCs w:val="21"/>
                <w:highlight w:val="none"/>
              </w:rPr>
              <w:t>且完全满足项目要求得</w:t>
            </w:r>
            <w:r>
              <w:rPr>
                <w:rFonts w:hint="eastAsia" w:asciiTheme="minorEastAsia" w:hAnsiTheme="minorEastAsia"/>
                <w:color w:val="auto"/>
                <w:szCs w:val="21"/>
                <w:highlight w:val="none"/>
              </w:rPr>
              <w:t>8</w:t>
            </w:r>
            <w:r>
              <w:rPr>
                <w:rFonts w:asciiTheme="minorEastAsia" w:hAnsiTheme="minorEastAsia"/>
                <w:color w:val="auto"/>
                <w:szCs w:val="21"/>
                <w:highlight w:val="none"/>
              </w:rPr>
              <w:t>分，每缺</w:t>
            </w:r>
            <w:r>
              <w:rPr>
                <w:rFonts w:hint="eastAsia" w:asciiTheme="minorEastAsia" w:hAnsiTheme="minorEastAsia"/>
                <w:color w:val="auto"/>
                <w:szCs w:val="21"/>
                <w:highlight w:val="none"/>
              </w:rPr>
              <w:t>一个要素</w:t>
            </w:r>
            <w:r>
              <w:rPr>
                <w:rFonts w:asciiTheme="minorEastAsia" w:hAnsiTheme="minorEastAsia"/>
                <w:color w:val="auto"/>
                <w:szCs w:val="21"/>
                <w:highlight w:val="none"/>
              </w:rPr>
              <w:t>扣</w:t>
            </w:r>
            <w:r>
              <w:rPr>
                <w:rFonts w:hint="eastAsia" w:asciiTheme="minorEastAsia" w:hAnsiTheme="minorEastAsia"/>
                <w:color w:val="auto"/>
                <w:szCs w:val="21"/>
                <w:highlight w:val="none"/>
              </w:rPr>
              <w:t>2</w:t>
            </w:r>
            <w:r>
              <w:rPr>
                <w:rFonts w:asciiTheme="minorEastAsia" w:hAnsiTheme="minorEastAsia"/>
                <w:color w:val="auto"/>
                <w:szCs w:val="21"/>
                <w:highlight w:val="none"/>
              </w:rPr>
              <w:t>分，</w:t>
            </w:r>
            <w:r>
              <w:rPr>
                <w:rFonts w:hint="eastAsia" w:asciiTheme="minorEastAsia" w:hAnsiTheme="minorEastAsia"/>
                <w:color w:val="auto"/>
                <w:szCs w:val="21"/>
                <w:highlight w:val="none"/>
              </w:rPr>
              <w:t>每个要素里每有一处内容</w:t>
            </w:r>
            <w:r>
              <w:rPr>
                <w:rFonts w:asciiTheme="minorEastAsia" w:hAnsiTheme="minorEastAsia"/>
                <w:color w:val="auto"/>
                <w:szCs w:val="21"/>
                <w:highlight w:val="none"/>
              </w:rPr>
              <w:t>缺陷扣</w:t>
            </w:r>
            <w:r>
              <w:rPr>
                <w:rFonts w:hint="eastAsia" w:asciiTheme="minorEastAsia" w:hAnsiTheme="minorEastAsia"/>
                <w:color w:val="auto"/>
                <w:szCs w:val="21"/>
                <w:highlight w:val="none"/>
              </w:rPr>
              <w:t>1</w:t>
            </w:r>
            <w:r>
              <w:rPr>
                <w:rFonts w:asciiTheme="minorEastAsia" w:hAnsiTheme="minorEastAsia"/>
                <w:color w:val="auto"/>
                <w:szCs w:val="21"/>
                <w:highlight w:val="none"/>
              </w:rPr>
              <w:t>分</w:t>
            </w:r>
            <w:r>
              <w:rPr>
                <w:rFonts w:hint="eastAsia" w:asciiTheme="minorEastAsia" w:hAnsiTheme="minorEastAsia"/>
                <w:color w:val="auto"/>
                <w:szCs w:val="21"/>
                <w:highlight w:val="none"/>
              </w:rPr>
              <w:t>（</w:t>
            </w:r>
            <w:r>
              <w:rPr>
                <w:rFonts w:asciiTheme="minorEastAsia" w:hAnsiTheme="minorEastAsia"/>
                <w:color w:val="auto"/>
                <w:szCs w:val="21"/>
                <w:highlight w:val="none"/>
              </w:rPr>
              <w:t>扣完为止</w:t>
            </w:r>
            <w:r>
              <w:rPr>
                <w:rFonts w:hint="eastAsia" w:asciiTheme="minorEastAsia" w:hAnsiTheme="minorEastAsia"/>
                <w:color w:val="auto"/>
                <w:szCs w:val="21"/>
                <w:highlight w:val="none"/>
              </w:rPr>
              <w:t>）</w:t>
            </w:r>
            <w:r>
              <w:rPr>
                <w:rFonts w:asciiTheme="minorEastAsia" w:hAnsiTheme="minorEastAsia"/>
                <w:color w:val="auto"/>
                <w:szCs w:val="21"/>
                <w:highlight w:val="none"/>
              </w:rPr>
              <w:t>。</w:t>
            </w:r>
          </w:p>
        </w:tc>
      </w:tr>
      <w:tr>
        <w:tblPrEx>
          <w:tblCellMar>
            <w:top w:w="0" w:type="dxa"/>
            <w:left w:w="0" w:type="dxa"/>
            <w:bottom w:w="0" w:type="dxa"/>
            <w:right w:w="0" w:type="dxa"/>
          </w:tblCellMar>
        </w:tblPrEx>
        <w:trPr>
          <w:trHeight w:val="79" w:hRule="atLeast"/>
          <w:jc w:val="center"/>
        </w:trPr>
        <w:tc>
          <w:tcPr>
            <w:tcW w:w="359" w:type="pc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4</w:t>
            </w:r>
          </w:p>
        </w:tc>
        <w:tc>
          <w:tcPr>
            <w:tcW w:w="769" w:type="pct"/>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ind w:left="-105" w:leftChars="-50" w:right="-105" w:rightChars="-50"/>
              <w:jc w:val="center"/>
              <w:rPr>
                <w:rFonts w:ascii="宋体" w:hAnsi="宋体" w:cs="Arial"/>
                <w:color w:val="auto"/>
                <w:kern w:val="0"/>
                <w:szCs w:val="21"/>
                <w:highlight w:val="none"/>
              </w:rPr>
            </w:pPr>
            <w:r>
              <w:rPr>
                <w:rFonts w:hint="eastAsia" w:ascii="宋体" w:hAnsi="宋体" w:cs="Arial"/>
                <w:color w:val="auto"/>
                <w:kern w:val="0"/>
                <w:szCs w:val="21"/>
                <w:highlight w:val="none"/>
              </w:rPr>
              <w:t>质量保证方案</w:t>
            </w:r>
          </w:p>
        </w:tc>
        <w:tc>
          <w:tcPr>
            <w:tcW w:w="515" w:type="pct"/>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8</w:t>
            </w:r>
          </w:p>
        </w:tc>
        <w:tc>
          <w:tcPr>
            <w:tcW w:w="3357" w:type="pct"/>
            <w:tcBorders>
              <w:top w:val="nil"/>
              <w:left w:val="nil"/>
              <w:bottom w:val="single" w:color="auto" w:sz="8" w:space="0"/>
              <w:right w:val="single" w:color="auto" w:sz="8" w:space="0"/>
            </w:tcBorders>
            <w:tcMar>
              <w:top w:w="0" w:type="dxa"/>
              <w:left w:w="108" w:type="dxa"/>
              <w:bottom w:w="0" w:type="dxa"/>
              <w:right w:w="108" w:type="dxa"/>
            </w:tcMar>
            <w:vAlign w:val="center"/>
          </w:tcPr>
          <w:p>
            <w:pPr>
              <w:autoSpaceDE w:val="0"/>
              <w:autoSpaceDN w:val="0"/>
              <w:adjustRightIn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质量保证方案包含：①质量检测措施、②质量管理制度等2部分要素。</w:t>
            </w:r>
          </w:p>
          <w:p>
            <w:pPr>
              <w:spacing w:line="360" w:lineRule="auto"/>
              <w:ind w:firstLine="420" w:firstLineChars="200"/>
              <w:rPr>
                <w:rFonts w:asciiTheme="minorEastAsia" w:hAnsiTheme="minorEastAsia"/>
                <w:color w:val="auto"/>
                <w:szCs w:val="21"/>
                <w:highlight w:val="none"/>
              </w:rPr>
            </w:pPr>
            <w:r>
              <w:rPr>
                <w:rFonts w:asciiTheme="minorEastAsia" w:hAnsiTheme="minorEastAsia"/>
                <w:color w:val="auto"/>
                <w:szCs w:val="21"/>
                <w:highlight w:val="none"/>
              </w:rPr>
              <w:t>所有</w:t>
            </w:r>
            <w:r>
              <w:rPr>
                <w:rFonts w:hint="eastAsia" w:asciiTheme="minorEastAsia" w:hAnsiTheme="minorEastAsia"/>
                <w:color w:val="auto"/>
                <w:szCs w:val="21"/>
                <w:highlight w:val="none"/>
              </w:rPr>
              <w:t>要素齐全</w:t>
            </w:r>
            <w:r>
              <w:rPr>
                <w:rFonts w:asciiTheme="minorEastAsia" w:hAnsiTheme="minorEastAsia"/>
                <w:color w:val="auto"/>
                <w:szCs w:val="21"/>
                <w:highlight w:val="none"/>
              </w:rPr>
              <w:t>且完全满足项目要求得</w:t>
            </w:r>
            <w:r>
              <w:rPr>
                <w:rFonts w:hint="eastAsia" w:asciiTheme="minorEastAsia" w:hAnsiTheme="minorEastAsia"/>
                <w:color w:val="auto"/>
                <w:szCs w:val="21"/>
                <w:highlight w:val="none"/>
              </w:rPr>
              <w:t>8</w:t>
            </w:r>
            <w:r>
              <w:rPr>
                <w:rFonts w:asciiTheme="minorEastAsia" w:hAnsiTheme="minorEastAsia"/>
                <w:color w:val="auto"/>
                <w:szCs w:val="21"/>
                <w:highlight w:val="none"/>
              </w:rPr>
              <w:t>分，每缺</w:t>
            </w:r>
            <w:r>
              <w:rPr>
                <w:rFonts w:hint="eastAsia" w:asciiTheme="minorEastAsia" w:hAnsiTheme="minorEastAsia"/>
                <w:color w:val="auto"/>
                <w:szCs w:val="21"/>
                <w:highlight w:val="none"/>
              </w:rPr>
              <w:t>一个要素</w:t>
            </w:r>
            <w:r>
              <w:rPr>
                <w:rFonts w:asciiTheme="minorEastAsia" w:hAnsiTheme="minorEastAsia"/>
                <w:color w:val="auto"/>
                <w:szCs w:val="21"/>
                <w:highlight w:val="none"/>
              </w:rPr>
              <w:t>扣</w:t>
            </w:r>
            <w:r>
              <w:rPr>
                <w:rFonts w:hint="eastAsia" w:asciiTheme="minorEastAsia" w:hAnsiTheme="minorEastAsia"/>
                <w:color w:val="auto"/>
                <w:szCs w:val="21"/>
                <w:highlight w:val="none"/>
              </w:rPr>
              <w:t>4</w:t>
            </w:r>
            <w:r>
              <w:rPr>
                <w:rFonts w:asciiTheme="minorEastAsia" w:hAnsiTheme="minorEastAsia"/>
                <w:color w:val="auto"/>
                <w:szCs w:val="21"/>
                <w:highlight w:val="none"/>
              </w:rPr>
              <w:t>分，</w:t>
            </w:r>
            <w:r>
              <w:rPr>
                <w:rFonts w:hint="eastAsia" w:asciiTheme="minorEastAsia" w:hAnsiTheme="minorEastAsia"/>
                <w:color w:val="auto"/>
                <w:szCs w:val="21"/>
                <w:highlight w:val="none"/>
              </w:rPr>
              <w:t>每个要素里每有一处内容</w:t>
            </w:r>
            <w:r>
              <w:rPr>
                <w:rFonts w:asciiTheme="minorEastAsia" w:hAnsiTheme="minorEastAsia"/>
                <w:color w:val="auto"/>
                <w:szCs w:val="21"/>
                <w:highlight w:val="none"/>
              </w:rPr>
              <w:t>缺陷扣</w:t>
            </w:r>
            <w:r>
              <w:rPr>
                <w:rFonts w:hint="eastAsia" w:asciiTheme="minorEastAsia" w:hAnsiTheme="minorEastAsia"/>
                <w:color w:val="auto"/>
                <w:szCs w:val="21"/>
                <w:highlight w:val="none"/>
              </w:rPr>
              <w:t>2</w:t>
            </w:r>
            <w:r>
              <w:rPr>
                <w:rFonts w:asciiTheme="minorEastAsia" w:hAnsiTheme="minorEastAsia"/>
                <w:color w:val="auto"/>
                <w:szCs w:val="21"/>
                <w:highlight w:val="none"/>
              </w:rPr>
              <w:t>分</w:t>
            </w:r>
            <w:r>
              <w:rPr>
                <w:rFonts w:hint="eastAsia" w:asciiTheme="minorEastAsia" w:hAnsiTheme="minorEastAsia"/>
                <w:color w:val="auto"/>
                <w:szCs w:val="21"/>
                <w:highlight w:val="none"/>
              </w:rPr>
              <w:t>（</w:t>
            </w:r>
            <w:r>
              <w:rPr>
                <w:rFonts w:asciiTheme="minorEastAsia" w:hAnsiTheme="minorEastAsia"/>
                <w:color w:val="auto"/>
                <w:szCs w:val="21"/>
                <w:highlight w:val="none"/>
              </w:rPr>
              <w:t>扣完为止</w:t>
            </w:r>
            <w:r>
              <w:rPr>
                <w:rFonts w:hint="eastAsia" w:asciiTheme="minorEastAsia" w:hAnsiTheme="minorEastAsia"/>
                <w:color w:val="auto"/>
                <w:szCs w:val="21"/>
                <w:highlight w:val="none"/>
              </w:rPr>
              <w:t>）</w:t>
            </w:r>
            <w:r>
              <w:rPr>
                <w:rFonts w:asciiTheme="minorEastAsia" w:hAnsiTheme="minorEastAsia"/>
                <w:color w:val="auto"/>
                <w:szCs w:val="21"/>
                <w:highlight w:val="none"/>
              </w:rPr>
              <w:t>。</w:t>
            </w:r>
          </w:p>
        </w:tc>
      </w:tr>
      <w:tr>
        <w:tblPrEx>
          <w:tblCellMar>
            <w:top w:w="0" w:type="dxa"/>
            <w:left w:w="0" w:type="dxa"/>
            <w:bottom w:w="0" w:type="dxa"/>
            <w:right w:w="0" w:type="dxa"/>
          </w:tblCellMar>
        </w:tblPrEx>
        <w:trPr>
          <w:trHeight w:val="79" w:hRule="atLeast"/>
          <w:jc w:val="center"/>
        </w:trPr>
        <w:tc>
          <w:tcPr>
            <w:tcW w:w="359" w:type="pc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5</w:t>
            </w:r>
          </w:p>
        </w:tc>
        <w:tc>
          <w:tcPr>
            <w:tcW w:w="769" w:type="pct"/>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ind w:left="-105" w:leftChars="-50" w:right="-105" w:rightChars="-50"/>
              <w:jc w:val="center"/>
              <w:rPr>
                <w:rFonts w:ascii="宋体" w:hAnsi="宋体" w:cs="Arial"/>
                <w:color w:val="auto"/>
                <w:kern w:val="0"/>
                <w:szCs w:val="21"/>
                <w:highlight w:val="none"/>
              </w:rPr>
            </w:pPr>
            <w:r>
              <w:rPr>
                <w:rFonts w:hint="eastAsia" w:ascii="宋体" w:hAnsi="宋体" w:cs="宋体"/>
                <w:color w:val="auto"/>
                <w:kern w:val="0"/>
                <w:szCs w:val="21"/>
                <w:highlight w:val="none"/>
              </w:rPr>
              <w:t>培训方案</w:t>
            </w:r>
          </w:p>
        </w:tc>
        <w:tc>
          <w:tcPr>
            <w:tcW w:w="515" w:type="pct"/>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6</w:t>
            </w:r>
          </w:p>
        </w:tc>
        <w:tc>
          <w:tcPr>
            <w:tcW w:w="3357" w:type="pct"/>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培训方案内容包含：①培训计划、②培训内容等2部分要素。</w:t>
            </w:r>
          </w:p>
          <w:p>
            <w:pPr>
              <w:spacing w:line="360" w:lineRule="auto"/>
              <w:ind w:firstLine="420" w:firstLineChars="200"/>
              <w:rPr>
                <w:rFonts w:ascii="宋体" w:hAnsi="宋体" w:cs="宋体"/>
                <w:color w:val="auto"/>
                <w:kern w:val="0"/>
                <w:szCs w:val="21"/>
                <w:highlight w:val="none"/>
              </w:rPr>
            </w:pPr>
            <w:r>
              <w:rPr>
                <w:rFonts w:asciiTheme="minorEastAsia" w:hAnsiTheme="minorEastAsia"/>
                <w:color w:val="auto"/>
                <w:szCs w:val="21"/>
                <w:highlight w:val="none"/>
              </w:rPr>
              <w:t>所有</w:t>
            </w:r>
            <w:r>
              <w:rPr>
                <w:rFonts w:hint="eastAsia" w:asciiTheme="minorEastAsia" w:hAnsiTheme="minorEastAsia"/>
                <w:color w:val="auto"/>
                <w:szCs w:val="21"/>
                <w:highlight w:val="none"/>
              </w:rPr>
              <w:t>要素齐全</w:t>
            </w:r>
            <w:r>
              <w:rPr>
                <w:rFonts w:asciiTheme="minorEastAsia" w:hAnsiTheme="minorEastAsia"/>
                <w:color w:val="auto"/>
                <w:szCs w:val="21"/>
                <w:highlight w:val="none"/>
              </w:rPr>
              <w:t>且完全满足项目要求得</w:t>
            </w:r>
            <w:r>
              <w:rPr>
                <w:rFonts w:hint="eastAsia" w:asciiTheme="minorEastAsia" w:hAnsiTheme="minorEastAsia"/>
                <w:color w:val="auto"/>
                <w:szCs w:val="21"/>
                <w:highlight w:val="none"/>
              </w:rPr>
              <w:t>6</w:t>
            </w:r>
            <w:r>
              <w:rPr>
                <w:rFonts w:asciiTheme="minorEastAsia" w:hAnsiTheme="minorEastAsia"/>
                <w:color w:val="auto"/>
                <w:szCs w:val="21"/>
                <w:highlight w:val="none"/>
              </w:rPr>
              <w:t>分，每缺</w:t>
            </w:r>
            <w:r>
              <w:rPr>
                <w:rFonts w:hint="eastAsia" w:asciiTheme="minorEastAsia" w:hAnsiTheme="minorEastAsia"/>
                <w:color w:val="auto"/>
                <w:szCs w:val="21"/>
                <w:highlight w:val="none"/>
              </w:rPr>
              <w:t>一个要素</w:t>
            </w:r>
            <w:r>
              <w:rPr>
                <w:rFonts w:asciiTheme="minorEastAsia" w:hAnsiTheme="minorEastAsia"/>
                <w:color w:val="auto"/>
                <w:szCs w:val="21"/>
                <w:highlight w:val="none"/>
              </w:rPr>
              <w:t>扣</w:t>
            </w:r>
            <w:r>
              <w:rPr>
                <w:rFonts w:hint="eastAsia" w:asciiTheme="minorEastAsia" w:hAnsiTheme="minorEastAsia"/>
                <w:color w:val="auto"/>
                <w:szCs w:val="21"/>
                <w:highlight w:val="none"/>
              </w:rPr>
              <w:t>3</w:t>
            </w:r>
            <w:r>
              <w:rPr>
                <w:rFonts w:asciiTheme="minorEastAsia" w:hAnsiTheme="minorEastAsia"/>
                <w:color w:val="auto"/>
                <w:szCs w:val="21"/>
                <w:highlight w:val="none"/>
              </w:rPr>
              <w:t>分，</w:t>
            </w:r>
            <w:r>
              <w:rPr>
                <w:rFonts w:hint="eastAsia" w:asciiTheme="minorEastAsia" w:hAnsiTheme="minorEastAsia"/>
                <w:color w:val="auto"/>
                <w:szCs w:val="21"/>
                <w:highlight w:val="none"/>
              </w:rPr>
              <w:t>每个要素里每有一处内容</w:t>
            </w:r>
            <w:r>
              <w:rPr>
                <w:rFonts w:asciiTheme="minorEastAsia" w:hAnsiTheme="minorEastAsia"/>
                <w:color w:val="auto"/>
                <w:szCs w:val="21"/>
                <w:highlight w:val="none"/>
              </w:rPr>
              <w:t>缺陷扣</w:t>
            </w:r>
            <w:r>
              <w:rPr>
                <w:rFonts w:hint="eastAsia" w:asciiTheme="minorEastAsia" w:hAnsiTheme="minorEastAsia"/>
                <w:color w:val="auto"/>
                <w:szCs w:val="21"/>
                <w:highlight w:val="none"/>
              </w:rPr>
              <w:t>1</w:t>
            </w:r>
            <w:r>
              <w:rPr>
                <w:rFonts w:asciiTheme="minorEastAsia" w:hAnsiTheme="minorEastAsia"/>
                <w:color w:val="auto"/>
                <w:szCs w:val="21"/>
                <w:highlight w:val="none"/>
              </w:rPr>
              <w:t>分</w:t>
            </w:r>
            <w:r>
              <w:rPr>
                <w:rFonts w:hint="eastAsia" w:asciiTheme="minorEastAsia" w:hAnsiTheme="minorEastAsia"/>
                <w:color w:val="auto"/>
                <w:szCs w:val="21"/>
                <w:highlight w:val="none"/>
              </w:rPr>
              <w:t>（</w:t>
            </w:r>
            <w:r>
              <w:rPr>
                <w:rFonts w:asciiTheme="minorEastAsia" w:hAnsiTheme="minorEastAsia"/>
                <w:color w:val="auto"/>
                <w:szCs w:val="21"/>
                <w:highlight w:val="none"/>
              </w:rPr>
              <w:t>扣完为止</w:t>
            </w:r>
            <w:r>
              <w:rPr>
                <w:rFonts w:hint="eastAsia" w:asciiTheme="minorEastAsia" w:hAnsiTheme="minorEastAsia"/>
                <w:color w:val="auto"/>
                <w:szCs w:val="21"/>
                <w:highlight w:val="none"/>
              </w:rPr>
              <w:t>）</w:t>
            </w:r>
            <w:r>
              <w:rPr>
                <w:rFonts w:asciiTheme="minorEastAsia" w:hAnsiTheme="minorEastAsia"/>
                <w:color w:val="auto"/>
                <w:szCs w:val="21"/>
                <w:highlight w:val="none"/>
              </w:rPr>
              <w:t>。</w:t>
            </w:r>
          </w:p>
        </w:tc>
      </w:tr>
      <w:tr>
        <w:tblPrEx>
          <w:tblCellMar>
            <w:top w:w="0" w:type="dxa"/>
            <w:left w:w="0" w:type="dxa"/>
            <w:bottom w:w="0" w:type="dxa"/>
            <w:right w:w="0" w:type="dxa"/>
          </w:tblCellMar>
        </w:tblPrEx>
        <w:trPr>
          <w:trHeight w:val="79" w:hRule="atLeast"/>
          <w:jc w:val="center"/>
        </w:trPr>
        <w:tc>
          <w:tcPr>
            <w:tcW w:w="359" w:type="pc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6</w:t>
            </w:r>
          </w:p>
        </w:tc>
        <w:tc>
          <w:tcPr>
            <w:tcW w:w="769" w:type="pct"/>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ind w:left="-105" w:leftChars="-50" w:right="-105" w:rightChars="-50"/>
              <w:jc w:val="center"/>
              <w:rPr>
                <w:rFonts w:ascii="宋体" w:hAnsi="宋体" w:cs="Arial"/>
                <w:color w:val="auto"/>
                <w:kern w:val="0"/>
                <w:szCs w:val="21"/>
                <w:highlight w:val="none"/>
              </w:rPr>
            </w:pPr>
            <w:r>
              <w:rPr>
                <w:rFonts w:hint="eastAsia" w:ascii="宋体" w:hAnsi="宋体" w:cs="Arial"/>
                <w:color w:val="auto"/>
                <w:kern w:val="0"/>
                <w:szCs w:val="21"/>
                <w:highlight w:val="none"/>
              </w:rPr>
              <w:t>售后服务方案</w:t>
            </w:r>
          </w:p>
        </w:tc>
        <w:tc>
          <w:tcPr>
            <w:tcW w:w="515" w:type="pct"/>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16</w:t>
            </w:r>
          </w:p>
        </w:tc>
        <w:tc>
          <w:tcPr>
            <w:tcW w:w="3357" w:type="pct"/>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售后服务方案内容包含：①售后服务保障措施、②备品备件、③服务支持能力、④增值服务等4部分要素。</w:t>
            </w:r>
          </w:p>
          <w:p>
            <w:pPr>
              <w:spacing w:line="360" w:lineRule="auto"/>
              <w:ind w:firstLine="420" w:firstLineChars="200"/>
              <w:rPr>
                <w:rFonts w:asciiTheme="minorEastAsia" w:hAnsiTheme="minorEastAsia"/>
                <w:color w:val="auto"/>
                <w:szCs w:val="21"/>
                <w:highlight w:val="none"/>
              </w:rPr>
            </w:pPr>
            <w:r>
              <w:rPr>
                <w:rFonts w:asciiTheme="minorEastAsia" w:hAnsiTheme="minorEastAsia"/>
                <w:color w:val="auto"/>
                <w:szCs w:val="21"/>
                <w:highlight w:val="none"/>
              </w:rPr>
              <w:t>所有</w:t>
            </w:r>
            <w:r>
              <w:rPr>
                <w:rFonts w:hint="eastAsia" w:asciiTheme="minorEastAsia" w:hAnsiTheme="minorEastAsia"/>
                <w:color w:val="auto"/>
                <w:szCs w:val="21"/>
                <w:highlight w:val="none"/>
              </w:rPr>
              <w:t>要素齐全</w:t>
            </w:r>
            <w:r>
              <w:rPr>
                <w:rFonts w:asciiTheme="minorEastAsia" w:hAnsiTheme="minorEastAsia"/>
                <w:color w:val="auto"/>
                <w:szCs w:val="21"/>
                <w:highlight w:val="none"/>
              </w:rPr>
              <w:t>且完全满足项目要求得</w:t>
            </w:r>
            <w:r>
              <w:rPr>
                <w:rFonts w:hint="eastAsia" w:asciiTheme="minorEastAsia" w:hAnsiTheme="minorEastAsia"/>
                <w:color w:val="auto"/>
                <w:szCs w:val="21"/>
                <w:highlight w:val="none"/>
              </w:rPr>
              <w:t>16</w:t>
            </w:r>
            <w:r>
              <w:rPr>
                <w:rFonts w:asciiTheme="minorEastAsia" w:hAnsiTheme="minorEastAsia"/>
                <w:color w:val="auto"/>
                <w:szCs w:val="21"/>
                <w:highlight w:val="none"/>
              </w:rPr>
              <w:t>分，每缺</w:t>
            </w:r>
            <w:r>
              <w:rPr>
                <w:rFonts w:hint="eastAsia" w:asciiTheme="minorEastAsia" w:hAnsiTheme="minorEastAsia"/>
                <w:color w:val="auto"/>
                <w:szCs w:val="21"/>
                <w:highlight w:val="none"/>
              </w:rPr>
              <w:t>一个要素</w:t>
            </w:r>
            <w:r>
              <w:rPr>
                <w:rFonts w:asciiTheme="minorEastAsia" w:hAnsiTheme="minorEastAsia"/>
                <w:color w:val="auto"/>
                <w:szCs w:val="21"/>
                <w:highlight w:val="none"/>
              </w:rPr>
              <w:t>扣</w:t>
            </w:r>
            <w:r>
              <w:rPr>
                <w:rFonts w:hint="eastAsia" w:asciiTheme="minorEastAsia" w:hAnsiTheme="minorEastAsia"/>
                <w:color w:val="auto"/>
                <w:szCs w:val="21"/>
                <w:highlight w:val="none"/>
              </w:rPr>
              <w:t>4</w:t>
            </w:r>
            <w:r>
              <w:rPr>
                <w:rFonts w:asciiTheme="minorEastAsia" w:hAnsiTheme="minorEastAsia"/>
                <w:color w:val="auto"/>
                <w:szCs w:val="21"/>
                <w:highlight w:val="none"/>
              </w:rPr>
              <w:t>分，</w:t>
            </w:r>
            <w:r>
              <w:rPr>
                <w:rFonts w:hint="eastAsia" w:asciiTheme="minorEastAsia" w:hAnsiTheme="minorEastAsia"/>
                <w:color w:val="auto"/>
                <w:szCs w:val="21"/>
                <w:highlight w:val="none"/>
              </w:rPr>
              <w:t>每个要素里每有一处内容</w:t>
            </w:r>
            <w:r>
              <w:rPr>
                <w:rFonts w:asciiTheme="minorEastAsia" w:hAnsiTheme="minorEastAsia"/>
                <w:color w:val="auto"/>
                <w:szCs w:val="21"/>
                <w:highlight w:val="none"/>
              </w:rPr>
              <w:t>缺陷扣</w:t>
            </w:r>
            <w:r>
              <w:rPr>
                <w:rFonts w:hint="eastAsia" w:asciiTheme="minorEastAsia" w:hAnsiTheme="minorEastAsia"/>
                <w:color w:val="auto"/>
                <w:szCs w:val="21"/>
                <w:highlight w:val="none"/>
              </w:rPr>
              <w:t>2</w:t>
            </w:r>
            <w:r>
              <w:rPr>
                <w:rFonts w:asciiTheme="minorEastAsia" w:hAnsiTheme="minorEastAsia"/>
                <w:color w:val="auto"/>
                <w:szCs w:val="21"/>
                <w:highlight w:val="none"/>
              </w:rPr>
              <w:t>分</w:t>
            </w:r>
            <w:r>
              <w:rPr>
                <w:rFonts w:hint="eastAsia" w:asciiTheme="minorEastAsia" w:hAnsiTheme="minorEastAsia"/>
                <w:color w:val="auto"/>
                <w:szCs w:val="21"/>
                <w:highlight w:val="none"/>
              </w:rPr>
              <w:t>（</w:t>
            </w:r>
            <w:r>
              <w:rPr>
                <w:rFonts w:asciiTheme="minorEastAsia" w:hAnsiTheme="minorEastAsia"/>
                <w:color w:val="auto"/>
                <w:szCs w:val="21"/>
                <w:highlight w:val="none"/>
              </w:rPr>
              <w:t>扣完为止</w:t>
            </w:r>
            <w:r>
              <w:rPr>
                <w:rFonts w:hint="eastAsia" w:asciiTheme="minorEastAsia" w:hAnsiTheme="minorEastAsia"/>
                <w:color w:val="auto"/>
                <w:szCs w:val="21"/>
                <w:highlight w:val="none"/>
              </w:rPr>
              <w:t>）</w:t>
            </w:r>
            <w:r>
              <w:rPr>
                <w:rFonts w:asciiTheme="minorEastAsia" w:hAnsiTheme="minorEastAsia"/>
                <w:color w:val="auto"/>
                <w:szCs w:val="21"/>
                <w:highlight w:val="none"/>
              </w:rPr>
              <w:t>。</w:t>
            </w:r>
          </w:p>
        </w:tc>
      </w:tr>
      <w:tr>
        <w:tblPrEx>
          <w:tblCellMar>
            <w:top w:w="0" w:type="dxa"/>
            <w:left w:w="0" w:type="dxa"/>
            <w:bottom w:w="0" w:type="dxa"/>
            <w:right w:w="0" w:type="dxa"/>
          </w:tblCellMar>
        </w:tblPrEx>
        <w:trPr>
          <w:trHeight w:val="477" w:hRule="atLeast"/>
          <w:jc w:val="center"/>
        </w:trPr>
        <w:tc>
          <w:tcPr>
            <w:tcW w:w="1128" w:type="pct"/>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合计</w:t>
            </w:r>
          </w:p>
        </w:tc>
        <w:tc>
          <w:tcPr>
            <w:tcW w:w="515" w:type="pc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70</w:t>
            </w:r>
          </w:p>
        </w:tc>
        <w:tc>
          <w:tcPr>
            <w:tcW w:w="3357" w:type="pc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pacing w:line="360" w:lineRule="auto"/>
              <w:rPr>
                <w:rFonts w:ascii="宋体" w:cs="Arial"/>
                <w:color w:val="auto"/>
                <w:kern w:val="0"/>
                <w:szCs w:val="21"/>
                <w:highlight w:val="none"/>
              </w:rPr>
            </w:pPr>
          </w:p>
        </w:tc>
      </w:tr>
      <w:tr>
        <w:tblPrEx>
          <w:tblCellMar>
            <w:top w:w="0" w:type="dxa"/>
            <w:left w:w="0" w:type="dxa"/>
            <w:bottom w:w="0" w:type="dxa"/>
            <w:right w:w="0" w:type="dxa"/>
          </w:tblCellMar>
        </w:tblPrEx>
        <w:trPr>
          <w:trHeight w:val="993" w:hRule="atLeast"/>
          <w:jc w:val="center"/>
        </w:trPr>
        <w:tc>
          <w:tcPr>
            <w:tcW w:w="5000" w:type="pct"/>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pacing w:line="360" w:lineRule="auto"/>
              <w:rPr>
                <w:rFonts w:ascii="宋体" w:hAnsi="宋体" w:cs="宋体"/>
                <w:color w:val="auto"/>
                <w:kern w:val="0"/>
                <w:szCs w:val="21"/>
                <w:highlight w:val="none"/>
              </w:rPr>
            </w:pPr>
            <w:r>
              <w:rPr>
                <w:rFonts w:hint="eastAsia" w:ascii="宋体" w:hAnsi="宋体"/>
                <w:color w:val="auto"/>
                <w:highlight w:val="none"/>
              </w:rPr>
              <w:t>说明：本评审内容中“内容缺陷”是指：存在不适用本项目实际情况、内容不完整或缺少关键节点、前后矛盾、涉及的规范及标准错误不可能实现的情形等任意一种情形。</w:t>
            </w:r>
          </w:p>
        </w:tc>
      </w:tr>
    </w:tbl>
    <w:p>
      <w:pPr>
        <w:widowControl/>
        <w:jc w:val="left"/>
        <w:rPr>
          <w:color w:val="auto"/>
          <w:highlight w:val="none"/>
        </w:rPr>
      </w:pPr>
    </w:p>
    <w:p>
      <w:pPr>
        <w:tabs>
          <w:tab w:val="center" w:pos="4832"/>
          <w:tab w:val="left" w:pos="7140"/>
        </w:tabs>
        <w:spacing w:line="360" w:lineRule="auto"/>
        <w:ind w:firstLine="472" w:firstLineChars="196"/>
        <w:jc w:val="left"/>
        <w:outlineLvl w:val="2"/>
        <w:rPr>
          <w:rFonts w:ascii="宋体" w:hAnsi="Calibri" w:eastAsia="宋体" w:cs="宋体"/>
          <w:b/>
          <w:color w:val="auto"/>
          <w:sz w:val="24"/>
          <w:szCs w:val="24"/>
          <w:highlight w:val="none"/>
        </w:rPr>
      </w:pPr>
      <w:bookmarkStart w:id="33" w:name="_Toc115977387"/>
      <w:bookmarkStart w:id="34" w:name="_Toc141050500"/>
      <w:r>
        <w:rPr>
          <w:rFonts w:ascii="宋体" w:hAnsi="宋体" w:eastAsia="宋体" w:cs="宋体"/>
          <w:b/>
          <w:color w:val="auto"/>
          <w:sz w:val="24"/>
          <w:szCs w:val="24"/>
          <w:highlight w:val="none"/>
        </w:rPr>
        <w:t xml:space="preserve">1. </w:t>
      </w:r>
      <w:r>
        <w:rPr>
          <w:rFonts w:hint="eastAsia" w:ascii="宋体" w:hAnsi="宋体" w:eastAsia="宋体" w:cs="宋体"/>
          <w:b/>
          <w:color w:val="auto"/>
          <w:sz w:val="24"/>
          <w:szCs w:val="24"/>
          <w:highlight w:val="none"/>
        </w:rPr>
        <w:t>评标方法</w:t>
      </w:r>
      <w:bookmarkEnd w:id="33"/>
      <w:bookmarkEnd w:id="34"/>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hint="eastAsia" w:ascii="宋体" w:hAnsi="宋体" w:eastAsia="宋体" w:cs="Arial"/>
          <w:color w:val="auto"/>
          <w:kern w:val="0"/>
          <w:sz w:val="24"/>
          <w:szCs w:val="24"/>
          <w:highlight w:val="none"/>
        </w:rPr>
        <w:t>本次评标采用综合评分法。评标委员会对满足招标文件实质性要求的投标文件，按照本节规定的评审标准进行评审。评标中各评委若发生意见分歧，以少数服从多数原则确定。</w:t>
      </w:r>
    </w:p>
    <w:p>
      <w:pPr>
        <w:tabs>
          <w:tab w:val="center" w:pos="4832"/>
          <w:tab w:val="left" w:pos="7140"/>
        </w:tabs>
        <w:spacing w:line="360" w:lineRule="auto"/>
        <w:ind w:firstLine="472" w:firstLineChars="196"/>
        <w:jc w:val="left"/>
        <w:outlineLvl w:val="2"/>
        <w:rPr>
          <w:rFonts w:ascii="宋体" w:hAnsi="宋体" w:eastAsia="宋体" w:cs="宋体"/>
          <w:b/>
          <w:color w:val="auto"/>
          <w:sz w:val="24"/>
          <w:szCs w:val="24"/>
          <w:highlight w:val="none"/>
        </w:rPr>
      </w:pPr>
      <w:bookmarkStart w:id="35" w:name="_Toc141050501"/>
      <w:bookmarkStart w:id="36" w:name="_Toc115977388"/>
      <w:r>
        <w:rPr>
          <w:rFonts w:ascii="宋体" w:hAnsi="宋体" w:eastAsia="宋体" w:cs="宋体"/>
          <w:b/>
          <w:color w:val="auto"/>
          <w:sz w:val="24"/>
          <w:szCs w:val="24"/>
          <w:highlight w:val="none"/>
        </w:rPr>
        <w:t xml:space="preserve">2. </w:t>
      </w:r>
      <w:r>
        <w:rPr>
          <w:rFonts w:hint="eastAsia" w:ascii="宋体" w:hAnsi="宋体" w:eastAsia="宋体" w:cs="宋体"/>
          <w:b/>
          <w:color w:val="auto"/>
          <w:sz w:val="24"/>
          <w:szCs w:val="24"/>
          <w:highlight w:val="none"/>
        </w:rPr>
        <w:t>评审标准</w:t>
      </w:r>
      <w:bookmarkEnd w:id="35"/>
      <w:bookmarkEnd w:id="36"/>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1资格审查：评审因素和评审标准见《资格审查标准》。</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2完备性及符合性审查：评审因素和评审标准见《完备性及符合性审查标准》。</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hint="eastAsia" w:ascii="宋体" w:hAnsi="宋体" w:eastAsia="宋体" w:cs="Arial"/>
          <w:color w:val="auto"/>
          <w:kern w:val="0"/>
          <w:sz w:val="24"/>
          <w:szCs w:val="24"/>
          <w:highlight w:val="none"/>
        </w:rPr>
        <w:t>2.3 投标品牌：评审因素和评审标准见《投标品牌统计》。</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4详细评审：</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Calibri" w:eastAsia="宋体" w:cs="Arial"/>
          <w:color w:val="auto"/>
          <w:kern w:val="0"/>
          <w:sz w:val="24"/>
          <w:szCs w:val="24"/>
          <w:highlight w:val="none"/>
        </w:rPr>
        <w:t>2.4.1详细评审：评审因素和评审标准见《详细评审标准》及本节第3.6款。</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4</w:t>
      </w:r>
      <w:r>
        <w:rPr>
          <w:rFonts w:ascii="宋体" w:hAnsi="宋体" w:eastAsia="宋体" w:cs="Arial"/>
          <w:color w:val="auto"/>
          <w:kern w:val="0"/>
          <w:sz w:val="24"/>
          <w:szCs w:val="24"/>
          <w:highlight w:val="none"/>
        </w:rPr>
        <w:t xml:space="preserve">.2 </w:t>
      </w:r>
      <w:r>
        <w:rPr>
          <w:rFonts w:hint="eastAsia" w:ascii="宋体" w:hAnsi="宋体" w:eastAsia="宋体" w:cs="Arial"/>
          <w:color w:val="auto"/>
          <w:kern w:val="0"/>
          <w:sz w:val="24"/>
          <w:szCs w:val="24"/>
          <w:highlight w:val="none"/>
        </w:rPr>
        <w:t>投标报价评分标准：</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1</w:t>
      </w:r>
      <w:r>
        <w:rPr>
          <w:rFonts w:hint="eastAsia" w:ascii="宋体" w:hAnsi="宋体" w:eastAsia="宋体" w:cs="Arial"/>
          <w:color w:val="auto"/>
          <w:kern w:val="0"/>
          <w:sz w:val="24"/>
          <w:szCs w:val="24"/>
          <w:highlight w:val="none"/>
        </w:rPr>
        <w:t>）分值构成及权重：见评标办法前附表。</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）评标基准价计算：见评标办法前附表。</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（3）投标报价得分的计算：见评标办法前附表。</w:t>
      </w:r>
    </w:p>
    <w:p>
      <w:pPr>
        <w:tabs>
          <w:tab w:val="center" w:pos="4832"/>
          <w:tab w:val="left" w:pos="7140"/>
        </w:tabs>
        <w:spacing w:line="360" w:lineRule="auto"/>
        <w:ind w:firstLine="472" w:firstLineChars="196"/>
        <w:jc w:val="left"/>
        <w:outlineLvl w:val="2"/>
        <w:rPr>
          <w:rFonts w:ascii="宋体" w:hAnsi="Calibri" w:eastAsia="宋体" w:cs="宋体"/>
          <w:b/>
          <w:color w:val="auto"/>
          <w:sz w:val="24"/>
          <w:szCs w:val="24"/>
          <w:highlight w:val="none"/>
        </w:rPr>
      </w:pPr>
      <w:bookmarkStart w:id="37" w:name="_Toc141050502"/>
      <w:bookmarkStart w:id="38" w:name="_Toc115977389"/>
      <w:r>
        <w:rPr>
          <w:rFonts w:ascii="宋体" w:hAnsi="宋体" w:eastAsia="宋体" w:cs="宋体"/>
          <w:b/>
          <w:color w:val="auto"/>
          <w:sz w:val="24"/>
          <w:szCs w:val="24"/>
          <w:highlight w:val="none"/>
        </w:rPr>
        <w:t xml:space="preserve">3. </w:t>
      </w:r>
      <w:r>
        <w:rPr>
          <w:rFonts w:hint="eastAsia" w:ascii="宋体" w:hAnsi="宋体" w:eastAsia="宋体" w:cs="宋体"/>
          <w:b/>
          <w:color w:val="auto"/>
          <w:sz w:val="24"/>
          <w:szCs w:val="24"/>
          <w:highlight w:val="none"/>
        </w:rPr>
        <w:t>评标程序</w:t>
      </w:r>
      <w:bookmarkEnd w:id="37"/>
      <w:bookmarkEnd w:id="38"/>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3.1 </w:t>
      </w:r>
      <w:r>
        <w:rPr>
          <w:rFonts w:hint="eastAsia" w:ascii="宋体" w:hAnsi="宋体" w:eastAsia="宋体" w:cs="Arial"/>
          <w:color w:val="auto"/>
          <w:kern w:val="0"/>
          <w:sz w:val="24"/>
          <w:szCs w:val="24"/>
          <w:highlight w:val="none"/>
        </w:rPr>
        <w:t>基本程序</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评标活动将按以下步骤进行：</w:t>
      </w:r>
    </w:p>
    <w:p>
      <w:pPr>
        <w:pStyle w:val="197"/>
        <w:widowControl/>
        <w:numPr>
          <w:ilvl w:val="0"/>
          <w:numId w:val="1"/>
        </w:numPr>
        <w:shd w:val="clear" w:color="auto" w:fill="FFFFFF"/>
        <w:snapToGrid w:val="0"/>
        <w:spacing w:line="360" w:lineRule="auto"/>
        <w:ind w:firstLineChars="0"/>
        <w:rPr>
          <w:rFonts w:ascii="宋体" w:hAnsi="宋体" w:cs="Arial"/>
          <w:color w:val="auto"/>
          <w:kern w:val="0"/>
          <w:sz w:val="24"/>
          <w:szCs w:val="24"/>
          <w:highlight w:val="none"/>
        </w:rPr>
      </w:pPr>
      <w:r>
        <w:rPr>
          <w:rFonts w:hint="eastAsia" w:ascii="宋体" w:hAnsi="宋体" w:cs="Arial"/>
          <w:color w:val="auto"/>
          <w:kern w:val="0"/>
          <w:sz w:val="24"/>
          <w:szCs w:val="24"/>
          <w:highlight w:val="none"/>
        </w:rPr>
        <w:t>评标准备</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（2） 资格审查</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hint="eastAsia" w:ascii="宋体" w:hAnsi="宋体" w:eastAsia="宋体" w:cs="Arial"/>
          <w:color w:val="auto"/>
          <w:kern w:val="0"/>
          <w:sz w:val="24"/>
          <w:szCs w:val="24"/>
          <w:highlight w:val="none"/>
        </w:rPr>
        <w:t>（3） 完备性及符合性审查</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（4） 投标品牌统计</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（5） 详细评审</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（6） 澄清、说明或补正</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（7） 推荐中标候选人及提交评标报告</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3.2 </w:t>
      </w:r>
      <w:r>
        <w:rPr>
          <w:rFonts w:hint="eastAsia" w:ascii="宋体" w:hAnsi="宋体" w:eastAsia="宋体" w:cs="Arial"/>
          <w:color w:val="auto"/>
          <w:kern w:val="0"/>
          <w:sz w:val="24"/>
          <w:szCs w:val="24"/>
          <w:highlight w:val="none"/>
        </w:rPr>
        <w:t>评标准备</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3.2.1</w:t>
      </w:r>
      <w:r>
        <w:rPr>
          <w:rFonts w:hint="eastAsia" w:ascii="宋体" w:hAnsi="宋体" w:eastAsia="宋体" w:cs="Arial"/>
          <w:color w:val="auto"/>
          <w:kern w:val="0"/>
          <w:sz w:val="24"/>
          <w:szCs w:val="24"/>
          <w:highlight w:val="none"/>
        </w:rPr>
        <w:t>评标委员会成员签到</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评标委员会成员到达评标现场时应当在签到表上签到以证明其出席。</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3.2.2 </w:t>
      </w:r>
      <w:r>
        <w:rPr>
          <w:rFonts w:hint="eastAsia" w:ascii="宋体" w:hAnsi="宋体" w:eastAsia="宋体" w:cs="Arial"/>
          <w:color w:val="auto"/>
          <w:kern w:val="0"/>
          <w:sz w:val="24"/>
          <w:szCs w:val="24"/>
          <w:highlight w:val="none"/>
        </w:rPr>
        <w:t>评标委员会的分工</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3.2.2.1</w:t>
      </w:r>
      <w:r>
        <w:rPr>
          <w:rFonts w:hint="eastAsia" w:ascii="宋体" w:hAnsi="宋体" w:eastAsia="宋体" w:cs="Arial"/>
          <w:color w:val="auto"/>
          <w:kern w:val="0"/>
          <w:sz w:val="24"/>
          <w:szCs w:val="24"/>
          <w:highlight w:val="none"/>
        </w:rPr>
        <w:t>评标委员会首先推选一名评标委员会主任。评标委员会主任负责评标活动的组织领导工作。评标委员会主任与评标委员会其它成员具有同等的评标权力。</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3.2.2.2 </w:t>
      </w:r>
      <w:r>
        <w:rPr>
          <w:rFonts w:hint="eastAsia" w:ascii="宋体" w:hAnsi="宋体" w:eastAsia="宋体" w:cs="Arial"/>
          <w:color w:val="auto"/>
          <w:kern w:val="0"/>
          <w:sz w:val="24"/>
          <w:szCs w:val="24"/>
          <w:highlight w:val="none"/>
        </w:rPr>
        <w:t>评标委员会主任除履行自己作为评标委员会成员独立评标的职责外，主要负责以下工作：</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1</w:t>
      </w:r>
      <w:r>
        <w:rPr>
          <w:rFonts w:hint="eastAsia" w:ascii="宋体" w:hAnsi="宋体" w:eastAsia="宋体" w:cs="Arial"/>
          <w:color w:val="auto"/>
          <w:kern w:val="0"/>
          <w:sz w:val="24"/>
          <w:szCs w:val="24"/>
          <w:highlight w:val="none"/>
        </w:rPr>
        <w:t>）组织评标委员会成员学习招标文件；</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）汇总各评标委员会成员认为需要投标人澄清、说明或者补正的问题；</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）组织评标委员会对投标人质询并对投标人的答复进行评审；</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4</w:t>
      </w:r>
      <w:r>
        <w:rPr>
          <w:rFonts w:hint="eastAsia" w:ascii="宋体" w:hAnsi="宋体" w:eastAsia="宋体" w:cs="Arial"/>
          <w:color w:val="auto"/>
          <w:kern w:val="0"/>
          <w:sz w:val="24"/>
          <w:szCs w:val="24"/>
          <w:highlight w:val="none"/>
        </w:rPr>
        <w:t>）对出现较大争议的事项进行书面记录；</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5</w:t>
      </w:r>
      <w:r>
        <w:rPr>
          <w:rFonts w:hint="eastAsia" w:ascii="宋体" w:hAnsi="宋体" w:eastAsia="宋体" w:cs="Arial"/>
          <w:color w:val="auto"/>
          <w:kern w:val="0"/>
          <w:sz w:val="24"/>
          <w:szCs w:val="24"/>
          <w:highlight w:val="none"/>
        </w:rPr>
        <w:t>）组织收回评标过程中使用的文件、表格和评标记录以及其它资料，并查验评标记录的完整性及有效性；</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6</w:t>
      </w:r>
      <w:r>
        <w:rPr>
          <w:rFonts w:hint="eastAsia" w:ascii="宋体" w:hAnsi="宋体" w:eastAsia="宋体" w:cs="Arial"/>
          <w:color w:val="auto"/>
          <w:kern w:val="0"/>
          <w:sz w:val="24"/>
          <w:szCs w:val="24"/>
          <w:highlight w:val="none"/>
        </w:rPr>
        <w:t>）组织对评标结论进行复核确认；</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7</w:t>
      </w:r>
      <w:r>
        <w:rPr>
          <w:rFonts w:hint="eastAsia" w:ascii="宋体" w:hAnsi="宋体" w:eastAsia="宋体" w:cs="Arial"/>
          <w:color w:val="auto"/>
          <w:kern w:val="0"/>
          <w:sz w:val="24"/>
          <w:szCs w:val="24"/>
          <w:highlight w:val="none"/>
        </w:rPr>
        <w:t>）组织编写评标报告。</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3.2.3 </w:t>
      </w:r>
      <w:r>
        <w:rPr>
          <w:rFonts w:hint="eastAsia" w:ascii="宋体" w:hAnsi="宋体" w:eastAsia="宋体" w:cs="Arial"/>
          <w:color w:val="auto"/>
          <w:kern w:val="0"/>
          <w:sz w:val="24"/>
          <w:szCs w:val="24"/>
          <w:highlight w:val="none"/>
        </w:rPr>
        <w:t>熟悉文件资料</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3.2.3.1 </w:t>
      </w:r>
      <w:r>
        <w:rPr>
          <w:rFonts w:hint="eastAsia" w:ascii="宋体" w:hAnsi="宋体" w:eastAsia="宋体" w:cs="Arial"/>
          <w:color w:val="auto"/>
          <w:kern w:val="0"/>
          <w:sz w:val="24"/>
          <w:szCs w:val="24"/>
          <w:highlight w:val="none"/>
        </w:rPr>
        <w:t>评标委员会主任应当组织评标委员会成员认真研究招标文件，了解和熟悉招标目的、招标范围、主要合同条件、技术标准、质量标准和要求，掌握评标标准和方法，熟悉本章及附件中包括的评标表格的使用，如果本章及附件所附的表格不能满足评标所需时，评标委员会应当补充编制评标所需的表格。</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3.2.3.2 </w:t>
      </w:r>
      <w:r>
        <w:rPr>
          <w:rFonts w:hint="eastAsia" w:ascii="宋体" w:hAnsi="宋体" w:eastAsia="宋体" w:cs="Arial"/>
          <w:color w:val="auto"/>
          <w:kern w:val="0"/>
          <w:sz w:val="24"/>
          <w:szCs w:val="24"/>
          <w:highlight w:val="none"/>
        </w:rPr>
        <w:t>采购人或采购代理机构应当向评标委员会提供评标所需的信息和数据，包括：</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1</w:t>
      </w:r>
      <w:r>
        <w:rPr>
          <w:rFonts w:hint="eastAsia" w:ascii="宋体" w:hAnsi="宋体" w:eastAsia="宋体" w:cs="Arial"/>
          <w:color w:val="auto"/>
          <w:kern w:val="0"/>
          <w:sz w:val="24"/>
          <w:szCs w:val="24"/>
          <w:highlight w:val="none"/>
        </w:rPr>
        <w:t>）招标文件及其澄清修改等招标文件补充；</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）未在开标会上当场拒绝的各投标文件；</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）开标会记录；</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4</w:t>
      </w:r>
      <w:r>
        <w:rPr>
          <w:rFonts w:hint="eastAsia" w:ascii="宋体" w:hAnsi="宋体" w:eastAsia="宋体" w:cs="Arial"/>
          <w:color w:val="auto"/>
          <w:kern w:val="0"/>
          <w:sz w:val="24"/>
          <w:szCs w:val="24"/>
          <w:highlight w:val="none"/>
        </w:rPr>
        <w:t>）评标表格；</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5</w:t>
      </w:r>
      <w:r>
        <w:rPr>
          <w:rFonts w:hint="eastAsia" w:ascii="宋体" w:hAnsi="宋体" w:eastAsia="宋体" w:cs="Arial"/>
          <w:color w:val="auto"/>
          <w:kern w:val="0"/>
          <w:sz w:val="24"/>
          <w:szCs w:val="24"/>
          <w:highlight w:val="none"/>
        </w:rPr>
        <w:t>）其它信息和数据。</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3.3资格审查（适用于资格后审）</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采购人会依据本章规定的评审因素和审查标准，对投标人的资格审查资料进行资格审查。资格审查有一项未通过审查标准，采购人将认定整个投标文件不响应招标文件而否决其投标，并且不允许投标人通过修改或撤销其不符合要求的差异或保留，使之成为具有响应性的投标。</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4完备性及符合性审查</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4</w:t>
      </w:r>
      <w:r>
        <w:rPr>
          <w:rFonts w:ascii="宋体" w:hAnsi="宋体" w:eastAsia="宋体" w:cs="Arial"/>
          <w:color w:val="auto"/>
          <w:kern w:val="0"/>
          <w:sz w:val="24"/>
          <w:szCs w:val="24"/>
          <w:highlight w:val="none"/>
        </w:rPr>
        <w:t xml:space="preserve">.1 </w:t>
      </w:r>
      <w:r>
        <w:rPr>
          <w:rFonts w:hint="eastAsia" w:ascii="宋体" w:hAnsi="宋体" w:eastAsia="宋体" w:cs="Arial"/>
          <w:color w:val="auto"/>
          <w:kern w:val="0"/>
          <w:sz w:val="24"/>
          <w:szCs w:val="24"/>
          <w:highlight w:val="none"/>
        </w:rPr>
        <w:t>评标委员会依据本章规定的评审因素和评审标准，对投标人的投标文件进行完备性及符合性审查。完备性及符合性审查有一项未通过评审标准，评标委员会将认定整个投标文件不响应招标文件而否决其投标，并且不允许投标人通过修改或撤销其不符合要求的差异或保留，使之成为具有响应性的投标。</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4</w:t>
      </w:r>
      <w:r>
        <w:rPr>
          <w:rFonts w:ascii="宋体" w:hAnsi="宋体" w:eastAsia="宋体" w:cs="Arial"/>
          <w:color w:val="auto"/>
          <w:kern w:val="0"/>
          <w:sz w:val="24"/>
          <w:szCs w:val="24"/>
          <w:highlight w:val="none"/>
        </w:rPr>
        <w:t xml:space="preserve">.2 </w:t>
      </w:r>
      <w:r>
        <w:rPr>
          <w:rFonts w:hint="eastAsia" w:ascii="宋体" w:hAnsi="宋体" w:eastAsia="宋体" w:cs="Arial"/>
          <w:color w:val="auto"/>
          <w:kern w:val="0"/>
          <w:sz w:val="24"/>
          <w:szCs w:val="24"/>
          <w:highlight w:val="none"/>
        </w:rPr>
        <w:t>完备性及符合性审查条款是指对本招标项目产生了重大影响的重大偏差，而且纠正此类偏差将会对响应本次招标的其它投标人的竞争地位产生不公正的影响。</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4</w:t>
      </w: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细微偏差是指投标文件在实质上响应招标文件要求，但在个别地方存在疏漏或者提供了不完整的技术信息和数据等情况，并且补正这些遗漏和不完整不会对其它投标人造成不公平的结果。细微偏差不影响投标文件的有效性，评标委员会可要求存在细微偏差的投标人予以补正。</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Calibri" w:eastAsia="宋体" w:cs="Arial"/>
          <w:color w:val="auto"/>
          <w:kern w:val="0"/>
          <w:sz w:val="24"/>
          <w:szCs w:val="24"/>
          <w:highlight w:val="none"/>
        </w:rPr>
        <w:t>3.5 投标品牌统计</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Calibri" w:eastAsia="宋体" w:cs="Arial"/>
          <w:color w:val="auto"/>
          <w:kern w:val="0"/>
          <w:sz w:val="24"/>
          <w:szCs w:val="24"/>
          <w:highlight w:val="none"/>
        </w:rPr>
        <w:t>3.5.1.由评标委员会根据投标人所报核心产品品牌统计计算投标人家数。</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6详细评审</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w:t>
      </w:r>
      <w:r>
        <w:rPr>
          <w:rFonts w:ascii="宋体" w:hAnsi="宋体" w:eastAsia="宋体" w:cs="Arial"/>
          <w:color w:val="auto"/>
          <w:kern w:val="0"/>
          <w:sz w:val="24"/>
          <w:szCs w:val="24"/>
          <w:highlight w:val="none"/>
        </w:rPr>
        <w:t>.1.</w:t>
      </w:r>
      <w:r>
        <w:rPr>
          <w:rFonts w:hint="eastAsia" w:ascii="宋体" w:hAnsi="宋体" w:eastAsia="宋体" w:cs="Arial"/>
          <w:color w:val="auto"/>
          <w:kern w:val="0"/>
          <w:sz w:val="24"/>
          <w:szCs w:val="24"/>
          <w:highlight w:val="none"/>
        </w:rPr>
        <w:t>只有通过了资格审查、完备性及符合性审查且</w:t>
      </w:r>
      <w:r>
        <w:rPr>
          <w:rFonts w:hint="eastAsia" w:ascii="宋体" w:hAnsi="Calibri" w:eastAsia="宋体" w:cs="Arial"/>
          <w:color w:val="auto"/>
          <w:kern w:val="0"/>
          <w:sz w:val="24"/>
          <w:szCs w:val="24"/>
          <w:highlight w:val="none"/>
        </w:rPr>
        <w:t>投标品牌不少于3个</w:t>
      </w:r>
      <w:r>
        <w:rPr>
          <w:rFonts w:hint="eastAsia" w:ascii="宋体" w:hAnsi="宋体" w:eastAsia="宋体" w:cs="Arial"/>
          <w:color w:val="auto"/>
          <w:kern w:val="0"/>
          <w:sz w:val="24"/>
          <w:szCs w:val="24"/>
          <w:highlight w:val="none"/>
        </w:rPr>
        <w:t>方可进入详细评审。</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w:t>
      </w:r>
      <w:r>
        <w:rPr>
          <w:rFonts w:ascii="宋体" w:hAnsi="宋体" w:eastAsia="宋体" w:cs="Arial"/>
          <w:color w:val="auto"/>
          <w:kern w:val="0"/>
          <w:sz w:val="24"/>
          <w:szCs w:val="24"/>
          <w:highlight w:val="none"/>
        </w:rPr>
        <w:t xml:space="preserve">.2 </w:t>
      </w:r>
      <w:r>
        <w:rPr>
          <w:rFonts w:hint="eastAsia" w:ascii="宋体" w:hAnsi="宋体" w:eastAsia="宋体" w:cs="Arial"/>
          <w:color w:val="auto"/>
          <w:kern w:val="0"/>
          <w:sz w:val="24"/>
          <w:szCs w:val="24"/>
          <w:highlight w:val="none"/>
        </w:rPr>
        <w:t>澄清、说明和补正</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1在不改变投标人投标文件实质性内容的前提下，评标委员会应当对投标文件进行基础性数据分析和整理，从而发现并提取其中可能存在的对招标范围理解的偏差、技术响应偏离、投标价格的算术性错误、错漏项、投标价格构成不合理、不平衡报价等存在明显异常的问题。</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w:t>
      </w:r>
      <w:r>
        <w:rPr>
          <w:rFonts w:ascii="宋体" w:hAnsi="宋体" w:eastAsia="宋体" w:cs="Arial"/>
          <w:color w:val="auto"/>
          <w:kern w:val="0"/>
          <w:sz w:val="24"/>
          <w:szCs w:val="24"/>
          <w:highlight w:val="none"/>
        </w:rPr>
        <w:t>.</w:t>
      </w:r>
      <w:r>
        <w:rPr>
          <w:rFonts w:hint="eastAsia" w:ascii="宋体" w:hAnsi="宋体" w:eastAsia="宋体" w:cs="Arial"/>
          <w:color w:val="auto"/>
          <w:kern w:val="0"/>
          <w:sz w:val="24"/>
          <w:szCs w:val="24"/>
          <w:highlight w:val="none"/>
        </w:rPr>
        <w:t>2</w:t>
      </w:r>
      <w:r>
        <w:rPr>
          <w:rFonts w:ascii="宋体" w:hAnsi="宋体" w:eastAsia="宋体" w:cs="Arial"/>
          <w:color w:val="auto"/>
          <w:kern w:val="0"/>
          <w:sz w:val="24"/>
          <w:szCs w:val="24"/>
          <w:highlight w:val="none"/>
        </w:rPr>
        <w:t>.</w:t>
      </w:r>
      <w:r>
        <w:rPr>
          <w:rFonts w:hint="eastAsia" w:ascii="宋体" w:hAnsi="宋体" w:eastAsia="宋体" w:cs="Arial"/>
          <w:color w:val="auto"/>
          <w:kern w:val="0"/>
          <w:sz w:val="24"/>
          <w:szCs w:val="24"/>
          <w:highlight w:val="none"/>
        </w:rPr>
        <w:t>2</w:t>
      </w:r>
      <w:r>
        <w:rPr>
          <w:rFonts w:hint="eastAsia" w:ascii="宋体" w:hAnsi="Calibri" w:eastAsia="宋体" w:cs="Arial"/>
          <w:color w:val="auto"/>
          <w:kern w:val="0"/>
          <w:sz w:val="24"/>
          <w:szCs w:val="24"/>
          <w:highlight w:val="none"/>
        </w:rPr>
        <w:t>评标委员会认为投标人的报价明显低于其它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.3澄清、说明和补正内容不得改变投标文件的实质性内容（算术性错误修正的除外）。投标人的书面澄清、说明和补正属于投标文件的组成部分。</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4评标委员会针对需要投标人对所提交投标文件中不明确的内容进行书面澄清、说明或补正。澄清通知不得向投标人提出带有暗示性或诱导性问题，或向其明确投标文件中的遗漏和错误。投标人接到评标委员会发出的书面澄清通知后，应按评标委员会的要求提供书面澄清资料，并在规定的时间递交到指定地点。评标委员会不接受投标人主动提出的澄清、说明或补正。</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.5评标委员会对投标人提交的澄清、说明或补正有疑问的，可以要求投标人进一步澄清、说明或补正，直至满足评标委员会的要求。</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w:t>
      </w: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评委评分：评委按照《详细评审标准》评分，投标人详细评审得分等于全部评委评分的算术平均值。</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w:t>
      </w:r>
      <w:r>
        <w:rPr>
          <w:rFonts w:ascii="宋体" w:hAnsi="宋体" w:eastAsia="宋体" w:cs="Arial"/>
          <w:color w:val="auto"/>
          <w:kern w:val="0"/>
          <w:sz w:val="24"/>
          <w:szCs w:val="24"/>
          <w:highlight w:val="none"/>
        </w:rPr>
        <w:t xml:space="preserve">.4 </w:t>
      </w:r>
      <w:r>
        <w:rPr>
          <w:rFonts w:hint="eastAsia" w:ascii="宋体" w:hAnsi="宋体" w:eastAsia="宋体" w:cs="Arial"/>
          <w:color w:val="auto"/>
          <w:kern w:val="0"/>
          <w:sz w:val="24"/>
          <w:szCs w:val="24"/>
          <w:highlight w:val="none"/>
        </w:rPr>
        <w:t>算术错误修正：投标价格有算术错误的，评标委员会按以下原则对投标价格进行修正，修正的价格经投标人书面确认后具有约束力。投标人不接受修正价格的，其投标将被否决。</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1</w:t>
      </w:r>
      <w:r>
        <w:rPr>
          <w:rFonts w:hint="eastAsia" w:ascii="宋体" w:hAnsi="宋体" w:eastAsia="宋体" w:cs="Arial"/>
          <w:color w:val="auto"/>
          <w:kern w:val="0"/>
          <w:sz w:val="24"/>
          <w:szCs w:val="24"/>
          <w:highlight w:val="none"/>
        </w:rPr>
        <w:t>）投标文件中的大写金额与小写金额不一致的，以大写金额为准；</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）总价金额与依据单价计算出的结果不一致的，以单价金额为准修正总价，但单价金额小数点有明显错误的除外。</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w:t>
      </w:r>
      <w:r>
        <w:rPr>
          <w:rFonts w:ascii="宋体" w:hAnsi="宋体" w:eastAsia="宋体" w:cs="Arial"/>
          <w:color w:val="auto"/>
          <w:kern w:val="0"/>
          <w:sz w:val="24"/>
          <w:szCs w:val="24"/>
          <w:highlight w:val="none"/>
        </w:rPr>
        <w:t>.</w:t>
      </w:r>
      <w:r>
        <w:rPr>
          <w:rFonts w:hint="eastAsia" w:ascii="宋体" w:hAnsi="宋体" w:eastAsia="宋体" w:cs="Arial"/>
          <w:color w:val="auto"/>
          <w:kern w:val="0"/>
          <w:sz w:val="24"/>
          <w:szCs w:val="24"/>
          <w:highlight w:val="none"/>
        </w:rPr>
        <w:t>5投标报价评分：对投标报价进行投标报价得分计算，计算方法详见评标办法前附表。</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w:t>
      </w:r>
      <w:r>
        <w:rPr>
          <w:rFonts w:ascii="宋体" w:hAnsi="宋体" w:eastAsia="宋体" w:cs="Arial"/>
          <w:color w:val="auto"/>
          <w:kern w:val="0"/>
          <w:sz w:val="24"/>
          <w:szCs w:val="24"/>
          <w:highlight w:val="none"/>
        </w:rPr>
        <w:t>.</w:t>
      </w:r>
      <w:r>
        <w:rPr>
          <w:rFonts w:hint="eastAsia" w:ascii="宋体" w:hAnsi="宋体" w:eastAsia="宋体" w:cs="Arial"/>
          <w:color w:val="auto"/>
          <w:kern w:val="0"/>
          <w:sz w:val="24"/>
          <w:szCs w:val="24"/>
          <w:highlight w:val="none"/>
        </w:rPr>
        <w:t>6汇总评分结果，评分分值计算保留小数点后两位，小数点后第三位“四舍五入”。</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w:t>
      </w:r>
      <w:r>
        <w:rPr>
          <w:rFonts w:ascii="宋体" w:hAnsi="宋体" w:eastAsia="宋体" w:cs="Arial"/>
          <w:color w:val="auto"/>
          <w:kern w:val="0"/>
          <w:sz w:val="24"/>
          <w:szCs w:val="24"/>
          <w:highlight w:val="none"/>
        </w:rPr>
        <w:t>.</w:t>
      </w:r>
      <w:r>
        <w:rPr>
          <w:rFonts w:hint="eastAsia" w:ascii="宋体" w:hAnsi="宋体" w:eastAsia="宋体" w:cs="Arial"/>
          <w:color w:val="auto"/>
          <w:kern w:val="0"/>
          <w:sz w:val="24"/>
          <w:szCs w:val="24"/>
          <w:highlight w:val="none"/>
        </w:rPr>
        <w:t>7详细评审工作全部结束后，投标人总得分排序按照以下原则进行。</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hint="eastAsia" w:ascii="宋体" w:hAnsi="宋体" w:eastAsia="宋体" w:cs="Arial"/>
          <w:color w:val="auto"/>
          <w:kern w:val="0"/>
          <w:sz w:val="24"/>
          <w:szCs w:val="24"/>
          <w:highlight w:val="none"/>
        </w:rPr>
        <w:t>3.6.7.1按照总得分由高到低顺序对投标人进行排序；</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hint="eastAsia" w:ascii="宋体" w:hAnsi="宋体" w:eastAsia="宋体" w:cs="Arial"/>
          <w:color w:val="auto"/>
          <w:kern w:val="0"/>
          <w:sz w:val="24"/>
          <w:szCs w:val="24"/>
          <w:highlight w:val="none"/>
        </w:rPr>
        <w:t>3.6.7.2总</w:t>
      </w:r>
      <w:r>
        <w:rPr>
          <w:rFonts w:ascii="宋体" w:hAnsi="宋体" w:eastAsia="宋体" w:cs="Arial"/>
          <w:color w:val="auto"/>
          <w:kern w:val="0"/>
          <w:sz w:val="24"/>
          <w:szCs w:val="24"/>
          <w:highlight w:val="none"/>
        </w:rPr>
        <w:t>得分</w:t>
      </w:r>
      <w:r>
        <w:rPr>
          <w:rFonts w:hint="eastAsia" w:ascii="宋体" w:hAnsi="宋体" w:eastAsia="宋体" w:cs="Arial"/>
          <w:color w:val="auto"/>
          <w:kern w:val="0"/>
          <w:sz w:val="24"/>
          <w:szCs w:val="24"/>
          <w:highlight w:val="none"/>
        </w:rPr>
        <w:t>相同时报价低的</w:t>
      </w:r>
      <w:r>
        <w:rPr>
          <w:rFonts w:ascii="宋体" w:hAnsi="宋体" w:eastAsia="宋体" w:cs="Arial"/>
          <w:color w:val="auto"/>
          <w:kern w:val="0"/>
          <w:sz w:val="24"/>
          <w:szCs w:val="24"/>
          <w:highlight w:val="none"/>
        </w:rPr>
        <w:t>投标人</w:t>
      </w:r>
      <w:r>
        <w:rPr>
          <w:rFonts w:hint="eastAsia" w:ascii="宋体" w:hAnsi="宋体" w:eastAsia="宋体" w:cs="Arial"/>
          <w:color w:val="auto"/>
          <w:kern w:val="0"/>
          <w:sz w:val="24"/>
          <w:szCs w:val="24"/>
          <w:highlight w:val="none"/>
        </w:rPr>
        <w:t>排序靠前；</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hint="eastAsia" w:ascii="宋体" w:hAnsi="宋体" w:eastAsia="宋体" w:cs="Arial"/>
          <w:color w:val="auto"/>
          <w:kern w:val="0"/>
          <w:sz w:val="24"/>
          <w:szCs w:val="24"/>
          <w:highlight w:val="none"/>
        </w:rPr>
        <w:t>3.6.7.3总</w:t>
      </w:r>
      <w:r>
        <w:rPr>
          <w:rFonts w:ascii="宋体" w:hAnsi="宋体" w:eastAsia="宋体" w:cs="Arial"/>
          <w:color w:val="auto"/>
          <w:kern w:val="0"/>
          <w:sz w:val="24"/>
          <w:szCs w:val="24"/>
          <w:highlight w:val="none"/>
        </w:rPr>
        <w:t>得分相同</w:t>
      </w:r>
      <w:r>
        <w:rPr>
          <w:rFonts w:hint="eastAsia" w:ascii="宋体" w:hAnsi="宋体" w:eastAsia="宋体" w:cs="Arial"/>
          <w:color w:val="auto"/>
          <w:kern w:val="0"/>
          <w:sz w:val="24"/>
          <w:szCs w:val="24"/>
          <w:highlight w:val="none"/>
        </w:rPr>
        <w:t>且报价相同的</w:t>
      </w:r>
      <w:r>
        <w:rPr>
          <w:rFonts w:ascii="宋体" w:hAnsi="宋体" w:eastAsia="宋体" w:cs="Arial"/>
          <w:color w:val="auto"/>
          <w:kern w:val="0"/>
          <w:sz w:val="24"/>
          <w:szCs w:val="24"/>
          <w:highlight w:val="none"/>
        </w:rPr>
        <w:t>同品牌投标人，由采购人确定</w:t>
      </w:r>
      <w:r>
        <w:rPr>
          <w:rFonts w:hint="eastAsia" w:ascii="宋体" w:hAnsi="宋体" w:eastAsia="宋体" w:cs="Arial"/>
          <w:color w:val="auto"/>
          <w:kern w:val="0"/>
          <w:sz w:val="24"/>
          <w:szCs w:val="24"/>
          <w:highlight w:val="none"/>
        </w:rPr>
        <w:t>排序顺序；</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hint="eastAsia" w:ascii="宋体" w:hAnsi="宋体" w:eastAsia="宋体" w:cs="Arial"/>
          <w:color w:val="auto"/>
          <w:kern w:val="0"/>
          <w:sz w:val="24"/>
          <w:szCs w:val="24"/>
          <w:highlight w:val="none"/>
        </w:rPr>
        <w:t>3.6.7.4总</w:t>
      </w:r>
      <w:r>
        <w:rPr>
          <w:rFonts w:ascii="宋体" w:hAnsi="宋体" w:eastAsia="宋体" w:cs="Arial"/>
          <w:color w:val="auto"/>
          <w:kern w:val="0"/>
          <w:sz w:val="24"/>
          <w:szCs w:val="24"/>
          <w:highlight w:val="none"/>
        </w:rPr>
        <w:t>得分相同</w:t>
      </w:r>
      <w:r>
        <w:rPr>
          <w:rFonts w:hint="eastAsia" w:ascii="宋体" w:hAnsi="宋体" w:eastAsia="宋体" w:cs="Arial"/>
          <w:color w:val="auto"/>
          <w:kern w:val="0"/>
          <w:sz w:val="24"/>
          <w:szCs w:val="24"/>
          <w:highlight w:val="none"/>
        </w:rPr>
        <w:t>且报价相同的不</w:t>
      </w:r>
      <w:r>
        <w:rPr>
          <w:rFonts w:ascii="宋体" w:hAnsi="宋体" w:eastAsia="宋体" w:cs="Arial"/>
          <w:color w:val="auto"/>
          <w:kern w:val="0"/>
          <w:sz w:val="24"/>
          <w:szCs w:val="24"/>
          <w:highlight w:val="none"/>
        </w:rPr>
        <w:t>同品牌投标人，</w:t>
      </w:r>
      <w:r>
        <w:rPr>
          <w:rFonts w:hint="eastAsia" w:ascii="宋体" w:hAnsi="宋体" w:eastAsia="宋体" w:cs="Arial"/>
          <w:color w:val="auto"/>
          <w:kern w:val="0"/>
          <w:sz w:val="24"/>
          <w:szCs w:val="24"/>
          <w:highlight w:val="none"/>
        </w:rPr>
        <w:t>采取随机抽取方式</w:t>
      </w:r>
      <w:r>
        <w:rPr>
          <w:rFonts w:ascii="宋体" w:hAnsi="宋体" w:eastAsia="宋体" w:cs="Arial"/>
          <w:color w:val="auto"/>
          <w:kern w:val="0"/>
          <w:sz w:val="24"/>
          <w:szCs w:val="24"/>
          <w:highlight w:val="none"/>
        </w:rPr>
        <w:t>确定</w:t>
      </w:r>
      <w:r>
        <w:rPr>
          <w:rFonts w:hint="eastAsia" w:ascii="宋体" w:hAnsi="宋体" w:eastAsia="宋体" w:cs="Arial"/>
          <w:color w:val="auto"/>
          <w:kern w:val="0"/>
          <w:sz w:val="24"/>
          <w:szCs w:val="24"/>
          <w:highlight w:val="none"/>
        </w:rPr>
        <w:t>排序顺序。</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7推荐中标候选人及提交评标报告</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7</w:t>
      </w:r>
      <w:r>
        <w:rPr>
          <w:rFonts w:ascii="宋体" w:hAnsi="宋体" w:eastAsia="宋体" w:cs="Arial"/>
          <w:color w:val="auto"/>
          <w:kern w:val="0"/>
          <w:sz w:val="24"/>
          <w:szCs w:val="24"/>
          <w:highlight w:val="none"/>
        </w:rPr>
        <w:t>.1</w:t>
      </w:r>
      <w:r>
        <w:rPr>
          <w:rFonts w:hint="eastAsia" w:ascii="宋体" w:hAnsi="宋体" w:eastAsia="宋体" w:cs="Arial"/>
          <w:color w:val="auto"/>
          <w:kern w:val="0"/>
          <w:sz w:val="24"/>
          <w:szCs w:val="24"/>
          <w:highlight w:val="none"/>
        </w:rPr>
        <w:t>评标委员会推荐中标候选人，总得分排序第一的投标人将被确定为第一中标候选人（总</w:t>
      </w:r>
      <w:r>
        <w:rPr>
          <w:rFonts w:ascii="宋体" w:hAnsi="宋体" w:eastAsia="宋体" w:cs="Arial"/>
          <w:color w:val="auto"/>
          <w:kern w:val="0"/>
          <w:sz w:val="24"/>
          <w:szCs w:val="24"/>
          <w:highlight w:val="none"/>
        </w:rPr>
        <w:t>得分</w:t>
      </w:r>
      <w:r>
        <w:rPr>
          <w:rFonts w:hint="eastAsia" w:ascii="宋体" w:hAnsi="宋体" w:eastAsia="宋体" w:cs="Arial"/>
          <w:color w:val="auto"/>
          <w:kern w:val="0"/>
          <w:sz w:val="24"/>
          <w:szCs w:val="24"/>
          <w:highlight w:val="none"/>
        </w:rPr>
        <w:t>排序</w:t>
      </w:r>
      <w:r>
        <w:rPr>
          <w:rFonts w:ascii="宋体" w:hAnsi="宋体" w:eastAsia="宋体" w:cs="Arial"/>
          <w:color w:val="auto"/>
          <w:kern w:val="0"/>
          <w:sz w:val="24"/>
          <w:szCs w:val="24"/>
          <w:highlight w:val="none"/>
        </w:rPr>
        <w:t>最高的同品牌投标人获得</w:t>
      </w:r>
      <w:r>
        <w:rPr>
          <w:rFonts w:hint="eastAsia" w:ascii="宋体" w:hAnsi="宋体" w:eastAsia="宋体" w:cs="Arial"/>
          <w:color w:val="auto"/>
          <w:kern w:val="0"/>
          <w:sz w:val="24"/>
          <w:szCs w:val="24"/>
          <w:highlight w:val="none"/>
        </w:rPr>
        <w:t>中标候选人推荐</w:t>
      </w:r>
      <w:r>
        <w:rPr>
          <w:rFonts w:ascii="宋体" w:hAnsi="宋体" w:eastAsia="宋体" w:cs="Arial"/>
          <w:color w:val="auto"/>
          <w:kern w:val="0"/>
          <w:sz w:val="24"/>
          <w:szCs w:val="24"/>
          <w:highlight w:val="none"/>
        </w:rPr>
        <w:t>资格</w:t>
      </w: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其它同品牌投标人不作为中标候选人</w:t>
      </w:r>
      <w:r>
        <w:rPr>
          <w:rFonts w:hint="eastAsia" w:ascii="宋体" w:hAnsi="宋体" w:eastAsia="宋体" w:cs="Arial"/>
          <w:color w:val="auto"/>
          <w:kern w:val="0"/>
          <w:sz w:val="24"/>
          <w:szCs w:val="24"/>
          <w:highlight w:val="none"/>
        </w:rPr>
        <w:t>），以此类推确定出规定数量的的中标候选人。</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7</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当通过了资格审查、完备性及符合性审查后，投标品牌少于3个时，采购人应当依法重新招标。</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7</w:t>
      </w:r>
      <w:r>
        <w:rPr>
          <w:rFonts w:ascii="宋体" w:hAnsi="宋体" w:eastAsia="宋体" w:cs="Arial"/>
          <w:color w:val="auto"/>
          <w:kern w:val="0"/>
          <w:sz w:val="24"/>
          <w:szCs w:val="24"/>
          <w:highlight w:val="none"/>
        </w:rPr>
        <w:t xml:space="preserve">.3 </w:t>
      </w:r>
      <w:r>
        <w:rPr>
          <w:rFonts w:hint="eastAsia" w:ascii="宋体" w:hAnsi="宋体" w:eastAsia="宋体" w:cs="Arial"/>
          <w:color w:val="auto"/>
          <w:kern w:val="0"/>
          <w:sz w:val="24"/>
          <w:szCs w:val="24"/>
          <w:highlight w:val="none"/>
        </w:rPr>
        <w:t>评标委员会完成评标后，应当向采购人提交书面评标报告。</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8特殊情况的处置程序</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8</w:t>
      </w:r>
      <w:r>
        <w:rPr>
          <w:rFonts w:ascii="宋体" w:hAnsi="宋体" w:eastAsia="宋体" w:cs="Arial"/>
          <w:color w:val="auto"/>
          <w:kern w:val="0"/>
          <w:sz w:val="24"/>
          <w:szCs w:val="24"/>
          <w:highlight w:val="none"/>
        </w:rPr>
        <w:t xml:space="preserve">.1 </w:t>
      </w:r>
      <w:r>
        <w:rPr>
          <w:rFonts w:hint="eastAsia" w:ascii="宋体" w:hAnsi="宋体" w:eastAsia="宋体" w:cs="Arial"/>
          <w:color w:val="auto"/>
          <w:kern w:val="0"/>
          <w:sz w:val="24"/>
          <w:szCs w:val="24"/>
          <w:highlight w:val="none"/>
        </w:rPr>
        <w:t>关于评标活动暂停</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评标委员会应当执行连续评标的原则，按评标办法中规定的程序、内容、方法、标准完成全部评标工作。只有发生不可抗力导致评标工作无法继续时，评标活动方可暂停。发生评标暂停情况时，应当封存全部投标文件和评标记录，待不可抗力的影响结束且具备继续评标的条件时，由原评标委员会继续评标。</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8</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关于评标中途更换评委</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8</w:t>
      </w:r>
      <w:r>
        <w:rPr>
          <w:rFonts w:ascii="宋体" w:hAnsi="宋体" w:eastAsia="宋体" w:cs="Arial"/>
          <w:color w:val="auto"/>
          <w:kern w:val="0"/>
          <w:sz w:val="24"/>
          <w:szCs w:val="24"/>
          <w:highlight w:val="none"/>
        </w:rPr>
        <w:t xml:space="preserve">.2.1 </w:t>
      </w:r>
      <w:r>
        <w:rPr>
          <w:rFonts w:hint="eastAsia" w:ascii="宋体" w:hAnsi="宋体" w:eastAsia="宋体" w:cs="Arial"/>
          <w:color w:val="auto"/>
          <w:kern w:val="0"/>
          <w:sz w:val="24"/>
          <w:szCs w:val="24"/>
          <w:highlight w:val="none"/>
        </w:rPr>
        <w:t>除非发生下列情况之一，评标委员会成员不得在评标中途更换：</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1</w:t>
      </w:r>
      <w:r>
        <w:rPr>
          <w:rFonts w:hint="eastAsia" w:ascii="宋体" w:hAnsi="宋体" w:eastAsia="宋体" w:cs="Arial"/>
          <w:color w:val="auto"/>
          <w:kern w:val="0"/>
          <w:sz w:val="24"/>
          <w:szCs w:val="24"/>
          <w:highlight w:val="none"/>
        </w:rPr>
        <w:t>）因不可抗拒的客观原因，不能到场或需在评标中途退出评标活动。</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）根据法律法规规定，某个或某几个评标委员会成员需要回避。</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8</w:t>
      </w:r>
      <w:r>
        <w:rPr>
          <w:rFonts w:ascii="宋体" w:hAnsi="宋体" w:eastAsia="宋体" w:cs="Arial"/>
          <w:color w:val="auto"/>
          <w:kern w:val="0"/>
          <w:sz w:val="24"/>
          <w:szCs w:val="24"/>
          <w:highlight w:val="none"/>
        </w:rPr>
        <w:t xml:space="preserve">.2.2 </w:t>
      </w:r>
      <w:r>
        <w:rPr>
          <w:rFonts w:hint="eastAsia" w:ascii="宋体" w:hAnsi="宋体" w:eastAsia="宋体" w:cs="Arial"/>
          <w:color w:val="auto"/>
          <w:kern w:val="0"/>
          <w:sz w:val="24"/>
          <w:szCs w:val="24"/>
          <w:highlight w:val="none"/>
        </w:rPr>
        <w:t>退出评标的评标委员会成员，其已完成的评标行为无效，由更换的评委进行评标。</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8</w:t>
      </w:r>
      <w:r>
        <w:rPr>
          <w:rFonts w:ascii="宋体" w:hAnsi="宋体" w:eastAsia="宋体" w:cs="Arial"/>
          <w:color w:val="auto"/>
          <w:kern w:val="0"/>
          <w:sz w:val="24"/>
          <w:szCs w:val="24"/>
          <w:highlight w:val="none"/>
        </w:rPr>
        <w:t xml:space="preserve">.3 </w:t>
      </w:r>
      <w:r>
        <w:rPr>
          <w:rFonts w:hint="eastAsia" w:ascii="宋体" w:hAnsi="宋体" w:eastAsia="宋体" w:cs="Arial"/>
          <w:color w:val="auto"/>
          <w:kern w:val="0"/>
          <w:sz w:val="24"/>
          <w:szCs w:val="24"/>
          <w:highlight w:val="none"/>
        </w:rPr>
        <w:t>在评标环节中，需评标委员会就某项定性的评审结论做出表决的，由评标委员会全体成员按照少数服从多数的原则确定。</w:t>
      </w:r>
    </w:p>
    <w:p>
      <w:pPr>
        <w:spacing w:line="440" w:lineRule="exact"/>
        <w:jc w:val="center"/>
        <w:outlineLvl w:val="0"/>
        <w:rPr>
          <w:rFonts w:ascii="宋体" w:hAnsi="宋体" w:eastAsia="宋体" w:cs="宋体"/>
          <w:b/>
          <w:color w:val="auto"/>
          <w:sz w:val="24"/>
          <w:szCs w:val="24"/>
          <w:highlight w:val="none"/>
        </w:rPr>
      </w:pPr>
      <w:bookmarkStart w:id="39" w:name="_Toc485312286"/>
      <w:r>
        <w:rPr>
          <w:rFonts w:ascii="宋体" w:hAnsi="Calibri" w:eastAsia="宋体" w:cs="Arial"/>
          <w:color w:val="auto"/>
          <w:kern w:val="0"/>
          <w:sz w:val="24"/>
          <w:szCs w:val="24"/>
          <w:highlight w:val="none"/>
        </w:rPr>
        <w:br w:type="page"/>
      </w:r>
      <w:bookmarkStart w:id="40" w:name="_Toc141050503"/>
      <w:r>
        <w:rPr>
          <w:rFonts w:hint="eastAsia" w:ascii="宋体" w:hAnsi="宋体" w:eastAsia="宋体" w:cs="宋体"/>
          <w:b/>
          <w:color w:val="auto"/>
          <w:sz w:val="24"/>
          <w:szCs w:val="24"/>
          <w:highlight w:val="none"/>
        </w:rPr>
        <w:t>第三章 合同条款</w:t>
      </w:r>
      <w:bookmarkEnd w:id="39"/>
      <w:bookmarkEnd w:id="40"/>
    </w:p>
    <w:p>
      <w:pPr>
        <w:rPr>
          <w:color w:val="auto"/>
          <w:highlight w:val="none"/>
        </w:rPr>
      </w:pPr>
    </w:p>
    <w:p>
      <w:pPr>
        <w:widowControl/>
        <w:spacing w:line="360" w:lineRule="auto"/>
        <w:ind w:right="585"/>
        <w:jc w:val="center"/>
        <w:rPr>
          <w:rFonts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                               合同编号：</w:t>
      </w:r>
      <w:r>
        <w:rPr>
          <w:rFonts w:hint="eastAsia" w:ascii="宋体" w:hAnsi="宋体" w:cs="宋体"/>
          <w:color w:val="auto"/>
          <w:kern w:val="0"/>
          <w:sz w:val="24"/>
          <w:szCs w:val="24"/>
          <w:highlight w:val="none"/>
          <w:u w:val="single"/>
        </w:rPr>
        <w:t>_____________ ___</w:t>
      </w:r>
    </w:p>
    <w:p>
      <w:pPr>
        <w:widowControl/>
        <w:spacing w:line="360" w:lineRule="auto"/>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出卖人：</w:t>
      </w:r>
      <w:r>
        <w:rPr>
          <w:rFonts w:hint="eastAsia" w:ascii="宋体" w:hAnsi="宋体" w:cs="宋体"/>
          <w:color w:val="auto"/>
          <w:kern w:val="0"/>
          <w:sz w:val="24"/>
          <w:szCs w:val="24"/>
          <w:highlight w:val="none"/>
          <w:u w:val="single"/>
        </w:rPr>
        <w:t>________________</w:t>
      </w:r>
      <w:r>
        <w:rPr>
          <w:rFonts w:hint="eastAsia" w:ascii="宋体" w:hAnsi="宋体" w:cs="宋体"/>
          <w:color w:val="auto"/>
          <w:kern w:val="0"/>
          <w:sz w:val="24"/>
          <w:szCs w:val="24"/>
          <w:highlight w:val="none"/>
        </w:rPr>
        <w:t xml:space="preserve">              签订地点：</w:t>
      </w:r>
      <w:r>
        <w:rPr>
          <w:rFonts w:hint="eastAsia" w:ascii="宋体" w:hAnsi="宋体" w:cs="宋体"/>
          <w:color w:val="auto"/>
          <w:kern w:val="0"/>
          <w:sz w:val="24"/>
          <w:szCs w:val="24"/>
          <w:highlight w:val="none"/>
          <w:u w:val="single"/>
        </w:rPr>
        <w:t>________________</w:t>
      </w:r>
    </w:p>
    <w:p>
      <w:pPr>
        <w:widowControl/>
        <w:spacing w:line="360" w:lineRule="auto"/>
        <w:ind w:left="480" w:hanging="480" w:hangingChars="200"/>
        <w:jc w:val="left"/>
        <w:rPr>
          <w:rFonts w:ascii="宋体" w:hAnsi="宋体" w:cs="宋体"/>
          <w:b/>
          <w:bCs/>
          <w:color w:val="auto"/>
          <w:kern w:val="0"/>
          <w:sz w:val="24"/>
          <w:szCs w:val="24"/>
          <w:highlight w:val="none"/>
        </w:rPr>
      </w:pPr>
      <w:r>
        <w:rPr>
          <w:rFonts w:hint="eastAsia" w:ascii="宋体" w:hAnsi="宋体" w:cs="宋体"/>
          <w:color w:val="auto"/>
          <w:kern w:val="0"/>
          <w:sz w:val="24"/>
          <w:szCs w:val="24"/>
          <w:highlight w:val="none"/>
        </w:rPr>
        <w:t>买受人：</w:t>
      </w:r>
      <w:r>
        <w:rPr>
          <w:rFonts w:hint="eastAsia" w:ascii="宋体" w:hAnsi="宋体" w:cs="宋体"/>
          <w:color w:val="auto"/>
          <w:kern w:val="0"/>
          <w:sz w:val="24"/>
          <w:szCs w:val="24"/>
          <w:highlight w:val="none"/>
          <w:u w:val="single"/>
        </w:rPr>
        <w:t>________________</w:t>
      </w:r>
      <w:r>
        <w:rPr>
          <w:rFonts w:hint="eastAsia" w:ascii="宋体" w:hAnsi="宋体" w:cs="宋体"/>
          <w:color w:val="auto"/>
          <w:kern w:val="0"/>
          <w:sz w:val="24"/>
          <w:szCs w:val="24"/>
          <w:highlight w:val="none"/>
        </w:rPr>
        <w:t xml:space="preserve">              签订时间：</w:t>
      </w:r>
      <w:r>
        <w:rPr>
          <w:rFonts w:hint="eastAsia" w:ascii="宋体" w:hAnsi="宋体" w:cs="宋体"/>
          <w:color w:val="auto"/>
          <w:kern w:val="0"/>
          <w:sz w:val="24"/>
          <w:szCs w:val="24"/>
          <w:highlight w:val="none"/>
          <w:u w:val="single"/>
        </w:rPr>
        <w:t>_____</w:t>
      </w:r>
      <w:r>
        <w:rPr>
          <w:rFonts w:hint="eastAsia" w:ascii="宋体" w:hAnsi="宋体" w:cs="宋体"/>
          <w:color w:val="auto"/>
          <w:kern w:val="0"/>
          <w:sz w:val="24"/>
          <w:szCs w:val="24"/>
          <w:highlight w:val="none"/>
        </w:rPr>
        <w:t>年</w:t>
      </w:r>
      <w:r>
        <w:rPr>
          <w:rFonts w:hint="eastAsia" w:ascii="宋体" w:hAnsi="宋体" w:cs="宋体"/>
          <w:color w:val="auto"/>
          <w:kern w:val="0"/>
          <w:sz w:val="24"/>
          <w:szCs w:val="24"/>
          <w:highlight w:val="none"/>
          <w:u w:val="single"/>
        </w:rPr>
        <w:t>_____</w:t>
      </w:r>
      <w:r>
        <w:rPr>
          <w:rFonts w:hint="eastAsia" w:ascii="宋体" w:hAnsi="宋体" w:cs="宋体"/>
          <w:color w:val="auto"/>
          <w:kern w:val="0"/>
          <w:sz w:val="24"/>
          <w:szCs w:val="24"/>
          <w:highlight w:val="none"/>
        </w:rPr>
        <w:t>月</w:t>
      </w:r>
      <w:r>
        <w:rPr>
          <w:rFonts w:hint="eastAsia" w:ascii="宋体" w:hAnsi="宋体" w:cs="宋体"/>
          <w:color w:val="auto"/>
          <w:kern w:val="0"/>
          <w:sz w:val="24"/>
          <w:szCs w:val="24"/>
          <w:highlight w:val="none"/>
          <w:u w:val="single"/>
        </w:rPr>
        <w:t>_____</w:t>
      </w:r>
      <w:r>
        <w:rPr>
          <w:rFonts w:hint="eastAsia" w:ascii="宋体" w:hAnsi="宋体" w:cs="宋体"/>
          <w:color w:val="auto"/>
          <w:kern w:val="0"/>
          <w:sz w:val="24"/>
          <w:szCs w:val="24"/>
          <w:highlight w:val="none"/>
        </w:rPr>
        <w:t>日</w:t>
      </w:r>
      <w:r>
        <w:rPr>
          <w:rFonts w:hint="eastAsia" w:ascii="宋体" w:hAnsi="宋体" w:cs="宋体"/>
          <w:color w:val="auto"/>
          <w:kern w:val="0"/>
          <w:sz w:val="24"/>
          <w:szCs w:val="24"/>
          <w:highlight w:val="none"/>
        </w:rPr>
        <w:br w:type="textWrapping"/>
      </w:r>
      <w:r>
        <w:rPr>
          <w:rFonts w:hint="eastAsia" w:ascii="宋体" w:hAnsi="宋体" w:cs="宋体"/>
          <w:b/>
          <w:bCs/>
          <w:color w:val="auto"/>
          <w:kern w:val="0"/>
          <w:sz w:val="24"/>
          <w:szCs w:val="24"/>
          <w:highlight w:val="none"/>
          <w:shd w:val="clear" w:color="auto" w:fill="FFFFFF"/>
        </w:rPr>
        <w:t>第一条 </w:t>
      </w:r>
      <w:r>
        <w:rPr>
          <w:rFonts w:hint="eastAsia" w:ascii="宋体" w:hAnsi="宋体" w:cs="宋体"/>
          <w:color w:val="auto"/>
          <w:kern w:val="0"/>
          <w:sz w:val="24"/>
          <w:szCs w:val="24"/>
          <w:highlight w:val="none"/>
          <w:shd w:val="clear" w:color="auto" w:fill="FFFFFF"/>
        </w:rPr>
        <w:t>标的、数量、价款及交（提）货时间</w:t>
      </w:r>
    </w:p>
    <w:tbl>
      <w:tblPr>
        <w:tblStyle w:val="37"/>
        <w:tblW w:w="914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17"/>
        <w:gridCol w:w="1276"/>
        <w:gridCol w:w="1276"/>
        <w:gridCol w:w="850"/>
        <w:gridCol w:w="860"/>
        <w:gridCol w:w="1017"/>
        <w:gridCol w:w="1017"/>
        <w:gridCol w:w="1017"/>
        <w:gridCol w:w="101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4" w:hRule="atLeast"/>
        </w:trPr>
        <w:tc>
          <w:tcPr>
            <w:tcW w:w="817" w:type="dxa"/>
            <w:vAlign w:val="center"/>
          </w:tcPr>
          <w:p>
            <w:pPr>
              <w:spacing w:line="360" w:lineRule="auto"/>
              <w:jc w:val="center"/>
              <w:rPr>
                <w:rFonts w:ascii="宋体" w:hAnsi="宋体" w:cs="宋体"/>
                <w:bCs/>
                <w:color w:val="auto"/>
                <w:sz w:val="24"/>
                <w:szCs w:val="24"/>
                <w:highlight w:val="none"/>
              </w:rPr>
            </w:pPr>
            <w:r>
              <w:rPr>
                <w:rFonts w:hint="eastAsia" w:ascii="宋体" w:hAnsi="宋体" w:cs="宋体"/>
                <w:bCs/>
                <w:color w:val="auto"/>
                <w:sz w:val="24"/>
                <w:szCs w:val="24"/>
                <w:highlight w:val="none"/>
              </w:rPr>
              <w:t>序号</w:t>
            </w:r>
          </w:p>
        </w:tc>
        <w:tc>
          <w:tcPr>
            <w:tcW w:w="1276" w:type="dxa"/>
            <w:vAlign w:val="center"/>
          </w:tcPr>
          <w:p>
            <w:pPr>
              <w:spacing w:line="360" w:lineRule="auto"/>
              <w:jc w:val="center"/>
              <w:rPr>
                <w:rFonts w:ascii="宋体" w:hAnsi="宋体" w:cs="宋体"/>
                <w:bCs/>
                <w:color w:val="auto"/>
                <w:sz w:val="24"/>
                <w:szCs w:val="24"/>
                <w:highlight w:val="none"/>
              </w:rPr>
            </w:pPr>
            <w:r>
              <w:rPr>
                <w:rFonts w:hint="eastAsia" w:ascii="宋体" w:hAnsi="宋体" w:cs="宋体"/>
                <w:bCs/>
                <w:color w:val="auto"/>
                <w:sz w:val="24"/>
                <w:szCs w:val="24"/>
                <w:highlight w:val="none"/>
              </w:rPr>
              <w:t>货物</w:t>
            </w:r>
          </w:p>
          <w:p>
            <w:pPr>
              <w:spacing w:line="360" w:lineRule="auto"/>
              <w:jc w:val="center"/>
              <w:rPr>
                <w:rFonts w:ascii="宋体" w:hAnsi="宋体" w:cs="宋体"/>
                <w:bCs/>
                <w:color w:val="auto"/>
                <w:sz w:val="24"/>
                <w:szCs w:val="24"/>
                <w:highlight w:val="none"/>
              </w:rPr>
            </w:pPr>
            <w:r>
              <w:rPr>
                <w:rFonts w:hint="eastAsia" w:ascii="宋体" w:hAnsi="宋体" w:cs="宋体"/>
                <w:bCs/>
                <w:color w:val="auto"/>
                <w:sz w:val="24"/>
                <w:szCs w:val="24"/>
                <w:highlight w:val="none"/>
              </w:rPr>
              <w:t>名称</w:t>
            </w:r>
          </w:p>
        </w:tc>
        <w:tc>
          <w:tcPr>
            <w:tcW w:w="1276" w:type="dxa"/>
            <w:vAlign w:val="center"/>
          </w:tcPr>
          <w:p>
            <w:pPr>
              <w:spacing w:line="360" w:lineRule="auto"/>
              <w:jc w:val="center"/>
              <w:rPr>
                <w:rFonts w:ascii="宋体" w:hAnsi="宋体" w:cs="宋体"/>
                <w:bCs/>
                <w:color w:val="auto"/>
                <w:sz w:val="24"/>
                <w:szCs w:val="24"/>
                <w:highlight w:val="none"/>
              </w:rPr>
            </w:pPr>
            <w:r>
              <w:rPr>
                <w:rFonts w:hint="eastAsia" w:ascii="宋体" w:hAnsi="宋体" w:cs="宋体"/>
                <w:bCs/>
                <w:color w:val="auto"/>
                <w:sz w:val="24"/>
                <w:szCs w:val="24"/>
                <w:highlight w:val="none"/>
              </w:rPr>
              <w:t>型号</w:t>
            </w:r>
          </w:p>
          <w:p>
            <w:pPr>
              <w:spacing w:line="360" w:lineRule="auto"/>
              <w:jc w:val="center"/>
              <w:rPr>
                <w:rFonts w:ascii="宋体" w:hAnsi="宋体" w:cs="宋体"/>
                <w:bCs/>
                <w:color w:val="auto"/>
                <w:sz w:val="24"/>
                <w:szCs w:val="24"/>
                <w:highlight w:val="none"/>
              </w:rPr>
            </w:pPr>
            <w:r>
              <w:rPr>
                <w:rFonts w:hint="eastAsia" w:ascii="宋体" w:hAnsi="宋体" w:cs="宋体"/>
                <w:bCs/>
                <w:color w:val="auto"/>
                <w:sz w:val="24"/>
                <w:szCs w:val="24"/>
                <w:highlight w:val="none"/>
              </w:rPr>
              <w:t>规格</w:t>
            </w:r>
          </w:p>
        </w:tc>
        <w:tc>
          <w:tcPr>
            <w:tcW w:w="850" w:type="dxa"/>
            <w:vAlign w:val="center"/>
          </w:tcPr>
          <w:p>
            <w:pPr>
              <w:spacing w:line="360" w:lineRule="auto"/>
              <w:jc w:val="center"/>
              <w:rPr>
                <w:rFonts w:ascii="宋体" w:hAnsi="宋体" w:cs="宋体"/>
                <w:bCs/>
                <w:color w:val="auto"/>
                <w:sz w:val="24"/>
                <w:szCs w:val="24"/>
                <w:highlight w:val="none"/>
              </w:rPr>
            </w:pPr>
            <w:r>
              <w:rPr>
                <w:rFonts w:hint="eastAsia" w:ascii="宋体" w:hAnsi="宋体" w:cs="宋体"/>
                <w:bCs/>
                <w:color w:val="auto"/>
                <w:sz w:val="24"/>
                <w:szCs w:val="24"/>
                <w:highlight w:val="none"/>
              </w:rPr>
              <w:t>数量</w:t>
            </w:r>
          </w:p>
        </w:tc>
        <w:tc>
          <w:tcPr>
            <w:tcW w:w="860" w:type="dxa"/>
            <w:vAlign w:val="center"/>
          </w:tcPr>
          <w:p>
            <w:pPr>
              <w:spacing w:line="360" w:lineRule="auto"/>
              <w:jc w:val="center"/>
              <w:rPr>
                <w:rFonts w:ascii="宋体" w:hAnsi="宋体" w:cs="宋体"/>
                <w:bCs/>
                <w:color w:val="auto"/>
                <w:sz w:val="24"/>
                <w:szCs w:val="24"/>
                <w:highlight w:val="none"/>
              </w:rPr>
            </w:pPr>
            <w:r>
              <w:rPr>
                <w:rFonts w:hint="eastAsia" w:ascii="宋体" w:hAnsi="宋体" w:cs="宋体"/>
                <w:bCs/>
                <w:color w:val="auto"/>
                <w:sz w:val="24"/>
                <w:szCs w:val="24"/>
                <w:highlight w:val="none"/>
              </w:rPr>
              <w:t>品牌</w:t>
            </w:r>
          </w:p>
        </w:tc>
        <w:tc>
          <w:tcPr>
            <w:tcW w:w="1017" w:type="dxa"/>
            <w:vAlign w:val="center"/>
          </w:tcPr>
          <w:p>
            <w:pPr>
              <w:spacing w:line="360" w:lineRule="auto"/>
              <w:jc w:val="center"/>
              <w:rPr>
                <w:rFonts w:ascii="宋体" w:hAnsi="宋体" w:cs="宋体"/>
                <w:bCs/>
                <w:color w:val="auto"/>
                <w:sz w:val="24"/>
                <w:szCs w:val="24"/>
                <w:highlight w:val="none"/>
              </w:rPr>
            </w:pPr>
            <w:r>
              <w:rPr>
                <w:rFonts w:hint="eastAsia" w:ascii="宋体" w:hAnsi="宋体" w:cs="宋体"/>
                <w:bCs/>
                <w:color w:val="auto"/>
                <w:sz w:val="24"/>
                <w:szCs w:val="24"/>
                <w:highlight w:val="none"/>
              </w:rPr>
              <w:t>制造商</w:t>
            </w:r>
          </w:p>
        </w:tc>
        <w:tc>
          <w:tcPr>
            <w:tcW w:w="1017" w:type="dxa"/>
            <w:vAlign w:val="center"/>
          </w:tcPr>
          <w:p>
            <w:pPr>
              <w:spacing w:line="360" w:lineRule="auto"/>
              <w:jc w:val="center"/>
              <w:rPr>
                <w:rFonts w:ascii="宋体" w:hAnsi="宋体" w:cs="宋体"/>
                <w:bCs/>
                <w:color w:val="auto"/>
                <w:sz w:val="24"/>
                <w:szCs w:val="24"/>
                <w:highlight w:val="none"/>
              </w:rPr>
            </w:pPr>
            <w:r>
              <w:rPr>
                <w:rFonts w:hint="eastAsia" w:ascii="宋体" w:hAnsi="宋体" w:cs="宋体"/>
                <w:bCs/>
                <w:color w:val="auto"/>
                <w:sz w:val="24"/>
                <w:szCs w:val="24"/>
                <w:highlight w:val="none"/>
              </w:rPr>
              <w:t>单价</w:t>
            </w:r>
          </w:p>
        </w:tc>
        <w:tc>
          <w:tcPr>
            <w:tcW w:w="1017" w:type="dxa"/>
            <w:vAlign w:val="center"/>
          </w:tcPr>
          <w:p>
            <w:pPr>
              <w:spacing w:line="360" w:lineRule="auto"/>
              <w:jc w:val="center"/>
              <w:rPr>
                <w:rFonts w:ascii="宋体" w:hAnsi="宋体" w:cs="宋体"/>
                <w:bCs/>
                <w:color w:val="auto"/>
                <w:sz w:val="24"/>
                <w:szCs w:val="24"/>
                <w:highlight w:val="none"/>
              </w:rPr>
            </w:pPr>
            <w:r>
              <w:rPr>
                <w:rFonts w:hint="eastAsia" w:ascii="宋体" w:hAnsi="宋体" w:cs="宋体"/>
                <w:bCs/>
                <w:color w:val="auto"/>
                <w:sz w:val="24"/>
                <w:szCs w:val="24"/>
                <w:highlight w:val="none"/>
              </w:rPr>
              <w:t>合价</w:t>
            </w:r>
          </w:p>
        </w:tc>
        <w:tc>
          <w:tcPr>
            <w:tcW w:w="1017" w:type="dxa"/>
            <w:vAlign w:val="center"/>
          </w:tcPr>
          <w:p>
            <w:pPr>
              <w:spacing w:line="360" w:lineRule="auto"/>
              <w:jc w:val="center"/>
              <w:rPr>
                <w:rFonts w:ascii="宋体" w:hAnsi="宋体" w:cs="宋体"/>
                <w:bCs/>
                <w:color w:val="auto"/>
                <w:sz w:val="24"/>
                <w:szCs w:val="24"/>
                <w:highlight w:val="none"/>
              </w:rPr>
            </w:pPr>
            <w:r>
              <w:rPr>
                <w:rFonts w:hint="eastAsia" w:ascii="宋体" w:hAnsi="宋体" w:cs="宋体"/>
                <w:bCs/>
                <w:color w:val="auto"/>
                <w:sz w:val="24"/>
                <w:szCs w:val="24"/>
                <w:highlight w:val="non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17" w:type="dxa"/>
            <w:vAlign w:val="center"/>
          </w:tcPr>
          <w:p>
            <w:pPr>
              <w:spacing w:line="360" w:lineRule="auto"/>
              <w:jc w:val="center"/>
              <w:rPr>
                <w:rFonts w:ascii="宋体" w:hAnsi="宋体" w:cs="宋体"/>
                <w:bCs/>
                <w:color w:val="auto"/>
                <w:sz w:val="24"/>
                <w:szCs w:val="24"/>
                <w:highlight w:val="none"/>
              </w:rPr>
            </w:pPr>
            <w:r>
              <w:rPr>
                <w:rFonts w:ascii="宋体" w:hAnsi="宋体" w:cs="宋体"/>
                <w:bCs/>
                <w:color w:val="auto"/>
                <w:sz w:val="24"/>
                <w:szCs w:val="24"/>
                <w:highlight w:val="none"/>
              </w:rPr>
              <w:t>1</w:t>
            </w:r>
          </w:p>
        </w:tc>
        <w:tc>
          <w:tcPr>
            <w:tcW w:w="1276" w:type="dxa"/>
            <w:vAlign w:val="center"/>
          </w:tcPr>
          <w:p>
            <w:pPr>
              <w:spacing w:line="360" w:lineRule="auto"/>
              <w:jc w:val="center"/>
              <w:rPr>
                <w:rFonts w:ascii="宋体" w:hAnsi="宋体" w:cs="宋体"/>
                <w:bCs/>
                <w:color w:val="auto"/>
                <w:sz w:val="24"/>
                <w:szCs w:val="24"/>
                <w:highlight w:val="none"/>
              </w:rPr>
            </w:pPr>
          </w:p>
        </w:tc>
        <w:tc>
          <w:tcPr>
            <w:tcW w:w="1276" w:type="dxa"/>
            <w:vAlign w:val="center"/>
          </w:tcPr>
          <w:p>
            <w:pPr>
              <w:spacing w:line="360" w:lineRule="auto"/>
              <w:jc w:val="center"/>
              <w:rPr>
                <w:rFonts w:ascii="宋体" w:hAnsi="宋体" w:cs="宋体"/>
                <w:bCs/>
                <w:color w:val="auto"/>
                <w:sz w:val="24"/>
                <w:szCs w:val="24"/>
                <w:highlight w:val="none"/>
              </w:rPr>
            </w:pPr>
          </w:p>
        </w:tc>
        <w:tc>
          <w:tcPr>
            <w:tcW w:w="850" w:type="dxa"/>
            <w:vAlign w:val="center"/>
          </w:tcPr>
          <w:p>
            <w:pPr>
              <w:spacing w:line="360" w:lineRule="auto"/>
              <w:jc w:val="center"/>
              <w:rPr>
                <w:rFonts w:ascii="宋体" w:hAnsi="宋体" w:cs="宋体"/>
                <w:bCs/>
                <w:color w:val="auto"/>
                <w:sz w:val="24"/>
                <w:szCs w:val="24"/>
                <w:highlight w:val="none"/>
              </w:rPr>
            </w:pPr>
          </w:p>
        </w:tc>
        <w:tc>
          <w:tcPr>
            <w:tcW w:w="860"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17" w:type="dxa"/>
            <w:vAlign w:val="center"/>
          </w:tcPr>
          <w:p>
            <w:pPr>
              <w:spacing w:line="360" w:lineRule="auto"/>
              <w:jc w:val="center"/>
              <w:rPr>
                <w:rFonts w:ascii="宋体" w:hAnsi="宋体" w:cs="宋体"/>
                <w:bCs/>
                <w:color w:val="auto"/>
                <w:sz w:val="24"/>
                <w:szCs w:val="24"/>
                <w:highlight w:val="none"/>
              </w:rPr>
            </w:pPr>
            <w:r>
              <w:rPr>
                <w:rFonts w:ascii="宋体" w:hAnsi="宋体" w:cs="宋体"/>
                <w:bCs/>
                <w:color w:val="auto"/>
                <w:sz w:val="24"/>
                <w:szCs w:val="24"/>
                <w:highlight w:val="none"/>
              </w:rPr>
              <w:t>2</w:t>
            </w:r>
          </w:p>
        </w:tc>
        <w:tc>
          <w:tcPr>
            <w:tcW w:w="1276" w:type="dxa"/>
            <w:vAlign w:val="center"/>
          </w:tcPr>
          <w:p>
            <w:pPr>
              <w:spacing w:line="360" w:lineRule="auto"/>
              <w:jc w:val="center"/>
              <w:rPr>
                <w:rFonts w:ascii="宋体" w:hAnsi="宋体" w:cs="宋体"/>
                <w:bCs/>
                <w:color w:val="auto"/>
                <w:sz w:val="24"/>
                <w:szCs w:val="24"/>
                <w:highlight w:val="none"/>
              </w:rPr>
            </w:pPr>
          </w:p>
        </w:tc>
        <w:tc>
          <w:tcPr>
            <w:tcW w:w="1276" w:type="dxa"/>
            <w:vAlign w:val="center"/>
          </w:tcPr>
          <w:p>
            <w:pPr>
              <w:spacing w:line="360" w:lineRule="auto"/>
              <w:jc w:val="center"/>
              <w:rPr>
                <w:rFonts w:ascii="宋体" w:hAnsi="宋体" w:cs="宋体"/>
                <w:bCs/>
                <w:color w:val="auto"/>
                <w:sz w:val="24"/>
                <w:szCs w:val="24"/>
                <w:highlight w:val="none"/>
              </w:rPr>
            </w:pPr>
          </w:p>
        </w:tc>
        <w:tc>
          <w:tcPr>
            <w:tcW w:w="850" w:type="dxa"/>
            <w:vAlign w:val="center"/>
          </w:tcPr>
          <w:p>
            <w:pPr>
              <w:spacing w:line="360" w:lineRule="auto"/>
              <w:jc w:val="center"/>
              <w:rPr>
                <w:rFonts w:ascii="宋体" w:hAnsi="宋体" w:cs="宋体"/>
                <w:bCs/>
                <w:color w:val="auto"/>
                <w:sz w:val="24"/>
                <w:szCs w:val="24"/>
                <w:highlight w:val="none"/>
              </w:rPr>
            </w:pPr>
          </w:p>
        </w:tc>
        <w:tc>
          <w:tcPr>
            <w:tcW w:w="860"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17" w:type="dxa"/>
            <w:vAlign w:val="center"/>
          </w:tcPr>
          <w:p>
            <w:pPr>
              <w:spacing w:line="360" w:lineRule="auto"/>
              <w:jc w:val="center"/>
              <w:rPr>
                <w:rFonts w:ascii="宋体" w:hAnsi="宋体" w:cs="宋体"/>
                <w:bCs/>
                <w:color w:val="auto"/>
                <w:sz w:val="24"/>
                <w:szCs w:val="24"/>
                <w:highlight w:val="none"/>
              </w:rPr>
            </w:pPr>
            <w:r>
              <w:rPr>
                <w:rFonts w:ascii="宋体" w:hAnsi="宋体" w:cs="宋体"/>
                <w:bCs/>
                <w:color w:val="auto"/>
                <w:sz w:val="24"/>
                <w:szCs w:val="24"/>
                <w:highlight w:val="none"/>
              </w:rPr>
              <w:t>3</w:t>
            </w:r>
          </w:p>
        </w:tc>
        <w:tc>
          <w:tcPr>
            <w:tcW w:w="1276" w:type="dxa"/>
            <w:vAlign w:val="center"/>
          </w:tcPr>
          <w:p>
            <w:pPr>
              <w:spacing w:line="360" w:lineRule="auto"/>
              <w:jc w:val="center"/>
              <w:rPr>
                <w:rFonts w:ascii="宋体" w:hAnsi="宋体" w:cs="宋体"/>
                <w:bCs/>
                <w:color w:val="auto"/>
                <w:sz w:val="24"/>
                <w:szCs w:val="24"/>
                <w:highlight w:val="none"/>
              </w:rPr>
            </w:pPr>
          </w:p>
        </w:tc>
        <w:tc>
          <w:tcPr>
            <w:tcW w:w="1276" w:type="dxa"/>
            <w:vAlign w:val="center"/>
          </w:tcPr>
          <w:p>
            <w:pPr>
              <w:spacing w:line="360" w:lineRule="auto"/>
              <w:jc w:val="center"/>
              <w:rPr>
                <w:rFonts w:ascii="宋体" w:hAnsi="宋体" w:cs="宋体"/>
                <w:bCs/>
                <w:color w:val="auto"/>
                <w:sz w:val="24"/>
                <w:szCs w:val="24"/>
                <w:highlight w:val="none"/>
              </w:rPr>
            </w:pPr>
          </w:p>
        </w:tc>
        <w:tc>
          <w:tcPr>
            <w:tcW w:w="850" w:type="dxa"/>
            <w:vAlign w:val="center"/>
          </w:tcPr>
          <w:p>
            <w:pPr>
              <w:spacing w:line="360" w:lineRule="auto"/>
              <w:jc w:val="center"/>
              <w:rPr>
                <w:rFonts w:ascii="宋体" w:hAnsi="宋体" w:cs="宋体"/>
                <w:bCs/>
                <w:color w:val="auto"/>
                <w:sz w:val="24"/>
                <w:szCs w:val="24"/>
                <w:highlight w:val="none"/>
              </w:rPr>
            </w:pPr>
          </w:p>
        </w:tc>
        <w:tc>
          <w:tcPr>
            <w:tcW w:w="860"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17" w:type="dxa"/>
            <w:vAlign w:val="center"/>
          </w:tcPr>
          <w:p>
            <w:pPr>
              <w:spacing w:line="360" w:lineRule="auto"/>
              <w:jc w:val="center"/>
              <w:rPr>
                <w:rFonts w:ascii="宋体" w:hAnsi="宋体" w:cs="宋体"/>
                <w:bCs/>
                <w:color w:val="auto"/>
                <w:sz w:val="24"/>
                <w:szCs w:val="24"/>
                <w:highlight w:val="none"/>
              </w:rPr>
            </w:pPr>
            <w:r>
              <w:rPr>
                <w:rFonts w:ascii="宋体" w:hAnsi="宋体" w:cs="宋体"/>
                <w:bCs/>
                <w:color w:val="auto"/>
                <w:sz w:val="24"/>
                <w:szCs w:val="24"/>
                <w:highlight w:val="none"/>
              </w:rPr>
              <w:t>4</w:t>
            </w:r>
          </w:p>
        </w:tc>
        <w:tc>
          <w:tcPr>
            <w:tcW w:w="1276" w:type="dxa"/>
            <w:vAlign w:val="center"/>
          </w:tcPr>
          <w:p>
            <w:pPr>
              <w:spacing w:line="360" w:lineRule="auto"/>
              <w:jc w:val="center"/>
              <w:rPr>
                <w:rFonts w:ascii="宋体" w:hAnsi="宋体" w:cs="宋体"/>
                <w:bCs/>
                <w:color w:val="auto"/>
                <w:sz w:val="24"/>
                <w:szCs w:val="24"/>
                <w:highlight w:val="none"/>
              </w:rPr>
            </w:pPr>
          </w:p>
        </w:tc>
        <w:tc>
          <w:tcPr>
            <w:tcW w:w="1276" w:type="dxa"/>
            <w:vAlign w:val="center"/>
          </w:tcPr>
          <w:p>
            <w:pPr>
              <w:spacing w:line="360" w:lineRule="auto"/>
              <w:jc w:val="center"/>
              <w:rPr>
                <w:rFonts w:ascii="宋体" w:hAnsi="宋体" w:cs="宋体"/>
                <w:bCs/>
                <w:color w:val="auto"/>
                <w:sz w:val="24"/>
                <w:szCs w:val="24"/>
                <w:highlight w:val="none"/>
              </w:rPr>
            </w:pPr>
          </w:p>
        </w:tc>
        <w:tc>
          <w:tcPr>
            <w:tcW w:w="850" w:type="dxa"/>
            <w:vAlign w:val="center"/>
          </w:tcPr>
          <w:p>
            <w:pPr>
              <w:spacing w:line="360" w:lineRule="auto"/>
              <w:jc w:val="center"/>
              <w:rPr>
                <w:rFonts w:ascii="宋体" w:hAnsi="宋体" w:cs="宋体"/>
                <w:bCs/>
                <w:color w:val="auto"/>
                <w:sz w:val="24"/>
                <w:szCs w:val="24"/>
                <w:highlight w:val="none"/>
              </w:rPr>
            </w:pPr>
          </w:p>
        </w:tc>
        <w:tc>
          <w:tcPr>
            <w:tcW w:w="860"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17" w:type="dxa"/>
            <w:vAlign w:val="center"/>
          </w:tcPr>
          <w:p>
            <w:pPr>
              <w:spacing w:line="360" w:lineRule="auto"/>
              <w:jc w:val="center"/>
              <w:rPr>
                <w:rFonts w:ascii="宋体" w:hAnsi="宋体" w:cs="宋体"/>
                <w:bCs/>
                <w:color w:val="auto"/>
                <w:sz w:val="24"/>
                <w:szCs w:val="24"/>
                <w:highlight w:val="none"/>
              </w:rPr>
            </w:pPr>
            <w:r>
              <w:rPr>
                <w:rFonts w:ascii="宋体" w:hAnsi="宋体" w:cs="宋体"/>
                <w:bCs/>
                <w:color w:val="auto"/>
                <w:sz w:val="24"/>
                <w:szCs w:val="24"/>
                <w:highlight w:val="none"/>
              </w:rPr>
              <w:t>5</w:t>
            </w:r>
          </w:p>
        </w:tc>
        <w:tc>
          <w:tcPr>
            <w:tcW w:w="1276" w:type="dxa"/>
            <w:vAlign w:val="center"/>
          </w:tcPr>
          <w:p>
            <w:pPr>
              <w:spacing w:line="360" w:lineRule="auto"/>
              <w:jc w:val="center"/>
              <w:rPr>
                <w:rFonts w:ascii="宋体" w:hAnsi="宋体" w:cs="宋体"/>
                <w:bCs/>
                <w:color w:val="auto"/>
                <w:sz w:val="24"/>
                <w:szCs w:val="24"/>
                <w:highlight w:val="none"/>
              </w:rPr>
            </w:pPr>
          </w:p>
        </w:tc>
        <w:tc>
          <w:tcPr>
            <w:tcW w:w="1276" w:type="dxa"/>
            <w:vAlign w:val="center"/>
          </w:tcPr>
          <w:p>
            <w:pPr>
              <w:spacing w:line="360" w:lineRule="auto"/>
              <w:jc w:val="center"/>
              <w:rPr>
                <w:rFonts w:ascii="宋体" w:hAnsi="宋体" w:cs="宋体"/>
                <w:bCs/>
                <w:color w:val="auto"/>
                <w:sz w:val="24"/>
                <w:szCs w:val="24"/>
                <w:highlight w:val="none"/>
              </w:rPr>
            </w:pPr>
          </w:p>
        </w:tc>
        <w:tc>
          <w:tcPr>
            <w:tcW w:w="850" w:type="dxa"/>
            <w:vAlign w:val="center"/>
          </w:tcPr>
          <w:p>
            <w:pPr>
              <w:spacing w:line="360" w:lineRule="auto"/>
              <w:jc w:val="center"/>
              <w:rPr>
                <w:rFonts w:ascii="宋体" w:hAnsi="宋体" w:cs="宋体"/>
                <w:bCs/>
                <w:color w:val="auto"/>
                <w:sz w:val="24"/>
                <w:szCs w:val="24"/>
                <w:highlight w:val="none"/>
              </w:rPr>
            </w:pPr>
          </w:p>
        </w:tc>
        <w:tc>
          <w:tcPr>
            <w:tcW w:w="860"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17" w:type="dxa"/>
            <w:vAlign w:val="center"/>
          </w:tcPr>
          <w:p>
            <w:pPr>
              <w:spacing w:line="360" w:lineRule="auto"/>
              <w:jc w:val="center"/>
              <w:rPr>
                <w:rFonts w:ascii="宋体" w:hAnsi="宋体" w:cs="宋体"/>
                <w:bCs/>
                <w:color w:val="auto"/>
                <w:sz w:val="24"/>
                <w:szCs w:val="24"/>
                <w:highlight w:val="none"/>
              </w:rPr>
            </w:pPr>
            <w:r>
              <w:rPr>
                <w:rFonts w:ascii="宋体" w:hAnsi="宋体" w:cs="宋体"/>
                <w:bCs/>
                <w:color w:val="auto"/>
                <w:sz w:val="24"/>
                <w:szCs w:val="24"/>
                <w:highlight w:val="none"/>
              </w:rPr>
              <w:t>…</w:t>
            </w:r>
          </w:p>
        </w:tc>
        <w:tc>
          <w:tcPr>
            <w:tcW w:w="1276" w:type="dxa"/>
            <w:vAlign w:val="center"/>
          </w:tcPr>
          <w:p>
            <w:pPr>
              <w:spacing w:line="360" w:lineRule="auto"/>
              <w:jc w:val="center"/>
              <w:rPr>
                <w:rFonts w:ascii="宋体" w:hAnsi="宋体" w:cs="宋体"/>
                <w:bCs/>
                <w:color w:val="auto"/>
                <w:sz w:val="24"/>
                <w:szCs w:val="24"/>
                <w:highlight w:val="none"/>
              </w:rPr>
            </w:pPr>
          </w:p>
        </w:tc>
        <w:tc>
          <w:tcPr>
            <w:tcW w:w="1276" w:type="dxa"/>
            <w:vAlign w:val="center"/>
          </w:tcPr>
          <w:p>
            <w:pPr>
              <w:spacing w:line="360" w:lineRule="auto"/>
              <w:jc w:val="center"/>
              <w:rPr>
                <w:rFonts w:ascii="宋体" w:hAnsi="宋体" w:cs="宋体"/>
                <w:bCs/>
                <w:color w:val="auto"/>
                <w:sz w:val="24"/>
                <w:szCs w:val="24"/>
                <w:highlight w:val="none"/>
              </w:rPr>
            </w:pPr>
          </w:p>
        </w:tc>
        <w:tc>
          <w:tcPr>
            <w:tcW w:w="850" w:type="dxa"/>
            <w:vAlign w:val="center"/>
          </w:tcPr>
          <w:p>
            <w:pPr>
              <w:spacing w:line="360" w:lineRule="auto"/>
              <w:jc w:val="center"/>
              <w:rPr>
                <w:rFonts w:ascii="宋体" w:hAnsi="宋体" w:cs="宋体"/>
                <w:bCs/>
                <w:color w:val="auto"/>
                <w:sz w:val="24"/>
                <w:szCs w:val="24"/>
                <w:highlight w:val="none"/>
              </w:rPr>
            </w:pPr>
          </w:p>
        </w:tc>
        <w:tc>
          <w:tcPr>
            <w:tcW w:w="860"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113" w:type="dxa"/>
            <w:gridSpan w:val="7"/>
            <w:vAlign w:val="center"/>
          </w:tcPr>
          <w:p>
            <w:pPr>
              <w:spacing w:line="360" w:lineRule="auto"/>
              <w:jc w:val="right"/>
              <w:rPr>
                <w:rFonts w:ascii="宋体" w:hAnsi="宋体" w:cs="宋体"/>
                <w:bCs/>
                <w:color w:val="auto"/>
                <w:sz w:val="24"/>
                <w:szCs w:val="24"/>
                <w:highlight w:val="none"/>
              </w:rPr>
            </w:pPr>
            <w:r>
              <w:rPr>
                <w:rFonts w:hint="eastAsia" w:ascii="宋体" w:hAnsi="宋体" w:cs="宋体"/>
                <w:bCs/>
                <w:color w:val="auto"/>
                <w:sz w:val="24"/>
                <w:szCs w:val="24"/>
                <w:highlight w:val="none"/>
              </w:rPr>
              <w:t>合计（</w:t>
            </w:r>
            <w:r>
              <w:rPr>
                <w:rFonts w:hint="eastAsia" w:ascii="宋体" w:hAnsi="宋体" w:cs="Times New Roman"/>
                <w:color w:val="auto"/>
                <w:sz w:val="24"/>
                <w:szCs w:val="24"/>
                <w:highlight w:val="none"/>
              </w:rPr>
              <w:t>人民币元</w:t>
            </w:r>
            <w:r>
              <w:rPr>
                <w:rFonts w:hint="eastAsia" w:ascii="宋体" w:hAnsi="宋体" w:cs="宋体"/>
                <w:bCs/>
                <w:color w:val="auto"/>
                <w:sz w:val="24"/>
                <w:szCs w:val="24"/>
                <w:highlight w:val="none"/>
              </w:rPr>
              <w:t>）</w:t>
            </w:r>
          </w:p>
        </w:tc>
        <w:tc>
          <w:tcPr>
            <w:tcW w:w="2034" w:type="dxa"/>
            <w:gridSpan w:val="2"/>
            <w:vAlign w:val="center"/>
          </w:tcPr>
          <w:p>
            <w:pPr>
              <w:spacing w:line="360" w:lineRule="auto"/>
              <w:jc w:val="right"/>
              <w:rPr>
                <w:rFonts w:ascii="宋体" w:hAnsi="宋体" w:cs="宋体"/>
                <w:color w:val="auto"/>
                <w:sz w:val="24"/>
                <w:szCs w:val="24"/>
                <w:highlight w:val="none"/>
              </w:rPr>
            </w:pPr>
          </w:p>
        </w:tc>
      </w:tr>
    </w:tbl>
    <w:p>
      <w:pPr>
        <w:widowControl/>
        <w:spacing w:line="360" w:lineRule="auto"/>
        <w:ind w:firstLine="482" w:firstLineChars="200"/>
        <w:jc w:val="left"/>
        <w:rPr>
          <w:rFonts w:ascii="宋体" w:hAnsi="宋体" w:cs="宋体"/>
          <w:color w:val="auto"/>
          <w:kern w:val="0"/>
          <w:sz w:val="24"/>
          <w:szCs w:val="24"/>
          <w:highlight w:val="none"/>
          <w:u w:val="single"/>
        </w:rPr>
      </w:pPr>
      <w:r>
        <w:rPr>
          <w:rFonts w:hint="eastAsia" w:ascii="宋体" w:hAnsi="宋体" w:cs="宋体"/>
          <w:b/>
          <w:bCs/>
          <w:color w:val="auto"/>
          <w:kern w:val="0"/>
          <w:sz w:val="24"/>
          <w:szCs w:val="24"/>
          <w:highlight w:val="none"/>
        </w:rPr>
        <w:t>第二条 </w:t>
      </w:r>
      <w:r>
        <w:rPr>
          <w:rFonts w:hint="eastAsia" w:ascii="宋体" w:hAnsi="宋体" w:cs="宋体"/>
          <w:color w:val="auto"/>
          <w:kern w:val="0"/>
          <w:sz w:val="24"/>
          <w:szCs w:val="24"/>
          <w:highlight w:val="none"/>
        </w:rPr>
        <w:t>质量标准：</w:t>
      </w:r>
    </w:p>
    <w:p>
      <w:pPr>
        <w:widowControl/>
        <w:shd w:val="clear" w:color="auto" w:fill="FFFFFF"/>
        <w:spacing w:line="360" w:lineRule="auto"/>
        <w:ind w:firstLine="482" w:firstLineChars="200"/>
        <w:jc w:val="left"/>
        <w:rPr>
          <w:rFonts w:ascii="宋体" w:hAnsi="宋体" w:cs="宋体"/>
          <w:color w:val="auto"/>
          <w:kern w:val="0"/>
          <w:sz w:val="24"/>
          <w:szCs w:val="24"/>
          <w:highlight w:val="none"/>
          <w:u w:val="single"/>
        </w:rPr>
      </w:pPr>
      <w:r>
        <w:rPr>
          <w:rFonts w:hint="eastAsia" w:ascii="宋体" w:hAnsi="宋体" w:cs="宋体"/>
          <w:b/>
          <w:bCs/>
          <w:color w:val="auto"/>
          <w:kern w:val="0"/>
          <w:sz w:val="24"/>
          <w:szCs w:val="24"/>
          <w:highlight w:val="none"/>
        </w:rPr>
        <w:t>第三条 </w:t>
      </w:r>
      <w:r>
        <w:rPr>
          <w:rFonts w:hint="eastAsia" w:ascii="宋体" w:hAnsi="宋体" w:cs="宋体"/>
          <w:color w:val="auto"/>
          <w:kern w:val="0"/>
          <w:sz w:val="24"/>
          <w:szCs w:val="24"/>
          <w:highlight w:val="none"/>
        </w:rPr>
        <w:t>出卖人对质量负责的条件期限：</w:t>
      </w:r>
      <w:r>
        <w:rPr>
          <w:rFonts w:hint="eastAsia" w:ascii="宋体" w:hAnsi="宋体" w:cs="宋体"/>
          <w:color w:val="auto"/>
          <w:kern w:val="0"/>
          <w:sz w:val="24"/>
          <w:szCs w:val="24"/>
          <w:highlight w:val="none"/>
          <w:u w:val="single"/>
        </w:rPr>
        <w:t>______________________</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第四条 </w:t>
      </w:r>
      <w:r>
        <w:rPr>
          <w:rFonts w:hint="eastAsia" w:ascii="宋体" w:hAnsi="宋体" w:cs="宋体"/>
          <w:color w:val="auto"/>
          <w:kern w:val="0"/>
          <w:sz w:val="24"/>
          <w:szCs w:val="24"/>
          <w:highlight w:val="none"/>
        </w:rPr>
        <w:t>包装标准、包装物的供应回收：</w:t>
      </w:r>
      <w:r>
        <w:rPr>
          <w:rFonts w:hint="eastAsia" w:ascii="宋体" w:hAnsi="宋体" w:cs="宋体"/>
          <w:color w:val="auto"/>
          <w:kern w:val="0"/>
          <w:sz w:val="24"/>
          <w:szCs w:val="24"/>
          <w:highlight w:val="none"/>
          <w:u w:val="single"/>
        </w:rPr>
        <w:t>______________________</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第五条 </w:t>
      </w:r>
      <w:r>
        <w:rPr>
          <w:rFonts w:hint="eastAsia" w:ascii="宋体" w:hAnsi="宋体" w:cs="宋体"/>
          <w:color w:val="auto"/>
          <w:kern w:val="0"/>
          <w:sz w:val="24"/>
          <w:szCs w:val="24"/>
          <w:highlight w:val="none"/>
        </w:rPr>
        <w:t>随机的必备品、配件、工具数量及供应法：</w:t>
      </w:r>
      <w:r>
        <w:rPr>
          <w:rFonts w:hint="eastAsia" w:ascii="宋体" w:hAnsi="宋体" w:cs="宋体"/>
          <w:color w:val="auto"/>
          <w:kern w:val="0"/>
          <w:sz w:val="24"/>
          <w:szCs w:val="24"/>
          <w:highlight w:val="none"/>
          <w:u w:val="single"/>
        </w:rPr>
        <w:t>______________________</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第六条 </w:t>
      </w:r>
      <w:r>
        <w:rPr>
          <w:rFonts w:hint="eastAsia" w:ascii="宋体" w:hAnsi="宋体" w:cs="宋体"/>
          <w:color w:val="auto"/>
          <w:kern w:val="0"/>
          <w:sz w:val="24"/>
          <w:szCs w:val="24"/>
          <w:highlight w:val="none"/>
        </w:rPr>
        <w:t>合理损耗标准及计算方法：</w:t>
      </w:r>
      <w:r>
        <w:rPr>
          <w:rFonts w:hint="eastAsia" w:ascii="宋体" w:hAnsi="宋体" w:cs="宋体"/>
          <w:color w:val="auto"/>
          <w:kern w:val="0"/>
          <w:sz w:val="24"/>
          <w:szCs w:val="24"/>
          <w:highlight w:val="none"/>
          <w:u w:val="single"/>
        </w:rPr>
        <w:t>______________________</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第七条 </w:t>
      </w:r>
      <w:r>
        <w:rPr>
          <w:rFonts w:hint="eastAsia" w:ascii="宋体" w:hAnsi="宋体" w:cs="宋体"/>
          <w:color w:val="auto"/>
          <w:kern w:val="0"/>
          <w:sz w:val="24"/>
          <w:szCs w:val="24"/>
          <w:highlight w:val="none"/>
        </w:rPr>
        <w:t>标的物的所有权自</w:t>
      </w:r>
      <w:r>
        <w:rPr>
          <w:rFonts w:hint="eastAsia" w:ascii="宋体" w:hAnsi="宋体" w:cs="宋体"/>
          <w:color w:val="auto"/>
          <w:kern w:val="0"/>
          <w:sz w:val="24"/>
          <w:szCs w:val="24"/>
          <w:highlight w:val="none"/>
          <w:u w:val="single"/>
        </w:rPr>
        <w:t>______________________</w:t>
      </w:r>
      <w:r>
        <w:rPr>
          <w:rFonts w:hint="eastAsia" w:ascii="宋体" w:hAnsi="宋体" w:cs="宋体"/>
          <w:color w:val="auto"/>
          <w:kern w:val="0"/>
          <w:sz w:val="24"/>
          <w:szCs w:val="24"/>
          <w:highlight w:val="none"/>
        </w:rPr>
        <w:t>时起转移，但买受人未履行支付价款义务的，标的物属于</w:t>
      </w:r>
      <w:r>
        <w:rPr>
          <w:rFonts w:hint="eastAsia" w:ascii="宋体" w:hAnsi="宋体" w:cs="宋体"/>
          <w:color w:val="auto"/>
          <w:kern w:val="0"/>
          <w:sz w:val="24"/>
          <w:szCs w:val="24"/>
          <w:highlight w:val="none"/>
          <w:u w:val="single"/>
        </w:rPr>
        <w:t>______________________</w:t>
      </w:r>
      <w:r>
        <w:rPr>
          <w:rFonts w:hint="eastAsia" w:ascii="宋体" w:hAnsi="宋体" w:cs="宋体"/>
          <w:color w:val="auto"/>
          <w:kern w:val="0"/>
          <w:sz w:val="24"/>
          <w:szCs w:val="24"/>
          <w:highlight w:val="none"/>
        </w:rPr>
        <w:t>所有。</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第八条 </w:t>
      </w:r>
      <w:r>
        <w:rPr>
          <w:rFonts w:hint="eastAsia" w:ascii="宋体" w:hAnsi="宋体" w:cs="宋体"/>
          <w:color w:val="auto"/>
          <w:kern w:val="0"/>
          <w:sz w:val="24"/>
          <w:szCs w:val="24"/>
          <w:highlight w:val="none"/>
        </w:rPr>
        <w:t>交（提）货方式及地点：</w:t>
      </w:r>
      <w:r>
        <w:rPr>
          <w:rFonts w:hint="eastAsia" w:ascii="宋体" w:hAnsi="宋体" w:cs="宋体"/>
          <w:color w:val="auto"/>
          <w:kern w:val="0"/>
          <w:sz w:val="24"/>
          <w:szCs w:val="24"/>
          <w:highlight w:val="none"/>
          <w:u w:val="single"/>
        </w:rPr>
        <w:t>______________________</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第九条 </w:t>
      </w:r>
      <w:r>
        <w:rPr>
          <w:rFonts w:hint="eastAsia" w:ascii="宋体" w:hAnsi="宋体" w:cs="宋体"/>
          <w:color w:val="auto"/>
          <w:kern w:val="0"/>
          <w:sz w:val="24"/>
          <w:szCs w:val="24"/>
          <w:highlight w:val="none"/>
        </w:rPr>
        <w:t>运输方式及到达站（港）和费用负担：</w:t>
      </w:r>
      <w:r>
        <w:rPr>
          <w:rFonts w:hint="eastAsia" w:ascii="宋体" w:hAnsi="宋体" w:cs="宋体"/>
          <w:color w:val="auto"/>
          <w:kern w:val="0"/>
          <w:sz w:val="24"/>
          <w:szCs w:val="24"/>
          <w:highlight w:val="none"/>
          <w:u w:val="single"/>
        </w:rPr>
        <w:t>______________________</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第十条 </w:t>
      </w:r>
      <w:r>
        <w:rPr>
          <w:rFonts w:hint="eastAsia" w:ascii="宋体" w:hAnsi="宋体" w:cs="宋体"/>
          <w:color w:val="auto"/>
          <w:kern w:val="0"/>
          <w:sz w:val="24"/>
          <w:szCs w:val="24"/>
          <w:highlight w:val="none"/>
        </w:rPr>
        <w:t>检验标准、方法、地点及期限：</w:t>
      </w:r>
      <w:r>
        <w:rPr>
          <w:rFonts w:hint="eastAsia" w:ascii="宋体" w:hAnsi="宋体" w:cs="宋体"/>
          <w:color w:val="auto"/>
          <w:kern w:val="0"/>
          <w:sz w:val="24"/>
          <w:szCs w:val="24"/>
          <w:highlight w:val="none"/>
          <w:u w:val="single"/>
        </w:rPr>
        <w:t>______________________</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第十一条 </w:t>
      </w:r>
      <w:r>
        <w:rPr>
          <w:rFonts w:hint="eastAsia" w:ascii="宋体" w:hAnsi="宋体" w:cs="宋体"/>
          <w:color w:val="auto"/>
          <w:kern w:val="0"/>
          <w:sz w:val="24"/>
          <w:szCs w:val="24"/>
          <w:highlight w:val="none"/>
        </w:rPr>
        <w:t>成套设备的安装与调试：</w:t>
      </w:r>
      <w:r>
        <w:rPr>
          <w:rFonts w:hint="eastAsia" w:ascii="宋体" w:hAnsi="宋体" w:cs="宋体"/>
          <w:color w:val="auto"/>
          <w:kern w:val="0"/>
          <w:sz w:val="24"/>
          <w:szCs w:val="24"/>
          <w:highlight w:val="none"/>
          <w:u w:val="single"/>
        </w:rPr>
        <w:t>______________________</w:t>
      </w:r>
    </w:p>
    <w:p>
      <w:pPr>
        <w:widowControl/>
        <w:shd w:val="clear" w:color="auto" w:fill="FFFFFF"/>
        <w:spacing w:line="360" w:lineRule="auto"/>
        <w:ind w:firstLine="482" w:firstLineChars="200"/>
        <w:jc w:val="left"/>
        <w:rPr>
          <w:rFonts w:ascii="宋体" w:hAnsi="宋体" w:cs="宋体"/>
          <w:color w:val="auto"/>
          <w:kern w:val="0"/>
          <w:sz w:val="24"/>
          <w:szCs w:val="24"/>
          <w:highlight w:val="none"/>
          <w:u w:val="single"/>
        </w:rPr>
      </w:pPr>
      <w:r>
        <w:rPr>
          <w:rFonts w:hint="eastAsia" w:ascii="宋体" w:hAnsi="宋体" w:cs="宋体"/>
          <w:b/>
          <w:bCs/>
          <w:color w:val="auto"/>
          <w:kern w:val="0"/>
          <w:sz w:val="24"/>
          <w:szCs w:val="24"/>
          <w:highlight w:val="none"/>
        </w:rPr>
        <w:t>第十二条 </w:t>
      </w:r>
      <w:r>
        <w:rPr>
          <w:rFonts w:hint="eastAsia" w:ascii="宋体" w:hAnsi="宋体" w:cs="宋体"/>
          <w:color w:val="auto"/>
          <w:kern w:val="0"/>
          <w:sz w:val="24"/>
          <w:szCs w:val="24"/>
          <w:highlight w:val="none"/>
        </w:rPr>
        <w:t>结算方式、时间及地点：</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第十三条 </w:t>
      </w:r>
      <w:r>
        <w:rPr>
          <w:rFonts w:hint="eastAsia" w:ascii="宋体" w:hAnsi="宋体" w:cs="宋体"/>
          <w:color w:val="auto"/>
          <w:kern w:val="0"/>
          <w:sz w:val="24"/>
          <w:szCs w:val="24"/>
          <w:highlight w:val="none"/>
        </w:rPr>
        <w:t>担保方式（也可另立担保合同）：</w:t>
      </w:r>
      <w:r>
        <w:rPr>
          <w:rFonts w:hint="eastAsia" w:ascii="宋体" w:hAnsi="宋体" w:cs="宋体"/>
          <w:color w:val="auto"/>
          <w:kern w:val="0"/>
          <w:sz w:val="24"/>
          <w:szCs w:val="24"/>
          <w:highlight w:val="none"/>
          <w:u w:val="single"/>
        </w:rPr>
        <w:t>______________________</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第十四条 </w:t>
      </w:r>
      <w:r>
        <w:rPr>
          <w:rFonts w:hint="eastAsia" w:ascii="宋体" w:hAnsi="宋体" w:cs="宋体"/>
          <w:color w:val="auto"/>
          <w:kern w:val="0"/>
          <w:sz w:val="24"/>
          <w:szCs w:val="24"/>
          <w:highlight w:val="none"/>
        </w:rPr>
        <w:t>本合同解除的条件：</w:t>
      </w:r>
      <w:r>
        <w:rPr>
          <w:rFonts w:hint="eastAsia" w:ascii="宋体" w:hAnsi="宋体" w:cs="宋体"/>
          <w:color w:val="auto"/>
          <w:kern w:val="0"/>
          <w:sz w:val="24"/>
          <w:szCs w:val="24"/>
          <w:highlight w:val="none"/>
          <w:u w:val="single"/>
        </w:rPr>
        <w:t>______________________</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第十五条 </w:t>
      </w:r>
      <w:r>
        <w:rPr>
          <w:rFonts w:hint="eastAsia" w:ascii="宋体" w:hAnsi="宋体" w:cs="宋体"/>
          <w:color w:val="auto"/>
          <w:kern w:val="0"/>
          <w:sz w:val="24"/>
          <w:szCs w:val="24"/>
          <w:highlight w:val="none"/>
        </w:rPr>
        <w:t>违约责任：</w:t>
      </w:r>
      <w:r>
        <w:rPr>
          <w:rFonts w:hint="eastAsia" w:ascii="宋体" w:hAnsi="宋体" w:cs="宋体"/>
          <w:color w:val="auto"/>
          <w:kern w:val="0"/>
          <w:sz w:val="24"/>
          <w:szCs w:val="24"/>
          <w:highlight w:val="none"/>
          <w:u w:val="single"/>
        </w:rPr>
        <w:t>______________________</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第十六条 </w:t>
      </w:r>
      <w:r>
        <w:rPr>
          <w:rFonts w:hint="eastAsia" w:ascii="宋体" w:hAnsi="宋体" w:cs="宋体"/>
          <w:color w:val="auto"/>
          <w:kern w:val="0"/>
          <w:sz w:val="24"/>
          <w:szCs w:val="24"/>
          <w:highlight w:val="none"/>
        </w:rPr>
        <w:t>合同争议的解决方式：本合同在履行过程中发生的争议，由双方当事人协商解决；也可由当地工商行政管理部门调解；协商或调解不成的，按下列第</w:t>
      </w:r>
      <w:r>
        <w:rPr>
          <w:rFonts w:hint="eastAsia" w:ascii="宋体" w:hAnsi="宋体" w:cs="宋体"/>
          <w:color w:val="auto"/>
          <w:kern w:val="0"/>
          <w:sz w:val="24"/>
          <w:szCs w:val="24"/>
          <w:highlight w:val="none"/>
          <w:u w:val="single"/>
        </w:rPr>
        <w:t>______</w:t>
      </w:r>
      <w:r>
        <w:rPr>
          <w:rFonts w:hint="eastAsia" w:ascii="宋体" w:hAnsi="宋体" w:cs="宋体"/>
          <w:color w:val="auto"/>
          <w:kern w:val="0"/>
          <w:sz w:val="24"/>
          <w:szCs w:val="24"/>
          <w:highlight w:val="none"/>
        </w:rPr>
        <w:t>种方式解决；</w:t>
      </w:r>
    </w:p>
    <w:p>
      <w:pPr>
        <w:widowControl/>
        <w:shd w:val="clear" w:color="auto" w:fill="FFFFFF"/>
        <w:spacing w:line="360" w:lineRule="auto"/>
        <w:ind w:firstLine="480" w:firstLineChars="2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（一）提交</w:t>
      </w:r>
      <w:r>
        <w:rPr>
          <w:rFonts w:hint="eastAsia" w:ascii="宋体" w:hAnsi="宋体" w:cs="宋体"/>
          <w:color w:val="auto"/>
          <w:kern w:val="0"/>
          <w:sz w:val="24"/>
          <w:szCs w:val="24"/>
          <w:highlight w:val="none"/>
          <w:u w:val="single"/>
        </w:rPr>
        <w:t>______________________</w:t>
      </w:r>
      <w:r>
        <w:rPr>
          <w:rFonts w:hint="eastAsia" w:ascii="宋体" w:hAnsi="宋体" w:cs="宋体"/>
          <w:color w:val="auto"/>
          <w:kern w:val="0"/>
          <w:sz w:val="24"/>
          <w:szCs w:val="24"/>
          <w:highlight w:val="none"/>
        </w:rPr>
        <w:t>仲裁委员会仲裁；</w:t>
      </w:r>
    </w:p>
    <w:p>
      <w:pPr>
        <w:widowControl/>
        <w:shd w:val="clear" w:color="auto" w:fill="FFFFFF"/>
        <w:spacing w:line="360" w:lineRule="auto"/>
        <w:ind w:firstLine="480" w:firstLineChars="2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（二）依法向人民法院起诉。</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第十七条 </w:t>
      </w:r>
      <w:r>
        <w:rPr>
          <w:rFonts w:hint="eastAsia" w:ascii="宋体" w:hAnsi="宋体" w:cs="宋体"/>
          <w:color w:val="auto"/>
          <w:kern w:val="0"/>
          <w:sz w:val="24"/>
          <w:szCs w:val="24"/>
          <w:highlight w:val="none"/>
        </w:rPr>
        <w:t>本合同自</w:t>
      </w:r>
      <w:r>
        <w:rPr>
          <w:rFonts w:hint="eastAsia" w:ascii="宋体" w:hAnsi="宋体" w:cs="宋体"/>
          <w:color w:val="auto"/>
          <w:kern w:val="0"/>
          <w:sz w:val="24"/>
          <w:szCs w:val="24"/>
          <w:highlight w:val="none"/>
          <w:u w:val="single"/>
        </w:rPr>
        <w:t>______________________</w:t>
      </w:r>
      <w:r>
        <w:rPr>
          <w:rFonts w:hint="eastAsia" w:ascii="宋体" w:hAnsi="宋体" w:cs="宋体"/>
          <w:color w:val="auto"/>
          <w:kern w:val="0"/>
          <w:sz w:val="24"/>
          <w:szCs w:val="24"/>
          <w:highlight w:val="none"/>
        </w:rPr>
        <w:t>生效。</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第十八条 </w:t>
      </w:r>
      <w:r>
        <w:rPr>
          <w:rFonts w:hint="eastAsia" w:ascii="宋体" w:hAnsi="宋体" w:cs="宋体"/>
          <w:color w:val="auto"/>
          <w:kern w:val="0"/>
          <w:sz w:val="24"/>
          <w:szCs w:val="24"/>
          <w:highlight w:val="none"/>
        </w:rPr>
        <w:t>其它约定事项</w:t>
      </w:r>
      <w:r>
        <w:rPr>
          <w:rFonts w:hint="eastAsia" w:ascii="宋体" w:hAnsi="宋体" w:cs="宋体"/>
          <w:color w:val="auto"/>
          <w:kern w:val="0"/>
          <w:sz w:val="24"/>
          <w:szCs w:val="24"/>
          <w:highlight w:val="none"/>
          <w:u w:val="single"/>
        </w:rPr>
        <w:t>______________________</w:t>
      </w:r>
    </w:p>
    <w:p>
      <w:pPr>
        <w:widowControl/>
        <w:shd w:val="clear" w:color="auto" w:fill="FFFFFF"/>
        <w:spacing w:line="360" w:lineRule="auto"/>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  </w:t>
      </w:r>
    </w:p>
    <w:p>
      <w:pPr>
        <w:widowControl/>
        <w:shd w:val="clear" w:color="auto" w:fill="FFFFFF"/>
        <w:spacing w:line="360" w:lineRule="auto"/>
        <w:ind w:firstLine="240" w:firstLineChars="1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出卖人：</w:t>
      </w:r>
      <w:r>
        <w:rPr>
          <w:rFonts w:hint="eastAsia" w:ascii="宋体" w:hAnsi="宋体" w:cs="宋体"/>
          <w:color w:val="auto"/>
          <w:kern w:val="0"/>
          <w:sz w:val="24"/>
          <w:szCs w:val="24"/>
          <w:highlight w:val="none"/>
        </w:rPr>
        <w:tab/>
      </w:r>
      <w:r>
        <w:rPr>
          <w:rFonts w:hint="eastAsia" w:ascii="宋体" w:hAnsi="宋体" w:cs="宋体"/>
          <w:color w:val="auto"/>
          <w:kern w:val="0"/>
          <w:sz w:val="24"/>
          <w:szCs w:val="24"/>
          <w:highlight w:val="none"/>
        </w:rPr>
        <w:t xml:space="preserve">                           买受人：</w:t>
      </w:r>
    </w:p>
    <w:p>
      <w:pPr>
        <w:widowControl/>
        <w:shd w:val="clear" w:color="auto" w:fill="FFFFFF"/>
        <w:spacing w:line="360" w:lineRule="auto"/>
        <w:ind w:firstLine="240" w:firstLineChars="1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出卖人（章）： </w:t>
      </w:r>
      <w:r>
        <w:rPr>
          <w:rFonts w:hint="eastAsia" w:ascii="宋体" w:hAnsi="宋体" w:cs="宋体"/>
          <w:color w:val="auto"/>
          <w:kern w:val="0"/>
          <w:sz w:val="24"/>
          <w:szCs w:val="24"/>
          <w:highlight w:val="none"/>
        </w:rPr>
        <w:tab/>
      </w:r>
      <w:r>
        <w:rPr>
          <w:rFonts w:hint="eastAsia" w:ascii="宋体" w:hAnsi="宋体" w:cs="宋体"/>
          <w:color w:val="auto"/>
          <w:kern w:val="0"/>
          <w:sz w:val="24"/>
          <w:szCs w:val="24"/>
          <w:highlight w:val="none"/>
        </w:rPr>
        <w:t xml:space="preserve">                    买受人（章）：</w:t>
      </w:r>
    </w:p>
    <w:p>
      <w:pPr>
        <w:widowControl/>
        <w:shd w:val="clear" w:color="auto" w:fill="FFFFFF"/>
        <w:spacing w:line="360" w:lineRule="auto"/>
        <w:ind w:firstLine="240" w:firstLineChars="1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住所：</w:t>
      </w:r>
      <w:r>
        <w:rPr>
          <w:rFonts w:hint="eastAsia" w:ascii="宋体" w:hAnsi="宋体" w:cs="宋体"/>
          <w:color w:val="auto"/>
          <w:kern w:val="0"/>
          <w:sz w:val="24"/>
          <w:szCs w:val="24"/>
          <w:highlight w:val="none"/>
        </w:rPr>
        <w:tab/>
      </w:r>
      <w:r>
        <w:rPr>
          <w:rFonts w:hint="eastAsia" w:ascii="宋体" w:hAnsi="宋体" w:cs="宋体"/>
          <w:color w:val="auto"/>
          <w:kern w:val="0"/>
          <w:sz w:val="24"/>
          <w:szCs w:val="24"/>
          <w:highlight w:val="none"/>
        </w:rPr>
        <w:t xml:space="preserve">                           住所：</w:t>
      </w:r>
    </w:p>
    <w:p>
      <w:pPr>
        <w:widowControl/>
        <w:shd w:val="clear" w:color="auto" w:fill="FFFFFF"/>
        <w:spacing w:line="360" w:lineRule="auto"/>
        <w:ind w:firstLine="240" w:firstLineChars="1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法定代表人：</w:t>
      </w:r>
      <w:r>
        <w:rPr>
          <w:rFonts w:hint="eastAsia" w:ascii="宋体" w:hAnsi="宋体" w:cs="宋体"/>
          <w:color w:val="auto"/>
          <w:kern w:val="0"/>
          <w:sz w:val="24"/>
          <w:szCs w:val="24"/>
          <w:highlight w:val="none"/>
        </w:rPr>
        <w:tab/>
      </w:r>
      <w:r>
        <w:rPr>
          <w:rFonts w:hint="eastAsia" w:ascii="宋体" w:hAnsi="宋体" w:cs="宋体"/>
          <w:color w:val="auto"/>
          <w:kern w:val="0"/>
          <w:sz w:val="24"/>
          <w:szCs w:val="24"/>
          <w:highlight w:val="none"/>
        </w:rPr>
        <w:t xml:space="preserve">                    法定代表人：</w:t>
      </w:r>
    </w:p>
    <w:p>
      <w:pPr>
        <w:widowControl/>
        <w:shd w:val="clear" w:color="auto" w:fill="FFFFFF"/>
        <w:spacing w:line="360" w:lineRule="auto"/>
        <w:ind w:firstLine="240" w:firstLineChars="1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委托代理人：</w:t>
      </w:r>
      <w:r>
        <w:rPr>
          <w:rFonts w:hint="eastAsia" w:ascii="宋体" w:hAnsi="宋体" w:cs="宋体"/>
          <w:color w:val="auto"/>
          <w:kern w:val="0"/>
          <w:sz w:val="24"/>
          <w:szCs w:val="24"/>
          <w:highlight w:val="none"/>
        </w:rPr>
        <w:tab/>
      </w:r>
      <w:r>
        <w:rPr>
          <w:rFonts w:hint="eastAsia" w:ascii="宋体" w:hAnsi="宋体" w:cs="宋体"/>
          <w:color w:val="auto"/>
          <w:kern w:val="0"/>
          <w:sz w:val="24"/>
          <w:szCs w:val="24"/>
          <w:highlight w:val="none"/>
        </w:rPr>
        <w:t xml:space="preserve">                    委托代理人：</w:t>
      </w:r>
    </w:p>
    <w:p>
      <w:pPr>
        <w:widowControl/>
        <w:shd w:val="clear" w:color="auto" w:fill="FFFFFF"/>
        <w:spacing w:line="360" w:lineRule="auto"/>
        <w:ind w:firstLine="240" w:firstLineChars="1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电话：</w:t>
      </w:r>
      <w:r>
        <w:rPr>
          <w:rFonts w:hint="eastAsia" w:ascii="宋体" w:hAnsi="宋体" w:cs="宋体"/>
          <w:color w:val="auto"/>
          <w:kern w:val="0"/>
          <w:sz w:val="24"/>
          <w:szCs w:val="24"/>
          <w:highlight w:val="none"/>
        </w:rPr>
        <w:tab/>
      </w:r>
      <w:r>
        <w:rPr>
          <w:rFonts w:hint="eastAsia" w:ascii="宋体" w:hAnsi="宋体" w:cs="宋体"/>
          <w:color w:val="auto"/>
          <w:kern w:val="0"/>
          <w:sz w:val="24"/>
          <w:szCs w:val="24"/>
          <w:highlight w:val="none"/>
        </w:rPr>
        <w:t xml:space="preserve">                           电话：</w:t>
      </w:r>
    </w:p>
    <w:p>
      <w:pPr>
        <w:widowControl/>
        <w:shd w:val="clear" w:color="auto" w:fill="FFFFFF"/>
        <w:spacing w:line="360" w:lineRule="auto"/>
        <w:ind w:firstLine="240" w:firstLineChars="1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传真：</w:t>
      </w:r>
      <w:r>
        <w:rPr>
          <w:rFonts w:hint="eastAsia" w:ascii="宋体" w:hAnsi="宋体" w:cs="宋体"/>
          <w:color w:val="auto"/>
          <w:kern w:val="0"/>
          <w:sz w:val="24"/>
          <w:szCs w:val="24"/>
          <w:highlight w:val="none"/>
        </w:rPr>
        <w:tab/>
      </w:r>
      <w:r>
        <w:rPr>
          <w:rFonts w:hint="eastAsia" w:ascii="宋体" w:hAnsi="宋体" w:cs="宋体"/>
          <w:color w:val="auto"/>
          <w:kern w:val="0"/>
          <w:sz w:val="24"/>
          <w:szCs w:val="24"/>
          <w:highlight w:val="none"/>
        </w:rPr>
        <w:t xml:space="preserve">                           传真：</w:t>
      </w:r>
    </w:p>
    <w:p>
      <w:pPr>
        <w:widowControl/>
        <w:shd w:val="clear" w:color="auto" w:fill="FFFFFF"/>
        <w:spacing w:line="360" w:lineRule="auto"/>
        <w:ind w:firstLine="240" w:firstLineChars="1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开户银行：</w:t>
      </w:r>
      <w:r>
        <w:rPr>
          <w:rFonts w:hint="eastAsia" w:ascii="宋体" w:hAnsi="宋体" w:cs="宋体"/>
          <w:color w:val="auto"/>
          <w:kern w:val="0"/>
          <w:sz w:val="24"/>
          <w:szCs w:val="24"/>
          <w:highlight w:val="none"/>
        </w:rPr>
        <w:tab/>
      </w:r>
      <w:r>
        <w:rPr>
          <w:rFonts w:hint="eastAsia" w:ascii="宋体" w:hAnsi="宋体" w:cs="宋体"/>
          <w:color w:val="auto"/>
          <w:kern w:val="0"/>
          <w:sz w:val="24"/>
          <w:szCs w:val="24"/>
          <w:highlight w:val="none"/>
        </w:rPr>
        <w:t xml:space="preserve">                       开户银行：</w:t>
      </w:r>
    </w:p>
    <w:p>
      <w:pPr>
        <w:widowControl/>
        <w:shd w:val="clear" w:color="auto" w:fill="FFFFFF"/>
        <w:spacing w:line="360" w:lineRule="auto"/>
        <w:ind w:firstLine="240" w:firstLineChars="1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账号：</w:t>
      </w:r>
      <w:r>
        <w:rPr>
          <w:rFonts w:hint="eastAsia" w:ascii="宋体" w:hAnsi="宋体" w:cs="宋体"/>
          <w:color w:val="auto"/>
          <w:kern w:val="0"/>
          <w:sz w:val="24"/>
          <w:szCs w:val="24"/>
          <w:highlight w:val="none"/>
        </w:rPr>
        <w:tab/>
      </w:r>
      <w:r>
        <w:rPr>
          <w:rFonts w:hint="eastAsia" w:ascii="宋体" w:hAnsi="宋体" w:cs="宋体"/>
          <w:color w:val="auto"/>
          <w:kern w:val="0"/>
          <w:sz w:val="24"/>
          <w:szCs w:val="24"/>
          <w:highlight w:val="none"/>
        </w:rPr>
        <w:t xml:space="preserve">                           账号：</w:t>
      </w:r>
    </w:p>
    <w:p>
      <w:pPr>
        <w:widowControl/>
        <w:shd w:val="clear" w:color="auto" w:fill="FFFFFF"/>
        <w:spacing w:line="360" w:lineRule="auto"/>
        <w:ind w:firstLine="240" w:firstLineChars="1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邮政编码：</w:t>
      </w:r>
      <w:r>
        <w:rPr>
          <w:rFonts w:hint="eastAsia" w:ascii="宋体" w:hAnsi="宋体" w:cs="宋体"/>
          <w:color w:val="auto"/>
          <w:kern w:val="0"/>
          <w:sz w:val="24"/>
          <w:szCs w:val="24"/>
          <w:highlight w:val="none"/>
        </w:rPr>
        <w:tab/>
      </w:r>
      <w:r>
        <w:rPr>
          <w:rFonts w:hint="eastAsia" w:ascii="宋体" w:hAnsi="宋体" w:cs="宋体"/>
          <w:color w:val="auto"/>
          <w:kern w:val="0"/>
          <w:sz w:val="24"/>
          <w:szCs w:val="24"/>
          <w:highlight w:val="none"/>
        </w:rPr>
        <w:t xml:space="preserve">                       邮政编码：</w:t>
      </w:r>
    </w:p>
    <w:p>
      <w:pPr>
        <w:rPr>
          <w:rFonts w:ascii="宋体" w:hAnsi="宋体" w:cs="Arial"/>
          <w:color w:val="auto"/>
          <w:kern w:val="0"/>
          <w:sz w:val="24"/>
          <w:szCs w:val="24"/>
          <w:highlight w:val="none"/>
        </w:rPr>
      </w:pPr>
    </w:p>
    <w:p>
      <w:pPr>
        <w:pStyle w:val="12"/>
        <w:rPr>
          <w:color w:val="auto"/>
          <w:highlight w:val="none"/>
        </w:rPr>
      </w:pPr>
      <w:r>
        <w:rPr>
          <w:rFonts w:hint="eastAsia"/>
          <w:color w:val="auto"/>
          <w:highlight w:val="none"/>
        </w:rPr>
        <w:t>备注：本合同为示范文本（供参考），具体内容以甲乙双方签订的为准。</w:t>
      </w:r>
    </w:p>
    <w:p>
      <w:pPr>
        <w:spacing w:line="400" w:lineRule="exact"/>
        <w:rPr>
          <w:rFonts w:cs="仿宋" w:asciiTheme="minorEastAsia" w:hAnsiTheme="minorEastAsia"/>
          <w:color w:val="auto"/>
          <w:sz w:val="24"/>
          <w:szCs w:val="24"/>
          <w:highlight w:val="none"/>
        </w:rPr>
      </w:pPr>
    </w:p>
    <w:p>
      <w:pPr>
        <w:pStyle w:val="3"/>
        <w:rPr>
          <w:color w:val="auto"/>
          <w:highlight w:val="none"/>
        </w:rPr>
      </w:pPr>
    </w:p>
    <w:p>
      <w:pPr>
        <w:pStyle w:val="3"/>
        <w:rPr>
          <w:color w:val="auto"/>
          <w:highlight w:val="none"/>
        </w:rPr>
      </w:pPr>
    </w:p>
    <w:p>
      <w:pPr>
        <w:rPr>
          <w:color w:val="auto"/>
          <w:highlight w:val="none"/>
        </w:rPr>
      </w:pPr>
    </w:p>
    <w:p>
      <w:pPr>
        <w:rPr>
          <w:color w:val="auto"/>
          <w:highlight w:val="none"/>
        </w:rPr>
      </w:pPr>
    </w:p>
    <w:p>
      <w:pPr>
        <w:pStyle w:val="3"/>
        <w:rPr>
          <w:color w:val="auto"/>
          <w:highlight w:val="none"/>
        </w:rPr>
      </w:pPr>
      <w:r>
        <w:rPr>
          <w:color w:val="auto"/>
          <w:highlight w:val="none"/>
        </w:rPr>
        <w:br w:type="page"/>
      </w:r>
    </w:p>
    <w:p>
      <w:pPr>
        <w:spacing w:line="440" w:lineRule="exact"/>
        <w:jc w:val="center"/>
        <w:outlineLvl w:val="0"/>
        <w:rPr>
          <w:rFonts w:ascii="宋体" w:hAnsi="宋体" w:eastAsia="宋体" w:cs="宋体"/>
          <w:b/>
          <w:color w:val="auto"/>
          <w:sz w:val="24"/>
          <w:szCs w:val="24"/>
          <w:highlight w:val="none"/>
        </w:rPr>
      </w:pPr>
      <w:bookmarkStart w:id="41" w:name="_Toc141050504"/>
      <w:r>
        <w:rPr>
          <w:rFonts w:hint="eastAsia" w:ascii="宋体" w:hAnsi="宋体" w:eastAsia="宋体" w:cs="宋体"/>
          <w:b/>
          <w:color w:val="auto"/>
          <w:sz w:val="24"/>
          <w:szCs w:val="24"/>
          <w:highlight w:val="none"/>
        </w:rPr>
        <w:t>第四章 技术标准和要求</w:t>
      </w:r>
      <w:bookmarkEnd w:id="41"/>
      <w:bookmarkStart w:id="42" w:name="_Toc138638509"/>
      <w:bookmarkEnd w:id="42"/>
      <w:bookmarkStart w:id="43" w:name="_Toc138638510"/>
      <w:bookmarkEnd w:id="43"/>
      <w:bookmarkStart w:id="44" w:name="_合同文件的组成及解释顺序"/>
      <w:bookmarkEnd w:id="44"/>
      <w:bookmarkStart w:id="45" w:name="_Toc138638910"/>
      <w:bookmarkEnd w:id="45"/>
      <w:bookmarkStart w:id="46" w:name="_Toc138638718"/>
      <w:bookmarkEnd w:id="46"/>
      <w:bookmarkStart w:id="47" w:name="_Toc138638907"/>
      <w:bookmarkEnd w:id="47"/>
      <w:bookmarkStart w:id="48" w:name="_Toc138638719"/>
      <w:bookmarkEnd w:id="48"/>
      <w:bookmarkStart w:id="49" w:name="_Toc138638906"/>
      <w:bookmarkEnd w:id="49"/>
      <w:bookmarkStart w:id="50" w:name="_Toc138639090"/>
      <w:bookmarkEnd w:id="50"/>
      <w:bookmarkStart w:id="51" w:name="_Toc138638538"/>
      <w:bookmarkEnd w:id="51"/>
      <w:bookmarkStart w:id="52" w:name="_Toc138638702"/>
      <w:bookmarkEnd w:id="52"/>
      <w:bookmarkStart w:id="53" w:name="_Toc138638884"/>
      <w:bookmarkEnd w:id="53"/>
      <w:bookmarkStart w:id="54" w:name="_Toc138638534"/>
      <w:bookmarkEnd w:id="54"/>
      <w:bookmarkStart w:id="55" w:name="_Toc138639145"/>
      <w:bookmarkEnd w:id="55"/>
      <w:bookmarkStart w:id="56" w:name="_Toc138639091"/>
      <w:bookmarkEnd w:id="56"/>
      <w:bookmarkStart w:id="57" w:name="_Toc138638773"/>
      <w:bookmarkEnd w:id="57"/>
      <w:bookmarkStart w:id="58" w:name="_Toc138638883"/>
      <w:bookmarkEnd w:id="58"/>
      <w:bookmarkStart w:id="59" w:name="_Toc138638535"/>
      <w:bookmarkEnd w:id="59"/>
      <w:bookmarkStart w:id="60" w:name="_Toc138639074"/>
      <w:bookmarkEnd w:id="60"/>
    </w:p>
    <w:tbl>
      <w:tblPr>
        <w:tblStyle w:val="37"/>
        <w:tblW w:w="9022" w:type="dxa"/>
        <w:jc w:val="center"/>
        <w:tblLayout w:type="fixed"/>
        <w:tblCellMar>
          <w:top w:w="0" w:type="dxa"/>
          <w:left w:w="108" w:type="dxa"/>
          <w:bottom w:w="0" w:type="dxa"/>
          <w:right w:w="108" w:type="dxa"/>
        </w:tblCellMar>
      </w:tblPr>
      <w:tblGrid>
        <w:gridCol w:w="709"/>
        <w:gridCol w:w="1309"/>
        <w:gridCol w:w="5587"/>
        <w:gridCol w:w="708"/>
        <w:gridCol w:w="709"/>
      </w:tblGrid>
      <w:tr>
        <w:tblPrEx>
          <w:tblCellMar>
            <w:top w:w="0" w:type="dxa"/>
            <w:left w:w="108" w:type="dxa"/>
            <w:bottom w:w="0" w:type="dxa"/>
            <w:right w:w="108" w:type="dxa"/>
          </w:tblCellMar>
        </w:tblPrEx>
        <w:trPr>
          <w:trHeight w:val="480" w:hRule="atLeast"/>
          <w:jc w:val="center"/>
        </w:trPr>
        <w:tc>
          <w:tcPr>
            <w:tcW w:w="709"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Next w:val="0"/>
              <w:keepLines w:val="0"/>
              <w:pageBreakBefore w:val="0"/>
              <w:widowControl/>
              <w:kinsoku/>
              <w:wordWrap/>
              <w:overflowPunct/>
              <w:topLinePunct w:val="0"/>
              <w:bidi w:val="0"/>
              <w:snapToGrid/>
              <w:spacing w:line="240" w:lineRule="auto"/>
              <w:jc w:val="center"/>
              <w:rPr>
                <w:rFonts w:hint="eastAsia" w:asciiTheme="minorEastAsia" w:hAnsiTheme="minorEastAsia" w:eastAsiaTheme="minorEastAsia" w:cstheme="minorEastAsia"/>
                <w:b/>
                <w:bCs/>
                <w:color w:val="auto"/>
                <w:kern w:val="0"/>
                <w:sz w:val="18"/>
                <w:szCs w:val="18"/>
                <w:highlight w:val="none"/>
              </w:rPr>
            </w:pPr>
            <w:bookmarkStart w:id="61" w:name="_Toc531016893"/>
            <w:r>
              <w:rPr>
                <w:rFonts w:hint="eastAsia" w:asciiTheme="minorEastAsia" w:hAnsiTheme="minorEastAsia" w:eastAsiaTheme="minorEastAsia" w:cstheme="minorEastAsia"/>
                <w:b/>
                <w:bCs/>
                <w:color w:val="auto"/>
                <w:kern w:val="0"/>
                <w:sz w:val="18"/>
                <w:szCs w:val="18"/>
                <w:highlight w:val="none"/>
              </w:rPr>
              <w:t>序号</w:t>
            </w:r>
          </w:p>
        </w:tc>
        <w:tc>
          <w:tcPr>
            <w:tcW w:w="1309" w:type="dxa"/>
            <w:tcBorders>
              <w:top w:val="single" w:color="auto" w:sz="4" w:space="0"/>
              <w:left w:val="nil"/>
              <w:bottom w:val="single" w:color="auto" w:sz="4" w:space="0"/>
              <w:right w:val="single" w:color="auto" w:sz="4" w:space="0"/>
            </w:tcBorders>
            <w:tcMar>
              <w:left w:w="0" w:type="dxa"/>
              <w:right w:w="0" w:type="dxa"/>
            </w:tcMar>
            <w:vAlign w:val="center"/>
          </w:tcPr>
          <w:p>
            <w:pPr>
              <w:keepNext w:val="0"/>
              <w:keepLines w:val="0"/>
              <w:pageBreakBefore w:val="0"/>
              <w:widowControl/>
              <w:kinsoku/>
              <w:wordWrap/>
              <w:overflowPunct/>
              <w:topLinePunct w:val="0"/>
              <w:bidi w:val="0"/>
              <w:snapToGrid/>
              <w:spacing w:line="240" w:lineRule="auto"/>
              <w:jc w:val="center"/>
              <w:rPr>
                <w:rFonts w:hint="eastAsia" w:asciiTheme="minorEastAsia" w:hAnsiTheme="minorEastAsia" w:eastAsiaTheme="minorEastAsia" w:cstheme="minorEastAsia"/>
                <w:b/>
                <w:bCs/>
                <w:color w:val="auto"/>
                <w:kern w:val="0"/>
                <w:sz w:val="18"/>
                <w:szCs w:val="18"/>
                <w:highlight w:val="none"/>
              </w:rPr>
            </w:pPr>
            <w:r>
              <w:rPr>
                <w:rFonts w:hint="eastAsia" w:asciiTheme="minorEastAsia" w:hAnsiTheme="minorEastAsia" w:eastAsiaTheme="minorEastAsia" w:cstheme="minorEastAsia"/>
                <w:b/>
                <w:bCs/>
                <w:color w:val="auto"/>
                <w:kern w:val="0"/>
                <w:sz w:val="18"/>
                <w:szCs w:val="18"/>
                <w:highlight w:val="none"/>
              </w:rPr>
              <w:t>设备名称</w:t>
            </w:r>
          </w:p>
        </w:tc>
        <w:tc>
          <w:tcPr>
            <w:tcW w:w="5587"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Next w:val="0"/>
              <w:keepLines w:val="0"/>
              <w:pageBreakBefore w:val="0"/>
              <w:widowControl/>
              <w:kinsoku/>
              <w:wordWrap/>
              <w:overflowPunct/>
              <w:topLinePunct w:val="0"/>
              <w:bidi w:val="0"/>
              <w:snapToGrid/>
              <w:spacing w:line="240" w:lineRule="auto"/>
              <w:jc w:val="center"/>
              <w:rPr>
                <w:rFonts w:hint="eastAsia" w:asciiTheme="minorEastAsia" w:hAnsiTheme="minorEastAsia" w:eastAsiaTheme="minorEastAsia" w:cstheme="minorEastAsia"/>
                <w:b/>
                <w:bCs/>
                <w:color w:val="auto"/>
                <w:kern w:val="0"/>
                <w:sz w:val="18"/>
                <w:szCs w:val="18"/>
                <w:highlight w:val="none"/>
              </w:rPr>
            </w:pPr>
            <w:r>
              <w:rPr>
                <w:rFonts w:hint="eastAsia" w:asciiTheme="minorEastAsia" w:hAnsiTheme="minorEastAsia" w:eastAsiaTheme="minorEastAsia" w:cstheme="minorEastAsia"/>
                <w:b/>
                <w:bCs/>
                <w:color w:val="auto"/>
                <w:kern w:val="0"/>
                <w:sz w:val="18"/>
                <w:szCs w:val="18"/>
                <w:highlight w:val="none"/>
              </w:rPr>
              <w:t>主要参数</w:t>
            </w:r>
          </w:p>
        </w:tc>
        <w:tc>
          <w:tcPr>
            <w:tcW w:w="7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Next w:val="0"/>
              <w:keepLines w:val="0"/>
              <w:pageBreakBefore w:val="0"/>
              <w:widowControl/>
              <w:kinsoku/>
              <w:wordWrap/>
              <w:overflowPunct/>
              <w:topLinePunct w:val="0"/>
              <w:bidi w:val="0"/>
              <w:snapToGrid/>
              <w:spacing w:line="240" w:lineRule="auto"/>
              <w:jc w:val="center"/>
              <w:rPr>
                <w:rFonts w:hint="eastAsia" w:asciiTheme="minorEastAsia" w:hAnsiTheme="minorEastAsia" w:eastAsiaTheme="minorEastAsia" w:cstheme="minorEastAsia"/>
                <w:b/>
                <w:bCs/>
                <w:color w:val="auto"/>
                <w:kern w:val="0"/>
                <w:sz w:val="18"/>
                <w:szCs w:val="18"/>
                <w:highlight w:val="none"/>
              </w:rPr>
            </w:pPr>
            <w:r>
              <w:rPr>
                <w:rFonts w:hint="eastAsia" w:asciiTheme="minorEastAsia" w:hAnsiTheme="minorEastAsia" w:eastAsiaTheme="minorEastAsia" w:cstheme="minorEastAsia"/>
                <w:b/>
                <w:bCs/>
                <w:color w:val="auto"/>
                <w:kern w:val="0"/>
                <w:sz w:val="18"/>
                <w:szCs w:val="18"/>
                <w:highlight w:val="none"/>
              </w:rPr>
              <w:t>单位</w:t>
            </w:r>
          </w:p>
        </w:tc>
        <w:tc>
          <w:tcPr>
            <w:tcW w:w="709"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Next w:val="0"/>
              <w:keepLines w:val="0"/>
              <w:pageBreakBefore w:val="0"/>
              <w:widowControl/>
              <w:kinsoku/>
              <w:wordWrap/>
              <w:overflowPunct/>
              <w:topLinePunct w:val="0"/>
              <w:bidi w:val="0"/>
              <w:snapToGrid/>
              <w:spacing w:line="240" w:lineRule="auto"/>
              <w:jc w:val="center"/>
              <w:rPr>
                <w:rFonts w:hint="eastAsia" w:asciiTheme="minorEastAsia" w:hAnsiTheme="minorEastAsia" w:eastAsiaTheme="minorEastAsia" w:cstheme="minorEastAsia"/>
                <w:b/>
                <w:bCs/>
                <w:color w:val="auto"/>
                <w:kern w:val="0"/>
                <w:sz w:val="18"/>
                <w:szCs w:val="18"/>
                <w:highlight w:val="none"/>
              </w:rPr>
            </w:pPr>
            <w:r>
              <w:rPr>
                <w:rFonts w:hint="eastAsia" w:asciiTheme="minorEastAsia" w:hAnsiTheme="minorEastAsia" w:eastAsiaTheme="minorEastAsia" w:cstheme="minorEastAsia"/>
                <w:b/>
                <w:bCs/>
                <w:color w:val="auto"/>
                <w:kern w:val="0"/>
                <w:sz w:val="18"/>
                <w:szCs w:val="18"/>
                <w:highlight w:val="none"/>
              </w:rPr>
              <w:t>数量</w:t>
            </w:r>
          </w:p>
        </w:tc>
      </w:tr>
      <w:tr>
        <w:tblPrEx>
          <w:tblCellMar>
            <w:top w:w="0" w:type="dxa"/>
            <w:left w:w="108" w:type="dxa"/>
            <w:bottom w:w="0" w:type="dxa"/>
            <w:right w:w="108" w:type="dxa"/>
          </w:tblCellMar>
        </w:tblPrEx>
        <w:trPr>
          <w:trHeight w:val="480" w:hRule="atLeast"/>
          <w:jc w:val="center"/>
        </w:trPr>
        <w:tc>
          <w:tcPr>
            <w:tcW w:w="709"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b/>
                <w:bCs/>
                <w:color w:val="auto"/>
                <w:kern w:val="0"/>
                <w:sz w:val="18"/>
                <w:szCs w:val="18"/>
                <w:highlight w:val="none"/>
              </w:rPr>
            </w:pPr>
            <w:r>
              <w:rPr>
                <w:rFonts w:hint="eastAsia" w:asciiTheme="minorEastAsia" w:hAnsiTheme="minorEastAsia" w:eastAsiaTheme="minorEastAsia" w:cstheme="minorEastAsia"/>
                <w:color w:val="auto"/>
                <w:sz w:val="18"/>
                <w:szCs w:val="18"/>
                <w:highlight w:val="none"/>
              </w:rPr>
              <w:t>1</w:t>
            </w:r>
          </w:p>
        </w:tc>
        <w:tc>
          <w:tcPr>
            <w:tcW w:w="1309" w:type="dxa"/>
            <w:tcBorders>
              <w:top w:val="single" w:color="auto" w:sz="4" w:space="0"/>
              <w:left w:val="nil"/>
              <w:bottom w:val="single" w:color="auto" w:sz="4" w:space="0"/>
              <w:right w:val="single" w:color="auto" w:sz="4" w:space="0"/>
            </w:tcBorders>
            <w:tcMar>
              <w:left w:w="0" w:type="dxa"/>
              <w:right w:w="0" w:type="dxa"/>
            </w:tcMar>
            <w:vAlign w:val="center"/>
          </w:tcPr>
          <w:p>
            <w:pPr>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sz w:val="18"/>
                <w:szCs w:val="18"/>
                <w:highlight w:val="none"/>
              </w:rPr>
              <w:t>厌氧工作站</w:t>
            </w:r>
          </w:p>
        </w:tc>
        <w:tc>
          <w:tcPr>
            <w:tcW w:w="5587"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功能：精准控制氧气、二氧化碳、温度、湿度，模拟不同生理环境，支持厌氧、低氧、高氧、间歇性气体控制多种模型，满足微生物或细胞领域多种研究需求；</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技术参数：</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容量及尺寸</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1.操作仓内部尺寸：宽938mm×深508m×高591mm，</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2.可轻松放置600-900个直径90mm平皿，可内置各种小型设备；</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结构部分</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3.整体符合人体工程学设计，透明亚克力前面板，搭配裸手操作，视线广阔、操作灵活舒适；</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4.操作仓主体采用食品级安全无毒的板材，采用主动密封，气密性更优，使用及维护更便捷；</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5.掀盖式前面板，双气压支撑杆，易于开启和关闭，方便将设备或大量样品转入/转出操作仓，或者对设备深度清洁维护或检修；</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6. 10.1英寸彩色电容触摸屏，，实时监控和记录培养参数，操作方便；</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7.转移仓内外门互锁联动机制，确保内外门无法同时打开，保证快速安全传递；</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8.裸手操作系统，可通过脚踏开关或屏幕控制，进行抽气/充气等操作；</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9.27L大容量转移仓，一次可转移80个直径90mm的培养皿，可转大部分厌氧罐，可在屏幕上设置转移仓氮气吹扫时间（0-999秒）、真空置换次数（0-99次）及真空度（0-65%）等参数；</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控制部分</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10.一键式参数控制，通过触摸屏上的按键，一键即可完成氧气浓度、二氧化碳浓度、温度、湿度、压力、风机、照明灯等项目的开启和关闭，主界面点击【一键停止】，可关闭所有控制；</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11.★氧气控制范围：0~99.9%，氧气小于90%时精度±0.1%，氧气大于90%时精度±0.2%；支持百分数和绝对氧分压（mmHg）两种形式显示；氧气传感器零点和标气一键校准功能；氧气探头定时提醒校正功能，定时天数1-999天。</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12.★二氧化碳控制范围：0.1%~30%，精度±0.1%。可自校准；</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13.可选氢气控制模块，控制范围0-5%，精度±0.1%，可自校准；</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14.操作仓温度控制范围：环境温度+3℃~45℃，精度±0.1℃；</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15.配半导体冷阱降湿装置，可控湿度不超过85%RH；</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功能及配置部分</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16.★间歇性气体控制：可进行氧气、二氧化碳浓度的间歇性控制，可对氧气、二氧化碳、时间及循环次数等参数的自主设定，梯度段数可设置10段，循环次数可设置有限循环（1-999次）和无限循环，可设置维持段浓度，并以图表方式显示，可查历史数据，以曲线方式显示；</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17.具有预约功能，可以预约氧气、二氧化碳、温度、湿度、照明灯、紫外灯、净化等类目的开/关，可预约时长0-10080分钟，并实时显示预约剩余时间；</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18.含内置电源插座3个，方便使用电动移液器及长移液管，方便内置掌上离心机、小显微镜等小仪器，使用方便安全；</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19.★含HEPA 14级过滤系统，洁净度达到ISO Class 3级别，保护样品免受污染；</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20.★标配两支紫外灯，可对HEPA及操作仓内气体进行消毒处理，紫外灯消毒时间自主调节，最高可设定10080分钟；</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21. 含LED灯照明，亮度5级可调；</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22. 含单皿传递系统，适合传递单个培养皿/瓶；</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23. 含第三方电缆或探头接口，可用于温度校验或气体校验等；</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24. 含钯催化剂，用于催化除氧；</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25. 含脱毒剂，去除挥发性不饱和脂肪酸和硫化氢等气体；</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26.操作仓内可配置独立20L以下小培养箱，小培养箱带疏水膜，内部湿度可高达90-95%RH，适用于高湿度要求的微生物或细胞的培养；</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权限管理、数据记录及安全管理部分</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27.具有三级权限密码登录控制，设备管理安全高效；</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28.★曲线显示，可查看氧气浓度、二氧化碳浓度、温度、湿度和操作仓压力等参数的实时曲线和历史曲线；</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29.数据导出功能，历史数据可自主查询并导出；</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30.日志查询功能，查看用户操作日志，包括操作时间、用户及操作内容；</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31.历史报警信息查询功能，保存时间180天，可查询当前报警及历史报警信息，自主选择目标时间段，可查看该段时间内的报警详情，并可将报警信息导出；</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32.显示制造商和代理商信息，包括电话、传真、网址、地址等，遇到使用疑问或故障，可直接通过官方渠道咨询；</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33.中文操作系统，更符合中国用户的操作和使用；</w:t>
            </w:r>
          </w:p>
          <w:p>
            <w:pPr>
              <w:keepNext w:val="0"/>
              <w:keepLines w:val="0"/>
              <w:pageBreakBefore w:val="0"/>
              <w:widowControl/>
              <w:kinsoku/>
              <w:wordWrap/>
              <w:overflowPunct/>
              <w:topLinePunct w:val="0"/>
              <w:bidi w:val="0"/>
              <w:snapToGrid/>
              <w:spacing w:line="240" w:lineRule="auto"/>
              <w:jc w:val="left"/>
              <w:rPr>
                <w:rFonts w:hint="eastAsia" w:asciiTheme="minorEastAsia" w:hAnsiTheme="minorEastAsia" w:eastAsiaTheme="minorEastAsia" w:cstheme="minorEastAsia"/>
                <w:b/>
                <w:bCs/>
                <w:color w:val="auto"/>
                <w:kern w:val="0"/>
                <w:sz w:val="18"/>
                <w:szCs w:val="18"/>
                <w:highlight w:val="none"/>
                <w:lang w:val="en-US" w:eastAsia="zh-CN" w:bidi="ar-SA"/>
              </w:rPr>
            </w:pPr>
            <w:r>
              <w:rPr>
                <w:rFonts w:hint="eastAsia" w:asciiTheme="minorEastAsia" w:hAnsiTheme="minorEastAsia" w:eastAsiaTheme="minorEastAsia" w:cstheme="minorEastAsia"/>
                <w:color w:val="auto"/>
                <w:sz w:val="18"/>
                <w:szCs w:val="18"/>
                <w:highlight w:val="none"/>
              </w:rPr>
              <w:t>34.安全及警报功能：氧气浓度、二氧化碳浓度、温度、湿度、操作仓压力等超限均会保护并报警，在历史报警功能中可查询。</w:t>
            </w:r>
          </w:p>
        </w:tc>
        <w:tc>
          <w:tcPr>
            <w:tcW w:w="7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Next w:val="0"/>
              <w:keepLines w:val="0"/>
              <w:pageBreakBefore w:val="0"/>
              <w:widowControl/>
              <w:kinsoku/>
              <w:wordWrap/>
              <w:overflowPunct/>
              <w:topLinePunct w:val="0"/>
              <w:bidi w:val="0"/>
              <w:snapToGrid/>
              <w:spacing w:line="240" w:lineRule="auto"/>
              <w:jc w:val="center"/>
              <w:rPr>
                <w:rFonts w:hint="eastAsia" w:asciiTheme="minorEastAsia" w:hAnsiTheme="minorEastAsia" w:eastAsiaTheme="minorEastAsia" w:cstheme="minorEastAsia"/>
                <w:b/>
                <w:bCs/>
                <w:color w:val="auto"/>
                <w:kern w:val="0"/>
                <w:sz w:val="18"/>
                <w:szCs w:val="18"/>
                <w:highlight w:val="none"/>
                <w:lang w:val="en-US" w:eastAsia="zh-CN" w:bidi="ar-SA"/>
              </w:rPr>
            </w:pPr>
          </w:p>
        </w:tc>
        <w:tc>
          <w:tcPr>
            <w:tcW w:w="709"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sz w:val="18"/>
                <w:szCs w:val="18"/>
                <w:highlight w:val="none"/>
              </w:rPr>
              <w:t>1</w:t>
            </w:r>
          </w:p>
        </w:tc>
      </w:tr>
      <w:tr>
        <w:tblPrEx>
          <w:tblCellMar>
            <w:top w:w="0" w:type="dxa"/>
            <w:left w:w="108" w:type="dxa"/>
            <w:bottom w:w="0" w:type="dxa"/>
            <w:right w:w="108" w:type="dxa"/>
          </w:tblCellMar>
        </w:tblPrEx>
        <w:trPr>
          <w:trHeight w:val="480" w:hRule="atLeast"/>
          <w:jc w:val="center"/>
        </w:trPr>
        <w:tc>
          <w:tcPr>
            <w:tcW w:w="709"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Next w:val="0"/>
              <w:keepLines w:val="0"/>
              <w:pageBreakBefore w:val="0"/>
              <w:widowControl/>
              <w:kinsoku/>
              <w:wordWrap/>
              <w:overflowPunct/>
              <w:topLinePunct w:val="0"/>
              <w:bidi w:val="0"/>
              <w:snapToGrid/>
              <w:spacing w:line="240" w:lineRule="auto"/>
              <w:jc w:val="center"/>
              <w:rPr>
                <w:rFonts w:hint="eastAsia" w:asciiTheme="minorEastAsia" w:hAnsiTheme="minorEastAsia" w:eastAsiaTheme="minorEastAsia" w:cstheme="minorEastAsia"/>
                <w:b/>
                <w:bCs/>
                <w:color w:val="auto"/>
                <w:kern w:val="0"/>
                <w:sz w:val="18"/>
                <w:szCs w:val="18"/>
                <w:highlight w:val="none"/>
              </w:rPr>
            </w:pPr>
            <w:r>
              <w:rPr>
                <w:rFonts w:hint="eastAsia" w:asciiTheme="minorEastAsia" w:hAnsiTheme="minorEastAsia" w:eastAsiaTheme="minorEastAsia" w:cstheme="minorEastAsia"/>
                <w:b/>
                <w:bCs/>
                <w:color w:val="auto"/>
                <w:kern w:val="0"/>
                <w:sz w:val="18"/>
                <w:szCs w:val="18"/>
                <w:highlight w:val="none"/>
              </w:rPr>
              <w:t>2</w:t>
            </w:r>
          </w:p>
        </w:tc>
        <w:tc>
          <w:tcPr>
            <w:tcW w:w="1309" w:type="dxa"/>
            <w:tcBorders>
              <w:top w:val="single" w:color="auto" w:sz="4" w:space="0"/>
              <w:left w:val="nil"/>
              <w:bottom w:val="single" w:color="auto" w:sz="4" w:space="0"/>
              <w:right w:val="single" w:color="auto" w:sz="4" w:space="0"/>
            </w:tcBorders>
            <w:tcMar>
              <w:left w:w="0" w:type="dxa"/>
              <w:right w:w="0" w:type="dxa"/>
            </w:tcMar>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2"/>
                <w:sz w:val="18"/>
                <w:szCs w:val="18"/>
                <w:highlight w:val="none"/>
                <w:u w:val="none"/>
                <w:lang w:val="en-US" w:eastAsia="zh-CN" w:bidi="ar-SA"/>
              </w:rPr>
            </w:pPr>
            <w:r>
              <w:rPr>
                <w:rFonts w:hint="eastAsia" w:asciiTheme="minorEastAsia" w:hAnsiTheme="minorEastAsia" w:eastAsiaTheme="minorEastAsia" w:cstheme="minorEastAsia"/>
                <w:color w:val="auto"/>
                <w:kern w:val="0"/>
                <w:sz w:val="18"/>
                <w:szCs w:val="18"/>
                <w:highlight w:val="none"/>
              </w:rPr>
              <w:t>手动单道移液器</w:t>
            </w:r>
          </w:p>
        </w:tc>
        <w:tc>
          <w:tcPr>
            <w:tcW w:w="5587"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sz w:val="18"/>
                <w:szCs w:val="18"/>
                <w:highlight w:val="none"/>
              </w:rPr>
              <w:t>1  工作条件</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1.1常规实验室，室温条件</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  主要技术指标</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2.1.设计进一步减少了操作用力，使用更加轻松；</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2.2.坚固耐用，耐高温抗腐蚀</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2.3.可整支高温高压灭菌和紫外线灭菌，操作更安全</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2.4.四位数字体积显示，位置合理，便于移液时观察</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2.5.重量轻，显著减少操作用力，避免发生手部重复性劳损</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2.6.伸缩式弹性吸嘴设计，防止吸头安装高高低低，确保移液气密性和均一性</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2.7.密度调节功能，适用于不同密度的液体，通用性更广泛</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2.8.量程范围: 100-1000 ul</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2.9.描述: 单道</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w:t>
            </w:r>
            <w:r>
              <w:rPr>
                <w:rFonts w:hint="eastAsia" w:asciiTheme="minorEastAsia" w:hAnsiTheme="minorEastAsia" w:eastAsiaTheme="minorEastAsia" w:cstheme="minorEastAsia"/>
                <w:color w:val="auto"/>
                <w:sz w:val="18"/>
                <w:szCs w:val="18"/>
                <w:highlight w:val="none"/>
                <w:lang w:val="en-US" w:eastAsia="zh-CN"/>
              </w:rPr>
              <w:t>1</w:t>
            </w:r>
            <w:r>
              <w:rPr>
                <w:rFonts w:hint="eastAsia" w:asciiTheme="minorEastAsia" w:hAnsiTheme="minorEastAsia" w:eastAsiaTheme="minorEastAsia" w:cstheme="minorEastAsia"/>
                <w:color w:val="auto"/>
                <w:sz w:val="18"/>
                <w:szCs w:val="18"/>
                <w:highlight w:val="none"/>
              </w:rPr>
              <w:t>0容量: 100 ul,500 ul,1,000 ul</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w:t>
            </w:r>
            <w:r>
              <w:rPr>
                <w:rFonts w:hint="eastAsia" w:asciiTheme="minorEastAsia" w:hAnsiTheme="minorEastAsia" w:eastAsiaTheme="minorEastAsia" w:cstheme="minorEastAsia"/>
                <w:color w:val="auto"/>
                <w:sz w:val="18"/>
                <w:szCs w:val="18"/>
                <w:highlight w:val="none"/>
                <w:lang w:val="en-US" w:eastAsia="zh-CN"/>
              </w:rPr>
              <w:t>1</w:t>
            </w:r>
            <w:r>
              <w:rPr>
                <w:rFonts w:hint="eastAsia" w:asciiTheme="minorEastAsia" w:hAnsiTheme="minorEastAsia" w:eastAsiaTheme="minorEastAsia" w:cstheme="minorEastAsia"/>
                <w:color w:val="auto"/>
                <w:sz w:val="18"/>
                <w:szCs w:val="18"/>
                <w:highlight w:val="none"/>
              </w:rPr>
              <w:t>1不准确度: ±3.0%,±1.0%,±0.6%</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w:t>
            </w:r>
            <w:r>
              <w:rPr>
                <w:rFonts w:hint="eastAsia" w:asciiTheme="minorEastAsia" w:hAnsiTheme="minorEastAsia" w:eastAsiaTheme="minorEastAsia" w:cstheme="minorEastAsia"/>
                <w:color w:val="auto"/>
                <w:sz w:val="18"/>
                <w:szCs w:val="18"/>
                <w:highlight w:val="none"/>
                <w:lang w:val="en-US" w:eastAsia="zh-CN"/>
              </w:rPr>
              <w:t>12</w:t>
            </w:r>
            <w:r>
              <w:rPr>
                <w:rFonts w:hint="eastAsia" w:asciiTheme="minorEastAsia" w:hAnsiTheme="minorEastAsia" w:eastAsiaTheme="minorEastAsia" w:cstheme="minorEastAsia"/>
                <w:color w:val="auto"/>
                <w:sz w:val="18"/>
                <w:szCs w:val="18"/>
                <w:highlight w:val="none"/>
              </w:rPr>
              <w:t>不精确度: ≤0.6%,≤0.2%,≤0.2%</w:t>
            </w:r>
          </w:p>
        </w:tc>
        <w:tc>
          <w:tcPr>
            <w:tcW w:w="7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2"/>
                <w:sz w:val="18"/>
                <w:szCs w:val="18"/>
                <w:highlight w:val="none"/>
                <w:lang w:val="en-US" w:eastAsia="zh-CN" w:bidi="ar-SA"/>
              </w:rPr>
            </w:pPr>
            <w:r>
              <w:rPr>
                <w:rStyle w:val="203"/>
                <w:rFonts w:hint="eastAsia" w:asciiTheme="minorEastAsia" w:hAnsiTheme="minorEastAsia" w:eastAsiaTheme="minorEastAsia" w:cstheme="minorEastAsia"/>
                <w:color w:val="auto"/>
                <w:sz w:val="18"/>
                <w:szCs w:val="18"/>
                <w:highlight w:val="none"/>
              </w:rPr>
              <w:t>支</w:t>
            </w:r>
          </w:p>
        </w:tc>
        <w:tc>
          <w:tcPr>
            <w:tcW w:w="709"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5</w:t>
            </w:r>
          </w:p>
        </w:tc>
      </w:tr>
      <w:tr>
        <w:tblPrEx>
          <w:tblCellMar>
            <w:top w:w="0" w:type="dxa"/>
            <w:left w:w="108" w:type="dxa"/>
            <w:bottom w:w="0" w:type="dxa"/>
            <w:right w:w="108" w:type="dxa"/>
          </w:tblCellMar>
        </w:tblPrEx>
        <w:trPr>
          <w:trHeight w:val="285" w:hRule="atLeast"/>
          <w:jc w:val="center"/>
        </w:trPr>
        <w:tc>
          <w:tcPr>
            <w:tcW w:w="709" w:type="dxa"/>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Style w:val="203"/>
                <w:rFonts w:hint="eastAsia" w:asciiTheme="minorEastAsia" w:hAnsiTheme="minorEastAsia" w:eastAsiaTheme="minorEastAsia" w:cstheme="minorEastAsia"/>
                <w:color w:val="auto"/>
                <w:sz w:val="18"/>
                <w:szCs w:val="18"/>
                <w:highlight w:val="none"/>
              </w:rPr>
            </w:pPr>
            <w:r>
              <w:rPr>
                <w:rStyle w:val="203"/>
                <w:rFonts w:hint="eastAsia" w:asciiTheme="minorEastAsia" w:hAnsiTheme="minorEastAsia" w:eastAsiaTheme="minorEastAsia" w:cstheme="minorEastAsia"/>
                <w:color w:val="auto"/>
                <w:sz w:val="18"/>
                <w:szCs w:val="18"/>
                <w:highlight w:val="none"/>
              </w:rPr>
              <w:t>3</w:t>
            </w:r>
          </w:p>
        </w:tc>
        <w:tc>
          <w:tcPr>
            <w:tcW w:w="130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2"/>
                <w:sz w:val="18"/>
                <w:szCs w:val="18"/>
                <w:highlight w:val="none"/>
                <w:u w:val="none"/>
                <w:lang w:val="en-US" w:eastAsia="zh-CN" w:bidi="ar-SA"/>
              </w:rPr>
            </w:pPr>
            <w:r>
              <w:rPr>
                <w:rFonts w:hint="eastAsia" w:asciiTheme="minorEastAsia" w:hAnsiTheme="minorEastAsia" w:eastAsiaTheme="minorEastAsia" w:cstheme="minorEastAsia"/>
                <w:color w:val="auto"/>
                <w:kern w:val="0"/>
                <w:sz w:val="18"/>
                <w:szCs w:val="18"/>
                <w:highlight w:val="none"/>
              </w:rPr>
              <w:t>手动单道移液器</w:t>
            </w:r>
          </w:p>
        </w:tc>
        <w:tc>
          <w:tcPr>
            <w:tcW w:w="5587" w:type="dxa"/>
            <w:tcBorders>
              <w:top w:val="nil"/>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sz w:val="18"/>
                <w:szCs w:val="18"/>
                <w:highlight w:val="none"/>
              </w:rPr>
              <w:t>1  工作条件</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1.1常规实验室，室温条件</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  主要技术指标</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2.1.设计进一步减少了操作用力，使用更加轻松；</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2.2.坚固耐用，耐高温抗腐蚀</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2.3.可整支高温高压灭菌和紫外线灭菌，操作更安全</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2.4.四位数字体积显示，位置合理，便于移液时观察</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2.5.重量轻，显著减少操作用力，避免发生手部重复性劳损</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2.6.伸缩式弹性吸嘴设计，防止吸头安装高高低低，确保移液气密性和均一性</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2.7.密度调节功能，适用于不同密度的液体，通用性更广泛</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2.8.量程范围: 20-200 ul</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2.9.描述: 单道</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w:t>
            </w:r>
            <w:r>
              <w:rPr>
                <w:rFonts w:hint="eastAsia" w:asciiTheme="minorEastAsia" w:hAnsiTheme="minorEastAsia" w:eastAsiaTheme="minorEastAsia" w:cstheme="minorEastAsia"/>
                <w:color w:val="auto"/>
                <w:sz w:val="18"/>
                <w:szCs w:val="18"/>
                <w:highlight w:val="none"/>
                <w:lang w:val="en-US" w:eastAsia="zh-CN"/>
              </w:rPr>
              <w:t>1</w:t>
            </w:r>
            <w:r>
              <w:rPr>
                <w:rFonts w:hint="eastAsia" w:asciiTheme="minorEastAsia" w:hAnsiTheme="minorEastAsia" w:eastAsiaTheme="minorEastAsia" w:cstheme="minorEastAsia"/>
                <w:color w:val="auto"/>
                <w:sz w:val="18"/>
                <w:szCs w:val="18"/>
                <w:highlight w:val="none"/>
              </w:rPr>
              <w:t>0容量: 20 ul,100 ul,200 ul</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w:t>
            </w:r>
            <w:r>
              <w:rPr>
                <w:rFonts w:hint="eastAsia" w:asciiTheme="minorEastAsia" w:hAnsiTheme="minorEastAsia" w:eastAsiaTheme="minorEastAsia" w:cstheme="minorEastAsia"/>
                <w:color w:val="auto"/>
                <w:sz w:val="18"/>
                <w:szCs w:val="18"/>
                <w:highlight w:val="none"/>
                <w:lang w:val="en-US" w:eastAsia="zh-CN"/>
              </w:rPr>
              <w:t>1</w:t>
            </w:r>
            <w:r>
              <w:rPr>
                <w:rFonts w:hint="eastAsia" w:asciiTheme="minorEastAsia" w:hAnsiTheme="minorEastAsia" w:eastAsiaTheme="minorEastAsia" w:cstheme="minorEastAsia"/>
                <w:color w:val="auto"/>
                <w:sz w:val="18"/>
                <w:szCs w:val="18"/>
                <w:highlight w:val="none"/>
              </w:rPr>
              <w:t>1不准确度: ±2.5%,±1.0%,±0.6%</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w:t>
            </w:r>
            <w:r>
              <w:rPr>
                <w:rFonts w:hint="eastAsia" w:asciiTheme="minorEastAsia" w:hAnsiTheme="minorEastAsia" w:eastAsiaTheme="minorEastAsia" w:cstheme="minorEastAsia"/>
                <w:color w:val="auto"/>
                <w:sz w:val="18"/>
                <w:szCs w:val="18"/>
                <w:highlight w:val="none"/>
                <w:lang w:val="en-US" w:eastAsia="zh-CN"/>
              </w:rPr>
              <w:t>12</w:t>
            </w:r>
            <w:r>
              <w:rPr>
                <w:rFonts w:hint="eastAsia" w:asciiTheme="minorEastAsia" w:hAnsiTheme="minorEastAsia" w:eastAsiaTheme="minorEastAsia" w:cstheme="minorEastAsia"/>
                <w:color w:val="auto"/>
                <w:sz w:val="18"/>
                <w:szCs w:val="18"/>
                <w:highlight w:val="none"/>
              </w:rPr>
              <w:t>不精确度: ≤0.7%,≤0.3%,≤0.2%</w:t>
            </w:r>
          </w:p>
        </w:tc>
        <w:tc>
          <w:tcPr>
            <w:tcW w:w="708" w:type="dxa"/>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2"/>
                <w:sz w:val="18"/>
                <w:szCs w:val="18"/>
                <w:highlight w:val="none"/>
                <w:lang w:val="en-US" w:eastAsia="zh-CN" w:bidi="ar-SA"/>
              </w:rPr>
            </w:pPr>
            <w:r>
              <w:rPr>
                <w:rStyle w:val="203"/>
                <w:rFonts w:hint="eastAsia" w:asciiTheme="minorEastAsia" w:hAnsiTheme="minorEastAsia" w:eastAsiaTheme="minorEastAsia" w:cstheme="minorEastAsia"/>
                <w:color w:val="auto"/>
                <w:sz w:val="18"/>
                <w:szCs w:val="18"/>
                <w:highlight w:val="none"/>
              </w:rPr>
              <w:t>支</w:t>
            </w:r>
          </w:p>
        </w:tc>
        <w:tc>
          <w:tcPr>
            <w:tcW w:w="709" w:type="dxa"/>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5</w:t>
            </w:r>
          </w:p>
        </w:tc>
      </w:tr>
      <w:tr>
        <w:tblPrEx>
          <w:tblCellMar>
            <w:top w:w="0" w:type="dxa"/>
            <w:left w:w="108" w:type="dxa"/>
            <w:bottom w:w="0" w:type="dxa"/>
            <w:right w:w="108" w:type="dxa"/>
          </w:tblCellMar>
        </w:tblPrEx>
        <w:trPr>
          <w:trHeight w:val="285" w:hRule="atLeast"/>
          <w:jc w:val="center"/>
        </w:trPr>
        <w:tc>
          <w:tcPr>
            <w:tcW w:w="709" w:type="dxa"/>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Style w:val="203"/>
                <w:rFonts w:hint="eastAsia" w:asciiTheme="minorEastAsia" w:hAnsiTheme="minorEastAsia" w:eastAsiaTheme="minorEastAsia" w:cstheme="minorEastAsia"/>
                <w:color w:val="auto"/>
                <w:sz w:val="18"/>
                <w:szCs w:val="18"/>
                <w:highlight w:val="none"/>
              </w:rPr>
            </w:pPr>
            <w:r>
              <w:rPr>
                <w:rStyle w:val="203"/>
                <w:rFonts w:hint="eastAsia" w:asciiTheme="minorEastAsia" w:hAnsiTheme="minorEastAsia" w:eastAsiaTheme="minorEastAsia" w:cstheme="minorEastAsia"/>
                <w:color w:val="auto"/>
                <w:sz w:val="18"/>
                <w:szCs w:val="18"/>
                <w:highlight w:val="none"/>
              </w:rPr>
              <w:t>4</w:t>
            </w:r>
          </w:p>
        </w:tc>
        <w:tc>
          <w:tcPr>
            <w:tcW w:w="130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2"/>
                <w:sz w:val="18"/>
                <w:szCs w:val="18"/>
                <w:highlight w:val="none"/>
                <w:u w:val="none"/>
                <w:lang w:val="en-US" w:eastAsia="zh-CN" w:bidi="ar-SA"/>
              </w:rPr>
            </w:pPr>
            <w:r>
              <w:rPr>
                <w:rFonts w:hint="eastAsia" w:asciiTheme="minorEastAsia" w:hAnsiTheme="minorEastAsia" w:eastAsiaTheme="minorEastAsia" w:cstheme="minorEastAsia"/>
                <w:color w:val="auto"/>
                <w:kern w:val="0"/>
                <w:sz w:val="18"/>
                <w:szCs w:val="18"/>
                <w:highlight w:val="none"/>
              </w:rPr>
              <w:t>手动单道移液器</w:t>
            </w:r>
          </w:p>
        </w:tc>
        <w:tc>
          <w:tcPr>
            <w:tcW w:w="55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sz w:val="18"/>
                <w:szCs w:val="18"/>
                <w:highlight w:val="none"/>
              </w:rPr>
              <w:t>1  工作条件</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1.1常规实验室，室温条件</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  主要技术指标</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2.1.设计进一步减少了操作用力，使用更加轻松；</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2.2.坚固耐用，耐高温抗腐蚀</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2.3.可整支高温高压灭菌和紫外线灭菌，操作更安全</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2.4.四位数字体积显示，位置合理，便于移液时观察</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2.5.重量轻，显著减少操作用力，避免发生手部重复性劳损</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2.6.伸缩式弹性吸嘴设计，防止吸头安装高高低低，确保移液气密性和均一性</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2.7.密度调节功能，适用于不同密度的液体，通用性更广泛</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2.8.量程范围: 500-5000 ul</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2.9.描述: 单道</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w:t>
            </w:r>
            <w:r>
              <w:rPr>
                <w:rFonts w:hint="eastAsia" w:asciiTheme="minorEastAsia" w:hAnsiTheme="minorEastAsia" w:eastAsiaTheme="minorEastAsia" w:cstheme="minorEastAsia"/>
                <w:color w:val="auto"/>
                <w:sz w:val="18"/>
                <w:szCs w:val="18"/>
                <w:highlight w:val="none"/>
                <w:lang w:val="en-US" w:eastAsia="zh-CN"/>
              </w:rPr>
              <w:t>1</w:t>
            </w:r>
            <w:r>
              <w:rPr>
                <w:rFonts w:hint="eastAsia" w:asciiTheme="minorEastAsia" w:hAnsiTheme="minorEastAsia" w:eastAsiaTheme="minorEastAsia" w:cstheme="minorEastAsia"/>
                <w:color w:val="auto"/>
                <w:sz w:val="18"/>
                <w:szCs w:val="18"/>
                <w:highlight w:val="none"/>
              </w:rPr>
              <w:t>0容量: 500 ul,2,500 l,5,000 ul</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w:t>
            </w:r>
            <w:r>
              <w:rPr>
                <w:rFonts w:hint="eastAsia" w:asciiTheme="minorEastAsia" w:hAnsiTheme="minorEastAsia" w:eastAsiaTheme="minorEastAsia" w:cstheme="minorEastAsia"/>
                <w:color w:val="auto"/>
                <w:sz w:val="18"/>
                <w:szCs w:val="18"/>
                <w:highlight w:val="none"/>
                <w:lang w:val="en-US" w:eastAsia="zh-CN"/>
              </w:rPr>
              <w:t>1</w:t>
            </w:r>
            <w:r>
              <w:rPr>
                <w:rFonts w:hint="eastAsia" w:asciiTheme="minorEastAsia" w:hAnsiTheme="minorEastAsia" w:eastAsiaTheme="minorEastAsia" w:cstheme="minorEastAsia"/>
                <w:color w:val="auto"/>
                <w:sz w:val="18"/>
                <w:szCs w:val="18"/>
                <w:highlight w:val="none"/>
              </w:rPr>
              <w:t>1不准确度: ±2.4%,±1.2%,±0.6%</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2.</w:t>
            </w:r>
            <w:r>
              <w:rPr>
                <w:rFonts w:hint="eastAsia" w:asciiTheme="minorEastAsia" w:hAnsiTheme="minorEastAsia" w:eastAsiaTheme="minorEastAsia" w:cstheme="minorEastAsia"/>
                <w:color w:val="auto"/>
                <w:sz w:val="18"/>
                <w:szCs w:val="18"/>
                <w:highlight w:val="none"/>
                <w:lang w:val="en-US" w:eastAsia="zh-CN"/>
              </w:rPr>
              <w:t>12</w:t>
            </w:r>
            <w:r>
              <w:rPr>
                <w:rFonts w:hint="eastAsia" w:asciiTheme="minorEastAsia" w:hAnsiTheme="minorEastAsia" w:eastAsiaTheme="minorEastAsia" w:cstheme="minorEastAsia"/>
                <w:color w:val="auto"/>
                <w:sz w:val="18"/>
                <w:szCs w:val="18"/>
                <w:highlight w:val="none"/>
              </w:rPr>
              <w:t>不精确度: ≤0.6%,≤0.25%,≤0.15%</w:t>
            </w:r>
          </w:p>
        </w:tc>
        <w:tc>
          <w:tcPr>
            <w:tcW w:w="70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2"/>
                <w:sz w:val="18"/>
                <w:szCs w:val="18"/>
                <w:highlight w:val="none"/>
                <w:lang w:val="en-US" w:eastAsia="zh-CN" w:bidi="ar-SA"/>
              </w:rPr>
            </w:pPr>
            <w:r>
              <w:rPr>
                <w:rStyle w:val="203"/>
                <w:rFonts w:hint="eastAsia" w:asciiTheme="minorEastAsia" w:hAnsiTheme="minorEastAsia" w:eastAsiaTheme="minorEastAsia" w:cstheme="minorEastAsia"/>
                <w:color w:val="auto"/>
                <w:sz w:val="18"/>
                <w:szCs w:val="18"/>
                <w:highlight w:val="none"/>
              </w:rPr>
              <w:t>支</w:t>
            </w:r>
          </w:p>
        </w:tc>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5</w:t>
            </w:r>
          </w:p>
        </w:tc>
      </w:tr>
      <w:tr>
        <w:tblPrEx>
          <w:tblCellMar>
            <w:top w:w="0" w:type="dxa"/>
            <w:left w:w="108" w:type="dxa"/>
            <w:bottom w:w="0" w:type="dxa"/>
            <w:right w:w="108" w:type="dxa"/>
          </w:tblCellMar>
        </w:tblPrEx>
        <w:trPr>
          <w:trHeight w:val="285" w:hRule="atLeast"/>
          <w:jc w:val="center"/>
        </w:trPr>
        <w:tc>
          <w:tcPr>
            <w:tcW w:w="709" w:type="dxa"/>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Style w:val="203"/>
                <w:rFonts w:hint="eastAsia" w:asciiTheme="minorEastAsia" w:hAnsiTheme="minorEastAsia" w:eastAsiaTheme="minorEastAsia" w:cstheme="minorEastAsia"/>
                <w:color w:val="auto"/>
                <w:sz w:val="18"/>
                <w:szCs w:val="18"/>
                <w:highlight w:val="none"/>
              </w:rPr>
            </w:pPr>
            <w:r>
              <w:rPr>
                <w:rStyle w:val="203"/>
                <w:rFonts w:hint="eastAsia" w:asciiTheme="minorEastAsia" w:hAnsiTheme="minorEastAsia" w:eastAsiaTheme="minorEastAsia" w:cstheme="minorEastAsia"/>
                <w:color w:val="auto"/>
                <w:sz w:val="18"/>
                <w:szCs w:val="18"/>
                <w:highlight w:val="none"/>
              </w:rPr>
              <w:t>5</w:t>
            </w:r>
          </w:p>
        </w:tc>
        <w:tc>
          <w:tcPr>
            <w:tcW w:w="130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2"/>
                <w:sz w:val="18"/>
                <w:szCs w:val="18"/>
                <w:highlight w:val="none"/>
                <w:u w:val="none"/>
                <w:lang w:val="en-US" w:eastAsia="zh-CN" w:bidi="ar-SA"/>
              </w:rPr>
            </w:pPr>
            <w:r>
              <w:rPr>
                <w:rFonts w:hint="eastAsia" w:asciiTheme="minorEastAsia" w:hAnsiTheme="minorEastAsia" w:eastAsiaTheme="minorEastAsia" w:cstheme="minorEastAsia"/>
                <w:color w:val="auto"/>
                <w:kern w:val="0"/>
                <w:sz w:val="18"/>
                <w:szCs w:val="18"/>
                <w:highlight w:val="none"/>
              </w:rPr>
              <w:t>全自动纤维仪</w:t>
            </w:r>
          </w:p>
        </w:tc>
        <w:tc>
          <w:tcPr>
            <w:tcW w:w="55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bCs/>
                <w:color w:val="auto"/>
                <w:sz w:val="18"/>
                <w:szCs w:val="18"/>
                <w:highlight w:val="none"/>
              </w:rPr>
            </w:pPr>
            <w:r>
              <w:rPr>
                <w:rFonts w:hint="eastAsia" w:asciiTheme="minorEastAsia" w:hAnsiTheme="minorEastAsia" w:eastAsiaTheme="minorEastAsia" w:cstheme="minorEastAsia"/>
                <w:b/>
                <w:color w:val="auto"/>
                <w:sz w:val="18"/>
                <w:szCs w:val="18"/>
                <w:highlight w:val="none"/>
              </w:rPr>
              <w:t>1.</w:t>
            </w:r>
            <w:r>
              <w:rPr>
                <w:rFonts w:hint="eastAsia" w:asciiTheme="minorEastAsia" w:hAnsiTheme="minorEastAsia" w:eastAsiaTheme="minorEastAsia" w:cstheme="minorEastAsia"/>
                <w:bCs/>
                <w:color w:val="auto"/>
                <w:sz w:val="18"/>
                <w:szCs w:val="18"/>
                <w:highlight w:val="none"/>
              </w:rPr>
              <w:t>用于植物、饲料、食品及其它农副产品中粗纤维的测定以及洗涤纤维、纤维素、半纤维素和其它相关参数测试，其结果符合GB/T5515、GB/T6434 的规定。</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b/>
                <w:bCs/>
                <w:color w:val="auto"/>
                <w:sz w:val="18"/>
                <w:szCs w:val="18"/>
                <w:highlight w:val="none"/>
              </w:rPr>
            </w:pPr>
            <w:r>
              <w:rPr>
                <w:rFonts w:hint="eastAsia" w:asciiTheme="minorEastAsia" w:hAnsiTheme="minorEastAsia" w:eastAsiaTheme="minorEastAsia" w:cstheme="minorEastAsia"/>
                <w:b/>
                <w:bCs/>
                <w:color w:val="auto"/>
                <w:sz w:val="18"/>
                <w:szCs w:val="18"/>
                <w:highlight w:val="none"/>
              </w:rPr>
              <w:t>2.工作条件：</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2.1 工作环境温度：10℃～40℃ ；</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2.2 存储温度：10℃～50℃ ；</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2.3 相对湿度：0～90% 不结露 ；</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bCs/>
                <w:color w:val="auto"/>
                <w:sz w:val="18"/>
                <w:szCs w:val="18"/>
                <w:highlight w:val="none"/>
              </w:rPr>
            </w:pPr>
            <w:r>
              <w:rPr>
                <w:rFonts w:hint="eastAsia" w:asciiTheme="minorEastAsia" w:hAnsiTheme="minorEastAsia" w:eastAsiaTheme="minorEastAsia" w:cstheme="minorEastAsia"/>
                <w:color w:val="auto"/>
                <w:sz w:val="18"/>
                <w:szCs w:val="18"/>
                <w:highlight w:val="none"/>
              </w:rPr>
              <w:t>2.4 工作电压：AC220V±10%，50～60Hz。</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b/>
                <w:bCs/>
                <w:color w:val="auto"/>
                <w:sz w:val="18"/>
                <w:szCs w:val="18"/>
                <w:highlight w:val="none"/>
              </w:rPr>
            </w:pPr>
            <w:r>
              <w:rPr>
                <w:rFonts w:hint="eastAsia" w:asciiTheme="minorEastAsia" w:hAnsiTheme="minorEastAsia" w:eastAsiaTheme="minorEastAsia" w:cstheme="minorEastAsia"/>
                <w:b/>
                <w:bCs/>
                <w:color w:val="auto"/>
                <w:sz w:val="18"/>
                <w:szCs w:val="18"/>
                <w:highlight w:val="none"/>
              </w:rPr>
              <w:t>3. 功能参数</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3.1 取样量：0.5-1g</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3.2纤维测试范围：0-100%；</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3.3每阶段消煮时间设置：0-999min；</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3.4样品批处理量：1-24个；</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3.5日处理量：≥4批（96个）；</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3.6重复性：≤0.5%；</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3.7控温精度：±0.1℃</w:t>
            </w:r>
          </w:p>
          <w:p>
            <w:pPr>
              <w:keepNext w:val="0"/>
              <w:keepLines w:val="0"/>
              <w:pageBreakBefore w:val="0"/>
              <w:kinsoku/>
              <w:wordWrap/>
              <w:overflowPunct/>
              <w:topLinePunct w:val="0"/>
              <w:autoSpaceDE w:val="0"/>
              <w:autoSpaceDN w:val="0"/>
              <w:bidi w:val="0"/>
              <w:adjustRightInd w:val="0"/>
              <w:snapToGrid/>
              <w:spacing w:line="240" w:lineRule="auto"/>
              <w:jc w:val="left"/>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★3.8 全自动加液、全自动消煮、全自动清洗，整个过程无需人员值守</w:t>
            </w:r>
            <w:r>
              <w:rPr>
                <w:rFonts w:hint="eastAsia" w:asciiTheme="minorEastAsia" w:hAnsiTheme="minorEastAsia" w:eastAsiaTheme="minorEastAsia" w:cstheme="minorEastAsia"/>
                <w:color w:val="auto"/>
                <w:kern w:val="0"/>
                <w:sz w:val="18"/>
                <w:szCs w:val="18"/>
                <w:highlight w:val="none"/>
              </w:rPr>
              <w:t>；</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3.9 采用7寸彩色触摸屏，人性化界面，操作简单</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3.10采用高分子滤袋技术，适用于 CF、NDF、ADF、ADL 方法的纤维分析；</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3.11内置 CF、NDF、ADF 、自定义实验模式方法库，便于各种不同测试方法的使用；</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★3.12仪器可内置1000种实验方案，可根据实际实验自行编辑各种不同的试验方案，便于各种不同样品的测试；</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 xml:space="preserve">★3.13一体式反应装置，可耐受高温、高压和化学腐蚀；一体式搅拌，无连接缝隙，避免试剂外漏。                                                                   </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3.14 仪器具有清洗功能，可快速对管路进行清洗，便于不同指标实验中的试剂更换；</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★3,15 仪器内置预热水箱，具有自动补水、预热等功能，为实验过程提供洗涤所需热水；</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3.16 仪器溶剂桶独立放置，取用方便，并且避免溶剂渗漏对仪器腐蚀；</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3.17 消煮罐盖具有安全锁设置，实验过程防止误操作；</w:t>
            </w:r>
            <w:r>
              <w:rPr>
                <w:rFonts w:hint="eastAsia" w:asciiTheme="minorEastAsia" w:hAnsiTheme="minorEastAsia" w:eastAsiaTheme="minorEastAsia" w:cstheme="minorEastAsia"/>
                <w:color w:val="auto"/>
                <w:sz w:val="18"/>
                <w:szCs w:val="18"/>
                <w:highlight w:val="none"/>
              </w:rPr>
              <w:br w:type="textWrapping"/>
            </w:r>
            <w:r>
              <w:rPr>
                <w:rFonts w:hint="eastAsia" w:asciiTheme="minorEastAsia" w:hAnsiTheme="minorEastAsia" w:eastAsiaTheme="minorEastAsia" w:cstheme="minorEastAsia"/>
                <w:color w:val="auto"/>
                <w:sz w:val="18"/>
                <w:szCs w:val="18"/>
                <w:highlight w:val="none"/>
              </w:rPr>
              <w:t>3.18采用两种以上安全防护设置，具有超温、超压报警装置；</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3.19 仪器具有分级管理功能，用户可根据需求设置独立账户设置，保障实验过程可追溯性。</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3.20 缺液报警功能，规定时间内溶液为加至固定水位，仪器自动报警，并停止运行</w:t>
            </w:r>
          </w:p>
          <w:p>
            <w:pPr>
              <w:keepNext w:val="0"/>
              <w:keepLines w:val="0"/>
              <w:pageBreakBefore w:val="0"/>
              <w:kinsoku/>
              <w:wordWrap/>
              <w:overflowPunct/>
              <w:topLinePunct w:val="0"/>
              <w:autoSpaceDE w:val="0"/>
              <w:autoSpaceDN w:val="0"/>
              <w:bidi w:val="0"/>
              <w:adjustRightInd w:val="0"/>
              <w:snapToGrid/>
              <w:spacing w:line="240" w:lineRule="auto"/>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b/>
                <w:bCs/>
                <w:color w:val="auto"/>
                <w:sz w:val="18"/>
                <w:szCs w:val="18"/>
                <w:highlight w:val="none"/>
              </w:rPr>
              <w:t>4.售后服务</w:t>
            </w:r>
          </w:p>
          <w:p>
            <w:pPr>
              <w:keepNext w:val="0"/>
              <w:keepLines w:val="0"/>
              <w:pageBreakBefore w:val="0"/>
              <w:kinsoku/>
              <w:wordWrap/>
              <w:overflowPunct/>
              <w:topLinePunct w:val="0"/>
              <w:autoSpaceDE w:val="0"/>
              <w:autoSpaceDN w:val="0"/>
              <w:bidi w:val="0"/>
              <w:adjustRightInd w:val="0"/>
              <w:snapToGrid/>
              <w:spacing w:line="240" w:lineRule="auto"/>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4.1 有专门的技术应用支持工程师。保修期后，保证长期供应零备件和正常的售后服务。 安装验收期间，免费对用户进行仪器的基本操作和日常维护的现场培训，内容包括仪器原理，使用方法和维护方法等，需要最终用户指定地点提供上门安装调试并对用户指定的两名操作人员进行操作使用培训；</w:t>
            </w:r>
          </w:p>
          <w:p>
            <w:pPr>
              <w:pStyle w:val="197"/>
              <w:keepNext w:val="0"/>
              <w:keepLines w:val="0"/>
              <w:pageBreakBefore w:val="0"/>
              <w:kinsoku/>
              <w:wordWrap/>
              <w:overflowPunct/>
              <w:topLinePunct w:val="0"/>
              <w:autoSpaceDE w:val="0"/>
              <w:autoSpaceDN w:val="0"/>
              <w:bidi w:val="0"/>
              <w:adjustRightInd w:val="0"/>
              <w:snapToGrid/>
              <w:spacing w:line="240" w:lineRule="auto"/>
              <w:ind w:firstLine="0" w:firstLineChars="0"/>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4.2质保期：质量保证期一年，终身维修；</w:t>
            </w:r>
          </w:p>
          <w:p>
            <w:pPr>
              <w:pStyle w:val="197"/>
              <w:keepNext w:val="0"/>
              <w:keepLines w:val="0"/>
              <w:pageBreakBefore w:val="0"/>
              <w:kinsoku/>
              <w:wordWrap/>
              <w:overflowPunct/>
              <w:topLinePunct w:val="0"/>
              <w:autoSpaceDE w:val="0"/>
              <w:autoSpaceDN w:val="0"/>
              <w:bidi w:val="0"/>
              <w:adjustRightInd w:val="0"/>
              <w:snapToGrid/>
              <w:spacing w:line="240" w:lineRule="auto"/>
              <w:ind w:firstLine="0" w:firstLineChars="0"/>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4.3故障服务：仪器设备出现故障时，供货方得到通知3日内派维修人员到达用户现场维修；</w:t>
            </w:r>
          </w:p>
          <w:p>
            <w:pPr>
              <w:keepNext w:val="0"/>
              <w:keepLines w:val="0"/>
              <w:pageBreakBefore w:val="0"/>
              <w:kinsoku/>
              <w:wordWrap/>
              <w:overflowPunct/>
              <w:topLinePunct w:val="0"/>
              <w:autoSpaceDE w:val="0"/>
              <w:autoSpaceDN w:val="0"/>
              <w:bidi w:val="0"/>
              <w:adjustRightInd w:val="0"/>
              <w:snapToGrid/>
              <w:spacing w:line="240" w:lineRule="auto"/>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配置清单：</w:t>
            </w:r>
          </w:p>
          <w:p>
            <w:pPr>
              <w:pStyle w:val="197"/>
              <w:keepNext w:val="0"/>
              <w:keepLines w:val="0"/>
              <w:pageBreakBefore w:val="0"/>
              <w:numPr>
                <w:ilvl w:val="0"/>
                <w:numId w:val="2"/>
              </w:numPr>
              <w:kinsoku/>
              <w:wordWrap/>
              <w:overflowPunct/>
              <w:topLinePunct w:val="0"/>
              <w:autoSpaceDE w:val="0"/>
              <w:autoSpaceDN w:val="0"/>
              <w:bidi w:val="0"/>
              <w:adjustRightInd w:val="0"/>
              <w:snapToGrid/>
              <w:spacing w:line="240" w:lineRule="auto"/>
              <w:ind w:firstLineChars="0"/>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全自动纤维测定仪主机 1套</w:t>
            </w:r>
          </w:p>
          <w:p>
            <w:pPr>
              <w:pStyle w:val="197"/>
              <w:keepNext w:val="0"/>
              <w:keepLines w:val="0"/>
              <w:pageBreakBefore w:val="0"/>
              <w:numPr>
                <w:ilvl w:val="0"/>
                <w:numId w:val="2"/>
              </w:numPr>
              <w:kinsoku/>
              <w:wordWrap/>
              <w:overflowPunct/>
              <w:topLinePunct w:val="0"/>
              <w:autoSpaceDE w:val="0"/>
              <w:autoSpaceDN w:val="0"/>
              <w:bidi w:val="0"/>
              <w:adjustRightInd w:val="0"/>
              <w:snapToGrid/>
              <w:spacing w:line="240" w:lineRule="auto"/>
              <w:ind w:firstLineChars="0"/>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盒装滤袋  5盒（200个/盒）</w:t>
            </w:r>
          </w:p>
          <w:p>
            <w:pPr>
              <w:pStyle w:val="197"/>
              <w:keepNext w:val="0"/>
              <w:keepLines w:val="0"/>
              <w:pageBreakBefore w:val="0"/>
              <w:numPr>
                <w:ilvl w:val="0"/>
                <w:numId w:val="2"/>
              </w:numPr>
              <w:kinsoku/>
              <w:wordWrap/>
              <w:overflowPunct/>
              <w:topLinePunct w:val="0"/>
              <w:autoSpaceDE w:val="0"/>
              <w:autoSpaceDN w:val="0"/>
              <w:bidi w:val="0"/>
              <w:adjustRightInd w:val="0"/>
              <w:snapToGrid/>
              <w:spacing w:line="240" w:lineRule="auto"/>
              <w:ind w:firstLineChars="0"/>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封口机 1台</w:t>
            </w:r>
          </w:p>
          <w:p>
            <w:pPr>
              <w:pStyle w:val="197"/>
              <w:keepNext w:val="0"/>
              <w:keepLines w:val="0"/>
              <w:pageBreakBefore w:val="0"/>
              <w:numPr>
                <w:ilvl w:val="0"/>
                <w:numId w:val="2"/>
              </w:numPr>
              <w:kinsoku/>
              <w:wordWrap/>
              <w:overflowPunct/>
              <w:topLinePunct w:val="0"/>
              <w:autoSpaceDE w:val="0"/>
              <w:autoSpaceDN w:val="0"/>
              <w:bidi w:val="0"/>
              <w:adjustRightInd w:val="0"/>
              <w:snapToGrid/>
              <w:spacing w:line="240" w:lineRule="auto"/>
              <w:ind w:firstLineChars="0"/>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试剂桶组合  1套</w:t>
            </w:r>
          </w:p>
          <w:p>
            <w:pPr>
              <w:pStyle w:val="197"/>
              <w:keepNext w:val="0"/>
              <w:keepLines w:val="0"/>
              <w:pageBreakBefore w:val="0"/>
              <w:numPr>
                <w:ilvl w:val="0"/>
                <w:numId w:val="2"/>
              </w:numPr>
              <w:kinsoku/>
              <w:wordWrap/>
              <w:overflowPunct/>
              <w:topLinePunct w:val="0"/>
              <w:autoSpaceDE w:val="0"/>
              <w:autoSpaceDN w:val="0"/>
              <w:bidi w:val="0"/>
              <w:adjustRightInd w:val="0"/>
              <w:snapToGrid/>
              <w:spacing w:line="240" w:lineRule="auto"/>
              <w:ind w:firstLineChars="0"/>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排液杯组件  1套</w:t>
            </w:r>
          </w:p>
          <w:p>
            <w:pPr>
              <w:pStyle w:val="197"/>
              <w:keepNext w:val="0"/>
              <w:keepLines w:val="0"/>
              <w:pageBreakBefore w:val="0"/>
              <w:numPr>
                <w:ilvl w:val="0"/>
                <w:numId w:val="2"/>
              </w:numPr>
              <w:kinsoku/>
              <w:wordWrap/>
              <w:overflowPunct/>
              <w:topLinePunct w:val="0"/>
              <w:autoSpaceDE w:val="0"/>
              <w:autoSpaceDN w:val="0"/>
              <w:bidi w:val="0"/>
              <w:adjustRightInd w:val="0"/>
              <w:snapToGrid/>
              <w:spacing w:line="240" w:lineRule="auto"/>
              <w:ind w:left="360" w:leftChars="0" w:hanging="360" w:firstLineChars="0"/>
              <w:jc w:val="left"/>
              <w:rPr>
                <w:rFonts w:hint="eastAsia" w:asciiTheme="minorEastAsia" w:hAnsiTheme="minorEastAsia" w:eastAsiaTheme="minorEastAsia" w:cstheme="minorEastAsia"/>
                <w:color w:val="auto"/>
                <w:kern w:val="0"/>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钢珠快卸销  1只</w:t>
            </w:r>
          </w:p>
        </w:tc>
        <w:tc>
          <w:tcPr>
            <w:tcW w:w="70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2"/>
                <w:sz w:val="18"/>
                <w:szCs w:val="18"/>
                <w:highlight w:val="none"/>
                <w:lang w:val="en-US" w:eastAsia="zh-CN" w:bidi="ar-SA"/>
              </w:rPr>
            </w:pPr>
            <w:r>
              <w:rPr>
                <w:rStyle w:val="203"/>
                <w:rFonts w:hint="eastAsia" w:asciiTheme="minorEastAsia" w:hAnsiTheme="minorEastAsia" w:eastAsiaTheme="minorEastAsia" w:cstheme="minorEastAsia"/>
                <w:color w:val="auto"/>
                <w:sz w:val="18"/>
                <w:szCs w:val="18"/>
                <w:highlight w:val="none"/>
              </w:rPr>
              <w:t>台</w:t>
            </w:r>
          </w:p>
        </w:tc>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1</w:t>
            </w:r>
          </w:p>
        </w:tc>
      </w:tr>
      <w:tr>
        <w:tblPrEx>
          <w:tblCellMar>
            <w:top w:w="0" w:type="dxa"/>
            <w:left w:w="108" w:type="dxa"/>
            <w:bottom w:w="0" w:type="dxa"/>
            <w:right w:w="108" w:type="dxa"/>
          </w:tblCellMar>
        </w:tblPrEx>
        <w:trPr>
          <w:trHeight w:val="285"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Style w:val="203"/>
                <w:rFonts w:hint="eastAsia" w:asciiTheme="minorEastAsia" w:hAnsiTheme="minorEastAsia" w:eastAsiaTheme="minorEastAsia" w:cstheme="minorEastAsia"/>
                <w:color w:val="auto"/>
                <w:sz w:val="18"/>
                <w:szCs w:val="18"/>
                <w:highlight w:val="none"/>
              </w:rPr>
            </w:pPr>
            <w:r>
              <w:rPr>
                <w:rStyle w:val="203"/>
                <w:rFonts w:hint="eastAsia" w:asciiTheme="minorEastAsia" w:hAnsiTheme="minorEastAsia" w:eastAsiaTheme="minorEastAsia" w:cstheme="minorEastAsia"/>
                <w:color w:val="auto"/>
                <w:sz w:val="18"/>
                <w:szCs w:val="18"/>
                <w:highlight w:val="none"/>
              </w:rPr>
              <w:t>6</w:t>
            </w:r>
          </w:p>
        </w:tc>
        <w:tc>
          <w:tcPr>
            <w:tcW w:w="13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真菌毒素荧光定量快速检测仪</w:t>
            </w:r>
          </w:p>
        </w:tc>
        <w:tc>
          <w:tcPr>
            <w:tcW w:w="55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1.:仪器尺寸：≥249mm(长)×244.2mm(宽)×152.9mm（高），触摸屏尺寸：7.0英寸，整机重量：轻巧便携，外观优雅美观，既适合实验室检测，也适合现场操作；</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2.激发光源采用LED，激发光谱波长λ0=365nm，接收光谱波长λ1=610nm；并且具有时间分辨荧光功能，读数时间为200us-600us，提高检测的准确度；</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3.仪器精密度：台内精密度CV≤1%；台间精密度CV≤1.5%；</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4.:</w:t>
            </w:r>
            <w:r>
              <w:rPr>
                <w:rFonts w:hint="eastAsia" w:asciiTheme="minorEastAsia" w:hAnsiTheme="minorEastAsia" w:eastAsiaTheme="minorEastAsia" w:cstheme="minorEastAsia"/>
                <w:color w:val="auto"/>
                <w:sz w:val="18"/>
                <w:szCs w:val="18"/>
                <w:highlight w:val="none"/>
              </w:rPr>
              <w:t>★</w:t>
            </w:r>
            <w:r>
              <w:rPr>
                <w:rFonts w:hint="eastAsia" w:asciiTheme="minorEastAsia" w:hAnsiTheme="minorEastAsia" w:eastAsiaTheme="minorEastAsia" w:cstheme="minorEastAsia"/>
                <w:color w:val="auto"/>
                <w:kern w:val="0"/>
                <w:sz w:val="18"/>
                <w:szCs w:val="18"/>
                <w:highlight w:val="none"/>
              </w:rPr>
              <w:t>仪器内置4G GPRS无线模块，实现操作系统和标准曲线的远程自动下载和更新，同时检测结果和数据可实时上传数据云平台，实现仪器端、手机端和电脑端数据的同步；</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5.仪器采用模块化设计，除检测真菌毒素类项目外，可根据需要升级添加重金属离子、农药残留、转基因等检测项目，并可持续升级；</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6.:</w:t>
            </w:r>
            <w:r>
              <w:rPr>
                <w:rFonts w:hint="eastAsia" w:asciiTheme="minorEastAsia" w:hAnsiTheme="minorEastAsia" w:eastAsiaTheme="minorEastAsia" w:cstheme="minorEastAsia"/>
                <w:color w:val="auto"/>
                <w:sz w:val="18"/>
                <w:szCs w:val="18"/>
                <w:highlight w:val="none"/>
              </w:rPr>
              <w:t>★</w:t>
            </w:r>
            <w:r>
              <w:rPr>
                <w:rFonts w:hint="eastAsia" w:asciiTheme="minorEastAsia" w:hAnsiTheme="minorEastAsia" w:eastAsiaTheme="minorEastAsia" w:cstheme="minorEastAsia"/>
                <w:color w:val="auto"/>
                <w:kern w:val="0"/>
                <w:sz w:val="18"/>
                <w:szCs w:val="18"/>
                <w:highlight w:val="none"/>
              </w:rPr>
              <w:t>仪器具有微动功能，将待测检测卡插到底后无需按键即可自动检测；</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7.内置标准曲线，通过ID卡导入标准曲线，无需现场定标，无需计算，直接读取样品定量检测结果；</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8.通过扫描二维码或客户端数据管理软件输入样本名称、样品来源、操作人员等样品信息；可通过客户端数据管理软件修改样品的阴阳性判断值（参考浓度）；</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9.:</w:t>
            </w:r>
            <w:r>
              <w:rPr>
                <w:rFonts w:hint="eastAsia" w:asciiTheme="minorEastAsia" w:hAnsiTheme="minorEastAsia" w:eastAsiaTheme="minorEastAsia" w:cstheme="minorEastAsia"/>
                <w:color w:val="auto"/>
                <w:sz w:val="18"/>
                <w:szCs w:val="18"/>
                <w:highlight w:val="none"/>
              </w:rPr>
              <w:t>★</w:t>
            </w:r>
            <w:r>
              <w:rPr>
                <w:rFonts w:hint="eastAsia" w:asciiTheme="minorEastAsia" w:hAnsiTheme="minorEastAsia" w:eastAsiaTheme="minorEastAsia" w:cstheme="minorEastAsia"/>
                <w:color w:val="auto"/>
                <w:kern w:val="0"/>
                <w:sz w:val="18"/>
                <w:szCs w:val="18"/>
                <w:highlight w:val="none"/>
              </w:rPr>
              <w:t>检测项目真菌毒素类包括黄曲霉毒素B1、玉米赤霉烯酮、呕吐毒素、赭曲霉毒素A、伏马菌素、T-2毒素等真菌毒素类；重金属离子包括铅离子、镉离子等；转基因项目包括CP4、Bt、PAT等；农药残留项目包括多菌灵、啶虫脒、甲霜灵、吡虫啉、甲萘威等；</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10.配套的检测卡为独立包装，封闭式定量检测卡；</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11.仪器配附有配套校准仪器的定量检测卡，确保仪器处于在控状态；</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12.检测响应时间约5秒，检测结果和图谱显示于液晶屏上，内容包括项目名称、检测浓度、阴阳性判断，参考值、检测人员、检测时间、样本名称、样品来源等信息，可通过内置热敏打印机打印；</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13.检测结果可保存于仪器中，储存数量10000条；也可通过U盘导出或USB接口传输到电脑，使用配套的客户端数据管理软件对检测数据进行保存和分析数据；可根据日期、检测项目、检验结果等多种参数进行检索，并通过excel导出检测数据；</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14.</w:t>
            </w:r>
            <w:r>
              <w:rPr>
                <w:rFonts w:hint="eastAsia" w:asciiTheme="minorEastAsia" w:hAnsiTheme="minorEastAsia" w:eastAsiaTheme="minorEastAsia" w:cstheme="minorEastAsia"/>
                <w:color w:val="auto"/>
                <w:sz w:val="18"/>
                <w:szCs w:val="18"/>
                <w:highlight w:val="none"/>
              </w:rPr>
              <w:t>★</w:t>
            </w:r>
            <w:r>
              <w:rPr>
                <w:rFonts w:hint="eastAsia" w:asciiTheme="minorEastAsia" w:hAnsiTheme="minorEastAsia" w:eastAsiaTheme="minorEastAsia" w:cstheme="minorEastAsia"/>
                <w:color w:val="auto"/>
                <w:kern w:val="0"/>
                <w:sz w:val="18"/>
                <w:szCs w:val="18"/>
                <w:highlight w:val="none"/>
              </w:rPr>
              <w:t>检测结果还可通过仪器内置4G模块自动上传至数据管理云平台（此功能可自主选择打开或关闭），实现检测数据和信息的溯源管理及大数据分析；还可以开放仪器的数据端口，将检测结果接入客户的数据管理平台；</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检测卡恒温孵育器</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1.仪器尺寸(mm)：280×180×60，净重：1.5kg；</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2.恒温孵育器可同时孵育12个检测卡，温度可调范围：室温+5℃~60℃，使用时设置温度为恒温37℃，自带温度提示功能；</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3.具有自动倒计时，孵育结束后，自动蜂鸣报警；</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4.时间设置：最长99h59min，升温时间：≤5min (从室温25℃升至37℃)</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5.温度均一性：模块内@37℃：±0.2℃</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6.显示精度：±0.1℃</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粉碎机</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转速：28000转/分-38000转/分</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漩涡振荡器</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转速4000rpm</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掌上离心机</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转速6000 rpm</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电子天平</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称量范围：0-200g，分量0.01g</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单道移液器</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量程：20-200ul</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量程：100-1000ul</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检测箱</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尺寸（mm）：500*460*310，铝合金箱体，箱体带拉杆和万向轮，方便携带；</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呕吐毒素、黄曲霉毒素B1、玉米赤霉烯酮、赭曲霉毒素A、伏马菌素、T2毒素6种毒素荧光定量快速检测卡</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1、呕吐毒素荧光定量快速检测卡灵敏度：25 μg/kg，定量范围：100-5000 μg/kg</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2、黄曲霉毒素B1荧光定量快速检测卡灵敏度：0.5 μg/kg，定量范围：1-75 μg/kg</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 xml:space="preserve">3、玉米赤霉烯酮荧光定量快速检测卡灵敏度：2.5 μg/kg，定量范围：10-500 μg/kg </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4、赭曲霉素A荧光定量快速检测卡灵敏度：0.25 μg/kg，定量范围：1-100 μg/kg</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5、伏马菌素荧光定量快速检测卡灵敏度：50 μg/kg，定量范围：250-10000 μg/kg</w:t>
            </w:r>
          </w:p>
          <w:p>
            <w:pPr>
              <w:keepNext w:val="0"/>
              <w:keepLines w:val="0"/>
              <w:pageBreakBefore w:val="0"/>
              <w:widowControl/>
              <w:kinsoku/>
              <w:wordWrap/>
              <w:overflowPunct/>
              <w:topLinePunct w:val="0"/>
              <w:bidi w:val="0"/>
              <w:snapToGrid/>
              <w:spacing w:line="240" w:lineRule="auto"/>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6、T-2毒素荧光定量快速检测卡灵敏度：2.5 μg/kg，定量范围：10-500 μg/kg</w:t>
            </w:r>
          </w:p>
        </w:tc>
        <w:tc>
          <w:tcPr>
            <w:tcW w:w="70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0"/>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台</w:t>
            </w:r>
          </w:p>
        </w:tc>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0"/>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1</w:t>
            </w:r>
          </w:p>
        </w:tc>
      </w:tr>
      <w:tr>
        <w:tblPrEx>
          <w:tblCellMar>
            <w:top w:w="0" w:type="dxa"/>
            <w:left w:w="108" w:type="dxa"/>
            <w:bottom w:w="0" w:type="dxa"/>
            <w:right w:w="108" w:type="dxa"/>
          </w:tblCellMar>
        </w:tblPrEx>
        <w:trPr>
          <w:trHeight w:val="285"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Style w:val="203"/>
                <w:rFonts w:hint="eastAsia" w:asciiTheme="minorEastAsia" w:hAnsiTheme="minorEastAsia" w:eastAsiaTheme="minorEastAsia" w:cstheme="minorEastAsia"/>
                <w:color w:val="auto"/>
                <w:sz w:val="18"/>
                <w:szCs w:val="18"/>
                <w:highlight w:val="none"/>
              </w:rPr>
            </w:pPr>
            <w:r>
              <w:rPr>
                <w:rStyle w:val="203"/>
                <w:rFonts w:hint="eastAsia" w:asciiTheme="minorEastAsia" w:hAnsiTheme="minorEastAsia" w:eastAsiaTheme="minorEastAsia" w:cstheme="minorEastAsia"/>
                <w:color w:val="auto"/>
                <w:sz w:val="18"/>
                <w:szCs w:val="18"/>
                <w:highlight w:val="none"/>
              </w:rPr>
              <w:t>7</w:t>
            </w:r>
          </w:p>
        </w:tc>
        <w:tc>
          <w:tcPr>
            <w:tcW w:w="13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2"/>
                <w:sz w:val="18"/>
                <w:szCs w:val="18"/>
                <w:highlight w:val="none"/>
                <w:u w:val="none"/>
                <w:lang w:val="en-US" w:eastAsia="zh-CN" w:bidi="ar-SA"/>
              </w:rPr>
            </w:pPr>
            <w:r>
              <w:rPr>
                <w:rFonts w:hint="eastAsia" w:asciiTheme="minorEastAsia" w:hAnsiTheme="minorEastAsia" w:eastAsiaTheme="minorEastAsia" w:cstheme="minorEastAsia"/>
                <w:color w:val="auto"/>
                <w:kern w:val="0"/>
                <w:sz w:val="18"/>
                <w:szCs w:val="18"/>
                <w:highlight w:val="none"/>
              </w:rPr>
              <w:t>真彩触摸二叠加摇床</w:t>
            </w:r>
          </w:p>
        </w:tc>
        <w:tc>
          <w:tcPr>
            <w:tcW w:w="55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控制方式： P．I．D（微电脑环境扫描微处理芯片）</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面板显示方式：≥5</w:t>
            </w:r>
            <w:r>
              <w:rPr>
                <w:rFonts w:hint="eastAsia" w:asciiTheme="minorEastAsia" w:hAnsiTheme="minorEastAsia" w:eastAsiaTheme="minorEastAsia" w:cstheme="minorEastAsia"/>
                <w:color w:val="auto"/>
                <w:sz w:val="18"/>
                <w:szCs w:val="18"/>
                <w:highlight w:val="none"/>
                <w:lang w:val="en-US" w:eastAsia="zh-CN"/>
              </w:rPr>
              <w:t>寸</w:t>
            </w:r>
            <w:r>
              <w:rPr>
                <w:rFonts w:hint="eastAsia" w:asciiTheme="minorEastAsia" w:hAnsiTheme="minorEastAsia" w:eastAsiaTheme="minorEastAsia" w:cstheme="minorEastAsia"/>
                <w:color w:val="auto"/>
                <w:sz w:val="18"/>
                <w:szCs w:val="18"/>
                <w:highlight w:val="none"/>
              </w:rPr>
              <w:t>真彩触摸式大屏幕显示屏</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★九段十八步可编程功能，可实现反复、步调、温度阶梯、曲线编程设定</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多单元叠加。一台摇床可获得2台的工作空间</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对流方式：强制对流式</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振荡方式：回旋振荡式，</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 xml:space="preserve">环境温度要求（℃）：  10～35 </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温度控制范围（℃）：4～80，</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 xml:space="preserve">温度分辨精度（℃）：  0.1 </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温度波动度（℃）±0.5（37℃时），</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温度均匀度（℃）±1（37℃时）</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回旋频率范围（r/min）： 30～300、</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频率精度（r/min）：±1</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★振荡幅度（mm）：Φ0～50（无极可调）</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安全功能：上、下限超温报警、上、下限超速报警、传感器故障报警、独立式过升防止器、独立式超温保护器（可调）、独立式漏电、过电流跳闸保护、制冷机超荷保护。</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附属功能：自动停机、自动开机、温度表示校正、监视计时器、来电恢复、参数记忆</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★打印功能：嵌入式.微型.内置式打印机</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制冷功能：空冷式. R134.a   功率可控式制冷. 无霜运行</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搁板数量（块）： 1</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摇板尺寸（mm）:≥800*430 ；</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容积（L）/单元： ≥192；</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配置:500ml*30支</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 xml:space="preserve">内胆尺寸（mm）/层：≥ 920*532*393 </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 xml:space="preserve">外型尺寸（mm）≥：1300*950*1310 </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功率（W）： 2400</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sz w:val="18"/>
                <w:szCs w:val="18"/>
                <w:highlight w:val="none"/>
              </w:rPr>
              <w:t>电源： AC 220V  50/60Hz</w:t>
            </w:r>
          </w:p>
        </w:tc>
        <w:tc>
          <w:tcPr>
            <w:tcW w:w="70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0"/>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台</w:t>
            </w:r>
          </w:p>
        </w:tc>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0"/>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1</w:t>
            </w:r>
          </w:p>
        </w:tc>
      </w:tr>
      <w:tr>
        <w:tblPrEx>
          <w:tblCellMar>
            <w:top w:w="0" w:type="dxa"/>
            <w:left w:w="108" w:type="dxa"/>
            <w:bottom w:w="0" w:type="dxa"/>
            <w:right w:w="108" w:type="dxa"/>
          </w:tblCellMar>
        </w:tblPrEx>
        <w:trPr>
          <w:trHeight w:val="285"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Style w:val="203"/>
                <w:rFonts w:hint="eastAsia" w:asciiTheme="minorEastAsia" w:hAnsiTheme="minorEastAsia" w:eastAsiaTheme="minorEastAsia" w:cstheme="minorEastAsia"/>
                <w:color w:val="auto"/>
                <w:sz w:val="18"/>
                <w:szCs w:val="18"/>
                <w:highlight w:val="none"/>
              </w:rPr>
            </w:pPr>
            <w:r>
              <w:rPr>
                <w:rStyle w:val="203"/>
                <w:rFonts w:hint="eastAsia" w:asciiTheme="minorEastAsia" w:hAnsiTheme="minorEastAsia" w:eastAsiaTheme="minorEastAsia" w:cstheme="minorEastAsia"/>
                <w:color w:val="auto"/>
                <w:sz w:val="18"/>
                <w:szCs w:val="18"/>
                <w:highlight w:val="none"/>
              </w:rPr>
              <w:t>8</w:t>
            </w:r>
          </w:p>
        </w:tc>
        <w:tc>
          <w:tcPr>
            <w:tcW w:w="13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0"/>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多功能质构仪</w:t>
            </w:r>
          </w:p>
        </w:tc>
        <w:tc>
          <w:tcPr>
            <w:tcW w:w="5587" w:type="dxa"/>
            <w:tcBorders>
              <w:top w:val="single" w:color="auto" w:sz="4" w:space="0"/>
              <w:left w:val="single" w:color="auto" w:sz="4" w:space="0"/>
              <w:bottom w:val="single" w:color="auto" w:sz="4" w:space="0"/>
              <w:right w:val="single" w:color="auto" w:sz="4" w:space="0"/>
            </w:tcBorders>
            <w:vAlign w:val="center"/>
          </w:tcPr>
          <w:p>
            <w:pPr>
              <w:pStyle w:val="197"/>
              <w:keepNext w:val="0"/>
              <w:keepLines w:val="0"/>
              <w:pageBreakBefore w:val="0"/>
              <w:kinsoku/>
              <w:wordWrap/>
              <w:overflowPunct/>
              <w:topLinePunct w:val="0"/>
              <w:bidi w:val="0"/>
              <w:snapToGrid/>
              <w:spacing w:line="240" w:lineRule="auto"/>
              <w:ind w:firstLine="0" w:firstLineChars="0"/>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一、主要用途</w:t>
            </w:r>
          </w:p>
          <w:p>
            <w:pPr>
              <w:pStyle w:val="197"/>
              <w:keepNext w:val="0"/>
              <w:keepLines w:val="0"/>
              <w:pageBreakBefore w:val="0"/>
              <w:kinsoku/>
              <w:wordWrap/>
              <w:overflowPunct/>
              <w:topLinePunct w:val="0"/>
              <w:bidi w:val="0"/>
              <w:snapToGrid/>
              <w:spacing w:line="240" w:lineRule="auto"/>
              <w:ind w:firstLine="0" w:firstLineChars="0"/>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用于样品的物性测定，测定硬度、粘性、弹性、咀嚼性等物性指标，可用于食品、生鲜、果蔬、肉制品、水产品、粮油制品、功能性食品、糖果凝胶、保健制品、调味制品、农产品加工等领域。</w:t>
            </w:r>
          </w:p>
          <w:p>
            <w:pPr>
              <w:pStyle w:val="197"/>
              <w:keepNext w:val="0"/>
              <w:keepLines w:val="0"/>
              <w:pageBreakBefore w:val="0"/>
              <w:kinsoku/>
              <w:wordWrap/>
              <w:overflowPunct/>
              <w:topLinePunct w:val="0"/>
              <w:bidi w:val="0"/>
              <w:snapToGrid/>
              <w:spacing w:line="240" w:lineRule="auto"/>
              <w:ind w:firstLine="0" w:firstLineChars="0"/>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二、技术参数</w:t>
            </w:r>
          </w:p>
          <w:p>
            <w:pPr>
              <w:pStyle w:val="197"/>
              <w:keepNext w:val="0"/>
              <w:keepLines w:val="0"/>
              <w:pageBreakBefore w:val="0"/>
              <w:kinsoku/>
              <w:wordWrap/>
              <w:overflowPunct/>
              <w:topLinePunct w:val="0"/>
              <w:bidi w:val="0"/>
              <w:snapToGrid/>
              <w:spacing w:line="240" w:lineRule="auto"/>
              <w:ind w:firstLine="0" w:firstLineChars="0"/>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 xml:space="preserve">1、力量感应元：50kg；可选择不同量程使用 </w:t>
            </w:r>
          </w:p>
          <w:p>
            <w:pPr>
              <w:pStyle w:val="197"/>
              <w:keepNext w:val="0"/>
              <w:keepLines w:val="0"/>
              <w:pageBreakBefore w:val="0"/>
              <w:kinsoku/>
              <w:wordWrap/>
              <w:overflowPunct/>
              <w:topLinePunct w:val="0"/>
              <w:bidi w:val="0"/>
              <w:snapToGrid/>
              <w:spacing w:line="240" w:lineRule="auto"/>
              <w:ind w:firstLine="0" w:firstLineChars="0"/>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 xml:space="preserve">2、力量感应元显示精度：优于0.01 g（精度同时同步到软件显示上）。误差小于0.01%；   </w:t>
            </w:r>
          </w:p>
          <w:p>
            <w:pPr>
              <w:pStyle w:val="197"/>
              <w:keepNext w:val="0"/>
              <w:keepLines w:val="0"/>
              <w:pageBreakBefore w:val="0"/>
              <w:kinsoku/>
              <w:wordWrap/>
              <w:overflowPunct/>
              <w:topLinePunct w:val="0"/>
              <w:bidi w:val="0"/>
              <w:snapToGrid/>
              <w:spacing w:line="240" w:lineRule="auto"/>
              <w:ind w:firstLine="0" w:firstLineChars="0"/>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3、力量感应元校准：可以通过国际标准砝码进行验证和校正；</w:t>
            </w:r>
          </w:p>
          <w:p>
            <w:pPr>
              <w:pStyle w:val="197"/>
              <w:keepNext w:val="0"/>
              <w:keepLines w:val="0"/>
              <w:pageBreakBefore w:val="0"/>
              <w:kinsoku/>
              <w:wordWrap/>
              <w:overflowPunct/>
              <w:topLinePunct w:val="0"/>
              <w:bidi w:val="0"/>
              <w:snapToGrid/>
              <w:spacing w:line="240" w:lineRule="auto"/>
              <w:ind w:firstLine="0" w:firstLineChars="0"/>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4、力量感应元保护：标准砝码的超标预警在软件内自定义设置。具有力量感应元超负荷保护功能。同时软件里可以设置力量感应元的保护范围；</w:t>
            </w:r>
          </w:p>
          <w:p>
            <w:pPr>
              <w:pStyle w:val="197"/>
              <w:keepNext w:val="0"/>
              <w:keepLines w:val="0"/>
              <w:pageBreakBefore w:val="0"/>
              <w:kinsoku/>
              <w:wordWrap/>
              <w:overflowPunct/>
              <w:topLinePunct w:val="0"/>
              <w:bidi w:val="0"/>
              <w:snapToGrid/>
              <w:spacing w:line="240" w:lineRule="auto"/>
              <w:ind w:firstLine="0" w:firstLineChars="0"/>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5、位移精度：0.01mm； 升降臂全距：0-350mm；</w:t>
            </w:r>
          </w:p>
          <w:p>
            <w:pPr>
              <w:pStyle w:val="197"/>
              <w:keepNext w:val="0"/>
              <w:keepLines w:val="0"/>
              <w:pageBreakBefore w:val="0"/>
              <w:kinsoku/>
              <w:wordWrap/>
              <w:overflowPunct/>
              <w:topLinePunct w:val="0"/>
              <w:bidi w:val="0"/>
              <w:snapToGrid/>
              <w:spacing w:line="240" w:lineRule="auto"/>
              <w:ind w:firstLine="0" w:firstLineChars="0"/>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6、升降臂移动速度：0.01-25mm/sec，软件操控移动，可将升降臂移动全距0.01-350 mm内任意位置设定为默认移动位置，默认位置可以根据需要自主设定；</w:t>
            </w:r>
          </w:p>
          <w:p>
            <w:pPr>
              <w:pStyle w:val="197"/>
              <w:keepNext w:val="0"/>
              <w:keepLines w:val="0"/>
              <w:pageBreakBefore w:val="0"/>
              <w:kinsoku/>
              <w:wordWrap/>
              <w:overflowPunct/>
              <w:topLinePunct w:val="0"/>
              <w:bidi w:val="0"/>
              <w:snapToGrid/>
              <w:spacing w:line="240" w:lineRule="auto"/>
              <w:ind w:firstLine="0" w:firstLineChars="0"/>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7、软件数据采集率：不低于300组/秒。每组4个通道同时读取；</w:t>
            </w:r>
          </w:p>
          <w:p>
            <w:pPr>
              <w:pStyle w:val="197"/>
              <w:keepNext w:val="0"/>
              <w:keepLines w:val="0"/>
              <w:pageBreakBefore w:val="0"/>
              <w:kinsoku/>
              <w:wordWrap/>
              <w:overflowPunct/>
              <w:topLinePunct w:val="0"/>
              <w:bidi w:val="0"/>
              <w:snapToGrid/>
              <w:spacing w:line="240" w:lineRule="auto"/>
              <w:ind w:firstLine="0" w:firstLineChars="0"/>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★8、仪器操作：可单机独立操作，自带7寸嵌入式触屏，无需连接电脑，无需编程或下载程序，通过触屏可实现实验操作；也可外联电脑进行软件控制操作，触摸屏截图显示。</w:t>
            </w:r>
          </w:p>
          <w:p>
            <w:pPr>
              <w:pStyle w:val="197"/>
              <w:keepNext w:val="0"/>
              <w:keepLines w:val="0"/>
              <w:pageBreakBefore w:val="0"/>
              <w:kinsoku/>
              <w:wordWrap/>
              <w:overflowPunct/>
              <w:topLinePunct w:val="0"/>
              <w:bidi w:val="0"/>
              <w:snapToGrid/>
              <w:spacing w:line="240" w:lineRule="auto"/>
              <w:ind w:firstLine="0" w:firstLineChars="0"/>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9、测试方法：软件内含多种测试方法，直显至少5种实验模式，同时测试类型、目标模式、目标数值、间隔时间、测试速度、触发点类型、数值、样品接触面积、探头接触面积，加载另存显示在同一界面，同步进行。（需提供截图证明）</w:t>
            </w:r>
          </w:p>
          <w:p>
            <w:pPr>
              <w:pStyle w:val="197"/>
              <w:keepNext w:val="0"/>
              <w:keepLines w:val="0"/>
              <w:pageBreakBefore w:val="0"/>
              <w:kinsoku/>
              <w:wordWrap/>
              <w:overflowPunct/>
              <w:topLinePunct w:val="0"/>
              <w:bidi w:val="0"/>
              <w:snapToGrid/>
              <w:spacing w:line="240" w:lineRule="auto"/>
              <w:ind w:firstLine="0" w:firstLineChars="0"/>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10、测试显示：软件曲线和测试结果同时显示在一个界面上，也可分开显示。测试数据如力，时间，距离，样品高度在测试过程中同步显示到的软件。（需提供截图证明文件）</w:t>
            </w:r>
          </w:p>
          <w:p>
            <w:pPr>
              <w:pStyle w:val="197"/>
              <w:keepNext w:val="0"/>
              <w:keepLines w:val="0"/>
              <w:pageBreakBefore w:val="0"/>
              <w:kinsoku/>
              <w:wordWrap/>
              <w:overflowPunct/>
              <w:topLinePunct w:val="0"/>
              <w:bidi w:val="0"/>
              <w:snapToGrid/>
              <w:spacing w:line="240" w:lineRule="auto"/>
              <w:ind w:firstLine="0" w:firstLineChars="0"/>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11、数据分析：软件页面中英文可调，操作简单容易上手，数据分析时不需另外撰写分析程序，用户可直接勾选所要的参数，软件即可自动计算结果。结果数据及曲线可以汇出Excel文档及图片；（投标文件中提供直接勾选参数＞50项功能截图，至少包含正大力，屈服力，屈服位移，弹性模量，正峰斜率，样品分离距离，线性距离，正峰数量，拉伸屈服应力，拉伸屈服应变，表观模量，保持残余力等）。</w:t>
            </w:r>
          </w:p>
          <w:p>
            <w:pPr>
              <w:pStyle w:val="197"/>
              <w:keepNext w:val="0"/>
              <w:keepLines w:val="0"/>
              <w:pageBreakBefore w:val="0"/>
              <w:kinsoku/>
              <w:wordWrap/>
              <w:overflowPunct/>
              <w:topLinePunct w:val="0"/>
              <w:bidi w:val="0"/>
              <w:snapToGrid/>
              <w:spacing w:line="240" w:lineRule="auto"/>
              <w:ind w:firstLine="0" w:firstLineChars="0"/>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★12、软件技术支持功能：自带不少于300种应用方法库，测试方法可一键读取直接调用；软件自带不少于十种动画视频，适合操作者自行学习； 测试曲线颜色显示和数据显示可以根据需要进行选择。方法包括具体测试的样品名称，样品测试前准备方法，测试参数设置，测试后如何分析结果； 以上提供软件界面截图。</w:t>
            </w:r>
          </w:p>
          <w:p>
            <w:pPr>
              <w:pStyle w:val="197"/>
              <w:keepNext w:val="0"/>
              <w:keepLines w:val="0"/>
              <w:pageBreakBefore w:val="0"/>
              <w:kinsoku/>
              <w:wordWrap/>
              <w:overflowPunct/>
              <w:topLinePunct w:val="0"/>
              <w:bidi w:val="0"/>
              <w:snapToGrid/>
              <w:spacing w:line="240" w:lineRule="auto"/>
              <w:ind w:firstLine="0" w:firstLineChars="0"/>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13、软件自带不少于十种动画视频，至少包含如下内容：TPA测试非粘性，TPA测试粘性，半固体反挤压，表面粘性测试，剪切测试，拉伸测试，凝胶测试，下压保持力不变测试，三点折断测试，压缩测试，粘性测试，正向挤压测试，下压保持距离不变测试等，适合操作者自行学习；（提供软件截图）</w:t>
            </w:r>
          </w:p>
          <w:p>
            <w:pPr>
              <w:pStyle w:val="197"/>
              <w:keepNext w:val="0"/>
              <w:keepLines w:val="0"/>
              <w:pageBreakBefore w:val="0"/>
              <w:kinsoku/>
              <w:wordWrap/>
              <w:overflowPunct/>
              <w:topLinePunct w:val="0"/>
              <w:bidi w:val="0"/>
              <w:snapToGrid/>
              <w:spacing w:line="240" w:lineRule="auto"/>
              <w:ind w:firstLine="0" w:firstLineChars="0"/>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14、软件带有中华人民共和国版权软件著作权登记证书（提供加盖公章复印件）；软件内带食品物性、流变、热力学、电学等知识库，软件内随时检索物性相关知识解析；带有国标算法，软件可直接调用；（提供截图证明）</w:t>
            </w:r>
          </w:p>
          <w:p>
            <w:pPr>
              <w:pStyle w:val="197"/>
              <w:keepNext w:val="0"/>
              <w:keepLines w:val="0"/>
              <w:pageBreakBefore w:val="0"/>
              <w:kinsoku/>
              <w:wordWrap/>
              <w:overflowPunct/>
              <w:topLinePunct w:val="0"/>
              <w:bidi w:val="0"/>
              <w:snapToGrid/>
              <w:spacing w:line="240" w:lineRule="auto"/>
              <w:ind w:firstLine="0" w:firstLineChars="0"/>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15、软件自带数据算法，如PCA（二维和三维）、LDA、LLE、LE、PLSR、SVM、BP神经网络、KNN、TSNE、ISOMAP、DBSCAN、K-Means、Intensity、concentration等不少于24种算法，可进行降维分析、分类分析等大数据分类方式。（提供截图证明）</w:t>
            </w:r>
          </w:p>
          <w:p>
            <w:pPr>
              <w:pStyle w:val="197"/>
              <w:keepNext w:val="0"/>
              <w:keepLines w:val="0"/>
              <w:pageBreakBefore w:val="0"/>
              <w:kinsoku/>
              <w:wordWrap/>
              <w:overflowPunct/>
              <w:topLinePunct w:val="0"/>
              <w:bidi w:val="0"/>
              <w:snapToGrid/>
              <w:spacing w:line="240" w:lineRule="auto"/>
              <w:ind w:firstLine="0" w:firstLineChars="0"/>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★16、曲线具有回放和调色功能；（提供软件截图）</w:t>
            </w:r>
          </w:p>
          <w:p>
            <w:pPr>
              <w:pStyle w:val="197"/>
              <w:keepNext w:val="0"/>
              <w:keepLines w:val="0"/>
              <w:pageBreakBefore w:val="0"/>
              <w:kinsoku/>
              <w:wordWrap/>
              <w:overflowPunct/>
              <w:topLinePunct w:val="0"/>
              <w:bidi w:val="0"/>
              <w:snapToGrid/>
              <w:spacing w:line="240" w:lineRule="auto"/>
              <w:ind w:firstLine="0" w:firstLineChars="0"/>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w:t>
            </w:r>
            <w:r>
              <w:rPr>
                <w:rFonts w:hint="eastAsia" w:asciiTheme="minorEastAsia" w:hAnsiTheme="minorEastAsia" w:eastAsiaTheme="minorEastAsia" w:cstheme="minorEastAsia"/>
                <w:color w:val="auto"/>
                <w:sz w:val="18"/>
                <w:szCs w:val="18"/>
                <w:highlight w:val="none"/>
                <w:lang w:val="en-US" w:eastAsia="zh-CN"/>
              </w:rPr>
              <w:t>7</w:t>
            </w:r>
            <w:r>
              <w:rPr>
                <w:rFonts w:hint="eastAsia" w:asciiTheme="minorEastAsia" w:hAnsiTheme="minorEastAsia" w:eastAsiaTheme="minorEastAsia" w:cstheme="minorEastAsia"/>
                <w:color w:val="auto"/>
                <w:sz w:val="18"/>
                <w:szCs w:val="18"/>
                <w:highlight w:val="none"/>
              </w:rPr>
              <w:t>、配置清单：质构仪主机1套（主机面板含7英寸嵌入式触摸屏，可直接完成操作实验，显示测试结果）； 50kg力量感应元1个；专用数据分析软件1套（软件有软件著作权，软件自带物性教学视频10组以上，物性专业术语；测试指标曲线示意解读）；实验平台1个、肉制品探头包、备配件包、纸质版300种食品质构测试案例解析1本、操作手册等。</w:t>
            </w:r>
          </w:p>
          <w:p>
            <w:pPr>
              <w:pStyle w:val="197"/>
              <w:keepNext w:val="0"/>
              <w:keepLines w:val="0"/>
              <w:pageBreakBefore w:val="0"/>
              <w:kinsoku/>
              <w:wordWrap/>
              <w:overflowPunct/>
              <w:topLinePunct w:val="0"/>
              <w:bidi w:val="0"/>
              <w:snapToGrid/>
              <w:spacing w:line="240" w:lineRule="auto"/>
              <w:ind w:firstLine="0" w:firstLineChars="0"/>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w:t>
            </w:r>
            <w:r>
              <w:rPr>
                <w:rFonts w:hint="eastAsia" w:asciiTheme="minorEastAsia" w:hAnsiTheme="minorEastAsia" w:eastAsiaTheme="minorEastAsia" w:cstheme="minorEastAsia"/>
                <w:color w:val="auto"/>
                <w:sz w:val="18"/>
                <w:szCs w:val="18"/>
                <w:highlight w:val="none"/>
                <w:lang w:val="en-US" w:eastAsia="zh-CN"/>
              </w:rPr>
              <w:t>8</w:t>
            </w:r>
            <w:r>
              <w:rPr>
                <w:rFonts w:hint="eastAsia" w:asciiTheme="minorEastAsia" w:hAnsiTheme="minorEastAsia" w:eastAsiaTheme="minorEastAsia" w:cstheme="minorEastAsia"/>
                <w:color w:val="auto"/>
                <w:sz w:val="18"/>
                <w:szCs w:val="18"/>
                <w:highlight w:val="none"/>
              </w:rPr>
              <w:t>、扩充性：音频、视频等</w:t>
            </w:r>
            <w:r>
              <w:rPr>
                <w:rFonts w:hint="eastAsia" w:asciiTheme="minorEastAsia" w:hAnsiTheme="minorEastAsia" w:eastAsiaTheme="minorEastAsia" w:cstheme="minorEastAsia"/>
                <w:color w:val="auto"/>
                <w:sz w:val="18"/>
                <w:szCs w:val="18"/>
                <w:highlight w:val="none"/>
                <w:lang w:val="en-US" w:eastAsia="zh-CN"/>
              </w:rPr>
              <w:t>说明材料</w:t>
            </w:r>
            <w:r>
              <w:rPr>
                <w:rFonts w:hint="eastAsia" w:asciiTheme="minorEastAsia" w:hAnsiTheme="minorEastAsia" w:eastAsiaTheme="minorEastAsia" w:cstheme="minorEastAsia"/>
                <w:color w:val="auto"/>
                <w:sz w:val="18"/>
                <w:szCs w:val="18"/>
                <w:highlight w:val="none"/>
              </w:rPr>
              <w:t>。（投标文件中提供证明材料）</w:t>
            </w:r>
          </w:p>
          <w:p>
            <w:pPr>
              <w:pStyle w:val="197"/>
              <w:keepNext w:val="0"/>
              <w:keepLines w:val="0"/>
              <w:pageBreakBefore w:val="0"/>
              <w:kinsoku/>
              <w:wordWrap/>
              <w:overflowPunct/>
              <w:topLinePunct w:val="0"/>
              <w:bidi w:val="0"/>
              <w:snapToGrid/>
              <w:spacing w:line="240" w:lineRule="auto"/>
              <w:ind w:firstLine="0" w:firstLineChars="0"/>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w:t>
            </w:r>
            <w:r>
              <w:rPr>
                <w:rFonts w:hint="eastAsia" w:asciiTheme="minorEastAsia" w:hAnsiTheme="minorEastAsia" w:eastAsiaTheme="minorEastAsia" w:cstheme="minorEastAsia"/>
                <w:color w:val="auto"/>
                <w:sz w:val="18"/>
                <w:szCs w:val="18"/>
                <w:highlight w:val="none"/>
                <w:lang w:val="en-US" w:eastAsia="zh-CN"/>
              </w:rPr>
              <w:t>19</w:t>
            </w:r>
            <w:r>
              <w:rPr>
                <w:rFonts w:hint="eastAsia" w:asciiTheme="minorEastAsia" w:hAnsiTheme="minorEastAsia" w:eastAsiaTheme="minorEastAsia" w:cstheme="minorEastAsia"/>
                <w:color w:val="auto"/>
                <w:sz w:val="18"/>
                <w:szCs w:val="18"/>
                <w:highlight w:val="none"/>
              </w:rPr>
              <w:t>、溶剂封闭产品具有有机溶剂密封安全认证，保证产品成分中无高度有害物质，检测结果符合有机溶剂密封安全认证的要求，每项的高度关注物质不得超过在物品中的质量百分比0.1%，须提供检测报告复印件；</w:t>
            </w:r>
          </w:p>
          <w:p>
            <w:pPr>
              <w:pStyle w:val="197"/>
              <w:keepNext w:val="0"/>
              <w:keepLines w:val="0"/>
              <w:pageBreakBefore w:val="0"/>
              <w:kinsoku/>
              <w:wordWrap/>
              <w:overflowPunct/>
              <w:topLinePunct w:val="0"/>
              <w:bidi w:val="0"/>
              <w:snapToGrid/>
              <w:spacing w:line="240" w:lineRule="auto"/>
              <w:ind w:firstLine="0" w:firstLineChars="0"/>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21.售后服务要求:</w:t>
            </w:r>
          </w:p>
          <w:p>
            <w:pPr>
              <w:pStyle w:val="197"/>
              <w:keepNext w:val="0"/>
              <w:keepLines w:val="0"/>
              <w:pageBreakBefore w:val="0"/>
              <w:kinsoku/>
              <w:wordWrap/>
              <w:overflowPunct/>
              <w:topLinePunct w:val="0"/>
              <w:bidi w:val="0"/>
              <w:snapToGrid/>
              <w:spacing w:line="240" w:lineRule="auto"/>
              <w:ind w:firstLine="0" w:firstLineChars="0"/>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sz w:val="18"/>
                <w:szCs w:val="18"/>
                <w:highlight w:val="none"/>
              </w:rPr>
              <w:t>仪器免费保修1年，双方在现场核对验收;免费安装调试，免费对采购人技术人员的操作、维修、保养等方面进行培训，直至能熟练独立操作，终身维护。</w:t>
            </w:r>
          </w:p>
        </w:tc>
        <w:tc>
          <w:tcPr>
            <w:tcW w:w="70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台</w:t>
            </w:r>
          </w:p>
        </w:tc>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0"/>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1</w:t>
            </w:r>
          </w:p>
        </w:tc>
      </w:tr>
      <w:tr>
        <w:tblPrEx>
          <w:tblCellMar>
            <w:top w:w="0" w:type="dxa"/>
            <w:left w:w="108" w:type="dxa"/>
            <w:bottom w:w="0" w:type="dxa"/>
            <w:right w:w="108" w:type="dxa"/>
          </w:tblCellMar>
        </w:tblPrEx>
        <w:trPr>
          <w:trHeight w:val="285"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9</w:t>
            </w:r>
          </w:p>
        </w:tc>
        <w:tc>
          <w:tcPr>
            <w:tcW w:w="13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sz w:val="18"/>
                <w:szCs w:val="18"/>
                <w:highlight w:val="none"/>
              </w:rPr>
              <w:t>乳酸分析仪</w:t>
            </w:r>
          </w:p>
        </w:tc>
        <w:tc>
          <w:tcPr>
            <w:tcW w:w="55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val="0"/>
              <w:autoSpaceDN w:val="0"/>
              <w:bidi w:val="0"/>
              <w:adjustRightInd w:val="0"/>
              <w:snapToGrid/>
              <w:spacing w:line="240" w:lineRule="auto"/>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1、主要功能</w:t>
            </w:r>
          </w:p>
          <w:p>
            <w:pPr>
              <w:keepNext w:val="0"/>
              <w:keepLines w:val="0"/>
              <w:pageBreakBefore w:val="0"/>
              <w:kinsoku/>
              <w:wordWrap/>
              <w:overflowPunct/>
              <w:topLinePunct w:val="0"/>
              <w:autoSpaceDE w:val="0"/>
              <w:autoSpaceDN w:val="0"/>
              <w:bidi w:val="0"/>
              <w:adjustRightInd w:val="0"/>
              <w:snapToGrid/>
              <w:spacing w:line="240" w:lineRule="auto"/>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主要应用范围包括运动医学，生化研究，新陈代谢，食品药品饮料等领域乳酸分析等。</w:t>
            </w:r>
          </w:p>
          <w:p>
            <w:pPr>
              <w:keepNext w:val="0"/>
              <w:keepLines w:val="0"/>
              <w:pageBreakBefore w:val="0"/>
              <w:kinsoku/>
              <w:wordWrap/>
              <w:overflowPunct/>
              <w:topLinePunct w:val="0"/>
              <w:autoSpaceDE w:val="0"/>
              <w:autoSpaceDN w:val="0"/>
              <w:bidi w:val="0"/>
              <w:adjustRightInd w:val="0"/>
              <w:snapToGrid/>
              <w:spacing w:line="240" w:lineRule="auto"/>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2、技术参数</w:t>
            </w:r>
          </w:p>
          <w:p>
            <w:pPr>
              <w:keepNext w:val="0"/>
              <w:keepLines w:val="0"/>
              <w:pageBreakBefore w:val="0"/>
              <w:kinsoku/>
              <w:wordWrap/>
              <w:overflowPunct/>
              <w:topLinePunct w:val="0"/>
              <w:autoSpaceDE w:val="0"/>
              <w:autoSpaceDN w:val="0"/>
              <w:bidi w:val="0"/>
              <w:adjustRightInd w:val="0"/>
              <w:snapToGrid/>
              <w:spacing w:line="240" w:lineRule="auto"/>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2.1、测量的方法采用的酶促氧反应速率的方法</w:t>
            </w:r>
          </w:p>
          <w:p>
            <w:pPr>
              <w:keepNext w:val="0"/>
              <w:keepLines w:val="0"/>
              <w:pageBreakBefore w:val="0"/>
              <w:kinsoku/>
              <w:wordWrap/>
              <w:overflowPunct/>
              <w:topLinePunct w:val="0"/>
              <w:autoSpaceDE w:val="0"/>
              <w:autoSpaceDN w:val="0"/>
              <w:bidi w:val="0"/>
              <w:adjustRightInd w:val="0"/>
              <w:snapToGrid/>
              <w:spacing w:line="240" w:lineRule="auto"/>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2.2、*生物传感器采用氧电极传感器，测量结果精确和准确。</w:t>
            </w:r>
          </w:p>
          <w:p>
            <w:pPr>
              <w:keepNext w:val="0"/>
              <w:keepLines w:val="0"/>
              <w:pageBreakBefore w:val="0"/>
              <w:kinsoku/>
              <w:wordWrap/>
              <w:overflowPunct/>
              <w:topLinePunct w:val="0"/>
              <w:autoSpaceDE w:val="0"/>
              <w:autoSpaceDN w:val="0"/>
              <w:bidi w:val="0"/>
              <w:adjustRightInd w:val="0"/>
              <w:snapToGrid/>
              <w:spacing w:line="240" w:lineRule="auto"/>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2.3、简单的YES和NO操作程序</w:t>
            </w:r>
          </w:p>
          <w:p>
            <w:pPr>
              <w:keepNext w:val="0"/>
              <w:keepLines w:val="0"/>
              <w:pageBreakBefore w:val="0"/>
              <w:kinsoku/>
              <w:wordWrap/>
              <w:overflowPunct/>
              <w:topLinePunct w:val="0"/>
              <w:autoSpaceDE w:val="0"/>
              <w:autoSpaceDN w:val="0"/>
              <w:bidi w:val="0"/>
              <w:adjustRightInd w:val="0"/>
              <w:snapToGrid/>
              <w:spacing w:line="240" w:lineRule="auto"/>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2.4、可以完全便携</w:t>
            </w:r>
          </w:p>
          <w:p>
            <w:pPr>
              <w:keepNext w:val="0"/>
              <w:keepLines w:val="0"/>
              <w:pageBreakBefore w:val="0"/>
              <w:kinsoku/>
              <w:wordWrap/>
              <w:overflowPunct/>
              <w:topLinePunct w:val="0"/>
              <w:autoSpaceDE w:val="0"/>
              <w:autoSpaceDN w:val="0"/>
              <w:bidi w:val="0"/>
              <w:adjustRightInd w:val="0"/>
              <w:snapToGrid/>
              <w:spacing w:line="240" w:lineRule="auto"/>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2.5、彻底消毒的液体通路</w:t>
            </w:r>
          </w:p>
          <w:p>
            <w:pPr>
              <w:keepNext w:val="0"/>
              <w:keepLines w:val="0"/>
              <w:pageBreakBefore w:val="0"/>
              <w:kinsoku/>
              <w:wordWrap/>
              <w:overflowPunct/>
              <w:topLinePunct w:val="0"/>
              <w:autoSpaceDE w:val="0"/>
              <w:autoSpaceDN w:val="0"/>
              <w:bidi w:val="0"/>
              <w:adjustRightInd w:val="0"/>
              <w:snapToGrid/>
              <w:spacing w:line="240" w:lineRule="auto"/>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 xml:space="preserve">2.6、小样品量2.5ul-10ul </w:t>
            </w:r>
          </w:p>
          <w:p>
            <w:pPr>
              <w:keepNext w:val="0"/>
              <w:keepLines w:val="0"/>
              <w:pageBreakBefore w:val="0"/>
              <w:kinsoku/>
              <w:wordWrap/>
              <w:overflowPunct/>
              <w:topLinePunct w:val="0"/>
              <w:autoSpaceDE w:val="0"/>
              <w:autoSpaceDN w:val="0"/>
              <w:bidi w:val="0"/>
              <w:adjustRightInd w:val="0"/>
              <w:snapToGrid/>
              <w:spacing w:line="240" w:lineRule="auto"/>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2.7、20秒内打印分析结果</w:t>
            </w:r>
          </w:p>
          <w:p>
            <w:pPr>
              <w:keepNext w:val="0"/>
              <w:keepLines w:val="0"/>
              <w:pageBreakBefore w:val="0"/>
              <w:kinsoku/>
              <w:wordWrap/>
              <w:overflowPunct/>
              <w:topLinePunct w:val="0"/>
              <w:autoSpaceDE w:val="0"/>
              <w:autoSpaceDN w:val="0"/>
              <w:bidi w:val="0"/>
              <w:adjustRightInd w:val="0"/>
              <w:snapToGrid/>
              <w:spacing w:line="240" w:lineRule="auto"/>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2.8、乳酸分析仪是微处理器控制的单通道的台式分析仪。</w:t>
            </w:r>
          </w:p>
          <w:p>
            <w:pPr>
              <w:keepNext w:val="0"/>
              <w:keepLines w:val="0"/>
              <w:pageBreakBefore w:val="0"/>
              <w:kinsoku/>
              <w:wordWrap/>
              <w:overflowPunct/>
              <w:topLinePunct w:val="0"/>
              <w:autoSpaceDE w:val="0"/>
              <w:autoSpaceDN w:val="0"/>
              <w:bidi w:val="0"/>
              <w:adjustRightInd w:val="0"/>
              <w:snapToGrid/>
              <w:spacing w:line="240" w:lineRule="auto"/>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2.9、恒温反应系统包括恒温控制模块，小样室，以及三个端口构成。三个端口分别具有清空，填充以及测量液体位置的功能。</w:t>
            </w:r>
          </w:p>
          <w:p>
            <w:pPr>
              <w:keepNext w:val="0"/>
              <w:keepLines w:val="0"/>
              <w:pageBreakBefore w:val="0"/>
              <w:kinsoku/>
              <w:wordWrap/>
              <w:overflowPunct/>
              <w:topLinePunct w:val="0"/>
              <w:autoSpaceDE w:val="0"/>
              <w:autoSpaceDN w:val="0"/>
              <w:bidi w:val="0"/>
              <w:adjustRightInd w:val="0"/>
              <w:snapToGrid/>
              <w:spacing w:line="240" w:lineRule="auto"/>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2.10、小样品室反应恒定的温度为30℃</w:t>
            </w:r>
          </w:p>
          <w:p>
            <w:pPr>
              <w:keepNext w:val="0"/>
              <w:keepLines w:val="0"/>
              <w:pageBreakBefore w:val="0"/>
              <w:kinsoku/>
              <w:wordWrap/>
              <w:overflowPunct/>
              <w:topLinePunct w:val="0"/>
              <w:autoSpaceDE w:val="0"/>
              <w:autoSpaceDN w:val="0"/>
              <w:bidi w:val="0"/>
              <w:adjustRightInd w:val="0"/>
              <w:snapToGrid/>
              <w:spacing w:line="240" w:lineRule="auto"/>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2.11、液体运输系统包括：三缸往复泵以及试剂瓶和废液瓶。</w:t>
            </w:r>
          </w:p>
          <w:p>
            <w:pPr>
              <w:keepNext w:val="0"/>
              <w:keepLines w:val="0"/>
              <w:pageBreakBefore w:val="0"/>
              <w:kinsoku/>
              <w:wordWrap/>
              <w:overflowPunct/>
              <w:topLinePunct w:val="0"/>
              <w:autoSpaceDE w:val="0"/>
              <w:autoSpaceDN w:val="0"/>
              <w:bidi w:val="0"/>
              <w:adjustRightInd w:val="0"/>
              <w:snapToGrid/>
              <w:spacing w:line="240" w:lineRule="auto"/>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2.12、极化电压范围：630mv</w:t>
            </w:r>
          </w:p>
          <w:p>
            <w:pPr>
              <w:keepNext w:val="0"/>
              <w:keepLines w:val="0"/>
              <w:pageBreakBefore w:val="0"/>
              <w:kinsoku/>
              <w:wordWrap/>
              <w:overflowPunct/>
              <w:topLinePunct w:val="0"/>
              <w:autoSpaceDE w:val="0"/>
              <w:autoSpaceDN w:val="0"/>
              <w:bidi w:val="0"/>
              <w:adjustRightInd w:val="0"/>
              <w:snapToGrid/>
              <w:spacing w:line="240" w:lineRule="auto"/>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2.13、结果显示 :32 字母背光液晶显示器</w:t>
            </w:r>
          </w:p>
          <w:p>
            <w:pPr>
              <w:keepNext w:val="0"/>
              <w:keepLines w:val="0"/>
              <w:pageBreakBefore w:val="0"/>
              <w:kinsoku/>
              <w:wordWrap/>
              <w:overflowPunct/>
              <w:topLinePunct w:val="0"/>
              <w:autoSpaceDE w:val="0"/>
              <w:autoSpaceDN w:val="0"/>
              <w:bidi w:val="0"/>
              <w:adjustRightInd w:val="0"/>
              <w:snapToGrid/>
              <w:spacing w:line="240" w:lineRule="auto"/>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2.14、统计数据可以计算平均值，S.D以及C.V</w:t>
            </w:r>
          </w:p>
          <w:p>
            <w:pPr>
              <w:keepNext w:val="0"/>
              <w:keepLines w:val="0"/>
              <w:pageBreakBefore w:val="0"/>
              <w:kinsoku/>
              <w:wordWrap/>
              <w:overflowPunct/>
              <w:topLinePunct w:val="0"/>
              <w:autoSpaceDE w:val="0"/>
              <w:autoSpaceDN w:val="0"/>
              <w:bidi w:val="0"/>
              <w:adjustRightInd w:val="0"/>
              <w:snapToGrid/>
              <w:spacing w:line="240" w:lineRule="auto"/>
              <w:jc w:val="left"/>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2.15、串联端口，打印机16列点阵，速度 1行/秒</w:t>
            </w:r>
          </w:p>
          <w:p>
            <w:pPr>
              <w:keepNext w:val="0"/>
              <w:keepLines w:val="0"/>
              <w:pageBreakBefore w:val="0"/>
              <w:kinsoku/>
              <w:wordWrap/>
              <w:overflowPunct/>
              <w:topLinePunct w:val="0"/>
              <w:autoSpaceDE w:val="0"/>
              <w:autoSpaceDN w:val="0"/>
              <w:bidi w:val="0"/>
              <w:adjustRightInd w:val="0"/>
              <w:snapToGrid/>
              <w:spacing w:line="240" w:lineRule="auto"/>
              <w:jc w:val="left"/>
              <w:rPr>
                <w:rFonts w:hint="eastAsia" w:asciiTheme="minorEastAsia" w:hAnsiTheme="minorEastAsia" w:eastAsiaTheme="minorEastAsia" w:cstheme="minorEastAsia"/>
                <w:color w:val="auto"/>
                <w:kern w:val="0"/>
                <w:sz w:val="18"/>
                <w:szCs w:val="18"/>
                <w:highlight w:val="none"/>
                <w:lang w:val="en-US" w:eastAsia="zh-CN" w:bidi="ar-SA"/>
              </w:rPr>
            </w:pPr>
          </w:p>
        </w:tc>
        <w:tc>
          <w:tcPr>
            <w:tcW w:w="70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sz w:val="18"/>
                <w:szCs w:val="18"/>
                <w:highlight w:val="none"/>
              </w:rPr>
              <w:t>台</w:t>
            </w:r>
          </w:p>
        </w:tc>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sz w:val="18"/>
                <w:szCs w:val="18"/>
                <w:highlight w:val="none"/>
              </w:rPr>
              <w:t>1</w:t>
            </w:r>
          </w:p>
        </w:tc>
      </w:tr>
      <w:tr>
        <w:tblPrEx>
          <w:tblCellMar>
            <w:top w:w="0" w:type="dxa"/>
            <w:left w:w="108" w:type="dxa"/>
            <w:bottom w:w="0" w:type="dxa"/>
            <w:right w:w="108" w:type="dxa"/>
          </w:tblCellMar>
        </w:tblPrEx>
        <w:trPr>
          <w:trHeight w:val="285"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10</w:t>
            </w:r>
          </w:p>
        </w:tc>
        <w:tc>
          <w:tcPr>
            <w:tcW w:w="13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rPr>
                <w:rFonts w:hint="eastAsia" w:asciiTheme="minorEastAsia" w:hAnsiTheme="minorEastAsia" w:eastAsiaTheme="minorEastAsia" w:cstheme="minorEastAsia"/>
                <w:color w:val="auto"/>
                <w:kern w:val="0"/>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实验室超纯水机台上式</w:t>
            </w:r>
          </w:p>
        </w:tc>
        <w:tc>
          <w:tcPr>
            <w:tcW w:w="55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left"/>
              <w:textAlignment w:val="center"/>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一、工作环境</w:t>
            </w:r>
          </w:p>
          <w:p>
            <w:pPr>
              <w:keepNext w:val="0"/>
              <w:keepLines w:val="0"/>
              <w:pageBreakBefore w:val="0"/>
              <w:widowControl/>
              <w:kinsoku/>
              <w:wordWrap/>
              <w:overflowPunct/>
              <w:topLinePunct w:val="0"/>
              <w:bidi w:val="0"/>
              <w:snapToGrid/>
              <w:spacing w:line="240" w:lineRule="auto"/>
              <w:jc w:val="left"/>
              <w:textAlignment w:val="center"/>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1.进水要求：城市自来水或地下水（总溶解性固形物TDS＜1000ppm）,水压0.10—0.40MPa，水温5－45℃</w:t>
            </w:r>
          </w:p>
          <w:p>
            <w:pPr>
              <w:keepNext w:val="0"/>
              <w:keepLines w:val="0"/>
              <w:pageBreakBefore w:val="0"/>
              <w:widowControl/>
              <w:kinsoku/>
              <w:wordWrap/>
              <w:overflowPunct/>
              <w:topLinePunct w:val="0"/>
              <w:bidi w:val="0"/>
              <w:snapToGrid/>
              <w:spacing w:line="240" w:lineRule="auto"/>
              <w:jc w:val="left"/>
              <w:textAlignment w:val="center"/>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2.电源及功率：AC220V/50Hz，150W</w:t>
            </w:r>
          </w:p>
          <w:p>
            <w:pPr>
              <w:keepNext w:val="0"/>
              <w:keepLines w:val="0"/>
              <w:pageBreakBefore w:val="0"/>
              <w:widowControl/>
              <w:kinsoku/>
              <w:wordWrap/>
              <w:overflowPunct/>
              <w:topLinePunct w:val="0"/>
              <w:bidi w:val="0"/>
              <w:snapToGrid/>
              <w:spacing w:line="240" w:lineRule="auto"/>
              <w:jc w:val="left"/>
              <w:textAlignment w:val="center"/>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二、技术参数</w:t>
            </w:r>
          </w:p>
          <w:p>
            <w:pPr>
              <w:keepNext w:val="0"/>
              <w:keepLines w:val="0"/>
              <w:pageBreakBefore w:val="0"/>
              <w:widowControl/>
              <w:kinsoku/>
              <w:wordWrap/>
              <w:overflowPunct/>
              <w:topLinePunct w:val="0"/>
              <w:bidi w:val="0"/>
              <w:snapToGrid/>
              <w:spacing w:line="240" w:lineRule="auto"/>
              <w:jc w:val="left"/>
              <w:textAlignment w:val="center"/>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1.制水量: ≥10-15升/小时（水温25℃时）</w:t>
            </w:r>
          </w:p>
          <w:p>
            <w:pPr>
              <w:keepNext w:val="0"/>
              <w:keepLines w:val="0"/>
              <w:pageBreakBefore w:val="0"/>
              <w:widowControl/>
              <w:kinsoku/>
              <w:wordWrap/>
              <w:overflowPunct/>
              <w:topLinePunct w:val="0"/>
              <w:bidi w:val="0"/>
              <w:snapToGrid/>
              <w:spacing w:line="240" w:lineRule="auto"/>
              <w:jc w:val="left"/>
              <w:textAlignment w:val="center"/>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2.出水流量：1.5－2.0升/分钟（水箱储水时）标配30L具有ULUPURE液位传感控制系统的(提供证明材料）带空气过滤器PE水箱，防止系统漏水,水箱可取水，方便清洗。</w:t>
            </w:r>
          </w:p>
          <w:p>
            <w:pPr>
              <w:keepNext w:val="0"/>
              <w:keepLines w:val="0"/>
              <w:pageBreakBefore w:val="0"/>
              <w:widowControl/>
              <w:kinsoku/>
              <w:wordWrap/>
              <w:overflowPunct/>
              <w:topLinePunct w:val="0"/>
              <w:bidi w:val="0"/>
              <w:snapToGrid/>
              <w:spacing w:line="240" w:lineRule="auto"/>
              <w:jc w:val="left"/>
              <w:textAlignment w:val="center"/>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★3. 反渗透模块采用“一种快插式反渗透膜壳”工双膜双泵工艺，更换耗材更快捷，配置中间水箱较单极RO纯水系统产水水质更佳，离子、有机物和热源含量更低。电导率:1—5μs/cm 补偿至25℃</w:t>
            </w:r>
          </w:p>
          <w:p>
            <w:pPr>
              <w:keepNext w:val="0"/>
              <w:keepLines w:val="0"/>
              <w:pageBreakBefore w:val="0"/>
              <w:widowControl/>
              <w:kinsoku/>
              <w:wordWrap/>
              <w:overflowPunct/>
              <w:topLinePunct w:val="0"/>
              <w:bidi w:val="0"/>
              <w:snapToGrid/>
              <w:spacing w:line="240" w:lineRule="auto"/>
              <w:jc w:val="left"/>
              <w:textAlignment w:val="center"/>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★4.超纯化模块采用“一种纯化柱用过滤网”工艺（提供证明材料），有效拦截水中杂质，维护水质稳定。 UP超纯水产水质：电阻率18.2MΩ.cm @25℃（在线监测），重金属离子≤0.1ppb  微颗粒物≤1个/ml,RNA 酶&lt; 0.01 ng/ml,DNA酶&lt; 4 pg/ul,细菌&lt;0.1cfu/ ml.</w:t>
            </w:r>
          </w:p>
          <w:p>
            <w:pPr>
              <w:keepNext w:val="0"/>
              <w:keepLines w:val="0"/>
              <w:pageBreakBefore w:val="0"/>
              <w:widowControl/>
              <w:kinsoku/>
              <w:wordWrap/>
              <w:overflowPunct/>
              <w:topLinePunct w:val="0"/>
              <w:bidi w:val="0"/>
              <w:snapToGrid/>
              <w:spacing w:line="240" w:lineRule="auto"/>
              <w:jc w:val="left"/>
              <w:textAlignment w:val="center"/>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5.主机参数  尺寸: ≥360*520*565mm(高*宽*深)   重量:35Kg   功率: 150W</w:t>
            </w:r>
          </w:p>
          <w:p>
            <w:pPr>
              <w:keepNext w:val="0"/>
              <w:keepLines w:val="0"/>
              <w:pageBreakBefore w:val="0"/>
              <w:widowControl/>
              <w:kinsoku/>
              <w:wordWrap/>
              <w:overflowPunct/>
              <w:topLinePunct w:val="0"/>
              <w:bidi w:val="0"/>
              <w:snapToGrid/>
              <w:spacing w:line="240" w:lineRule="auto"/>
              <w:jc w:val="left"/>
              <w:textAlignment w:val="center"/>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三、功能特点及设备配置：</w:t>
            </w:r>
          </w:p>
          <w:p>
            <w:pPr>
              <w:pStyle w:val="33"/>
              <w:keepNext w:val="0"/>
              <w:keepLines w:val="0"/>
              <w:pageBreakBefore w:val="0"/>
              <w:shd w:val="clear" w:color="auto" w:fill="FFFFFF"/>
              <w:kinsoku/>
              <w:wordWrap/>
              <w:overflowPunct/>
              <w:topLinePunct w:val="0"/>
              <w:bidi w:val="0"/>
              <w:snapToGrid/>
              <w:spacing w:before="0" w:beforeAutospacing="0" w:after="0" w:afterAutospacing="0" w:line="240" w:lineRule="auto"/>
              <w:textAlignment w:val="center"/>
              <w:rPr>
                <w:rFonts w:hint="eastAsia" w:asciiTheme="minorEastAsia" w:hAnsiTheme="minorEastAsia" w:eastAsiaTheme="minorEastAsia" w:cstheme="minorEastAsia"/>
                <w:color w:val="auto"/>
                <w:kern w:val="2"/>
                <w:sz w:val="18"/>
                <w:szCs w:val="18"/>
                <w:highlight w:val="none"/>
              </w:rPr>
            </w:pPr>
            <w:r>
              <w:rPr>
                <w:rFonts w:hint="eastAsia" w:asciiTheme="minorEastAsia" w:hAnsiTheme="minorEastAsia" w:eastAsiaTheme="minorEastAsia" w:cstheme="minorEastAsia"/>
                <w:color w:val="auto"/>
                <w:kern w:val="2"/>
                <w:sz w:val="18"/>
                <w:szCs w:val="18"/>
                <w:highlight w:val="none"/>
              </w:rPr>
              <w:t>1、具“黑匣子”功能，通过USB下载机内历史数据，为水样的可追溯性提供依据；</w:t>
            </w:r>
          </w:p>
          <w:p>
            <w:pPr>
              <w:pStyle w:val="33"/>
              <w:keepNext w:val="0"/>
              <w:keepLines w:val="0"/>
              <w:pageBreakBefore w:val="0"/>
              <w:shd w:val="clear" w:color="auto" w:fill="FFFFFF"/>
              <w:kinsoku/>
              <w:wordWrap/>
              <w:overflowPunct/>
              <w:topLinePunct w:val="0"/>
              <w:bidi w:val="0"/>
              <w:snapToGrid/>
              <w:spacing w:before="0" w:beforeAutospacing="0" w:after="0" w:afterAutospacing="0" w:line="240" w:lineRule="auto"/>
              <w:textAlignment w:val="center"/>
              <w:rPr>
                <w:rFonts w:hint="eastAsia" w:asciiTheme="minorEastAsia" w:hAnsiTheme="minorEastAsia" w:eastAsiaTheme="minorEastAsia" w:cstheme="minorEastAsia"/>
                <w:color w:val="auto"/>
                <w:kern w:val="2"/>
                <w:sz w:val="18"/>
                <w:szCs w:val="18"/>
                <w:highlight w:val="none"/>
              </w:rPr>
            </w:pPr>
            <w:r>
              <w:rPr>
                <w:rFonts w:hint="eastAsia" w:asciiTheme="minorEastAsia" w:hAnsiTheme="minorEastAsia" w:eastAsiaTheme="minorEastAsia" w:cstheme="minorEastAsia"/>
                <w:color w:val="auto"/>
                <w:kern w:val="2"/>
                <w:sz w:val="18"/>
                <w:szCs w:val="18"/>
                <w:highlight w:val="none"/>
              </w:rPr>
              <w:t>2、仪表状态的智能诊断功能；</w:t>
            </w:r>
          </w:p>
          <w:p>
            <w:pPr>
              <w:pStyle w:val="33"/>
              <w:keepNext w:val="0"/>
              <w:keepLines w:val="0"/>
              <w:pageBreakBefore w:val="0"/>
              <w:shd w:val="clear" w:color="auto" w:fill="FFFFFF"/>
              <w:kinsoku/>
              <w:wordWrap/>
              <w:overflowPunct/>
              <w:topLinePunct w:val="0"/>
              <w:bidi w:val="0"/>
              <w:snapToGrid/>
              <w:spacing w:before="0" w:beforeAutospacing="0" w:after="0" w:afterAutospacing="0" w:line="240" w:lineRule="auto"/>
              <w:textAlignment w:val="center"/>
              <w:rPr>
                <w:rFonts w:hint="eastAsia" w:asciiTheme="minorEastAsia" w:hAnsiTheme="minorEastAsia" w:eastAsiaTheme="minorEastAsia" w:cstheme="minorEastAsia"/>
                <w:color w:val="auto"/>
                <w:kern w:val="2"/>
                <w:sz w:val="18"/>
                <w:szCs w:val="18"/>
                <w:highlight w:val="none"/>
              </w:rPr>
            </w:pPr>
            <w:r>
              <w:rPr>
                <w:rFonts w:hint="eastAsia" w:asciiTheme="minorEastAsia" w:hAnsiTheme="minorEastAsia" w:eastAsiaTheme="minorEastAsia" w:cstheme="minorEastAsia"/>
                <w:color w:val="auto"/>
                <w:kern w:val="2"/>
                <w:sz w:val="18"/>
                <w:szCs w:val="18"/>
                <w:highlight w:val="none"/>
              </w:rPr>
              <w:t>3、一键快速定量取水功能；</w:t>
            </w:r>
          </w:p>
          <w:p>
            <w:pPr>
              <w:pStyle w:val="33"/>
              <w:keepNext w:val="0"/>
              <w:keepLines w:val="0"/>
              <w:pageBreakBefore w:val="0"/>
              <w:shd w:val="clear" w:color="auto" w:fill="FFFFFF"/>
              <w:kinsoku/>
              <w:wordWrap/>
              <w:overflowPunct/>
              <w:topLinePunct w:val="0"/>
              <w:bidi w:val="0"/>
              <w:snapToGrid/>
              <w:spacing w:before="0" w:beforeAutospacing="0" w:after="0" w:afterAutospacing="0" w:line="240" w:lineRule="auto"/>
              <w:textAlignment w:val="center"/>
              <w:rPr>
                <w:rFonts w:hint="eastAsia" w:asciiTheme="minorEastAsia" w:hAnsiTheme="minorEastAsia" w:eastAsiaTheme="minorEastAsia" w:cstheme="minorEastAsia"/>
                <w:color w:val="auto"/>
                <w:kern w:val="2"/>
                <w:sz w:val="18"/>
                <w:szCs w:val="18"/>
                <w:highlight w:val="none"/>
              </w:rPr>
            </w:pPr>
            <w:r>
              <w:rPr>
                <w:rFonts w:hint="eastAsia" w:asciiTheme="minorEastAsia" w:hAnsiTheme="minorEastAsia" w:eastAsiaTheme="minorEastAsia" w:cstheme="minorEastAsia"/>
                <w:color w:val="auto"/>
                <w:kern w:val="2"/>
                <w:sz w:val="18"/>
                <w:szCs w:val="18"/>
                <w:highlight w:val="none"/>
              </w:rPr>
              <w:t>4、专用耗材识别功能；</w:t>
            </w:r>
          </w:p>
          <w:p>
            <w:pPr>
              <w:pStyle w:val="33"/>
              <w:keepNext w:val="0"/>
              <w:keepLines w:val="0"/>
              <w:pageBreakBefore w:val="0"/>
              <w:shd w:val="clear" w:color="auto" w:fill="FFFFFF"/>
              <w:kinsoku/>
              <w:wordWrap/>
              <w:overflowPunct/>
              <w:topLinePunct w:val="0"/>
              <w:bidi w:val="0"/>
              <w:snapToGrid/>
              <w:spacing w:before="0" w:beforeAutospacing="0" w:after="0" w:afterAutospacing="0" w:line="240" w:lineRule="auto"/>
              <w:textAlignment w:val="center"/>
              <w:rPr>
                <w:rFonts w:hint="eastAsia" w:asciiTheme="minorEastAsia" w:hAnsiTheme="minorEastAsia" w:eastAsiaTheme="minorEastAsia" w:cstheme="minorEastAsia"/>
                <w:color w:val="auto"/>
                <w:kern w:val="2"/>
                <w:sz w:val="18"/>
                <w:szCs w:val="18"/>
                <w:highlight w:val="none"/>
              </w:rPr>
            </w:pPr>
            <w:r>
              <w:rPr>
                <w:rFonts w:hint="eastAsia" w:asciiTheme="minorEastAsia" w:hAnsiTheme="minorEastAsia" w:eastAsiaTheme="minorEastAsia" w:cstheme="minorEastAsia"/>
                <w:color w:val="auto"/>
                <w:kern w:val="2"/>
                <w:sz w:val="18"/>
                <w:szCs w:val="18"/>
                <w:highlight w:val="none"/>
              </w:rPr>
              <w:t>5、TOC在线显示；</w:t>
            </w:r>
          </w:p>
          <w:p>
            <w:pPr>
              <w:pStyle w:val="33"/>
              <w:keepNext w:val="0"/>
              <w:keepLines w:val="0"/>
              <w:pageBreakBefore w:val="0"/>
              <w:shd w:val="clear" w:color="auto" w:fill="FFFFFF"/>
              <w:kinsoku/>
              <w:wordWrap/>
              <w:overflowPunct/>
              <w:topLinePunct w:val="0"/>
              <w:bidi w:val="0"/>
              <w:snapToGrid/>
              <w:spacing w:before="0" w:beforeAutospacing="0" w:after="0" w:afterAutospacing="0" w:line="240" w:lineRule="auto"/>
              <w:textAlignment w:val="center"/>
              <w:rPr>
                <w:rFonts w:hint="eastAsia" w:asciiTheme="minorEastAsia" w:hAnsiTheme="minorEastAsia" w:eastAsiaTheme="minorEastAsia" w:cstheme="minorEastAsia"/>
                <w:color w:val="auto"/>
                <w:kern w:val="2"/>
                <w:sz w:val="18"/>
                <w:szCs w:val="18"/>
                <w:highlight w:val="none"/>
              </w:rPr>
            </w:pPr>
            <w:r>
              <w:rPr>
                <w:rFonts w:hint="eastAsia" w:asciiTheme="minorEastAsia" w:hAnsiTheme="minorEastAsia" w:eastAsiaTheme="minorEastAsia" w:cstheme="minorEastAsia"/>
                <w:color w:val="auto"/>
                <w:kern w:val="2"/>
                <w:sz w:val="18"/>
                <w:szCs w:val="18"/>
                <w:highlight w:val="none"/>
              </w:rPr>
              <w:t>6、用户管理功能（授权用户方可使用设备）。</w:t>
            </w:r>
          </w:p>
          <w:p>
            <w:pPr>
              <w:pStyle w:val="33"/>
              <w:keepNext w:val="0"/>
              <w:keepLines w:val="0"/>
              <w:pageBreakBefore w:val="0"/>
              <w:shd w:val="clear" w:color="auto" w:fill="FFFFFF"/>
              <w:kinsoku/>
              <w:wordWrap/>
              <w:overflowPunct/>
              <w:topLinePunct w:val="0"/>
              <w:bidi w:val="0"/>
              <w:snapToGrid/>
              <w:spacing w:before="0" w:beforeAutospacing="0" w:after="0" w:afterAutospacing="0" w:line="240" w:lineRule="auto"/>
              <w:textAlignment w:val="center"/>
              <w:rPr>
                <w:rFonts w:hint="eastAsia" w:asciiTheme="minorEastAsia" w:hAnsiTheme="minorEastAsia" w:eastAsiaTheme="minorEastAsia" w:cstheme="minorEastAsia"/>
                <w:color w:val="auto"/>
                <w:kern w:val="2"/>
                <w:sz w:val="18"/>
                <w:szCs w:val="18"/>
                <w:highlight w:val="none"/>
              </w:rPr>
            </w:pPr>
            <w:r>
              <w:rPr>
                <w:rFonts w:hint="eastAsia" w:asciiTheme="minorEastAsia" w:hAnsiTheme="minorEastAsia" w:eastAsiaTheme="minorEastAsia" w:cstheme="minorEastAsia"/>
                <w:color w:val="auto"/>
                <w:kern w:val="2"/>
                <w:sz w:val="18"/>
                <w:szCs w:val="18"/>
                <w:highlight w:val="none"/>
              </w:rPr>
              <w:t>7、用户可设定一次性最大限量取水（防止接水容器满水后可能造成溢水破坏损失）；</w:t>
            </w:r>
          </w:p>
          <w:p>
            <w:pPr>
              <w:pStyle w:val="33"/>
              <w:keepNext w:val="0"/>
              <w:keepLines w:val="0"/>
              <w:pageBreakBefore w:val="0"/>
              <w:shd w:val="clear" w:color="auto" w:fill="FFFFFF"/>
              <w:kinsoku/>
              <w:wordWrap/>
              <w:overflowPunct/>
              <w:topLinePunct w:val="0"/>
              <w:bidi w:val="0"/>
              <w:snapToGrid/>
              <w:spacing w:before="0" w:beforeAutospacing="0" w:after="0" w:afterAutospacing="0" w:line="240" w:lineRule="auto"/>
              <w:textAlignment w:val="center"/>
              <w:rPr>
                <w:rFonts w:hint="eastAsia" w:asciiTheme="minorEastAsia" w:hAnsiTheme="minorEastAsia" w:eastAsiaTheme="minorEastAsia" w:cstheme="minorEastAsia"/>
                <w:color w:val="auto"/>
                <w:kern w:val="2"/>
                <w:sz w:val="18"/>
                <w:szCs w:val="18"/>
                <w:highlight w:val="none"/>
              </w:rPr>
            </w:pPr>
            <w:r>
              <w:rPr>
                <w:rFonts w:hint="eastAsia" w:asciiTheme="minorEastAsia" w:hAnsiTheme="minorEastAsia" w:eastAsiaTheme="minorEastAsia" w:cstheme="minorEastAsia"/>
                <w:color w:val="auto"/>
                <w:kern w:val="2"/>
                <w:sz w:val="18"/>
                <w:szCs w:val="18"/>
                <w:highlight w:val="none"/>
              </w:rPr>
              <w:t>8、PLC控制系统，触摸显示屏，人机对话便捷高效；</w:t>
            </w:r>
          </w:p>
          <w:p>
            <w:pPr>
              <w:pStyle w:val="33"/>
              <w:keepNext w:val="0"/>
              <w:keepLines w:val="0"/>
              <w:pageBreakBefore w:val="0"/>
              <w:shd w:val="clear" w:color="auto" w:fill="FFFFFF"/>
              <w:kinsoku/>
              <w:wordWrap/>
              <w:overflowPunct/>
              <w:topLinePunct w:val="0"/>
              <w:bidi w:val="0"/>
              <w:snapToGrid/>
              <w:spacing w:before="0" w:beforeAutospacing="0" w:after="0" w:afterAutospacing="0" w:line="240" w:lineRule="auto"/>
              <w:textAlignment w:val="center"/>
              <w:rPr>
                <w:rFonts w:hint="eastAsia" w:asciiTheme="minorEastAsia" w:hAnsiTheme="minorEastAsia" w:eastAsiaTheme="minorEastAsia" w:cstheme="minorEastAsia"/>
                <w:color w:val="auto"/>
                <w:kern w:val="2"/>
                <w:sz w:val="18"/>
                <w:szCs w:val="18"/>
                <w:highlight w:val="none"/>
              </w:rPr>
            </w:pPr>
            <w:r>
              <w:rPr>
                <w:rFonts w:hint="eastAsia" w:asciiTheme="minorEastAsia" w:hAnsiTheme="minorEastAsia" w:eastAsiaTheme="minorEastAsia" w:cstheme="minorEastAsia"/>
                <w:color w:val="auto"/>
                <w:kern w:val="2"/>
                <w:sz w:val="18"/>
                <w:szCs w:val="18"/>
                <w:highlight w:val="none"/>
              </w:rPr>
              <w:t>9、图文显示系统诊断结果，结合警示音，确保用水更安全；</w:t>
            </w:r>
          </w:p>
          <w:p>
            <w:pPr>
              <w:pStyle w:val="33"/>
              <w:keepNext w:val="0"/>
              <w:keepLines w:val="0"/>
              <w:pageBreakBefore w:val="0"/>
              <w:shd w:val="clear" w:color="auto" w:fill="FFFFFF"/>
              <w:kinsoku/>
              <w:wordWrap/>
              <w:overflowPunct/>
              <w:topLinePunct w:val="0"/>
              <w:bidi w:val="0"/>
              <w:snapToGrid/>
              <w:spacing w:before="0" w:beforeAutospacing="0" w:after="0" w:afterAutospacing="0" w:line="240" w:lineRule="auto"/>
              <w:textAlignment w:val="center"/>
              <w:rPr>
                <w:rFonts w:hint="eastAsia" w:asciiTheme="minorEastAsia" w:hAnsiTheme="minorEastAsia" w:eastAsiaTheme="minorEastAsia" w:cstheme="minorEastAsia"/>
                <w:color w:val="auto"/>
                <w:kern w:val="2"/>
                <w:sz w:val="18"/>
                <w:szCs w:val="18"/>
                <w:highlight w:val="none"/>
              </w:rPr>
            </w:pPr>
            <w:r>
              <w:rPr>
                <w:rFonts w:hint="eastAsia" w:asciiTheme="minorEastAsia" w:hAnsiTheme="minorEastAsia" w:eastAsiaTheme="minorEastAsia" w:cstheme="minorEastAsia"/>
                <w:color w:val="auto"/>
                <w:kern w:val="2"/>
                <w:sz w:val="18"/>
                <w:szCs w:val="18"/>
                <w:highlight w:val="none"/>
              </w:rPr>
              <w:t>10、RO纯水出水流速为2.0升/分钟（水箱龙头出水），UP超纯水出水流速为1.0～1.5升/分钟</w:t>
            </w:r>
          </w:p>
          <w:p>
            <w:pPr>
              <w:keepNext w:val="0"/>
              <w:keepLines w:val="0"/>
              <w:pageBreakBefore w:val="0"/>
              <w:widowControl/>
              <w:kinsoku/>
              <w:wordWrap/>
              <w:overflowPunct/>
              <w:topLinePunct w:val="0"/>
              <w:bidi w:val="0"/>
              <w:snapToGrid/>
              <w:spacing w:line="240" w:lineRule="auto"/>
              <w:jc w:val="left"/>
              <w:textAlignment w:val="center"/>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11.具系统自动冲洗功能；开机自检功能；自动保护功能；</w:t>
            </w:r>
          </w:p>
          <w:p>
            <w:pPr>
              <w:keepNext w:val="0"/>
              <w:keepLines w:val="0"/>
              <w:pageBreakBefore w:val="0"/>
              <w:widowControl/>
              <w:kinsoku/>
              <w:wordWrap/>
              <w:overflowPunct/>
              <w:topLinePunct w:val="0"/>
              <w:bidi w:val="0"/>
              <w:snapToGrid/>
              <w:spacing w:line="240" w:lineRule="auto"/>
              <w:jc w:val="left"/>
              <w:textAlignment w:val="center"/>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12.一机两用，双级反渗透工艺，可制备纯水和超纯水；纯水电导率和超纯水电阻率在线监测功能，较简装型双级RO系统（无中间水箱）产水水质更稳定，RO膜总制水量可提高1倍以上；</w:t>
            </w:r>
          </w:p>
          <w:p>
            <w:pPr>
              <w:keepNext w:val="0"/>
              <w:keepLines w:val="0"/>
              <w:pageBreakBefore w:val="0"/>
              <w:widowControl/>
              <w:kinsoku/>
              <w:wordWrap/>
              <w:overflowPunct/>
              <w:topLinePunct w:val="0"/>
              <w:bidi w:val="0"/>
              <w:snapToGrid/>
              <w:spacing w:line="240" w:lineRule="auto"/>
              <w:jc w:val="left"/>
              <w:textAlignment w:val="center"/>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13. 触摸式操作面板控制系统；PLC自动控制，LCD液晶中文显示屏；</w:t>
            </w:r>
          </w:p>
          <w:p>
            <w:pPr>
              <w:keepNext w:val="0"/>
              <w:keepLines w:val="0"/>
              <w:pageBreakBefore w:val="0"/>
              <w:widowControl/>
              <w:kinsoku/>
              <w:wordWrap/>
              <w:overflowPunct/>
              <w:topLinePunct w:val="0"/>
              <w:bidi w:val="0"/>
              <w:snapToGrid/>
              <w:spacing w:line="240" w:lineRule="auto"/>
              <w:jc w:val="left"/>
              <w:textAlignment w:val="center"/>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14. 具有“实验室纯水器低水压和无水保护信号装置”，有效保护纯水机，延长使用寿命。</w:t>
            </w:r>
          </w:p>
          <w:p>
            <w:pPr>
              <w:keepNext w:val="0"/>
              <w:keepLines w:val="0"/>
              <w:pageBreakBefore w:val="0"/>
              <w:widowControl/>
              <w:kinsoku/>
              <w:wordWrap/>
              <w:overflowPunct/>
              <w:topLinePunct w:val="0"/>
              <w:bidi w:val="0"/>
              <w:snapToGrid/>
              <w:spacing w:line="240" w:lineRule="auto"/>
              <w:jc w:val="left"/>
              <w:textAlignment w:val="center"/>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15.配备内置在线实时电阻率/电导率监测仪，并具有“超纯水机水处理监控模块”提供证明材料；；</w:t>
            </w:r>
          </w:p>
          <w:p>
            <w:pPr>
              <w:keepNext w:val="0"/>
              <w:keepLines w:val="0"/>
              <w:pageBreakBefore w:val="0"/>
              <w:widowControl/>
              <w:kinsoku/>
              <w:wordWrap/>
              <w:overflowPunct/>
              <w:topLinePunct w:val="0"/>
              <w:bidi w:val="0"/>
              <w:snapToGrid/>
              <w:spacing w:line="240" w:lineRule="auto"/>
              <w:jc w:val="left"/>
              <w:textAlignment w:val="center"/>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16.具有“超纯水机水路控制模块”，超纯水机使用更稳定。</w:t>
            </w:r>
          </w:p>
          <w:p>
            <w:pPr>
              <w:keepNext w:val="0"/>
              <w:keepLines w:val="0"/>
              <w:pageBreakBefore w:val="0"/>
              <w:widowControl/>
              <w:kinsoku/>
              <w:wordWrap/>
              <w:overflowPunct/>
              <w:topLinePunct w:val="0"/>
              <w:bidi w:val="0"/>
              <w:snapToGrid/>
              <w:spacing w:line="240" w:lineRule="auto"/>
              <w:jc w:val="left"/>
              <w:textAlignment w:val="center"/>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17.具有“超纯水生产用的预处理检测装置”有效去除水中杂质。</w:t>
            </w:r>
          </w:p>
          <w:p>
            <w:pPr>
              <w:keepNext w:val="0"/>
              <w:keepLines w:val="0"/>
              <w:pageBreakBefore w:val="0"/>
              <w:widowControl/>
              <w:kinsoku/>
              <w:wordWrap/>
              <w:overflowPunct/>
              <w:topLinePunct w:val="0"/>
              <w:bidi w:val="0"/>
              <w:snapToGrid/>
              <w:spacing w:line="240" w:lineRule="auto"/>
              <w:jc w:val="left"/>
              <w:textAlignment w:val="center"/>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18.具有“实验室纯水器水质超标排放装置”提供证明材料，保证水质稳定。</w:t>
            </w:r>
          </w:p>
          <w:p>
            <w:pPr>
              <w:keepNext w:val="0"/>
              <w:keepLines w:val="0"/>
              <w:pageBreakBefore w:val="0"/>
              <w:widowControl/>
              <w:kinsoku/>
              <w:wordWrap/>
              <w:overflowPunct/>
              <w:topLinePunct w:val="0"/>
              <w:bidi w:val="0"/>
              <w:snapToGrid/>
              <w:spacing w:line="240" w:lineRule="auto"/>
              <w:jc w:val="left"/>
              <w:textAlignment w:val="center"/>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19.具有“实验室纯水器RO膜自动药剂清洗装置”提供证明材料，方便用户自动清洗超纯水器。</w:t>
            </w:r>
          </w:p>
          <w:p>
            <w:pPr>
              <w:keepNext w:val="0"/>
              <w:keepLines w:val="0"/>
              <w:pageBreakBefore w:val="0"/>
              <w:widowControl/>
              <w:kinsoku/>
              <w:wordWrap/>
              <w:overflowPunct/>
              <w:topLinePunct w:val="0"/>
              <w:bidi w:val="0"/>
              <w:snapToGrid/>
              <w:spacing w:line="240" w:lineRule="auto"/>
              <w:jc w:val="left"/>
              <w:textAlignment w:val="center"/>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sz w:val="18"/>
                <w:szCs w:val="18"/>
                <w:highlight w:val="none"/>
              </w:rPr>
              <w:t>20.具有“实验室纯水器恒压脉冲发生装置”提供证明材料稳定给压，延长耗材使用寿命。</w:t>
            </w:r>
          </w:p>
        </w:tc>
        <w:tc>
          <w:tcPr>
            <w:tcW w:w="70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kern w:val="0"/>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台</w:t>
            </w:r>
          </w:p>
        </w:tc>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rPr>
                <w:rFonts w:hint="eastAsia" w:asciiTheme="minorEastAsia" w:hAnsiTheme="minorEastAsia" w:eastAsiaTheme="minorEastAsia" w:cstheme="minorEastAsia"/>
                <w:color w:val="auto"/>
                <w:kern w:val="0"/>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1</w:t>
            </w:r>
          </w:p>
        </w:tc>
      </w:tr>
      <w:tr>
        <w:tblPrEx>
          <w:tblCellMar>
            <w:top w:w="0" w:type="dxa"/>
            <w:left w:w="108" w:type="dxa"/>
            <w:bottom w:w="0" w:type="dxa"/>
            <w:right w:w="108" w:type="dxa"/>
          </w:tblCellMar>
        </w:tblPrEx>
        <w:trPr>
          <w:trHeight w:val="285"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11</w:t>
            </w:r>
          </w:p>
        </w:tc>
        <w:tc>
          <w:tcPr>
            <w:tcW w:w="13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sz w:val="18"/>
                <w:szCs w:val="18"/>
                <w:highlight w:val="none"/>
              </w:rPr>
              <w:t>数字粘度计</w:t>
            </w:r>
          </w:p>
        </w:tc>
        <w:tc>
          <w:tcPr>
            <w:tcW w:w="55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实时时钟功能。</w:t>
            </w:r>
          </w:p>
          <w:p>
            <w:pPr>
              <w:keepNext w:val="0"/>
              <w:keepLines w:val="0"/>
              <w:pageBreakBefore w:val="0"/>
              <w:numPr>
                <w:ilvl w:val="0"/>
                <w:numId w:val="3"/>
              </w:numPr>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外接半导体，温度探头，温度范围-50-99摄氏度。</w:t>
            </w:r>
          </w:p>
          <w:p>
            <w:pPr>
              <w:keepNext w:val="0"/>
              <w:keepLines w:val="0"/>
              <w:pageBreakBefore w:val="0"/>
              <w:numPr>
                <w:ilvl w:val="0"/>
                <w:numId w:val="3"/>
              </w:numPr>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便携式设计，支持在线移动检测。</w:t>
            </w:r>
          </w:p>
          <w:p>
            <w:pPr>
              <w:keepNext w:val="0"/>
              <w:keepLines w:val="0"/>
              <w:pageBreakBefore w:val="0"/>
              <w:numPr>
                <w:ilvl w:val="0"/>
                <w:numId w:val="3"/>
              </w:numPr>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测量范围广泛：（0.1-1×10</w:t>
            </w:r>
            <w:r>
              <w:rPr>
                <w:rFonts w:hint="eastAsia" w:asciiTheme="minorEastAsia" w:hAnsiTheme="minorEastAsia" w:eastAsiaTheme="minorEastAsia" w:cstheme="minorEastAsia"/>
                <w:color w:val="auto"/>
                <w:sz w:val="18"/>
                <w:szCs w:val="18"/>
                <w:highlight w:val="none"/>
                <w:vertAlign w:val="superscript"/>
              </w:rPr>
              <w:t>5</w:t>
            </w:r>
            <w:r>
              <w:rPr>
                <w:rFonts w:hint="eastAsia" w:asciiTheme="minorEastAsia" w:hAnsiTheme="minorEastAsia" w:eastAsiaTheme="minorEastAsia" w:cstheme="minorEastAsia"/>
                <w:color w:val="auto"/>
                <w:sz w:val="18"/>
                <w:szCs w:val="18"/>
                <w:highlight w:val="none"/>
              </w:rPr>
              <w:t>mPa.s）</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6、转子转速(转/分)：6/12/30/60</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7、外型尺寸(长*宽*高)：≥470*235*390</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8、转子规格：0，1，2，3，4</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9、测量误差：±2%F.S</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9、显示LCD液晶显示（中英文）</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10、数据输出：EXCEL/TXT文件输出或者连接打印机</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sz w:val="18"/>
                <w:szCs w:val="18"/>
                <w:highlight w:val="none"/>
              </w:rPr>
              <w:t>11、工作环境：温度5-35摄氏度，相对湿度不大于75%</w:t>
            </w:r>
          </w:p>
        </w:tc>
        <w:tc>
          <w:tcPr>
            <w:tcW w:w="70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sz w:val="18"/>
                <w:szCs w:val="18"/>
                <w:highlight w:val="none"/>
              </w:rPr>
              <w:t>台</w:t>
            </w:r>
          </w:p>
        </w:tc>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sz w:val="18"/>
                <w:szCs w:val="18"/>
                <w:highlight w:val="none"/>
              </w:rPr>
              <w:t>1</w:t>
            </w:r>
          </w:p>
        </w:tc>
      </w:tr>
      <w:tr>
        <w:tblPrEx>
          <w:tblCellMar>
            <w:top w:w="0" w:type="dxa"/>
            <w:left w:w="108" w:type="dxa"/>
            <w:bottom w:w="0" w:type="dxa"/>
            <w:right w:w="108" w:type="dxa"/>
          </w:tblCellMar>
        </w:tblPrEx>
        <w:trPr>
          <w:trHeight w:val="285"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rPr>
                <w:rFonts w:hint="eastAsia" w:asciiTheme="minorEastAsia" w:hAnsiTheme="minorEastAsia" w:eastAsiaTheme="minorEastAsia" w:cstheme="minorEastAsia"/>
                <w:color w:val="auto"/>
                <w:kern w:val="0"/>
                <w:sz w:val="18"/>
                <w:szCs w:val="18"/>
                <w:highlight w:val="none"/>
              </w:rPr>
            </w:pPr>
            <w:r>
              <w:rPr>
                <w:rFonts w:hint="eastAsia" w:asciiTheme="minorEastAsia" w:hAnsiTheme="minorEastAsia" w:eastAsiaTheme="minorEastAsia" w:cstheme="minorEastAsia"/>
                <w:color w:val="auto"/>
                <w:kern w:val="0"/>
                <w:sz w:val="18"/>
                <w:szCs w:val="18"/>
                <w:highlight w:val="none"/>
              </w:rPr>
              <w:t>12</w:t>
            </w:r>
          </w:p>
        </w:tc>
        <w:tc>
          <w:tcPr>
            <w:tcW w:w="13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0"/>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卤素水分快速测定仪</w:t>
            </w:r>
          </w:p>
        </w:tc>
        <w:tc>
          <w:tcPr>
            <w:tcW w:w="55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测量范围0-100%，水分测量精度±0.01-0.02%，精度级别II级。</w:t>
            </w:r>
          </w:p>
        </w:tc>
        <w:tc>
          <w:tcPr>
            <w:tcW w:w="70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sz w:val="18"/>
                <w:szCs w:val="18"/>
                <w:highlight w:val="none"/>
              </w:rPr>
              <w:t>台</w:t>
            </w:r>
          </w:p>
        </w:tc>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0"/>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2</w:t>
            </w:r>
          </w:p>
        </w:tc>
      </w:tr>
      <w:tr>
        <w:tblPrEx>
          <w:tblCellMar>
            <w:top w:w="0" w:type="dxa"/>
            <w:left w:w="108" w:type="dxa"/>
            <w:bottom w:w="0" w:type="dxa"/>
            <w:right w:w="108" w:type="dxa"/>
          </w:tblCellMar>
        </w:tblPrEx>
        <w:trPr>
          <w:trHeight w:val="285"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13</w:t>
            </w:r>
          </w:p>
        </w:tc>
        <w:tc>
          <w:tcPr>
            <w:tcW w:w="13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0"/>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秸秆水分测定仪</w:t>
            </w:r>
          </w:p>
        </w:tc>
        <w:tc>
          <w:tcPr>
            <w:tcW w:w="55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秸秆、青贮（1-99.9%），测量误差1%，探针长度50-80cm</w:t>
            </w:r>
          </w:p>
        </w:tc>
        <w:tc>
          <w:tcPr>
            <w:tcW w:w="70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sz w:val="18"/>
                <w:szCs w:val="18"/>
                <w:highlight w:val="none"/>
              </w:rPr>
              <w:t>台</w:t>
            </w:r>
          </w:p>
        </w:tc>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0"/>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2</w:t>
            </w:r>
          </w:p>
        </w:tc>
      </w:tr>
      <w:tr>
        <w:tblPrEx>
          <w:tblCellMar>
            <w:top w:w="0" w:type="dxa"/>
            <w:left w:w="108" w:type="dxa"/>
            <w:bottom w:w="0" w:type="dxa"/>
            <w:right w:w="108" w:type="dxa"/>
          </w:tblCellMar>
        </w:tblPrEx>
        <w:trPr>
          <w:trHeight w:val="285"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14</w:t>
            </w:r>
          </w:p>
        </w:tc>
        <w:tc>
          <w:tcPr>
            <w:tcW w:w="13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0"/>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实验室喷雾造粒机</w:t>
            </w:r>
          </w:p>
        </w:tc>
        <w:tc>
          <w:tcPr>
            <w:tcW w:w="55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sz w:val="18"/>
                <w:szCs w:val="18"/>
                <w:highlight w:val="none"/>
              </w:rPr>
              <w:t>★</w:t>
            </w:r>
            <w:r>
              <w:rPr>
                <w:rFonts w:hint="eastAsia" w:asciiTheme="minorEastAsia" w:hAnsiTheme="minorEastAsia" w:eastAsiaTheme="minorEastAsia" w:cstheme="minorEastAsia"/>
                <w:color w:val="auto"/>
                <w:kern w:val="0"/>
                <w:sz w:val="18"/>
                <w:szCs w:val="18"/>
                <w:highlight w:val="none"/>
              </w:rPr>
              <w:t>1、一台设备必须能完成喷雾干燥功能，流化床干燥功能，喷雾造粒和包衣功能，造粒包衣物料处理量:最高1000克/次，喷雾干燥处理量 1500ML/H，造粒颗粒最大5毫米</w:t>
            </w:r>
            <w:r>
              <w:rPr>
                <w:rFonts w:hint="eastAsia" w:asciiTheme="minorEastAsia" w:hAnsiTheme="minorEastAsia" w:eastAsiaTheme="minorEastAsia" w:cstheme="minorEastAsia"/>
                <w:color w:val="auto"/>
                <w:kern w:val="0"/>
                <w:sz w:val="18"/>
                <w:szCs w:val="18"/>
                <w:highlight w:val="none"/>
              </w:rPr>
              <w:br w:type="textWrapping"/>
            </w:r>
            <w:r>
              <w:rPr>
                <w:rFonts w:hint="eastAsia" w:asciiTheme="minorEastAsia" w:hAnsiTheme="minorEastAsia" w:eastAsiaTheme="minorEastAsia" w:cstheme="minorEastAsia"/>
                <w:color w:val="auto"/>
                <w:sz w:val="18"/>
                <w:szCs w:val="18"/>
                <w:highlight w:val="none"/>
              </w:rPr>
              <w:t>★</w:t>
            </w:r>
            <w:r>
              <w:rPr>
                <w:rFonts w:hint="eastAsia" w:asciiTheme="minorEastAsia" w:hAnsiTheme="minorEastAsia" w:eastAsiaTheme="minorEastAsia" w:cstheme="minorEastAsia"/>
                <w:color w:val="auto"/>
                <w:kern w:val="0"/>
                <w:sz w:val="18"/>
                <w:szCs w:val="18"/>
                <w:highlight w:val="none"/>
              </w:rPr>
              <w:t>2、喷雾干燥进风温度：105 ℃ ～200℃ ，适用于中药的喷雾干燥</w:t>
            </w:r>
            <w:r>
              <w:rPr>
                <w:rFonts w:hint="eastAsia" w:asciiTheme="minorEastAsia" w:hAnsiTheme="minorEastAsia" w:eastAsiaTheme="minorEastAsia" w:cstheme="minorEastAsia"/>
                <w:color w:val="auto"/>
                <w:kern w:val="0"/>
                <w:sz w:val="18"/>
                <w:szCs w:val="18"/>
                <w:highlight w:val="none"/>
              </w:rPr>
              <w:br w:type="textWrapping"/>
            </w:r>
            <w:r>
              <w:rPr>
                <w:rFonts w:hint="eastAsia" w:asciiTheme="minorEastAsia" w:hAnsiTheme="minorEastAsia" w:eastAsiaTheme="minorEastAsia" w:cstheme="minorEastAsia"/>
                <w:color w:val="auto"/>
                <w:kern w:val="0"/>
                <w:sz w:val="18"/>
                <w:szCs w:val="18"/>
                <w:highlight w:val="none"/>
              </w:rPr>
              <w:t>3、流化空气进风温度：40 ℃ ～150℃</w:t>
            </w:r>
            <w:r>
              <w:rPr>
                <w:rFonts w:hint="eastAsia" w:asciiTheme="minorEastAsia" w:hAnsiTheme="minorEastAsia" w:eastAsiaTheme="minorEastAsia" w:cstheme="minorEastAsia"/>
                <w:color w:val="auto"/>
                <w:kern w:val="0"/>
                <w:sz w:val="18"/>
                <w:szCs w:val="18"/>
                <w:highlight w:val="none"/>
              </w:rPr>
              <w:br w:type="textWrapping"/>
            </w:r>
            <w:r>
              <w:rPr>
                <w:rFonts w:hint="eastAsia" w:asciiTheme="minorEastAsia" w:hAnsiTheme="minorEastAsia" w:eastAsiaTheme="minorEastAsia" w:cstheme="minorEastAsia"/>
                <w:color w:val="auto"/>
                <w:kern w:val="0"/>
                <w:sz w:val="18"/>
                <w:szCs w:val="18"/>
                <w:highlight w:val="none"/>
              </w:rPr>
              <w:t>4、蠕动泵的流量：可调节，最大1500ml/h</w:t>
            </w:r>
            <w:r>
              <w:rPr>
                <w:rFonts w:hint="eastAsia" w:asciiTheme="minorEastAsia" w:hAnsiTheme="minorEastAsia" w:eastAsiaTheme="minorEastAsia" w:cstheme="minorEastAsia"/>
                <w:color w:val="auto"/>
                <w:kern w:val="0"/>
                <w:sz w:val="18"/>
                <w:szCs w:val="18"/>
                <w:highlight w:val="none"/>
              </w:rPr>
              <w:br w:type="textWrapping"/>
            </w:r>
            <w:r>
              <w:rPr>
                <w:rFonts w:hint="eastAsia" w:asciiTheme="minorEastAsia" w:hAnsiTheme="minorEastAsia" w:eastAsiaTheme="minorEastAsia" w:cstheme="minorEastAsia"/>
                <w:color w:val="auto"/>
                <w:kern w:val="0"/>
                <w:sz w:val="18"/>
                <w:szCs w:val="18"/>
                <w:highlight w:val="none"/>
              </w:rPr>
              <w:t>5、喷雾雾化的空气压力:0.15-4BAR</w:t>
            </w:r>
            <w:r>
              <w:rPr>
                <w:rFonts w:hint="eastAsia" w:asciiTheme="minorEastAsia" w:hAnsiTheme="minorEastAsia" w:eastAsiaTheme="minorEastAsia" w:cstheme="minorEastAsia"/>
                <w:color w:val="auto"/>
                <w:kern w:val="0"/>
                <w:sz w:val="18"/>
                <w:szCs w:val="18"/>
                <w:highlight w:val="none"/>
              </w:rPr>
              <w:br w:type="textWrapping"/>
            </w:r>
            <w:r>
              <w:rPr>
                <w:rFonts w:hint="eastAsia" w:asciiTheme="minorEastAsia" w:hAnsiTheme="minorEastAsia" w:eastAsiaTheme="minorEastAsia" w:cstheme="minorEastAsia"/>
                <w:color w:val="auto"/>
                <w:kern w:val="0"/>
                <w:sz w:val="18"/>
                <w:szCs w:val="18"/>
                <w:highlight w:val="none"/>
              </w:rPr>
              <w:t>6、膨胀室体积：10升   </w:t>
            </w:r>
            <w:r>
              <w:rPr>
                <w:rFonts w:hint="eastAsia" w:asciiTheme="minorEastAsia" w:hAnsiTheme="minorEastAsia" w:eastAsiaTheme="minorEastAsia" w:cstheme="minorEastAsia"/>
                <w:color w:val="auto"/>
                <w:kern w:val="0"/>
                <w:sz w:val="18"/>
                <w:szCs w:val="18"/>
                <w:highlight w:val="none"/>
              </w:rPr>
              <w:br w:type="textWrapping"/>
            </w:r>
            <w:r>
              <w:rPr>
                <w:rFonts w:hint="eastAsia" w:asciiTheme="minorEastAsia" w:hAnsiTheme="minorEastAsia" w:eastAsiaTheme="minorEastAsia" w:cstheme="minorEastAsia"/>
                <w:color w:val="auto"/>
                <w:kern w:val="0"/>
                <w:sz w:val="18"/>
                <w:szCs w:val="18"/>
                <w:highlight w:val="none"/>
              </w:rPr>
              <w:t>7、风机功率1.5KW</w:t>
            </w:r>
            <w:r>
              <w:rPr>
                <w:rFonts w:hint="eastAsia" w:asciiTheme="minorEastAsia" w:hAnsiTheme="minorEastAsia" w:eastAsiaTheme="minorEastAsia" w:cstheme="minorEastAsia"/>
                <w:color w:val="auto"/>
                <w:kern w:val="0"/>
                <w:sz w:val="18"/>
                <w:szCs w:val="18"/>
                <w:highlight w:val="none"/>
              </w:rPr>
              <w:br w:type="textWrapping"/>
            </w:r>
            <w:r>
              <w:rPr>
                <w:rFonts w:hint="eastAsia" w:asciiTheme="minorEastAsia" w:hAnsiTheme="minorEastAsia" w:eastAsiaTheme="minorEastAsia" w:cstheme="minorEastAsia"/>
                <w:color w:val="auto"/>
                <w:kern w:val="0"/>
                <w:sz w:val="18"/>
                <w:szCs w:val="18"/>
                <w:highlight w:val="none"/>
              </w:rPr>
              <w:t>8、加热功率3KW</w:t>
            </w:r>
            <w:r>
              <w:rPr>
                <w:rFonts w:hint="eastAsia" w:asciiTheme="minorEastAsia" w:hAnsiTheme="minorEastAsia" w:eastAsiaTheme="minorEastAsia" w:cstheme="minorEastAsia"/>
                <w:color w:val="auto"/>
                <w:kern w:val="0"/>
                <w:sz w:val="18"/>
                <w:szCs w:val="18"/>
                <w:highlight w:val="none"/>
              </w:rPr>
              <w:br w:type="textWrapping"/>
            </w:r>
            <w:r>
              <w:rPr>
                <w:rFonts w:hint="eastAsia" w:asciiTheme="minorEastAsia" w:hAnsiTheme="minorEastAsia" w:eastAsiaTheme="minorEastAsia" w:cstheme="minorEastAsia"/>
                <w:color w:val="auto"/>
                <w:sz w:val="18"/>
                <w:szCs w:val="18"/>
                <w:highlight w:val="none"/>
              </w:rPr>
              <w:t>★</w:t>
            </w:r>
            <w:r>
              <w:rPr>
                <w:rFonts w:hint="eastAsia" w:asciiTheme="minorEastAsia" w:hAnsiTheme="minorEastAsia" w:eastAsiaTheme="minorEastAsia" w:cstheme="minorEastAsia"/>
                <w:color w:val="auto"/>
                <w:kern w:val="0"/>
                <w:sz w:val="18"/>
                <w:szCs w:val="18"/>
                <w:highlight w:val="none"/>
              </w:rPr>
              <w:t>9、膨胀室材料：高硼硅玻璃以及不锈钢</w:t>
            </w:r>
            <w:r>
              <w:rPr>
                <w:rFonts w:hint="eastAsia" w:asciiTheme="minorEastAsia" w:hAnsiTheme="minorEastAsia" w:eastAsiaTheme="minorEastAsia" w:cstheme="minorEastAsia"/>
                <w:color w:val="auto"/>
                <w:kern w:val="0"/>
                <w:sz w:val="18"/>
                <w:szCs w:val="18"/>
                <w:highlight w:val="none"/>
              </w:rPr>
              <w:br w:type="textWrapping"/>
            </w:r>
            <w:r>
              <w:rPr>
                <w:rFonts w:hint="eastAsia" w:asciiTheme="minorEastAsia" w:hAnsiTheme="minorEastAsia" w:eastAsiaTheme="minorEastAsia" w:cstheme="minorEastAsia"/>
                <w:color w:val="auto"/>
                <w:kern w:val="0"/>
                <w:sz w:val="18"/>
                <w:szCs w:val="18"/>
                <w:highlight w:val="none"/>
              </w:rPr>
              <w:t>10、最高进气速度可达：150M3/H</w:t>
            </w:r>
            <w:r>
              <w:rPr>
                <w:rFonts w:hint="eastAsia" w:asciiTheme="minorEastAsia" w:hAnsiTheme="minorEastAsia" w:eastAsiaTheme="minorEastAsia" w:cstheme="minorEastAsia"/>
                <w:color w:val="auto"/>
                <w:kern w:val="0"/>
                <w:sz w:val="18"/>
                <w:szCs w:val="18"/>
                <w:highlight w:val="none"/>
              </w:rPr>
              <w:br w:type="textWrapping"/>
            </w:r>
            <w:r>
              <w:rPr>
                <w:rFonts w:hint="eastAsia" w:asciiTheme="minorEastAsia" w:hAnsiTheme="minorEastAsia" w:eastAsiaTheme="minorEastAsia" w:cstheme="minorEastAsia"/>
                <w:color w:val="auto"/>
                <w:kern w:val="0"/>
                <w:sz w:val="18"/>
                <w:szCs w:val="18"/>
                <w:highlight w:val="none"/>
              </w:rPr>
              <w:t>11、压缩空气压力：0.15Mpa～0.6Mpa，压缩空气耗量: ≤4M3/H</w:t>
            </w:r>
            <w:r>
              <w:rPr>
                <w:rFonts w:hint="eastAsia" w:asciiTheme="minorEastAsia" w:hAnsiTheme="minorEastAsia" w:eastAsiaTheme="minorEastAsia" w:cstheme="minorEastAsia"/>
                <w:color w:val="auto"/>
                <w:kern w:val="0"/>
                <w:sz w:val="18"/>
                <w:szCs w:val="18"/>
                <w:highlight w:val="none"/>
              </w:rPr>
              <w:br w:type="textWrapping"/>
            </w:r>
            <w:r>
              <w:rPr>
                <w:rFonts w:hint="eastAsia" w:asciiTheme="minorEastAsia" w:hAnsiTheme="minorEastAsia" w:eastAsiaTheme="minorEastAsia" w:cstheme="minorEastAsia"/>
                <w:color w:val="auto"/>
                <w:kern w:val="0"/>
                <w:sz w:val="18"/>
                <w:szCs w:val="18"/>
                <w:highlight w:val="none"/>
              </w:rPr>
              <w:t>12、彩色LCD触摸屏参数显示：进风口温度/物料温度/风机频率 </w:t>
            </w:r>
            <w:r>
              <w:rPr>
                <w:rFonts w:hint="eastAsia" w:asciiTheme="minorEastAsia" w:hAnsiTheme="minorEastAsia" w:eastAsiaTheme="minorEastAsia" w:cstheme="minorEastAsia"/>
                <w:color w:val="auto"/>
                <w:kern w:val="0"/>
                <w:sz w:val="18"/>
                <w:szCs w:val="18"/>
                <w:highlight w:val="none"/>
              </w:rPr>
              <w:br w:type="textWrapping"/>
            </w:r>
            <w:r>
              <w:rPr>
                <w:rFonts w:hint="eastAsia" w:asciiTheme="minorEastAsia" w:hAnsiTheme="minorEastAsia" w:eastAsiaTheme="minorEastAsia" w:cstheme="minorEastAsia"/>
                <w:color w:val="auto"/>
                <w:kern w:val="0"/>
                <w:sz w:val="18"/>
                <w:szCs w:val="18"/>
                <w:highlight w:val="none"/>
              </w:rPr>
              <w:t>13、流化空气进气速度：最大150立方/小时</w:t>
            </w:r>
            <w:r>
              <w:rPr>
                <w:rFonts w:hint="eastAsia" w:asciiTheme="minorEastAsia" w:hAnsiTheme="minorEastAsia" w:eastAsiaTheme="minorEastAsia" w:cstheme="minorEastAsia"/>
                <w:color w:val="auto"/>
                <w:kern w:val="0"/>
                <w:sz w:val="18"/>
                <w:szCs w:val="18"/>
                <w:highlight w:val="none"/>
              </w:rPr>
              <w:br w:type="textWrapping"/>
            </w:r>
            <w:r>
              <w:rPr>
                <w:rFonts w:hint="eastAsia" w:asciiTheme="minorEastAsia" w:hAnsiTheme="minorEastAsia" w:eastAsiaTheme="minorEastAsia" w:cstheme="minorEastAsia"/>
                <w:color w:val="auto"/>
                <w:kern w:val="0"/>
                <w:sz w:val="18"/>
                <w:szCs w:val="18"/>
                <w:highlight w:val="none"/>
              </w:rPr>
              <w:t> 14、电压：220V/50Hz，5KW </w:t>
            </w:r>
            <w:r>
              <w:rPr>
                <w:rFonts w:hint="eastAsia" w:asciiTheme="minorEastAsia" w:hAnsiTheme="minorEastAsia" w:eastAsiaTheme="minorEastAsia" w:cstheme="minorEastAsia"/>
                <w:color w:val="auto"/>
                <w:kern w:val="0"/>
                <w:sz w:val="18"/>
                <w:szCs w:val="18"/>
                <w:highlight w:val="none"/>
              </w:rPr>
              <w:br w:type="textWrapping"/>
            </w:r>
            <w:r>
              <w:rPr>
                <w:rFonts w:hint="eastAsia" w:asciiTheme="minorEastAsia" w:hAnsiTheme="minorEastAsia" w:eastAsiaTheme="minorEastAsia" w:cstheme="minorEastAsia"/>
                <w:color w:val="auto"/>
                <w:sz w:val="18"/>
                <w:szCs w:val="18"/>
                <w:highlight w:val="none"/>
              </w:rPr>
              <w:t>★</w:t>
            </w:r>
            <w:r>
              <w:rPr>
                <w:rFonts w:hint="eastAsia" w:asciiTheme="minorEastAsia" w:hAnsiTheme="minorEastAsia" w:eastAsiaTheme="minorEastAsia" w:cstheme="minorEastAsia"/>
                <w:color w:val="auto"/>
                <w:kern w:val="0"/>
                <w:sz w:val="18"/>
                <w:szCs w:val="18"/>
                <w:highlight w:val="none"/>
              </w:rPr>
              <w:t>15、必须是正规生产厂家产品（提供环保局环保审批合格文件并提供国家企业信用信息公示系统www.gsxt.gov.cn环保行政许可页面截图证明）</w:t>
            </w:r>
          </w:p>
        </w:tc>
        <w:tc>
          <w:tcPr>
            <w:tcW w:w="70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sz w:val="18"/>
                <w:szCs w:val="18"/>
                <w:highlight w:val="none"/>
              </w:rPr>
              <w:t>台</w:t>
            </w:r>
          </w:p>
        </w:tc>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0"/>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1</w:t>
            </w:r>
          </w:p>
        </w:tc>
      </w:tr>
      <w:tr>
        <w:tblPrEx>
          <w:tblCellMar>
            <w:top w:w="0" w:type="dxa"/>
            <w:left w:w="108" w:type="dxa"/>
            <w:bottom w:w="0" w:type="dxa"/>
            <w:right w:w="108" w:type="dxa"/>
          </w:tblCellMar>
        </w:tblPrEx>
        <w:trPr>
          <w:trHeight w:val="285"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15</w:t>
            </w:r>
          </w:p>
        </w:tc>
        <w:tc>
          <w:tcPr>
            <w:tcW w:w="13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0"/>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数字切片扫描与应用系统</w:t>
            </w:r>
          </w:p>
        </w:tc>
        <w:tc>
          <w:tcPr>
            <w:tcW w:w="55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一、主要功能：</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将传统切片数字化，进行储存管理，建立数字切片库，利于检索与教学管理，同时兼顾科研，通过校园网或internet可进行远程教学、对比交流、科研、在职培训和远程会诊等。</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二、主要技术指标：</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1．全自动显微扫描主机、扫描控制软件1.1全自动显微扫描主机</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★1.1.1一体化全自动显微扫描平台；与成像系统、控制软件、网络浏览软件无缝对接；</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★1.1.2  1片切片夹；</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★1.1.3复消色差大数值孔径物镜：APO 20X/N.A 0.75 ；10X/N.A 0.3 ；3孔电动物镜转换器；</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★1.1.4 对焦技术：实时硬件自动对焦技术；采用一个单独的硬件对焦装置，使对焦速度更快，可以对每个视场先对焦再拍照即实时对焦，确保每个视场的图像清晰。</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1.1.5 扫描过程：宏观相机拍摄全幅切片，可以对每个视场先对焦再拍照即时对焦；</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★1.1.6 成像系统：3部摄像头的成像系统；扫描摄像头：≥500万像素（2/3英寸高速芯片）；宏观摄像头：≥300万像素；</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1.1.7扫描分辨率：20X:≤0.52um/像素、40X：≤0.26um/像素；</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★1.1.8扫描模式：</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1.1.8.1标准：实时自动对焦；</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1.1.8.2高精度：高精度自动对焦；</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1.1.8.3 EDF景深扩展：多层图像融合；</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1.1.8.4 Z-层叠：Z方向多层扫描；</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1.1.9光源：10W LED(寿命≥25,000小时)；</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1.1.10扫描时间约30秒-160秒，（15mm*15mm）；</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★1.1.11 数据接口：通用的USB3.0标准接口；</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★1.1.12高倍率扫描后1张数字切片存储容量在100M-500M之间（15mm*15mm）；</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★*1.1.13《虚拟显微镜系统软件》须为正版软件；</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★1.1.14为了配套使用，需与</w:t>
            </w:r>
            <w:r>
              <w:rPr>
                <w:rFonts w:hint="eastAsia" w:asciiTheme="minorEastAsia" w:hAnsiTheme="minorEastAsia" w:eastAsiaTheme="minorEastAsia" w:cstheme="minorEastAsia"/>
                <w:color w:val="auto"/>
                <w:sz w:val="18"/>
                <w:szCs w:val="18"/>
                <w:highlight w:val="none"/>
                <w:lang w:val="en-US" w:eastAsia="zh-CN"/>
              </w:rPr>
              <w:t>现有</w:t>
            </w:r>
            <w:r>
              <w:rPr>
                <w:rFonts w:hint="eastAsia" w:asciiTheme="minorEastAsia" w:hAnsiTheme="minorEastAsia" w:eastAsiaTheme="minorEastAsia" w:cstheme="minorEastAsia"/>
                <w:color w:val="auto"/>
                <w:sz w:val="18"/>
                <w:szCs w:val="18"/>
                <w:highlight w:val="none"/>
              </w:rPr>
              <w:t>数码显微互动实验室兼容。</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1.2 扫描控制软件</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★1.2.1可选择全切片（高精度、标准、高速）和ROI（感兴趣的区域）等多种扫描方式；</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1.2.2自动提取切片轮廓，自动识别有效区域，对无效区域直接忽略，节约扫描时间；</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1.2.3自动识别条型号（包括一维与二维码），并且可以以条形码信息自动命名；</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★1.2.4提供一键扫描功能；</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★1.2.5 可将数字切片文件导出成全画幅图片，支持jpg等常见格式；</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★1.2.6 控制系统扫描完成的数字切片通过网络后台直接上传到数字切片教学浏览服务器，无需再单独拷贝到服务器上；</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★1.2.7 软件可直观用明暗区分来显示某张数字切片的已观察和未观察区域；</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1.2.8 以上1.2.1—1.2.7这七条指标均需要提供软件截图来证明可以实现相关功能。</w:t>
            </w:r>
          </w:p>
          <w:p>
            <w:pPr>
              <w:pStyle w:val="2"/>
              <w:keepNext w:val="0"/>
              <w:keepLines w:val="0"/>
              <w:pageBreakBefore w:val="0"/>
              <w:kinsoku/>
              <w:wordWrap/>
              <w:overflowPunct/>
              <w:topLinePunct w:val="0"/>
              <w:bidi w:val="0"/>
              <w:snapToGrid/>
              <w:spacing w:line="240" w:lineRule="auto"/>
              <w:ind w:left="0" w:leftChars="0" w:firstLine="0" w:firstLineChars="0"/>
              <w:rPr>
                <w:rFonts w:hint="eastAsia" w:asciiTheme="minorEastAsia" w:hAnsiTheme="minorEastAsia" w:eastAsiaTheme="minorEastAsia" w:cstheme="minorEastAsia"/>
                <w:color w:val="auto"/>
                <w:sz w:val="18"/>
                <w:szCs w:val="18"/>
                <w:highlight w:val="none"/>
              </w:rPr>
            </w:pP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2．扫描计算机</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2.1 商用计算机</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2.2 CPU：≥Intel Core i7-7700；</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2.3 内存：≥16G；</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2.4 硬盘：≥512G SSD &amp; 1T SATA；</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2.5显示器：4K分辨率23.8英寸LED屏幕；</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2.6 操作系统：Windows 专业版，64位；</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2.7 配套：无线键盘鼠标。</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三、配置</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sz w:val="18"/>
                <w:szCs w:val="18"/>
                <w:highlight w:val="none"/>
              </w:rPr>
            </w:pPr>
            <w:r>
              <w:rPr>
                <w:rFonts w:hint="eastAsia" w:asciiTheme="minorEastAsia" w:hAnsiTheme="minorEastAsia" w:eastAsiaTheme="minorEastAsia" w:cstheme="minorEastAsia"/>
                <w:color w:val="auto"/>
                <w:sz w:val="18"/>
                <w:szCs w:val="18"/>
                <w:highlight w:val="none"/>
              </w:rPr>
              <w:t>1、全自动数字切片扫描平台、扫描控制软件1套；</w:t>
            </w:r>
          </w:p>
          <w:p>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sz w:val="18"/>
                <w:szCs w:val="18"/>
                <w:highlight w:val="none"/>
              </w:rPr>
              <w:t>2、扫描计算机1套；</w:t>
            </w:r>
          </w:p>
        </w:tc>
        <w:tc>
          <w:tcPr>
            <w:tcW w:w="70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kern w:val="2"/>
                <w:sz w:val="18"/>
                <w:szCs w:val="18"/>
                <w:highlight w:val="none"/>
                <w:lang w:val="en-US" w:eastAsia="zh-CN" w:bidi="ar-SA"/>
              </w:rPr>
            </w:pPr>
            <w:r>
              <w:rPr>
                <w:rFonts w:hint="eastAsia" w:asciiTheme="minorEastAsia" w:hAnsiTheme="minorEastAsia" w:eastAsiaTheme="minorEastAsia" w:cstheme="minorEastAsia"/>
                <w:color w:val="auto"/>
                <w:sz w:val="18"/>
                <w:szCs w:val="18"/>
                <w:highlight w:val="none"/>
              </w:rPr>
              <w:t>台</w:t>
            </w:r>
          </w:p>
        </w:tc>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snapToGrid/>
              <w:spacing w:line="240" w:lineRule="auto"/>
              <w:jc w:val="center"/>
              <w:textAlignment w:val="center"/>
              <w:rPr>
                <w:rFonts w:hint="eastAsia" w:asciiTheme="minorEastAsia" w:hAnsiTheme="minorEastAsia" w:eastAsiaTheme="minorEastAsia" w:cstheme="minorEastAsia"/>
                <w:color w:val="auto"/>
                <w:kern w:val="0"/>
                <w:sz w:val="18"/>
                <w:szCs w:val="18"/>
                <w:highlight w:val="none"/>
                <w:lang w:val="en-US" w:eastAsia="zh-CN" w:bidi="ar-SA"/>
              </w:rPr>
            </w:pPr>
            <w:r>
              <w:rPr>
                <w:rFonts w:hint="eastAsia" w:asciiTheme="minorEastAsia" w:hAnsiTheme="minorEastAsia" w:eastAsiaTheme="minorEastAsia" w:cstheme="minorEastAsia"/>
                <w:color w:val="auto"/>
                <w:kern w:val="0"/>
                <w:sz w:val="18"/>
                <w:szCs w:val="18"/>
                <w:highlight w:val="none"/>
              </w:rPr>
              <w:t>1</w:t>
            </w:r>
          </w:p>
        </w:tc>
      </w:tr>
    </w:tbl>
    <w:p>
      <w:pPr>
        <w:spacing w:line="280" w:lineRule="exact"/>
        <w:rPr>
          <w:rFonts w:hint="eastAsia" w:ascii="宋体" w:hAnsi="宋体" w:cs="Times New Roman"/>
          <w:bCs/>
          <w:color w:val="auto"/>
          <w:sz w:val="24"/>
          <w:szCs w:val="24"/>
          <w:highlight w:val="none"/>
        </w:rPr>
      </w:pPr>
    </w:p>
    <w:p>
      <w:pPr>
        <w:spacing w:line="280" w:lineRule="exact"/>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说明：</w:t>
      </w:r>
    </w:p>
    <w:p>
      <w:pPr>
        <w:spacing w:line="280" w:lineRule="exact"/>
        <w:ind w:firstLine="480" w:firstLineChars="2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1、上述参数为参考值（最低标准），投标人所提供的产品必须能够满足采购人的使用需求。</w:t>
      </w:r>
    </w:p>
    <w:p>
      <w:pPr>
        <w:spacing w:line="280" w:lineRule="exact"/>
        <w:ind w:firstLine="480" w:firstLineChars="2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2、投标人应注意采购人在技术规格中指出的工艺和材料和设备等内容仅起说明作用，无任何倾向性或限制性。任何品牌的产品均可依法参加本项目的采购活动。</w:t>
      </w:r>
    </w:p>
    <w:p>
      <w:pPr>
        <w:pStyle w:val="3"/>
        <w:rPr>
          <w:color w:val="auto"/>
          <w:highlight w:val="none"/>
        </w:rPr>
      </w:pPr>
    </w:p>
    <w:p>
      <w:pPr>
        <w:widowControl/>
        <w:jc w:val="left"/>
        <w:rPr>
          <w:rFonts w:ascii="Calibri" w:hAnsi="Calibri" w:eastAsia="宋体" w:cs="Times New Roman"/>
          <w:color w:val="auto"/>
          <w:kern w:val="0"/>
          <w:sz w:val="24"/>
          <w:szCs w:val="20"/>
          <w:highlight w:val="none"/>
        </w:rPr>
      </w:pPr>
      <w:r>
        <w:rPr>
          <w:color w:val="auto"/>
          <w:highlight w:val="none"/>
        </w:rPr>
        <w:br w:type="page"/>
      </w:r>
    </w:p>
    <w:p>
      <w:pPr>
        <w:pStyle w:val="3"/>
        <w:spacing w:line="360" w:lineRule="auto"/>
        <w:rPr>
          <w:color w:val="auto"/>
          <w:highlight w:val="none"/>
        </w:rPr>
      </w:pPr>
    </w:p>
    <w:p>
      <w:pPr>
        <w:spacing w:line="440" w:lineRule="exact"/>
        <w:jc w:val="center"/>
        <w:outlineLvl w:val="0"/>
        <w:rPr>
          <w:rFonts w:ascii="宋体" w:hAnsi="宋体" w:eastAsia="宋体" w:cs="宋体"/>
          <w:b/>
          <w:color w:val="auto"/>
          <w:sz w:val="24"/>
          <w:szCs w:val="24"/>
          <w:highlight w:val="none"/>
        </w:rPr>
      </w:pPr>
      <w:bookmarkStart w:id="62" w:name="_Toc141050505"/>
      <w:r>
        <w:rPr>
          <w:rFonts w:hint="eastAsia" w:ascii="宋体" w:hAnsi="宋体" w:eastAsia="宋体" w:cs="宋体"/>
          <w:b/>
          <w:color w:val="auto"/>
          <w:sz w:val="24"/>
          <w:szCs w:val="24"/>
          <w:highlight w:val="none"/>
        </w:rPr>
        <w:t>第五章 投标文件格式</w:t>
      </w:r>
      <w:bookmarkEnd w:id="61"/>
      <w:bookmarkEnd w:id="62"/>
    </w:p>
    <w:p>
      <w:pPr>
        <w:rPr>
          <w:rFonts w:ascii="宋体" w:hAnsi="Calibri" w:eastAsia="宋体" w:cs="宋体"/>
          <w:b/>
          <w:color w:val="auto"/>
          <w:sz w:val="24"/>
          <w:szCs w:val="24"/>
          <w:highlight w:val="none"/>
        </w:rPr>
      </w:pPr>
    </w:p>
    <w:p>
      <w:pPr>
        <w:rPr>
          <w:rFonts w:ascii="宋体" w:cs="宋体"/>
          <w:color w:val="auto"/>
          <w:sz w:val="24"/>
          <w:szCs w:val="24"/>
          <w:highlight w:val="none"/>
          <w:u w:val="single"/>
        </w:rPr>
      </w:pPr>
      <w:r>
        <w:rPr>
          <w:rFonts w:hint="eastAsia" w:ascii="宋体" w:hAnsi="宋体" w:cs="宋体"/>
          <w:color w:val="auto"/>
          <w:sz w:val="24"/>
          <w:szCs w:val="24"/>
          <w:highlight w:val="none"/>
          <w:u w:val="single"/>
        </w:rPr>
        <w:t>投标文件封面示例</w:t>
      </w:r>
    </w:p>
    <w:p>
      <w:pPr>
        <w:spacing w:line="720" w:lineRule="auto"/>
        <w:ind w:right="315"/>
        <w:jc w:val="right"/>
        <w:rPr>
          <w:rFonts w:ascii="宋体" w:cs="宋体"/>
          <w:b/>
          <w:color w:val="auto"/>
          <w:sz w:val="24"/>
          <w:szCs w:val="24"/>
          <w:highlight w:val="none"/>
          <w:bdr w:val="single" w:color="auto" w:sz="4" w:space="0"/>
        </w:rPr>
      </w:pPr>
      <w:r>
        <w:rPr>
          <w:rFonts w:hint="eastAsia" w:ascii="宋体" w:hAnsi="宋体" w:cs="宋体"/>
          <w:b/>
          <w:color w:val="auto"/>
          <w:sz w:val="24"/>
          <w:szCs w:val="24"/>
          <w:highlight w:val="none"/>
          <w:bdr w:val="single" w:color="auto" w:sz="4" w:space="0"/>
        </w:rPr>
        <w:t>正本</w:t>
      </w:r>
    </w:p>
    <w:p>
      <w:pPr>
        <w:spacing w:line="480" w:lineRule="auto"/>
        <w:jc w:val="center"/>
        <w:rPr>
          <w:rFonts w:ascii="宋体" w:hAnsi="宋体" w:cs="宋体"/>
          <w:b/>
          <w:bCs/>
          <w:color w:val="auto"/>
          <w:sz w:val="24"/>
          <w:szCs w:val="24"/>
          <w:highlight w:val="none"/>
          <w:u w:val="single"/>
        </w:rPr>
      </w:pPr>
      <w:r>
        <w:rPr>
          <w:rFonts w:hint="eastAsia" w:ascii="宋体" w:hAnsi="宋体" w:cs="宋体"/>
          <w:b/>
          <w:bCs/>
          <w:color w:val="auto"/>
          <w:sz w:val="24"/>
          <w:szCs w:val="24"/>
          <w:highlight w:val="none"/>
          <w:u w:val="single"/>
        </w:rPr>
        <w:t>（项目名称）</w:t>
      </w:r>
    </w:p>
    <w:p>
      <w:pPr>
        <w:spacing w:line="480" w:lineRule="auto"/>
        <w:jc w:val="center"/>
        <w:rPr>
          <w:rFonts w:ascii="宋体" w:cs="宋体"/>
          <w:b/>
          <w:bCs/>
          <w:color w:val="auto"/>
          <w:sz w:val="24"/>
          <w:szCs w:val="24"/>
          <w:highlight w:val="none"/>
          <w:u w:val="single"/>
        </w:rPr>
      </w:pPr>
      <w:r>
        <w:rPr>
          <w:rFonts w:hint="eastAsia" w:ascii="宋体" w:hAnsi="宋体" w:cs="宋体"/>
          <w:b/>
          <w:bCs/>
          <w:color w:val="auto"/>
          <w:sz w:val="24"/>
          <w:szCs w:val="24"/>
          <w:highlight w:val="none"/>
          <w:u w:val="single"/>
        </w:rPr>
        <w:t>（项目编号）</w:t>
      </w:r>
    </w:p>
    <w:p>
      <w:pPr>
        <w:spacing w:line="300" w:lineRule="exact"/>
        <w:jc w:val="center"/>
        <w:rPr>
          <w:rFonts w:ascii="宋体" w:hAnsi="宋体" w:cs="宋体"/>
          <w:b/>
          <w:bCs/>
          <w:color w:val="auto"/>
          <w:sz w:val="24"/>
          <w:szCs w:val="24"/>
          <w:highlight w:val="none"/>
        </w:rPr>
      </w:pPr>
    </w:p>
    <w:p>
      <w:pPr>
        <w:spacing w:line="300" w:lineRule="exact"/>
        <w:jc w:val="center"/>
        <w:rPr>
          <w:rFonts w:ascii="宋体" w:hAnsi="宋体" w:cs="宋体"/>
          <w:b/>
          <w:bCs/>
          <w:color w:val="auto"/>
          <w:sz w:val="24"/>
          <w:szCs w:val="24"/>
          <w:highlight w:val="none"/>
        </w:rPr>
      </w:pPr>
    </w:p>
    <w:p>
      <w:pPr>
        <w:spacing w:line="300" w:lineRule="exact"/>
        <w:jc w:val="center"/>
        <w:rPr>
          <w:rFonts w:ascii="宋体" w:cs="宋体"/>
          <w:b/>
          <w:bCs/>
          <w:color w:val="auto"/>
          <w:sz w:val="24"/>
          <w:szCs w:val="24"/>
          <w:highlight w:val="none"/>
        </w:rPr>
      </w:pPr>
      <w:r>
        <w:rPr>
          <w:rFonts w:hint="eastAsia" w:ascii="宋体" w:hAnsi="宋体" w:cs="宋体"/>
          <w:b/>
          <w:bCs/>
          <w:color w:val="auto"/>
          <w:sz w:val="24"/>
          <w:szCs w:val="24"/>
          <w:highlight w:val="none"/>
        </w:rPr>
        <w:t>投标文件</w:t>
      </w:r>
    </w:p>
    <w:p>
      <w:pPr>
        <w:spacing w:line="720" w:lineRule="auto"/>
        <w:rPr>
          <w:rFonts w:ascii="宋体" w:cs="宋体"/>
          <w:color w:val="auto"/>
          <w:sz w:val="24"/>
          <w:szCs w:val="24"/>
          <w:highlight w:val="none"/>
        </w:rPr>
      </w:pPr>
    </w:p>
    <w:p>
      <w:pPr>
        <w:spacing w:line="720" w:lineRule="auto"/>
        <w:rPr>
          <w:rFonts w:ascii="宋体" w:cs="宋体"/>
          <w:color w:val="auto"/>
          <w:sz w:val="24"/>
          <w:szCs w:val="24"/>
          <w:highlight w:val="none"/>
        </w:rPr>
      </w:pPr>
      <w:r>
        <w:rPr>
          <w:rFonts w:hint="eastAsia" w:ascii="宋体" w:hAnsi="宋体" w:cs="宋体"/>
          <w:color w:val="auto"/>
          <w:sz w:val="24"/>
          <w:szCs w:val="24"/>
          <w:highlight w:val="none"/>
        </w:rPr>
        <w:t>投标人：（盖章）</w:t>
      </w:r>
    </w:p>
    <w:p>
      <w:pPr>
        <w:spacing w:line="720" w:lineRule="auto"/>
        <w:rPr>
          <w:rFonts w:ascii="宋体" w:cs="宋体"/>
          <w:color w:val="auto"/>
          <w:sz w:val="24"/>
          <w:szCs w:val="24"/>
          <w:highlight w:val="none"/>
        </w:rPr>
      </w:pPr>
      <w:r>
        <w:rPr>
          <w:rFonts w:hint="eastAsia" w:ascii="宋体" w:hAnsi="宋体" w:cs="宋体"/>
          <w:color w:val="auto"/>
          <w:sz w:val="24"/>
          <w:szCs w:val="24"/>
          <w:highlight w:val="none"/>
        </w:rPr>
        <w:t>法定代表人：（盖章）</w:t>
      </w:r>
    </w:p>
    <w:p>
      <w:pPr>
        <w:spacing w:line="720" w:lineRule="auto"/>
        <w:rPr>
          <w:rFonts w:ascii="宋体" w:cs="宋体"/>
          <w:color w:val="auto"/>
          <w:sz w:val="24"/>
          <w:szCs w:val="24"/>
          <w:highlight w:val="none"/>
        </w:rPr>
      </w:pPr>
      <w:r>
        <w:rPr>
          <w:rFonts w:hint="eastAsia" w:ascii="宋体" w:hAnsi="宋体" w:cs="宋体"/>
          <w:color w:val="auto"/>
          <w:sz w:val="24"/>
          <w:szCs w:val="24"/>
          <w:highlight w:val="none"/>
        </w:rPr>
        <w:t>单位地址：</w:t>
      </w:r>
    </w:p>
    <w:p>
      <w:pPr>
        <w:spacing w:line="720" w:lineRule="auto"/>
        <w:rPr>
          <w:rFonts w:ascii="宋体" w:cs="宋体"/>
          <w:color w:val="auto"/>
          <w:sz w:val="24"/>
          <w:szCs w:val="24"/>
          <w:highlight w:val="none"/>
        </w:rPr>
      </w:pPr>
      <w:r>
        <w:rPr>
          <w:rFonts w:hint="eastAsia" w:ascii="宋体" w:hAnsi="宋体" w:cs="宋体"/>
          <w:color w:val="auto"/>
          <w:sz w:val="24"/>
          <w:szCs w:val="24"/>
          <w:highlight w:val="none"/>
        </w:rPr>
        <w:t>邮政编码：</w:t>
      </w:r>
    </w:p>
    <w:p>
      <w:pPr>
        <w:spacing w:line="720" w:lineRule="auto"/>
        <w:rPr>
          <w:rFonts w:ascii="宋体" w:cs="宋体"/>
          <w:color w:val="auto"/>
          <w:sz w:val="24"/>
          <w:szCs w:val="24"/>
          <w:highlight w:val="none"/>
        </w:rPr>
      </w:pPr>
      <w:r>
        <w:rPr>
          <w:rFonts w:hint="eastAsia" w:ascii="宋体" w:hAnsi="宋体" w:cs="宋体"/>
          <w:color w:val="auto"/>
          <w:sz w:val="24"/>
          <w:szCs w:val="24"/>
          <w:highlight w:val="none"/>
        </w:rPr>
        <w:t>联系人：</w:t>
      </w:r>
    </w:p>
    <w:p>
      <w:pPr>
        <w:spacing w:line="720" w:lineRule="auto"/>
        <w:rPr>
          <w:rFonts w:ascii="宋体" w:cs="宋体"/>
          <w:color w:val="auto"/>
          <w:sz w:val="24"/>
          <w:szCs w:val="24"/>
          <w:highlight w:val="none"/>
        </w:rPr>
      </w:pPr>
      <w:r>
        <w:rPr>
          <w:rFonts w:hint="eastAsia" w:ascii="宋体" w:hAnsi="宋体" w:cs="宋体"/>
          <w:color w:val="auto"/>
          <w:sz w:val="24"/>
          <w:szCs w:val="24"/>
          <w:highlight w:val="none"/>
        </w:rPr>
        <w:t>联系电话：</w:t>
      </w:r>
    </w:p>
    <w:p>
      <w:pPr>
        <w:spacing w:line="720" w:lineRule="auto"/>
        <w:rPr>
          <w:rFonts w:ascii="宋体" w:cs="宋体"/>
          <w:color w:val="auto"/>
          <w:sz w:val="24"/>
          <w:szCs w:val="24"/>
          <w:highlight w:val="none"/>
        </w:rPr>
      </w:pPr>
    </w:p>
    <w:p>
      <w:pPr>
        <w:spacing w:line="720" w:lineRule="auto"/>
        <w:ind w:firstLine="2" w:firstLineChars="1"/>
        <w:jc w:val="center"/>
        <w:rPr>
          <w:rFonts w:ascii="宋体" w:cs="宋体"/>
          <w:color w:val="auto"/>
          <w:sz w:val="24"/>
          <w:szCs w:val="24"/>
          <w:highlight w:val="none"/>
        </w:rPr>
      </w:pPr>
      <w:r>
        <w:rPr>
          <w:rFonts w:hint="eastAsia" w:ascii="宋体" w:hAnsi="宋体" w:cs="宋体"/>
          <w:color w:val="auto"/>
          <w:sz w:val="24"/>
          <w:szCs w:val="24"/>
          <w:highlight w:val="none"/>
        </w:rPr>
        <w:t>年月日</w:t>
      </w:r>
    </w:p>
    <w:p>
      <w:pPr>
        <w:tabs>
          <w:tab w:val="center" w:pos="4832"/>
          <w:tab w:val="left" w:pos="7140"/>
        </w:tabs>
        <w:jc w:val="center"/>
        <w:outlineLvl w:val="1"/>
        <w:rPr>
          <w:rFonts w:ascii="宋体" w:hAnsi="宋体" w:cs="宋体"/>
          <w:b/>
          <w:color w:val="auto"/>
          <w:sz w:val="24"/>
          <w:szCs w:val="24"/>
          <w:highlight w:val="none"/>
        </w:rPr>
      </w:pPr>
      <w:r>
        <w:rPr>
          <w:rFonts w:ascii="宋体" w:cs="宋体"/>
          <w:b/>
          <w:color w:val="auto"/>
          <w:sz w:val="24"/>
          <w:szCs w:val="24"/>
          <w:highlight w:val="none"/>
        </w:rPr>
        <w:br w:type="page"/>
      </w:r>
      <w:bookmarkStart w:id="63" w:name="_Toc130252613"/>
      <w:bookmarkStart w:id="64" w:name="_Toc141050506"/>
      <w:r>
        <w:rPr>
          <w:rFonts w:hint="eastAsia" w:ascii="宋体" w:hAnsi="宋体" w:cs="宋体"/>
          <w:b/>
          <w:color w:val="auto"/>
          <w:sz w:val="24"/>
          <w:szCs w:val="24"/>
          <w:highlight w:val="none"/>
        </w:rPr>
        <w:t>目录</w:t>
      </w:r>
      <w:bookmarkEnd w:id="63"/>
      <w:bookmarkEnd w:id="64"/>
    </w:p>
    <w:p>
      <w:pPr>
        <w:spacing w:line="280" w:lineRule="exact"/>
        <w:ind w:firstLine="240" w:firstLineChars="100"/>
        <w:rPr>
          <w:rFonts w:ascii="宋体" w:hAnsi="宋体" w:cs="Times New Roman"/>
          <w:bCs/>
          <w:color w:val="auto"/>
          <w:sz w:val="24"/>
          <w:szCs w:val="24"/>
          <w:highlight w:val="none"/>
        </w:rPr>
      </w:pPr>
    </w:p>
    <w:p>
      <w:pPr>
        <w:spacing w:line="280" w:lineRule="exact"/>
        <w:ind w:firstLine="240" w:firstLineChars="1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一、投标函</w:t>
      </w:r>
    </w:p>
    <w:p>
      <w:pPr>
        <w:spacing w:line="280" w:lineRule="exact"/>
        <w:ind w:firstLine="240" w:firstLineChars="1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二、投标价格明细表</w:t>
      </w:r>
    </w:p>
    <w:p>
      <w:pPr>
        <w:spacing w:line="280" w:lineRule="exact"/>
        <w:ind w:firstLine="240" w:firstLineChars="1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三、中小微企业投标价格统计表</w:t>
      </w:r>
    </w:p>
    <w:p>
      <w:pPr>
        <w:spacing w:line="280" w:lineRule="exact"/>
        <w:ind w:firstLine="240" w:firstLineChars="1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四、技术条款偏离表</w:t>
      </w:r>
    </w:p>
    <w:p>
      <w:pPr>
        <w:spacing w:line="280" w:lineRule="exact"/>
        <w:ind w:firstLine="240" w:firstLineChars="1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五、商务条款偏离表</w:t>
      </w:r>
    </w:p>
    <w:p>
      <w:pPr>
        <w:spacing w:line="280" w:lineRule="exact"/>
        <w:ind w:firstLine="240" w:firstLineChars="1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六、法定代表人身份证明书</w:t>
      </w:r>
    </w:p>
    <w:p>
      <w:pPr>
        <w:spacing w:line="280" w:lineRule="exact"/>
        <w:ind w:firstLine="240" w:firstLineChars="1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七、法定代表人授权委托书</w:t>
      </w:r>
    </w:p>
    <w:p>
      <w:pPr>
        <w:spacing w:line="280" w:lineRule="exact"/>
        <w:ind w:firstLine="240" w:firstLineChars="1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八、投标人资格条件证明材料</w:t>
      </w:r>
    </w:p>
    <w:p>
      <w:pPr>
        <w:spacing w:line="280" w:lineRule="exact"/>
        <w:ind w:firstLine="240" w:firstLineChars="1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九、投标人近年类似项目情况表</w:t>
      </w:r>
    </w:p>
    <w:p>
      <w:pPr>
        <w:spacing w:line="280" w:lineRule="exact"/>
        <w:ind w:firstLine="240" w:firstLineChars="1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十、售后服务承诺书</w:t>
      </w:r>
    </w:p>
    <w:p>
      <w:pPr>
        <w:spacing w:line="280" w:lineRule="exact"/>
        <w:ind w:firstLine="240" w:firstLineChars="1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十一、技术方案</w:t>
      </w:r>
    </w:p>
    <w:p>
      <w:pPr>
        <w:spacing w:line="280" w:lineRule="exact"/>
        <w:ind w:firstLine="240" w:firstLineChars="1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十二、其它需要提交的资料</w:t>
      </w:r>
    </w:p>
    <w:p>
      <w:pPr>
        <w:spacing w:line="280" w:lineRule="exact"/>
        <w:ind w:firstLine="240" w:firstLineChars="100"/>
        <w:rPr>
          <w:rFonts w:ascii="宋体" w:hAnsi="宋体" w:cs="Arial"/>
          <w:color w:val="auto"/>
          <w:kern w:val="0"/>
          <w:sz w:val="24"/>
          <w:szCs w:val="24"/>
          <w:highlight w:val="none"/>
        </w:rPr>
      </w:pPr>
    </w:p>
    <w:p>
      <w:pPr>
        <w:spacing w:line="280" w:lineRule="exact"/>
        <w:rPr>
          <w:rFonts w:ascii="宋体" w:cs="Times New Roman"/>
          <w:bCs/>
          <w:color w:val="auto"/>
          <w:sz w:val="24"/>
          <w:szCs w:val="24"/>
          <w:highlight w:val="none"/>
        </w:rPr>
      </w:pPr>
      <w:r>
        <w:rPr>
          <w:rFonts w:hint="eastAsia" w:ascii="宋体" w:hAnsi="宋体" w:cs="Times New Roman"/>
          <w:bCs/>
          <w:color w:val="auto"/>
          <w:sz w:val="24"/>
          <w:szCs w:val="24"/>
          <w:highlight w:val="none"/>
        </w:rPr>
        <w:t>注：为了便于查找，请按上述顺序编制投标文件内容，并在目录中标明每项内容的起始页码。</w:t>
      </w:r>
    </w:p>
    <w:p>
      <w:pPr>
        <w:tabs>
          <w:tab w:val="center" w:pos="4832"/>
          <w:tab w:val="left" w:pos="7140"/>
        </w:tabs>
        <w:jc w:val="center"/>
        <w:outlineLvl w:val="1"/>
        <w:rPr>
          <w:rFonts w:ascii="宋体" w:hAnsi="宋体" w:cs="宋体"/>
          <w:b/>
          <w:color w:val="auto"/>
          <w:sz w:val="24"/>
          <w:szCs w:val="24"/>
          <w:highlight w:val="none"/>
        </w:rPr>
      </w:pPr>
      <w:r>
        <w:rPr>
          <w:rFonts w:ascii="宋体" w:cs="宋体"/>
          <w:b/>
          <w:color w:val="auto"/>
          <w:sz w:val="24"/>
          <w:szCs w:val="24"/>
          <w:highlight w:val="none"/>
        </w:rPr>
        <w:br w:type="page"/>
      </w:r>
      <w:bookmarkStart w:id="65" w:name="_Toc109941764"/>
      <w:bookmarkStart w:id="66" w:name="_Toc110707964"/>
      <w:bookmarkStart w:id="67" w:name="_Toc130252614"/>
      <w:bookmarkStart w:id="68" w:name="_Toc141050507"/>
      <w:r>
        <w:rPr>
          <w:rFonts w:hint="eastAsia" w:ascii="宋体" w:hAnsi="宋体" w:cs="宋体"/>
          <w:b/>
          <w:color w:val="auto"/>
          <w:sz w:val="24"/>
          <w:szCs w:val="24"/>
          <w:highlight w:val="none"/>
        </w:rPr>
        <w:t>一、投标函</w:t>
      </w:r>
      <w:bookmarkEnd w:id="65"/>
      <w:bookmarkEnd w:id="66"/>
      <w:bookmarkEnd w:id="67"/>
      <w:bookmarkEnd w:id="68"/>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致：</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（采购人名称）</w:t>
      </w: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ind w:firstLine="420"/>
        <w:jc w:val="left"/>
        <w:rPr>
          <w:rFonts w:ascii="宋体" w:cs="Arial"/>
          <w:color w:val="auto"/>
          <w:kern w:val="0"/>
          <w:sz w:val="24"/>
          <w:szCs w:val="24"/>
          <w:highlight w:val="none"/>
        </w:rPr>
      </w:pPr>
      <w:r>
        <w:rPr>
          <w:rFonts w:hint="eastAsia" w:ascii="宋体" w:hAnsi="宋体" w:cs="Arial"/>
          <w:color w:val="auto"/>
          <w:kern w:val="0"/>
          <w:sz w:val="24"/>
          <w:szCs w:val="24"/>
          <w:highlight w:val="none"/>
        </w:rPr>
        <w:t>根据已收到的</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项目的招标文件，遵照《中华人民共和国政府采购法》等有关法律法规的规定，经考察现场和充分研究贵方的招标文件的全部内容后，我方郑重承诺如下：</w:t>
      </w:r>
    </w:p>
    <w:p>
      <w:pPr>
        <w:widowControl/>
        <w:shd w:val="clear" w:color="auto" w:fill="FFFFFF"/>
        <w:snapToGrid w:val="0"/>
        <w:spacing w:line="384" w:lineRule="auto"/>
        <w:ind w:firstLine="420"/>
        <w:jc w:val="left"/>
        <w:rPr>
          <w:rFonts w:ascii="宋体" w:cs="Arial"/>
          <w:color w:val="auto"/>
          <w:kern w:val="0"/>
          <w:sz w:val="24"/>
          <w:szCs w:val="24"/>
          <w:highlight w:val="none"/>
        </w:rPr>
      </w:pP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我方投标价格为人民币</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元（大写</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，供货周期为自合同签订之日起</w:t>
      </w:r>
      <w:r>
        <w:rPr>
          <w:rFonts w:hint="eastAsia"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日历日内送达采购人指定地点并安装调试完毕。</w:t>
      </w:r>
    </w:p>
    <w:p>
      <w:pPr>
        <w:widowControl/>
        <w:shd w:val="clear" w:color="auto" w:fill="FFFFFF"/>
        <w:snapToGrid w:val="0"/>
        <w:spacing w:line="384" w:lineRule="auto"/>
        <w:ind w:firstLine="420"/>
        <w:jc w:val="left"/>
        <w:rPr>
          <w:rFonts w:ascii="宋体" w:cs="Arial"/>
          <w:color w:val="auto"/>
          <w:kern w:val="0"/>
          <w:sz w:val="24"/>
          <w:szCs w:val="24"/>
          <w:highlight w:val="none"/>
        </w:rPr>
      </w:pPr>
      <w:r>
        <w:rPr>
          <w:rFonts w:ascii="宋体" w:hAnsi="宋体" w:cs="Arial"/>
          <w:color w:val="auto"/>
          <w:kern w:val="0"/>
          <w:sz w:val="24"/>
          <w:szCs w:val="24"/>
          <w:highlight w:val="none"/>
        </w:rPr>
        <w:t>2.</w:t>
      </w:r>
      <w:r>
        <w:rPr>
          <w:rFonts w:hint="eastAsia" w:ascii="宋体" w:hAnsi="宋体" w:cs="Arial"/>
          <w:color w:val="auto"/>
          <w:kern w:val="0"/>
          <w:sz w:val="24"/>
          <w:szCs w:val="24"/>
          <w:highlight w:val="none"/>
        </w:rPr>
        <w:t>如果我方中标，我方将按规定履行合同责任义务。保证在合同约定的供货周期内供货，并确保我方提供货物的品种、规格、质量和数量以及相关服务满足招标文件的要求。</w:t>
      </w:r>
    </w:p>
    <w:p>
      <w:pPr>
        <w:widowControl/>
        <w:shd w:val="clear" w:color="auto" w:fill="FFFFFF"/>
        <w:snapToGrid w:val="0"/>
        <w:spacing w:line="384" w:lineRule="auto"/>
        <w:ind w:firstLine="420"/>
        <w:jc w:val="left"/>
        <w:rPr>
          <w:rFonts w:ascii="宋体" w:cs="Arial"/>
          <w:color w:val="auto"/>
          <w:kern w:val="0"/>
          <w:sz w:val="24"/>
          <w:szCs w:val="24"/>
          <w:highlight w:val="none"/>
        </w:rPr>
      </w:pPr>
      <w:r>
        <w:rPr>
          <w:rFonts w:ascii="宋体" w:hAnsi="宋体" w:cs="Arial"/>
          <w:color w:val="auto"/>
          <w:kern w:val="0"/>
          <w:sz w:val="24"/>
          <w:szCs w:val="24"/>
          <w:highlight w:val="none"/>
        </w:rPr>
        <w:t>3.</w:t>
      </w:r>
      <w:r>
        <w:rPr>
          <w:rFonts w:hint="eastAsia" w:ascii="宋体" w:hAnsi="宋体" w:cs="Arial"/>
          <w:color w:val="auto"/>
          <w:kern w:val="0"/>
          <w:sz w:val="24"/>
          <w:szCs w:val="24"/>
          <w:highlight w:val="none"/>
        </w:rPr>
        <w:t>质保期：本项目货物质保期为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年内免费维护，自甲方及相关部门总体验收合格之日起计算。如果由于我方责任致使不能验收，此质保期相应顺延。</w:t>
      </w:r>
    </w:p>
    <w:p>
      <w:pPr>
        <w:widowControl/>
        <w:shd w:val="clear" w:color="auto" w:fill="FFFFFF"/>
        <w:snapToGrid w:val="0"/>
        <w:spacing w:line="384" w:lineRule="auto"/>
        <w:ind w:firstLine="420"/>
        <w:jc w:val="left"/>
        <w:rPr>
          <w:rFonts w:ascii="宋体" w:cs="Arial"/>
          <w:color w:val="auto"/>
          <w:kern w:val="0"/>
          <w:sz w:val="24"/>
          <w:szCs w:val="24"/>
          <w:highlight w:val="none"/>
        </w:rPr>
      </w:pPr>
      <w:r>
        <w:rPr>
          <w:rFonts w:ascii="宋体" w:hAnsi="宋体" w:cs="Arial"/>
          <w:color w:val="auto"/>
          <w:kern w:val="0"/>
          <w:sz w:val="24"/>
          <w:szCs w:val="24"/>
          <w:highlight w:val="none"/>
        </w:rPr>
        <w:t>4.</w:t>
      </w:r>
      <w:r>
        <w:rPr>
          <w:rFonts w:hint="eastAsia" w:ascii="宋体" w:hAnsi="宋体" w:cs="Arial"/>
          <w:color w:val="auto"/>
          <w:kern w:val="0"/>
          <w:sz w:val="24"/>
          <w:szCs w:val="24"/>
          <w:highlight w:val="none"/>
        </w:rPr>
        <w:t>本投标文件在招标文件规定的投标有效期内对我方具有约束力，如果我方在投标有效期内撤销投标，其投标保证金将被贵方没收。</w:t>
      </w:r>
    </w:p>
    <w:p>
      <w:pPr>
        <w:widowControl/>
        <w:shd w:val="clear" w:color="auto" w:fill="FFFFFF"/>
        <w:snapToGrid w:val="0"/>
        <w:spacing w:line="384" w:lineRule="auto"/>
        <w:ind w:firstLine="420"/>
        <w:jc w:val="left"/>
        <w:rPr>
          <w:rFonts w:ascii="宋体" w:cs="Arial"/>
          <w:color w:val="auto"/>
          <w:kern w:val="0"/>
          <w:sz w:val="24"/>
          <w:szCs w:val="24"/>
          <w:highlight w:val="none"/>
        </w:rPr>
      </w:pPr>
      <w:r>
        <w:rPr>
          <w:rFonts w:ascii="宋体" w:hAnsi="宋体" w:cs="Arial"/>
          <w:color w:val="auto"/>
          <w:kern w:val="0"/>
          <w:sz w:val="24"/>
          <w:szCs w:val="24"/>
          <w:highlight w:val="none"/>
        </w:rPr>
        <w:t>5.</w:t>
      </w:r>
      <w:r>
        <w:rPr>
          <w:rFonts w:hint="eastAsia" w:ascii="宋体" w:hAnsi="宋体" w:cs="Arial"/>
          <w:color w:val="auto"/>
          <w:kern w:val="0"/>
          <w:sz w:val="24"/>
          <w:szCs w:val="24"/>
          <w:highlight w:val="none"/>
        </w:rPr>
        <w:t>我方已详细审查全部招标文件并完全理解并同意放弃对这方面有不明及误解的权力。</w:t>
      </w:r>
    </w:p>
    <w:p>
      <w:pPr>
        <w:widowControl/>
        <w:shd w:val="clear" w:color="auto" w:fill="FFFFFF"/>
        <w:snapToGrid w:val="0"/>
        <w:spacing w:line="384" w:lineRule="auto"/>
        <w:ind w:firstLine="420"/>
        <w:jc w:val="left"/>
        <w:rPr>
          <w:rFonts w:ascii="宋体" w:cs="Arial"/>
          <w:color w:val="auto"/>
          <w:kern w:val="0"/>
          <w:sz w:val="24"/>
          <w:szCs w:val="24"/>
          <w:highlight w:val="none"/>
        </w:rPr>
      </w:pPr>
      <w:r>
        <w:rPr>
          <w:rFonts w:ascii="宋体" w:hAnsi="宋体" w:cs="Arial"/>
          <w:color w:val="auto"/>
          <w:kern w:val="0"/>
          <w:sz w:val="24"/>
          <w:szCs w:val="24"/>
          <w:highlight w:val="none"/>
        </w:rPr>
        <w:t>6.</w:t>
      </w:r>
      <w:r>
        <w:rPr>
          <w:rFonts w:hint="eastAsia" w:ascii="宋体" w:hAnsi="宋体" w:cs="Arial"/>
          <w:color w:val="auto"/>
          <w:kern w:val="0"/>
          <w:sz w:val="24"/>
          <w:szCs w:val="24"/>
          <w:highlight w:val="none"/>
        </w:rPr>
        <w:t>我方愿意提供贵方可能要求的与投标有关的一切数据或资料，完全理解贵方不一定接受最低投标报价的投标或收到的任何投标。</w:t>
      </w:r>
    </w:p>
    <w:p>
      <w:pPr>
        <w:widowControl/>
        <w:shd w:val="clear" w:color="auto" w:fill="FFFFFF"/>
        <w:snapToGrid w:val="0"/>
        <w:spacing w:line="384" w:lineRule="auto"/>
        <w:ind w:firstLine="420"/>
        <w:jc w:val="left"/>
        <w:rPr>
          <w:rFonts w:ascii="宋体" w:hAnsi="宋体" w:cs="Arial"/>
          <w:color w:val="auto"/>
          <w:kern w:val="0"/>
          <w:sz w:val="24"/>
          <w:szCs w:val="24"/>
          <w:highlight w:val="none"/>
        </w:rPr>
      </w:pPr>
      <w:r>
        <w:rPr>
          <w:rFonts w:ascii="宋体" w:hAnsi="宋体" w:cs="Arial"/>
          <w:color w:val="auto"/>
          <w:kern w:val="0"/>
          <w:sz w:val="24"/>
          <w:szCs w:val="24"/>
          <w:highlight w:val="none"/>
        </w:rPr>
        <w:t>7.</w:t>
      </w:r>
      <w:r>
        <w:rPr>
          <w:rFonts w:hint="eastAsia" w:ascii="宋体" w:hAnsi="宋体" w:cs="Arial"/>
          <w:color w:val="auto"/>
          <w:kern w:val="0"/>
          <w:sz w:val="24"/>
          <w:szCs w:val="24"/>
          <w:highlight w:val="none"/>
        </w:rPr>
        <w:t>我方派法定代表人或其授权委托人作为我方代表，负责按时参加开标会并签署与投标有关的相关文件等。</w:t>
      </w:r>
    </w:p>
    <w:p>
      <w:pPr>
        <w:widowControl/>
        <w:shd w:val="clear" w:color="auto" w:fill="FFFFFF"/>
        <w:snapToGrid w:val="0"/>
        <w:spacing w:line="384" w:lineRule="auto"/>
        <w:ind w:firstLine="420"/>
        <w:jc w:val="left"/>
        <w:rPr>
          <w:rFonts w:ascii="宋体" w:cs="Arial"/>
          <w:color w:val="auto"/>
          <w:kern w:val="0"/>
          <w:sz w:val="24"/>
          <w:szCs w:val="24"/>
          <w:highlight w:val="none"/>
        </w:rPr>
      </w:pPr>
      <w:r>
        <w:rPr>
          <w:rFonts w:hint="eastAsia" w:ascii="宋体" w:hAnsi="宋体" w:cs="Arial"/>
          <w:color w:val="auto"/>
          <w:kern w:val="0"/>
          <w:sz w:val="24"/>
          <w:szCs w:val="24"/>
          <w:highlight w:val="none"/>
        </w:rPr>
        <w:t>8. 如我方中标，我方自愿向采购代理机构支付咨询费，并在合同签订后3个工作日内向采购代理机构提供采购合同原件一份用于采购资料备案工作。</w:t>
      </w: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投标人：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法定代表人：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wordWrap w:val="0"/>
        <w:snapToGrid w:val="0"/>
        <w:spacing w:line="384" w:lineRule="auto"/>
        <w:ind w:firstLine="420"/>
        <w:jc w:val="right"/>
        <w:rPr>
          <w:rFonts w:ascii="宋体" w:cs="Arial"/>
          <w:color w:val="auto"/>
          <w:kern w:val="0"/>
          <w:sz w:val="24"/>
          <w:szCs w:val="24"/>
          <w:highlight w:val="none"/>
        </w:rPr>
      </w:pPr>
      <w:r>
        <w:rPr>
          <w:rFonts w:hint="eastAsia" w:ascii="宋体" w:hAnsi="宋体" w:cs="Arial"/>
          <w:color w:val="auto"/>
          <w:kern w:val="0"/>
          <w:sz w:val="24"/>
          <w:szCs w:val="24"/>
          <w:highlight w:val="none"/>
        </w:rPr>
        <w:t>日期：</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年</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月</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日</w:t>
      </w:r>
    </w:p>
    <w:p>
      <w:pPr>
        <w:tabs>
          <w:tab w:val="center" w:pos="4832"/>
          <w:tab w:val="left" w:pos="7140"/>
        </w:tabs>
        <w:jc w:val="center"/>
        <w:outlineLvl w:val="1"/>
        <w:rPr>
          <w:rFonts w:ascii="宋体" w:hAnsi="宋体" w:cs="宋体"/>
          <w:b/>
          <w:color w:val="auto"/>
          <w:sz w:val="24"/>
          <w:szCs w:val="24"/>
          <w:highlight w:val="none"/>
        </w:rPr>
      </w:pPr>
      <w:r>
        <w:rPr>
          <w:rFonts w:ascii="宋体" w:cs="Arial"/>
          <w:color w:val="auto"/>
          <w:kern w:val="0"/>
          <w:sz w:val="24"/>
          <w:szCs w:val="24"/>
          <w:highlight w:val="none"/>
        </w:rPr>
        <w:br w:type="page"/>
      </w:r>
      <w:bookmarkStart w:id="69" w:name="_Toc109921158"/>
      <w:bookmarkStart w:id="70" w:name="_Toc110707965"/>
      <w:bookmarkStart w:id="71" w:name="_Toc130252615"/>
      <w:bookmarkStart w:id="72" w:name="_Toc109941765"/>
      <w:bookmarkStart w:id="73" w:name="_Toc141050508"/>
      <w:r>
        <w:rPr>
          <w:rFonts w:hint="eastAsia" w:ascii="宋体" w:hAnsi="宋体" w:cs="宋体"/>
          <w:b/>
          <w:color w:val="auto"/>
          <w:sz w:val="24"/>
          <w:szCs w:val="24"/>
          <w:highlight w:val="none"/>
        </w:rPr>
        <w:t>二、投标价格明细表</w:t>
      </w:r>
      <w:bookmarkEnd w:id="69"/>
      <w:bookmarkEnd w:id="70"/>
      <w:bookmarkEnd w:id="71"/>
      <w:bookmarkEnd w:id="72"/>
      <w:bookmarkEnd w:id="73"/>
    </w:p>
    <w:p>
      <w:pPr>
        <w:spacing w:line="360" w:lineRule="auto"/>
        <w:ind w:firstLine="720" w:firstLineChars="300"/>
        <w:jc w:val="left"/>
        <w:rPr>
          <w:rFonts w:ascii="宋体" w:hAnsi="宋体" w:cs="Times New Roman"/>
          <w:color w:val="auto"/>
          <w:sz w:val="24"/>
          <w:szCs w:val="24"/>
          <w:highlight w:val="none"/>
        </w:rPr>
      </w:pPr>
      <w:r>
        <w:rPr>
          <w:rFonts w:hint="eastAsia" w:ascii="宋体" w:hAnsi="宋体" w:cs="Times New Roman"/>
          <w:color w:val="auto"/>
          <w:sz w:val="24"/>
          <w:szCs w:val="24"/>
          <w:highlight w:val="none"/>
        </w:rPr>
        <w:t xml:space="preserve">                                                           单位：元</w:t>
      </w:r>
    </w:p>
    <w:tbl>
      <w:tblPr>
        <w:tblStyle w:val="37"/>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17"/>
        <w:gridCol w:w="1276"/>
        <w:gridCol w:w="1276"/>
        <w:gridCol w:w="850"/>
        <w:gridCol w:w="860"/>
        <w:gridCol w:w="1017"/>
        <w:gridCol w:w="1017"/>
        <w:gridCol w:w="1017"/>
        <w:gridCol w:w="101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4" w:hRule="atLeast"/>
        </w:trPr>
        <w:tc>
          <w:tcPr>
            <w:tcW w:w="817"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序号</w:t>
            </w:r>
          </w:p>
        </w:tc>
        <w:tc>
          <w:tcPr>
            <w:tcW w:w="1276"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货物名称</w:t>
            </w:r>
          </w:p>
        </w:tc>
        <w:tc>
          <w:tcPr>
            <w:tcW w:w="1276"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型号规格</w:t>
            </w:r>
          </w:p>
        </w:tc>
        <w:tc>
          <w:tcPr>
            <w:tcW w:w="850"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数量</w:t>
            </w:r>
          </w:p>
        </w:tc>
        <w:tc>
          <w:tcPr>
            <w:tcW w:w="860"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品牌</w:t>
            </w:r>
          </w:p>
        </w:tc>
        <w:tc>
          <w:tcPr>
            <w:tcW w:w="1017"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制造商</w:t>
            </w:r>
          </w:p>
        </w:tc>
        <w:tc>
          <w:tcPr>
            <w:tcW w:w="1017"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单价</w:t>
            </w:r>
          </w:p>
        </w:tc>
        <w:tc>
          <w:tcPr>
            <w:tcW w:w="1017"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合价</w:t>
            </w:r>
          </w:p>
        </w:tc>
        <w:tc>
          <w:tcPr>
            <w:tcW w:w="1017"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17" w:type="dxa"/>
            <w:vAlign w:val="center"/>
          </w:tcPr>
          <w:p>
            <w:pPr>
              <w:jc w:val="center"/>
              <w:rPr>
                <w:rFonts w:ascii="宋体" w:hAnsi="宋体" w:cs="宋体"/>
                <w:bCs/>
                <w:color w:val="auto"/>
                <w:sz w:val="24"/>
                <w:szCs w:val="24"/>
                <w:highlight w:val="none"/>
              </w:rPr>
            </w:pPr>
            <w:r>
              <w:rPr>
                <w:rFonts w:ascii="宋体" w:hAnsi="宋体" w:cs="宋体"/>
                <w:bCs/>
                <w:color w:val="auto"/>
                <w:sz w:val="24"/>
                <w:szCs w:val="24"/>
                <w:highlight w:val="none"/>
              </w:rPr>
              <w:t>1</w:t>
            </w:r>
          </w:p>
        </w:tc>
        <w:tc>
          <w:tcPr>
            <w:tcW w:w="1276" w:type="dxa"/>
            <w:vAlign w:val="center"/>
          </w:tcPr>
          <w:p>
            <w:pPr>
              <w:jc w:val="center"/>
              <w:rPr>
                <w:rFonts w:ascii="宋体" w:hAnsi="宋体" w:cs="宋体"/>
                <w:bCs/>
                <w:color w:val="auto"/>
                <w:sz w:val="24"/>
                <w:szCs w:val="24"/>
                <w:highlight w:val="none"/>
              </w:rPr>
            </w:pPr>
          </w:p>
        </w:tc>
        <w:tc>
          <w:tcPr>
            <w:tcW w:w="1276" w:type="dxa"/>
            <w:vAlign w:val="center"/>
          </w:tcPr>
          <w:p>
            <w:pPr>
              <w:jc w:val="center"/>
              <w:rPr>
                <w:rFonts w:ascii="宋体" w:hAnsi="宋体" w:cs="宋体"/>
                <w:bCs/>
                <w:color w:val="auto"/>
                <w:sz w:val="24"/>
                <w:szCs w:val="24"/>
                <w:highlight w:val="none"/>
              </w:rPr>
            </w:pPr>
          </w:p>
        </w:tc>
        <w:tc>
          <w:tcPr>
            <w:tcW w:w="850" w:type="dxa"/>
            <w:vAlign w:val="center"/>
          </w:tcPr>
          <w:p>
            <w:pPr>
              <w:jc w:val="center"/>
              <w:rPr>
                <w:rFonts w:ascii="宋体" w:hAnsi="宋体" w:cs="宋体"/>
                <w:bCs/>
                <w:color w:val="auto"/>
                <w:sz w:val="24"/>
                <w:szCs w:val="24"/>
                <w:highlight w:val="none"/>
              </w:rPr>
            </w:pPr>
          </w:p>
        </w:tc>
        <w:tc>
          <w:tcPr>
            <w:tcW w:w="860"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17" w:type="dxa"/>
            <w:vAlign w:val="center"/>
          </w:tcPr>
          <w:p>
            <w:pPr>
              <w:jc w:val="center"/>
              <w:rPr>
                <w:rFonts w:ascii="宋体" w:hAnsi="宋体" w:cs="宋体"/>
                <w:bCs/>
                <w:color w:val="auto"/>
                <w:sz w:val="24"/>
                <w:szCs w:val="24"/>
                <w:highlight w:val="none"/>
              </w:rPr>
            </w:pPr>
            <w:r>
              <w:rPr>
                <w:rFonts w:ascii="宋体" w:hAnsi="宋体" w:cs="宋体"/>
                <w:bCs/>
                <w:color w:val="auto"/>
                <w:sz w:val="24"/>
                <w:szCs w:val="24"/>
                <w:highlight w:val="none"/>
              </w:rPr>
              <w:t>2</w:t>
            </w:r>
          </w:p>
        </w:tc>
        <w:tc>
          <w:tcPr>
            <w:tcW w:w="1276" w:type="dxa"/>
            <w:vAlign w:val="center"/>
          </w:tcPr>
          <w:p>
            <w:pPr>
              <w:jc w:val="center"/>
              <w:rPr>
                <w:rFonts w:ascii="宋体" w:hAnsi="宋体" w:cs="宋体"/>
                <w:bCs/>
                <w:color w:val="auto"/>
                <w:sz w:val="24"/>
                <w:szCs w:val="24"/>
                <w:highlight w:val="none"/>
              </w:rPr>
            </w:pPr>
          </w:p>
        </w:tc>
        <w:tc>
          <w:tcPr>
            <w:tcW w:w="1276" w:type="dxa"/>
            <w:vAlign w:val="center"/>
          </w:tcPr>
          <w:p>
            <w:pPr>
              <w:jc w:val="center"/>
              <w:rPr>
                <w:rFonts w:ascii="宋体" w:hAnsi="宋体" w:cs="宋体"/>
                <w:bCs/>
                <w:color w:val="auto"/>
                <w:sz w:val="24"/>
                <w:szCs w:val="24"/>
                <w:highlight w:val="none"/>
              </w:rPr>
            </w:pPr>
          </w:p>
        </w:tc>
        <w:tc>
          <w:tcPr>
            <w:tcW w:w="850" w:type="dxa"/>
            <w:vAlign w:val="center"/>
          </w:tcPr>
          <w:p>
            <w:pPr>
              <w:jc w:val="center"/>
              <w:rPr>
                <w:rFonts w:ascii="宋体" w:hAnsi="宋体" w:cs="宋体"/>
                <w:bCs/>
                <w:color w:val="auto"/>
                <w:sz w:val="24"/>
                <w:szCs w:val="24"/>
                <w:highlight w:val="none"/>
              </w:rPr>
            </w:pPr>
          </w:p>
        </w:tc>
        <w:tc>
          <w:tcPr>
            <w:tcW w:w="860"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17" w:type="dxa"/>
            <w:vAlign w:val="center"/>
          </w:tcPr>
          <w:p>
            <w:pPr>
              <w:jc w:val="center"/>
              <w:rPr>
                <w:rFonts w:ascii="宋体" w:hAnsi="宋体" w:cs="宋体"/>
                <w:bCs/>
                <w:color w:val="auto"/>
                <w:sz w:val="24"/>
                <w:szCs w:val="24"/>
                <w:highlight w:val="none"/>
              </w:rPr>
            </w:pPr>
            <w:r>
              <w:rPr>
                <w:rFonts w:ascii="宋体" w:hAnsi="宋体" w:cs="宋体"/>
                <w:bCs/>
                <w:color w:val="auto"/>
                <w:sz w:val="24"/>
                <w:szCs w:val="24"/>
                <w:highlight w:val="none"/>
              </w:rPr>
              <w:t>3</w:t>
            </w:r>
          </w:p>
        </w:tc>
        <w:tc>
          <w:tcPr>
            <w:tcW w:w="1276" w:type="dxa"/>
            <w:vAlign w:val="center"/>
          </w:tcPr>
          <w:p>
            <w:pPr>
              <w:jc w:val="center"/>
              <w:rPr>
                <w:rFonts w:ascii="宋体" w:hAnsi="宋体" w:cs="宋体"/>
                <w:bCs/>
                <w:color w:val="auto"/>
                <w:sz w:val="24"/>
                <w:szCs w:val="24"/>
                <w:highlight w:val="none"/>
              </w:rPr>
            </w:pPr>
          </w:p>
        </w:tc>
        <w:tc>
          <w:tcPr>
            <w:tcW w:w="1276" w:type="dxa"/>
            <w:vAlign w:val="center"/>
          </w:tcPr>
          <w:p>
            <w:pPr>
              <w:jc w:val="center"/>
              <w:rPr>
                <w:rFonts w:ascii="宋体" w:hAnsi="宋体" w:cs="宋体"/>
                <w:bCs/>
                <w:color w:val="auto"/>
                <w:sz w:val="24"/>
                <w:szCs w:val="24"/>
                <w:highlight w:val="none"/>
              </w:rPr>
            </w:pPr>
          </w:p>
        </w:tc>
        <w:tc>
          <w:tcPr>
            <w:tcW w:w="850" w:type="dxa"/>
            <w:vAlign w:val="center"/>
          </w:tcPr>
          <w:p>
            <w:pPr>
              <w:jc w:val="center"/>
              <w:rPr>
                <w:rFonts w:ascii="宋体" w:hAnsi="宋体" w:cs="宋体"/>
                <w:bCs/>
                <w:color w:val="auto"/>
                <w:sz w:val="24"/>
                <w:szCs w:val="24"/>
                <w:highlight w:val="none"/>
              </w:rPr>
            </w:pPr>
          </w:p>
        </w:tc>
        <w:tc>
          <w:tcPr>
            <w:tcW w:w="860"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17" w:type="dxa"/>
            <w:vAlign w:val="center"/>
          </w:tcPr>
          <w:p>
            <w:pPr>
              <w:jc w:val="center"/>
              <w:rPr>
                <w:rFonts w:ascii="宋体" w:hAnsi="宋体" w:cs="宋体"/>
                <w:bCs/>
                <w:color w:val="auto"/>
                <w:sz w:val="24"/>
                <w:szCs w:val="24"/>
                <w:highlight w:val="none"/>
              </w:rPr>
            </w:pPr>
            <w:r>
              <w:rPr>
                <w:rFonts w:ascii="宋体" w:hAnsi="宋体" w:cs="宋体"/>
                <w:bCs/>
                <w:color w:val="auto"/>
                <w:sz w:val="24"/>
                <w:szCs w:val="24"/>
                <w:highlight w:val="none"/>
              </w:rPr>
              <w:t>4</w:t>
            </w:r>
          </w:p>
        </w:tc>
        <w:tc>
          <w:tcPr>
            <w:tcW w:w="1276" w:type="dxa"/>
            <w:vAlign w:val="center"/>
          </w:tcPr>
          <w:p>
            <w:pPr>
              <w:jc w:val="center"/>
              <w:rPr>
                <w:rFonts w:ascii="宋体" w:hAnsi="宋体" w:cs="宋体"/>
                <w:bCs/>
                <w:color w:val="auto"/>
                <w:sz w:val="24"/>
                <w:szCs w:val="24"/>
                <w:highlight w:val="none"/>
              </w:rPr>
            </w:pPr>
          </w:p>
        </w:tc>
        <w:tc>
          <w:tcPr>
            <w:tcW w:w="1276" w:type="dxa"/>
            <w:vAlign w:val="center"/>
          </w:tcPr>
          <w:p>
            <w:pPr>
              <w:jc w:val="center"/>
              <w:rPr>
                <w:rFonts w:ascii="宋体" w:hAnsi="宋体" w:cs="宋体"/>
                <w:bCs/>
                <w:color w:val="auto"/>
                <w:sz w:val="24"/>
                <w:szCs w:val="24"/>
                <w:highlight w:val="none"/>
              </w:rPr>
            </w:pPr>
          </w:p>
        </w:tc>
        <w:tc>
          <w:tcPr>
            <w:tcW w:w="850" w:type="dxa"/>
            <w:vAlign w:val="center"/>
          </w:tcPr>
          <w:p>
            <w:pPr>
              <w:jc w:val="center"/>
              <w:rPr>
                <w:rFonts w:ascii="宋体" w:hAnsi="宋体" w:cs="宋体"/>
                <w:bCs/>
                <w:color w:val="auto"/>
                <w:sz w:val="24"/>
                <w:szCs w:val="24"/>
                <w:highlight w:val="none"/>
              </w:rPr>
            </w:pPr>
          </w:p>
        </w:tc>
        <w:tc>
          <w:tcPr>
            <w:tcW w:w="860"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17" w:type="dxa"/>
            <w:vAlign w:val="center"/>
          </w:tcPr>
          <w:p>
            <w:pPr>
              <w:jc w:val="center"/>
              <w:rPr>
                <w:rFonts w:ascii="宋体" w:hAnsi="宋体" w:cs="宋体"/>
                <w:bCs/>
                <w:color w:val="auto"/>
                <w:sz w:val="24"/>
                <w:szCs w:val="24"/>
                <w:highlight w:val="none"/>
              </w:rPr>
            </w:pPr>
            <w:r>
              <w:rPr>
                <w:rFonts w:ascii="宋体" w:hAnsi="宋体" w:cs="宋体"/>
                <w:bCs/>
                <w:color w:val="auto"/>
                <w:sz w:val="24"/>
                <w:szCs w:val="24"/>
                <w:highlight w:val="none"/>
              </w:rPr>
              <w:t>5</w:t>
            </w:r>
          </w:p>
        </w:tc>
        <w:tc>
          <w:tcPr>
            <w:tcW w:w="1276" w:type="dxa"/>
            <w:vAlign w:val="center"/>
          </w:tcPr>
          <w:p>
            <w:pPr>
              <w:jc w:val="center"/>
              <w:rPr>
                <w:rFonts w:ascii="宋体" w:hAnsi="宋体" w:cs="宋体"/>
                <w:bCs/>
                <w:color w:val="auto"/>
                <w:sz w:val="24"/>
                <w:szCs w:val="24"/>
                <w:highlight w:val="none"/>
              </w:rPr>
            </w:pPr>
          </w:p>
        </w:tc>
        <w:tc>
          <w:tcPr>
            <w:tcW w:w="1276" w:type="dxa"/>
            <w:vAlign w:val="center"/>
          </w:tcPr>
          <w:p>
            <w:pPr>
              <w:jc w:val="center"/>
              <w:rPr>
                <w:rFonts w:ascii="宋体" w:hAnsi="宋体" w:cs="宋体"/>
                <w:bCs/>
                <w:color w:val="auto"/>
                <w:sz w:val="24"/>
                <w:szCs w:val="24"/>
                <w:highlight w:val="none"/>
              </w:rPr>
            </w:pPr>
          </w:p>
        </w:tc>
        <w:tc>
          <w:tcPr>
            <w:tcW w:w="850" w:type="dxa"/>
            <w:vAlign w:val="center"/>
          </w:tcPr>
          <w:p>
            <w:pPr>
              <w:jc w:val="center"/>
              <w:rPr>
                <w:rFonts w:ascii="宋体" w:hAnsi="宋体" w:cs="宋体"/>
                <w:bCs/>
                <w:color w:val="auto"/>
                <w:sz w:val="24"/>
                <w:szCs w:val="24"/>
                <w:highlight w:val="none"/>
              </w:rPr>
            </w:pPr>
          </w:p>
        </w:tc>
        <w:tc>
          <w:tcPr>
            <w:tcW w:w="860"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17" w:type="dxa"/>
            <w:vAlign w:val="center"/>
          </w:tcPr>
          <w:p>
            <w:pPr>
              <w:jc w:val="center"/>
              <w:rPr>
                <w:rFonts w:ascii="宋体" w:hAnsi="宋体" w:cs="宋体"/>
                <w:bCs/>
                <w:color w:val="auto"/>
                <w:sz w:val="24"/>
                <w:szCs w:val="24"/>
                <w:highlight w:val="none"/>
              </w:rPr>
            </w:pPr>
            <w:r>
              <w:rPr>
                <w:rFonts w:ascii="宋体" w:hAnsi="宋体" w:cs="宋体"/>
                <w:bCs/>
                <w:color w:val="auto"/>
                <w:sz w:val="24"/>
                <w:szCs w:val="24"/>
                <w:highlight w:val="none"/>
              </w:rPr>
              <w:t>…</w:t>
            </w:r>
          </w:p>
        </w:tc>
        <w:tc>
          <w:tcPr>
            <w:tcW w:w="1276" w:type="dxa"/>
            <w:vAlign w:val="center"/>
          </w:tcPr>
          <w:p>
            <w:pPr>
              <w:jc w:val="center"/>
              <w:rPr>
                <w:rFonts w:ascii="宋体" w:hAnsi="宋体" w:cs="宋体"/>
                <w:bCs/>
                <w:color w:val="auto"/>
                <w:sz w:val="24"/>
                <w:szCs w:val="24"/>
                <w:highlight w:val="none"/>
              </w:rPr>
            </w:pPr>
          </w:p>
        </w:tc>
        <w:tc>
          <w:tcPr>
            <w:tcW w:w="1276" w:type="dxa"/>
            <w:vAlign w:val="center"/>
          </w:tcPr>
          <w:p>
            <w:pPr>
              <w:jc w:val="center"/>
              <w:rPr>
                <w:rFonts w:ascii="宋体" w:hAnsi="宋体" w:cs="宋体"/>
                <w:bCs/>
                <w:color w:val="auto"/>
                <w:sz w:val="24"/>
                <w:szCs w:val="24"/>
                <w:highlight w:val="none"/>
              </w:rPr>
            </w:pPr>
          </w:p>
        </w:tc>
        <w:tc>
          <w:tcPr>
            <w:tcW w:w="850" w:type="dxa"/>
            <w:vAlign w:val="center"/>
          </w:tcPr>
          <w:p>
            <w:pPr>
              <w:jc w:val="center"/>
              <w:rPr>
                <w:rFonts w:ascii="宋体" w:hAnsi="宋体" w:cs="宋体"/>
                <w:bCs/>
                <w:color w:val="auto"/>
                <w:sz w:val="24"/>
                <w:szCs w:val="24"/>
                <w:highlight w:val="none"/>
              </w:rPr>
            </w:pPr>
          </w:p>
        </w:tc>
        <w:tc>
          <w:tcPr>
            <w:tcW w:w="860"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113" w:type="dxa"/>
            <w:gridSpan w:val="7"/>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合计</w:t>
            </w:r>
          </w:p>
        </w:tc>
        <w:tc>
          <w:tcPr>
            <w:tcW w:w="2034" w:type="dxa"/>
            <w:gridSpan w:val="2"/>
            <w:vAlign w:val="center"/>
          </w:tcPr>
          <w:p>
            <w:pPr>
              <w:spacing w:line="360" w:lineRule="auto"/>
              <w:jc w:val="right"/>
              <w:rPr>
                <w:rFonts w:ascii="宋体" w:cs="宋体"/>
                <w:color w:val="auto"/>
                <w:sz w:val="24"/>
                <w:szCs w:val="24"/>
                <w:highlight w:val="none"/>
              </w:rPr>
            </w:pPr>
          </w:p>
        </w:tc>
      </w:tr>
    </w:tbl>
    <w:p>
      <w:pPr>
        <w:spacing w:line="360" w:lineRule="auto"/>
        <w:jc w:val="left"/>
        <w:rPr>
          <w:rFonts w:ascii="宋体" w:hAnsi="宋体" w:cs="Times New Roman"/>
          <w:color w:val="auto"/>
          <w:sz w:val="24"/>
          <w:szCs w:val="24"/>
          <w:highlight w:val="none"/>
        </w:rPr>
      </w:pPr>
    </w:p>
    <w:p>
      <w:pPr>
        <w:spacing w:line="360" w:lineRule="auto"/>
        <w:jc w:val="left"/>
        <w:rPr>
          <w:rFonts w:ascii="宋体" w:cs="Times New Roman"/>
          <w:color w:val="auto"/>
          <w:sz w:val="24"/>
          <w:szCs w:val="24"/>
          <w:highlight w:val="none"/>
        </w:rPr>
      </w:pPr>
      <w:r>
        <w:rPr>
          <w:rFonts w:hint="eastAsia" w:ascii="宋体" w:hAnsi="宋体" w:cs="Times New Roman"/>
          <w:color w:val="auto"/>
          <w:sz w:val="24"/>
          <w:szCs w:val="24"/>
          <w:highlight w:val="none"/>
        </w:rPr>
        <w:t>备注：</w:t>
      </w:r>
    </w:p>
    <w:p>
      <w:pPr>
        <w:spacing w:line="360" w:lineRule="auto"/>
        <w:ind w:firstLine="480" w:firstLineChars="200"/>
        <w:jc w:val="left"/>
        <w:rPr>
          <w:rFonts w:ascii="宋体" w:cs="Times New Roman"/>
          <w:color w:val="auto"/>
          <w:sz w:val="24"/>
          <w:szCs w:val="24"/>
          <w:highlight w:val="none"/>
        </w:rPr>
      </w:pPr>
      <w:r>
        <w:rPr>
          <w:rFonts w:ascii="宋体" w:hAnsi="宋体" w:cs="Times New Roman"/>
          <w:color w:val="auto"/>
          <w:sz w:val="24"/>
          <w:szCs w:val="24"/>
          <w:highlight w:val="none"/>
        </w:rPr>
        <w:t>1</w:t>
      </w:r>
      <w:r>
        <w:rPr>
          <w:rFonts w:hint="eastAsia" w:ascii="宋体" w:hAnsi="宋体" w:cs="Times New Roman"/>
          <w:color w:val="auto"/>
          <w:sz w:val="24"/>
          <w:szCs w:val="24"/>
          <w:highlight w:val="none"/>
        </w:rPr>
        <w:t>、货物名称和数量应按照第四章“技术标准和要求”内容填写。</w:t>
      </w:r>
    </w:p>
    <w:p>
      <w:pPr>
        <w:spacing w:line="360" w:lineRule="auto"/>
        <w:ind w:firstLine="480" w:firstLineChars="200"/>
        <w:jc w:val="left"/>
        <w:rPr>
          <w:rFonts w:ascii="宋体" w:hAnsi="宋体" w:eastAsia="宋体" w:cs="Arial"/>
          <w:color w:val="auto"/>
          <w:kern w:val="0"/>
          <w:sz w:val="24"/>
          <w:szCs w:val="24"/>
          <w:highlight w:val="none"/>
        </w:rPr>
      </w:pPr>
      <w:r>
        <w:rPr>
          <w:rFonts w:ascii="宋体" w:hAnsi="宋体" w:cs="Times New Roman"/>
          <w:color w:val="auto"/>
          <w:sz w:val="24"/>
          <w:szCs w:val="24"/>
          <w:highlight w:val="none"/>
        </w:rPr>
        <w:t>2</w:t>
      </w:r>
      <w:r>
        <w:rPr>
          <w:rFonts w:hint="eastAsia" w:ascii="宋体" w:hAnsi="宋体" w:cs="Times New Roman"/>
          <w:color w:val="auto"/>
          <w:sz w:val="24"/>
          <w:szCs w:val="24"/>
          <w:highlight w:val="none"/>
        </w:rPr>
        <w:t>、</w:t>
      </w:r>
      <w:r>
        <w:rPr>
          <w:rFonts w:hint="eastAsia" w:ascii="宋体" w:hAnsi="宋体" w:eastAsia="宋体" w:cs="Arial"/>
          <w:color w:val="auto"/>
          <w:kern w:val="0"/>
          <w:sz w:val="24"/>
          <w:szCs w:val="24"/>
          <w:highlight w:val="none"/>
        </w:rPr>
        <w:t>投标价格应包括投标人履行本项目合同（如果中标）所必须的所有成本费用和中标人应承担的一切税费；未列和没有填写的项目费用，采购人将视为已包括在投标价格中。</w:t>
      </w:r>
    </w:p>
    <w:p>
      <w:pPr>
        <w:spacing w:line="360" w:lineRule="auto"/>
        <w:jc w:val="left"/>
        <w:rPr>
          <w:rFonts w:ascii="宋体" w:hAnsi="宋体" w:cs="Arial"/>
          <w:color w:val="auto"/>
          <w:kern w:val="0"/>
          <w:sz w:val="24"/>
          <w:szCs w:val="24"/>
          <w:highlight w:val="none"/>
        </w:rPr>
      </w:pPr>
    </w:p>
    <w:p>
      <w:pPr>
        <w:spacing w:line="360" w:lineRule="auto"/>
        <w:jc w:val="left"/>
        <w:rPr>
          <w:rFonts w:ascii="宋体" w:hAns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投标人：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法定代表人：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wordWrap w:val="0"/>
        <w:snapToGrid w:val="0"/>
        <w:spacing w:line="384" w:lineRule="auto"/>
        <w:ind w:firstLine="420"/>
        <w:jc w:val="right"/>
        <w:rPr>
          <w:rFonts w:ascii="宋体" w:cs="Arial"/>
          <w:color w:val="auto"/>
          <w:kern w:val="0"/>
          <w:sz w:val="24"/>
          <w:szCs w:val="24"/>
          <w:highlight w:val="none"/>
        </w:rPr>
      </w:pPr>
      <w:r>
        <w:rPr>
          <w:rFonts w:hint="eastAsia" w:ascii="宋体" w:hAnsi="宋体" w:cs="Arial"/>
          <w:color w:val="auto"/>
          <w:kern w:val="0"/>
          <w:sz w:val="24"/>
          <w:szCs w:val="24"/>
          <w:highlight w:val="none"/>
        </w:rPr>
        <w:t>日期：</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年</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月</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日</w:t>
      </w:r>
    </w:p>
    <w:p>
      <w:pPr>
        <w:spacing w:line="360" w:lineRule="auto"/>
        <w:jc w:val="left"/>
        <w:rPr>
          <w:rFonts w:ascii="宋体" w:hAnsi="宋体" w:cs="Times New Roman"/>
          <w:color w:val="auto"/>
          <w:sz w:val="24"/>
          <w:szCs w:val="24"/>
          <w:highlight w:val="none"/>
        </w:rPr>
      </w:pPr>
    </w:p>
    <w:p>
      <w:pPr>
        <w:widowControl/>
        <w:jc w:val="left"/>
        <w:rPr>
          <w:rFonts w:ascii="宋体" w:hAnsi="宋体" w:cs="Times New Roman"/>
          <w:color w:val="auto"/>
          <w:sz w:val="24"/>
          <w:szCs w:val="24"/>
          <w:highlight w:val="none"/>
        </w:rPr>
      </w:pPr>
      <w:r>
        <w:rPr>
          <w:rFonts w:ascii="宋体" w:cs="Times New Roman"/>
          <w:color w:val="auto"/>
          <w:sz w:val="24"/>
          <w:szCs w:val="24"/>
          <w:highlight w:val="none"/>
        </w:rPr>
        <w:br w:type="page"/>
      </w:r>
    </w:p>
    <w:p>
      <w:pPr>
        <w:tabs>
          <w:tab w:val="center" w:pos="4832"/>
          <w:tab w:val="left" w:pos="7140"/>
        </w:tabs>
        <w:jc w:val="center"/>
        <w:outlineLvl w:val="1"/>
        <w:rPr>
          <w:rFonts w:ascii="宋体" w:hAnsi="宋体" w:cs="宋体"/>
          <w:b/>
          <w:color w:val="auto"/>
          <w:sz w:val="24"/>
          <w:szCs w:val="24"/>
          <w:highlight w:val="none"/>
        </w:rPr>
      </w:pPr>
      <w:bookmarkStart w:id="74" w:name="_Toc109941766"/>
      <w:bookmarkStart w:id="75" w:name="_Toc109921159"/>
      <w:bookmarkStart w:id="76" w:name="_Toc141050509"/>
      <w:bookmarkStart w:id="77" w:name="_Toc130252616"/>
      <w:bookmarkStart w:id="78" w:name="_Toc110707966"/>
      <w:r>
        <w:rPr>
          <w:rFonts w:hint="eastAsia" w:ascii="宋体" w:hAnsi="宋体" w:cs="Times New Roman"/>
          <w:color w:val="auto"/>
          <w:sz w:val="24"/>
          <w:szCs w:val="24"/>
          <w:highlight w:val="none"/>
        </w:rPr>
        <w:t>三、</w:t>
      </w:r>
      <w:r>
        <w:rPr>
          <w:rFonts w:hint="eastAsia" w:ascii="宋体" w:hAnsi="宋体" w:cs="宋体"/>
          <w:b/>
          <w:color w:val="auto"/>
          <w:sz w:val="24"/>
          <w:szCs w:val="24"/>
          <w:highlight w:val="none"/>
        </w:rPr>
        <w:t>中小微企业投标价格统计表</w:t>
      </w:r>
      <w:bookmarkEnd w:id="74"/>
      <w:bookmarkEnd w:id="75"/>
      <w:bookmarkEnd w:id="76"/>
      <w:bookmarkEnd w:id="77"/>
      <w:bookmarkEnd w:id="78"/>
    </w:p>
    <w:p>
      <w:pPr>
        <w:spacing w:line="360" w:lineRule="auto"/>
        <w:ind w:left="8040" w:hanging="8040" w:hangingChars="3350"/>
        <w:rPr>
          <w:rFonts w:ascii="宋体" w:hAnsi="宋体" w:cs="Times New Roman"/>
          <w:color w:val="auto"/>
          <w:sz w:val="24"/>
          <w:szCs w:val="24"/>
          <w:highlight w:val="none"/>
        </w:rPr>
      </w:pPr>
      <w:r>
        <w:rPr>
          <w:rFonts w:hint="eastAsia" w:ascii="宋体" w:hAnsi="宋体" w:cs="Times New Roman"/>
          <w:color w:val="auto"/>
          <w:sz w:val="24"/>
          <w:szCs w:val="24"/>
          <w:highlight w:val="none"/>
        </w:rPr>
        <w:t xml:space="preserve">                                                                  单位：元</w:t>
      </w:r>
    </w:p>
    <w:tbl>
      <w:tblPr>
        <w:tblStyle w:val="37"/>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51"/>
        <w:gridCol w:w="1319"/>
        <w:gridCol w:w="1470"/>
        <w:gridCol w:w="2196"/>
        <w:gridCol w:w="1314"/>
        <w:gridCol w:w="213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4" w:hRule="atLeast"/>
          <w:jc w:val="center"/>
        </w:trPr>
        <w:tc>
          <w:tcPr>
            <w:tcW w:w="896"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序号</w:t>
            </w:r>
          </w:p>
        </w:tc>
        <w:tc>
          <w:tcPr>
            <w:tcW w:w="1418"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货物名称</w:t>
            </w:r>
          </w:p>
        </w:tc>
        <w:tc>
          <w:tcPr>
            <w:tcW w:w="1587"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制造商</w:t>
            </w:r>
          </w:p>
        </w:tc>
        <w:tc>
          <w:tcPr>
            <w:tcW w:w="2399"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制造商企业规模</w:t>
            </w:r>
          </w:p>
        </w:tc>
        <w:tc>
          <w:tcPr>
            <w:tcW w:w="1418"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合价</w:t>
            </w:r>
          </w:p>
        </w:tc>
        <w:tc>
          <w:tcPr>
            <w:tcW w:w="1985"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96" w:type="dxa"/>
            <w:vAlign w:val="center"/>
          </w:tcPr>
          <w:p>
            <w:pPr>
              <w:jc w:val="center"/>
              <w:rPr>
                <w:rFonts w:ascii="宋体" w:hAnsi="宋体" w:cs="宋体"/>
                <w:bCs/>
                <w:color w:val="auto"/>
                <w:sz w:val="24"/>
                <w:szCs w:val="24"/>
                <w:highlight w:val="none"/>
              </w:rPr>
            </w:pPr>
            <w:r>
              <w:rPr>
                <w:rFonts w:ascii="宋体" w:hAnsi="宋体" w:cs="宋体"/>
                <w:bCs/>
                <w:color w:val="auto"/>
                <w:sz w:val="24"/>
                <w:szCs w:val="24"/>
                <w:highlight w:val="none"/>
              </w:rPr>
              <w:t>1</w:t>
            </w:r>
          </w:p>
        </w:tc>
        <w:tc>
          <w:tcPr>
            <w:tcW w:w="1418" w:type="dxa"/>
            <w:vAlign w:val="center"/>
          </w:tcPr>
          <w:p>
            <w:pPr>
              <w:jc w:val="center"/>
              <w:rPr>
                <w:rFonts w:ascii="宋体" w:hAnsi="宋体" w:cs="宋体"/>
                <w:bCs/>
                <w:color w:val="auto"/>
                <w:sz w:val="24"/>
                <w:szCs w:val="24"/>
                <w:highlight w:val="none"/>
              </w:rPr>
            </w:pPr>
          </w:p>
        </w:tc>
        <w:tc>
          <w:tcPr>
            <w:tcW w:w="1587" w:type="dxa"/>
            <w:vAlign w:val="center"/>
          </w:tcPr>
          <w:p>
            <w:pPr>
              <w:jc w:val="center"/>
              <w:rPr>
                <w:rFonts w:ascii="宋体" w:hAnsi="宋体" w:cs="宋体"/>
                <w:bCs/>
                <w:color w:val="auto"/>
                <w:sz w:val="24"/>
                <w:szCs w:val="24"/>
                <w:highlight w:val="none"/>
              </w:rPr>
            </w:pPr>
          </w:p>
        </w:tc>
        <w:tc>
          <w:tcPr>
            <w:tcW w:w="2399" w:type="dxa"/>
            <w:vAlign w:val="center"/>
          </w:tcPr>
          <w:p>
            <w:pPr>
              <w:jc w:val="center"/>
              <w:rPr>
                <w:rFonts w:ascii="宋体" w:hAnsi="宋体" w:cs="宋体"/>
                <w:bCs/>
                <w:color w:val="auto"/>
                <w:sz w:val="24"/>
                <w:szCs w:val="24"/>
                <w:highlight w:val="none"/>
              </w:rPr>
            </w:pPr>
          </w:p>
        </w:tc>
        <w:tc>
          <w:tcPr>
            <w:tcW w:w="1418" w:type="dxa"/>
            <w:vAlign w:val="center"/>
          </w:tcPr>
          <w:p>
            <w:pPr>
              <w:jc w:val="center"/>
              <w:rPr>
                <w:rFonts w:ascii="宋体" w:hAnsi="宋体" w:cs="宋体"/>
                <w:bCs/>
                <w:color w:val="auto"/>
                <w:sz w:val="24"/>
                <w:szCs w:val="24"/>
                <w:highlight w:val="none"/>
              </w:rPr>
            </w:pPr>
          </w:p>
        </w:tc>
        <w:tc>
          <w:tcPr>
            <w:tcW w:w="1985" w:type="dxa"/>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96" w:type="dxa"/>
            <w:vAlign w:val="center"/>
          </w:tcPr>
          <w:p>
            <w:pPr>
              <w:jc w:val="center"/>
              <w:rPr>
                <w:rFonts w:ascii="宋体" w:hAnsi="宋体" w:cs="宋体"/>
                <w:bCs/>
                <w:color w:val="auto"/>
                <w:sz w:val="24"/>
                <w:szCs w:val="24"/>
                <w:highlight w:val="none"/>
              </w:rPr>
            </w:pPr>
            <w:r>
              <w:rPr>
                <w:rFonts w:ascii="宋体" w:hAnsi="宋体" w:cs="宋体"/>
                <w:bCs/>
                <w:color w:val="auto"/>
                <w:sz w:val="24"/>
                <w:szCs w:val="24"/>
                <w:highlight w:val="none"/>
              </w:rPr>
              <w:t>2</w:t>
            </w:r>
          </w:p>
        </w:tc>
        <w:tc>
          <w:tcPr>
            <w:tcW w:w="1418" w:type="dxa"/>
            <w:vAlign w:val="center"/>
          </w:tcPr>
          <w:p>
            <w:pPr>
              <w:jc w:val="center"/>
              <w:rPr>
                <w:rFonts w:ascii="宋体" w:hAnsi="宋体" w:cs="宋体"/>
                <w:bCs/>
                <w:color w:val="auto"/>
                <w:sz w:val="24"/>
                <w:szCs w:val="24"/>
                <w:highlight w:val="none"/>
              </w:rPr>
            </w:pPr>
          </w:p>
        </w:tc>
        <w:tc>
          <w:tcPr>
            <w:tcW w:w="1587" w:type="dxa"/>
            <w:vAlign w:val="center"/>
          </w:tcPr>
          <w:p>
            <w:pPr>
              <w:jc w:val="center"/>
              <w:rPr>
                <w:rFonts w:ascii="宋体" w:hAnsi="宋体" w:cs="宋体"/>
                <w:bCs/>
                <w:color w:val="auto"/>
                <w:sz w:val="24"/>
                <w:szCs w:val="24"/>
                <w:highlight w:val="none"/>
              </w:rPr>
            </w:pPr>
          </w:p>
        </w:tc>
        <w:tc>
          <w:tcPr>
            <w:tcW w:w="2399" w:type="dxa"/>
            <w:vAlign w:val="center"/>
          </w:tcPr>
          <w:p>
            <w:pPr>
              <w:jc w:val="center"/>
              <w:rPr>
                <w:rFonts w:ascii="宋体" w:hAnsi="宋体" w:cs="宋体"/>
                <w:bCs/>
                <w:color w:val="auto"/>
                <w:sz w:val="24"/>
                <w:szCs w:val="24"/>
                <w:highlight w:val="none"/>
              </w:rPr>
            </w:pPr>
          </w:p>
        </w:tc>
        <w:tc>
          <w:tcPr>
            <w:tcW w:w="1418" w:type="dxa"/>
            <w:vAlign w:val="center"/>
          </w:tcPr>
          <w:p>
            <w:pPr>
              <w:jc w:val="center"/>
              <w:rPr>
                <w:rFonts w:ascii="宋体" w:hAnsi="宋体" w:cs="宋体"/>
                <w:bCs/>
                <w:color w:val="auto"/>
                <w:sz w:val="24"/>
                <w:szCs w:val="24"/>
                <w:highlight w:val="none"/>
              </w:rPr>
            </w:pPr>
          </w:p>
        </w:tc>
        <w:tc>
          <w:tcPr>
            <w:tcW w:w="1985" w:type="dxa"/>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96" w:type="dxa"/>
            <w:vAlign w:val="center"/>
          </w:tcPr>
          <w:p>
            <w:pPr>
              <w:jc w:val="center"/>
              <w:rPr>
                <w:rFonts w:ascii="宋体" w:hAnsi="宋体" w:cs="宋体"/>
                <w:bCs/>
                <w:color w:val="auto"/>
                <w:sz w:val="24"/>
                <w:szCs w:val="24"/>
                <w:highlight w:val="none"/>
              </w:rPr>
            </w:pPr>
            <w:r>
              <w:rPr>
                <w:rFonts w:ascii="宋体" w:hAnsi="宋体" w:cs="宋体"/>
                <w:bCs/>
                <w:color w:val="auto"/>
                <w:sz w:val="24"/>
                <w:szCs w:val="24"/>
                <w:highlight w:val="none"/>
              </w:rPr>
              <w:t>3</w:t>
            </w:r>
          </w:p>
        </w:tc>
        <w:tc>
          <w:tcPr>
            <w:tcW w:w="1418" w:type="dxa"/>
            <w:vAlign w:val="center"/>
          </w:tcPr>
          <w:p>
            <w:pPr>
              <w:jc w:val="center"/>
              <w:rPr>
                <w:rFonts w:ascii="宋体" w:hAnsi="宋体" w:cs="宋体"/>
                <w:bCs/>
                <w:color w:val="auto"/>
                <w:sz w:val="24"/>
                <w:szCs w:val="24"/>
                <w:highlight w:val="none"/>
              </w:rPr>
            </w:pPr>
          </w:p>
        </w:tc>
        <w:tc>
          <w:tcPr>
            <w:tcW w:w="1587" w:type="dxa"/>
            <w:vAlign w:val="center"/>
          </w:tcPr>
          <w:p>
            <w:pPr>
              <w:jc w:val="center"/>
              <w:rPr>
                <w:rFonts w:ascii="宋体" w:hAnsi="宋体" w:cs="宋体"/>
                <w:bCs/>
                <w:color w:val="auto"/>
                <w:sz w:val="24"/>
                <w:szCs w:val="24"/>
                <w:highlight w:val="none"/>
              </w:rPr>
            </w:pPr>
          </w:p>
        </w:tc>
        <w:tc>
          <w:tcPr>
            <w:tcW w:w="2399" w:type="dxa"/>
            <w:vAlign w:val="center"/>
          </w:tcPr>
          <w:p>
            <w:pPr>
              <w:jc w:val="center"/>
              <w:rPr>
                <w:rFonts w:ascii="宋体" w:hAnsi="宋体" w:cs="宋体"/>
                <w:bCs/>
                <w:color w:val="auto"/>
                <w:sz w:val="24"/>
                <w:szCs w:val="24"/>
                <w:highlight w:val="none"/>
              </w:rPr>
            </w:pPr>
          </w:p>
        </w:tc>
        <w:tc>
          <w:tcPr>
            <w:tcW w:w="1418" w:type="dxa"/>
            <w:vAlign w:val="center"/>
          </w:tcPr>
          <w:p>
            <w:pPr>
              <w:jc w:val="center"/>
              <w:rPr>
                <w:rFonts w:ascii="宋体" w:hAnsi="宋体" w:cs="宋体"/>
                <w:bCs/>
                <w:color w:val="auto"/>
                <w:sz w:val="24"/>
                <w:szCs w:val="24"/>
                <w:highlight w:val="none"/>
              </w:rPr>
            </w:pPr>
          </w:p>
        </w:tc>
        <w:tc>
          <w:tcPr>
            <w:tcW w:w="1985" w:type="dxa"/>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96" w:type="dxa"/>
            <w:vAlign w:val="center"/>
          </w:tcPr>
          <w:p>
            <w:pPr>
              <w:jc w:val="center"/>
              <w:rPr>
                <w:rFonts w:ascii="宋体" w:hAnsi="宋体" w:cs="宋体"/>
                <w:bCs/>
                <w:color w:val="auto"/>
                <w:sz w:val="24"/>
                <w:szCs w:val="24"/>
                <w:highlight w:val="none"/>
              </w:rPr>
            </w:pPr>
            <w:r>
              <w:rPr>
                <w:rFonts w:ascii="宋体" w:hAnsi="宋体" w:cs="宋体"/>
                <w:bCs/>
                <w:color w:val="auto"/>
                <w:sz w:val="24"/>
                <w:szCs w:val="24"/>
                <w:highlight w:val="none"/>
              </w:rPr>
              <w:t>4</w:t>
            </w:r>
          </w:p>
        </w:tc>
        <w:tc>
          <w:tcPr>
            <w:tcW w:w="1418" w:type="dxa"/>
            <w:vAlign w:val="center"/>
          </w:tcPr>
          <w:p>
            <w:pPr>
              <w:jc w:val="center"/>
              <w:rPr>
                <w:rFonts w:ascii="宋体" w:hAnsi="宋体" w:cs="宋体"/>
                <w:bCs/>
                <w:color w:val="auto"/>
                <w:sz w:val="24"/>
                <w:szCs w:val="24"/>
                <w:highlight w:val="none"/>
              </w:rPr>
            </w:pPr>
          </w:p>
        </w:tc>
        <w:tc>
          <w:tcPr>
            <w:tcW w:w="1587" w:type="dxa"/>
            <w:vAlign w:val="center"/>
          </w:tcPr>
          <w:p>
            <w:pPr>
              <w:jc w:val="center"/>
              <w:rPr>
                <w:rFonts w:ascii="宋体" w:hAnsi="宋体" w:cs="宋体"/>
                <w:bCs/>
                <w:color w:val="auto"/>
                <w:sz w:val="24"/>
                <w:szCs w:val="24"/>
                <w:highlight w:val="none"/>
              </w:rPr>
            </w:pPr>
          </w:p>
        </w:tc>
        <w:tc>
          <w:tcPr>
            <w:tcW w:w="2399" w:type="dxa"/>
            <w:vAlign w:val="center"/>
          </w:tcPr>
          <w:p>
            <w:pPr>
              <w:jc w:val="center"/>
              <w:rPr>
                <w:rFonts w:ascii="宋体" w:hAnsi="宋体" w:cs="宋体"/>
                <w:bCs/>
                <w:color w:val="auto"/>
                <w:sz w:val="24"/>
                <w:szCs w:val="24"/>
                <w:highlight w:val="none"/>
              </w:rPr>
            </w:pPr>
          </w:p>
        </w:tc>
        <w:tc>
          <w:tcPr>
            <w:tcW w:w="1418" w:type="dxa"/>
            <w:vAlign w:val="center"/>
          </w:tcPr>
          <w:p>
            <w:pPr>
              <w:jc w:val="center"/>
              <w:rPr>
                <w:rFonts w:ascii="宋体" w:hAnsi="宋体" w:cs="宋体"/>
                <w:bCs/>
                <w:color w:val="auto"/>
                <w:sz w:val="24"/>
                <w:szCs w:val="24"/>
                <w:highlight w:val="none"/>
              </w:rPr>
            </w:pPr>
          </w:p>
        </w:tc>
        <w:tc>
          <w:tcPr>
            <w:tcW w:w="1985" w:type="dxa"/>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96" w:type="dxa"/>
            <w:vAlign w:val="center"/>
          </w:tcPr>
          <w:p>
            <w:pPr>
              <w:jc w:val="center"/>
              <w:rPr>
                <w:rFonts w:ascii="宋体" w:hAnsi="宋体" w:cs="宋体"/>
                <w:bCs/>
                <w:color w:val="auto"/>
                <w:sz w:val="24"/>
                <w:szCs w:val="24"/>
                <w:highlight w:val="none"/>
              </w:rPr>
            </w:pPr>
            <w:r>
              <w:rPr>
                <w:rFonts w:ascii="宋体" w:hAnsi="宋体" w:cs="宋体"/>
                <w:bCs/>
                <w:color w:val="auto"/>
                <w:sz w:val="24"/>
                <w:szCs w:val="24"/>
                <w:highlight w:val="none"/>
              </w:rPr>
              <w:t>5</w:t>
            </w:r>
          </w:p>
        </w:tc>
        <w:tc>
          <w:tcPr>
            <w:tcW w:w="1418" w:type="dxa"/>
            <w:vAlign w:val="center"/>
          </w:tcPr>
          <w:p>
            <w:pPr>
              <w:jc w:val="center"/>
              <w:rPr>
                <w:rFonts w:ascii="宋体" w:hAnsi="宋体" w:cs="宋体"/>
                <w:bCs/>
                <w:color w:val="auto"/>
                <w:sz w:val="24"/>
                <w:szCs w:val="24"/>
                <w:highlight w:val="none"/>
              </w:rPr>
            </w:pPr>
          </w:p>
        </w:tc>
        <w:tc>
          <w:tcPr>
            <w:tcW w:w="1587" w:type="dxa"/>
            <w:vAlign w:val="center"/>
          </w:tcPr>
          <w:p>
            <w:pPr>
              <w:jc w:val="center"/>
              <w:rPr>
                <w:rFonts w:ascii="宋体" w:hAnsi="宋体" w:cs="宋体"/>
                <w:bCs/>
                <w:color w:val="auto"/>
                <w:sz w:val="24"/>
                <w:szCs w:val="24"/>
                <w:highlight w:val="none"/>
              </w:rPr>
            </w:pPr>
          </w:p>
        </w:tc>
        <w:tc>
          <w:tcPr>
            <w:tcW w:w="2399" w:type="dxa"/>
            <w:vAlign w:val="center"/>
          </w:tcPr>
          <w:p>
            <w:pPr>
              <w:jc w:val="center"/>
              <w:rPr>
                <w:rFonts w:ascii="宋体" w:hAnsi="宋体" w:cs="宋体"/>
                <w:bCs/>
                <w:color w:val="auto"/>
                <w:sz w:val="24"/>
                <w:szCs w:val="24"/>
                <w:highlight w:val="none"/>
              </w:rPr>
            </w:pPr>
          </w:p>
        </w:tc>
        <w:tc>
          <w:tcPr>
            <w:tcW w:w="1418" w:type="dxa"/>
            <w:vAlign w:val="center"/>
          </w:tcPr>
          <w:p>
            <w:pPr>
              <w:jc w:val="center"/>
              <w:rPr>
                <w:rFonts w:ascii="宋体" w:hAnsi="宋体" w:cs="宋体"/>
                <w:bCs/>
                <w:color w:val="auto"/>
                <w:sz w:val="24"/>
                <w:szCs w:val="24"/>
                <w:highlight w:val="none"/>
              </w:rPr>
            </w:pPr>
          </w:p>
        </w:tc>
        <w:tc>
          <w:tcPr>
            <w:tcW w:w="1985" w:type="dxa"/>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96" w:type="dxa"/>
            <w:vAlign w:val="center"/>
          </w:tcPr>
          <w:p>
            <w:pPr>
              <w:jc w:val="center"/>
              <w:rPr>
                <w:rFonts w:ascii="宋体" w:hAnsi="宋体" w:cs="宋体"/>
                <w:bCs/>
                <w:color w:val="auto"/>
                <w:sz w:val="24"/>
                <w:szCs w:val="24"/>
                <w:highlight w:val="none"/>
              </w:rPr>
            </w:pPr>
            <w:r>
              <w:rPr>
                <w:rFonts w:ascii="宋体" w:hAnsi="宋体" w:cs="宋体"/>
                <w:bCs/>
                <w:color w:val="auto"/>
                <w:sz w:val="24"/>
                <w:szCs w:val="24"/>
                <w:highlight w:val="none"/>
              </w:rPr>
              <w:t>…</w:t>
            </w:r>
          </w:p>
        </w:tc>
        <w:tc>
          <w:tcPr>
            <w:tcW w:w="1418" w:type="dxa"/>
            <w:vAlign w:val="center"/>
          </w:tcPr>
          <w:p>
            <w:pPr>
              <w:jc w:val="center"/>
              <w:rPr>
                <w:rFonts w:ascii="宋体" w:hAnsi="宋体" w:cs="宋体"/>
                <w:bCs/>
                <w:color w:val="auto"/>
                <w:sz w:val="24"/>
                <w:szCs w:val="24"/>
                <w:highlight w:val="none"/>
              </w:rPr>
            </w:pPr>
          </w:p>
        </w:tc>
        <w:tc>
          <w:tcPr>
            <w:tcW w:w="1587" w:type="dxa"/>
            <w:vAlign w:val="center"/>
          </w:tcPr>
          <w:p>
            <w:pPr>
              <w:jc w:val="center"/>
              <w:rPr>
                <w:rFonts w:ascii="宋体" w:hAnsi="宋体" w:cs="宋体"/>
                <w:bCs/>
                <w:color w:val="auto"/>
                <w:sz w:val="24"/>
                <w:szCs w:val="24"/>
                <w:highlight w:val="none"/>
              </w:rPr>
            </w:pPr>
          </w:p>
        </w:tc>
        <w:tc>
          <w:tcPr>
            <w:tcW w:w="2399" w:type="dxa"/>
            <w:vAlign w:val="center"/>
          </w:tcPr>
          <w:p>
            <w:pPr>
              <w:jc w:val="center"/>
              <w:rPr>
                <w:rFonts w:ascii="宋体" w:hAnsi="宋体" w:cs="宋体"/>
                <w:bCs/>
                <w:color w:val="auto"/>
                <w:sz w:val="24"/>
                <w:szCs w:val="24"/>
                <w:highlight w:val="none"/>
              </w:rPr>
            </w:pPr>
          </w:p>
        </w:tc>
        <w:tc>
          <w:tcPr>
            <w:tcW w:w="1418" w:type="dxa"/>
            <w:vAlign w:val="center"/>
          </w:tcPr>
          <w:p>
            <w:pPr>
              <w:jc w:val="center"/>
              <w:rPr>
                <w:rFonts w:ascii="宋体" w:hAnsi="宋体" w:cs="宋体"/>
                <w:bCs/>
                <w:color w:val="auto"/>
                <w:sz w:val="24"/>
                <w:szCs w:val="24"/>
                <w:highlight w:val="none"/>
              </w:rPr>
            </w:pPr>
          </w:p>
        </w:tc>
        <w:tc>
          <w:tcPr>
            <w:tcW w:w="1985" w:type="dxa"/>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5" w:hRule="atLeast"/>
          <w:jc w:val="center"/>
        </w:trPr>
        <w:tc>
          <w:tcPr>
            <w:tcW w:w="6300" w:type="dxa"/>
            <w:gridSpan w:val="4"/>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①制造商（大型企业）投标价格小计</w:t>
            </w:r>
          </w:p>
        </w:tc>
        <w:tc>
          <w:tcPr>
            <w:tcW w:w="1418" w:type="dxa"/>
            <w:vAlign w:val="center"/>
          </w:tcPr>
          <w:p>
            <w:pPr>
              <w:jc w:val="center"/>
              <w:rPr>
                <w:rFonts w:ascii="宋体" w:hAnsi="宋体" w:cs="宋体"/>
                <w:bCs/>
                <w:color w:val="auto"/>
                <w:sz w:val="24"/>
                <w:szCs w:val="24"/>
                <w:highlight w:val="none"/>
              </w:rPr>
            </w:pPr>
          </w:p>
        </w:tc>
        <w:tc>
          <w:tcPr>
            <w:tcW w:w="1985" w:type="dxa"/>
            <w:vMerge w:val="restart"/>
            <w:vAlign w:val="center"/>
          </w:tcPr>
          <w:p>
            <w:pPr>
              <w:jc w:val="center"/>
              <w:rPr>
                <w:rFonts w:ascii="宋体" w:hAnsi="宋体" w:cs="宋体"/>
                <w:bCs/>
                <w:color w:val="auto"/>
                <w:sz w:val="24"/>
                <w:szCs w:val="24"/>
                <w:highlight w:val="none"/>
                <w:u w:val="single"/>
              </w:rPr>
            </w:pPr>
            <w:r>
              <w:rPr>
                <w:rFonts w:hint="eastAsia" w:ascii="宋体" w:hAnsi="宋体" w:cs="宋体"/>
                <w:bCs/>
                <w:color w:val="auto"/>
                <w:sz w:val="24"/>
                <w:szCs w:val="24"/>
                <w:highlight w:val="none"/>
              </w:rPr>
              <w:t>制造商（小微企业）投标价格占总投标价格</w:t>
            </w:r>
            <w:r>
              <w:rPr>
                <w:rFonts w:hint="eastAsia" w:ascii="宋体" w:hAnsi="宋体" w:cs="宋体"/>
                <w:bCs/>
                <w:color w:val="auto"/>
                <w:sz w:val="24"/>
                <w:szCs w:val="24"/>
                <w:highlight w:val="none"/>
                <w:u w:val="single"/>
              </w:rPr>
              <w:t xml:space="preserve">      </w:t>
            </w:r>
            <w:r>
              <w:rPr>
                <w:rFonts w:hint="eastAsia" w:ascii="宋体" w:hAnsi="宋体" w:cs="宋体"/>
                <w:bCs/>
                <w:color w:val="auto"/>
                <w:sz w:val="24"/>
                <w:szCs w:val="24"/>
                <w:highlight w:val="none"/>
              </w:rPr>
              <w:t>%（③+④/（①+②+③+④））</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2" w:hRule="atLeast"/>
          <w:jc w:val="center"/>
        </w:trPr>
        <w:tc>
          <w:tcPr>
            <w:tcW w:w="6300" w:type="dxa"/>
            <w:gridSpan w:val="4"/>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②制造商（中型企业）投标价格小计</w:t>
            </w:r>
          </w:p>
        </w:tc>
        <w:tc>
          <w:tcPr>
            <w:tcW w:w="1418" w:type="dxa"/>
            <w:vAlign w:val="center"/>
          </w:tcPr>
          <w:p>
            <w:pPr>
              <w:jc w:val="center"/>
              <w:rPr>
                <w:rFonts w:ascii="宋体" w:hAnsi="宋体" w:cs="宋体"/>
                <w:bCs/>
                <w:color w:val="auto"/>
                <w:sz w:val="24"/>
                <w:szCs w:val="24"/>
                <w:highlight w:val="none"/>
              </w:rPr>
            </w:pPr>
          </w:p>
        </w:tc>
        <w:tc>
          <w:tcPr>
            <w:tcW w:w="1985" w:type="dxa"/>
            <w:vMerge w:val="continue"/>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1" w:hRule="atLeast"/>
          <w:jc w:val="center"/>
        </w:trPr>
        <w:tc>
          <w:tcPr>
            <w:tcW w:w="6300" w:type="dxa"/>
            <w:gridSpan w:val="4"/>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③制造商（小型企业）投标价格小计</w:t>
            </w:r>
          </w:p>
        </w:tc>
        <w:tc>
          <w:tcPr>
            <w:tcW w:w="1418" w:type="dxa"/>
            <w:vAlign w:val="center"/>
          </w:tcPr>
          <w:p>
            <w:pPr>
              <w:jc w:val="center"/>
              <w:rPr>
                <w:rFonts w:ascii="宋体" w:hAnsi="宋体" w:cs="宋体"/>
                <w:bCs/>
                <w:color w:val="auto"/>
                <w:sz w:val="24"/>
                <w:szCs w:val="24"/>
                <w:highlight w:val="none"/>
              </w:rPr>
            </w:pPr>
          </w:p>
        </w:tc>
        <w:tc>
          <w:tcPr>
            <w:tcW w:w="1985" w:type="dxa"/>
            <w:vMerge w:val="continue"/>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1" w:hRule="atLeast"/>
          <w:jc w:val="center"/>
        </w:trPr>
        <w:tc>
          <w:tcPr>
            <w:tcW w:w="6300" w:type="dxa"/>
            <w:gridSpan w:val="4"/>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④制造商（微型企业）投标价格小计</w:t>
            </w:r>
          </w:p>
        </w:tc>
        <w:tc>
          <w:tcPr>
            <w:tcW w:w="1418" w:type="dxa"/>
            <w:vAlign w:val="center"/>
          </w:tcPr>
          <w:p>
            <w:pPr>
              <w:jc w:val="center"/>
              <w:rPr>
                <w:rFonts w:ascii="宋体" w:hAnsi="宋体" w:cs="宋体"/>
                <w:bCs/>
                <w:color w:val="auto"/>
                <w:sz w:val="24"/>
                <w:szCs w:val="24"/>
                <w:highlight w:val="none"/>
              </w:rPr>
            </w:pPr>
          </w:p>
        </w:tc>
        <w:tc>
          <w:tcPr>
            <w:tcW w:w="1985" w:type="dxa"/>
            <w:vMerge w:val="continue"/>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9" w:hRule="atLeast"/>
          <w:jc w:val="center"/>
        </w:trPr>
        <w:tc>
          <w:tcPr>
            <w:tcW w:w="6300" w:type="dxa"/>
            <w:gridSpan w:val="4"/>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合计（①+②+③+④）</w:t>
            </w:r>
          </w:p>
        </w:tc>
        <w:tc>
          <w:tcPr>
            <w:tcW w:w="3403" w:type="dxa"/>
            <w:gridSpan w:val="2"/>
            <w:vAlign w:val="center"/>
          </w:tcPr>
          <w:p>
            <w:pPr>
              <w:jc w:val="center"/>
              <w:rPr>
                <w:rFonts w:ascii="宋体" w:hAnsi="宋体" w:cs="宋体"/>
                <w:bCs/>
                <w:color w:val="auto"/>
                <w:sz w:val="24"/>
                <w:szCs w:val="24"/>
                <w:highlight w:val="none"/>
              </w:rPr>
            </w:pPr>
          </w:p>
        </w:tc>
      </w:tr>
    </w:tbl>
    <w:p>
      <w:pPr>
        <w:spacing w:line="360" w:lineRule="auto"/>
        <w:jc w:val="left"/>
        <w:rPr>
          <w:rFonts w:ascii="宋体" w:cs="Times New Roman"/>
          <w:color w:val="auto"/>
          <w:sz w:val="24"/>
          <w:szCs w:val="24"/>
          <w:highlight w:val="none"/>
        </w:rPr>
      </w:pPr>
      <w:r>
        <w:rPr>
          <w:rFonts w:hint="eastAsia" w:ascii="宋体" w:hAnsi="宋体" w:cs="Times New Roman"/>
          <w:color w:val="auto"/>
          <w:sz w:val="24"/>
          <w:szCs w:val="24"/>
          <w:highlight w:val="none"/>
        </w:rPr>
        <w:t>备注：</w:t>
      </w:r>
    </w:p>
    <w:p>
      <w:pPr>
        <w:spacing w:line="360" w:lineRule="auto"/>
        <w:jc w:val="left"/>
        <w:rPr>
          <w:rFonts w:ascii="宋体" w:cs="Times New Roman"/>
          <w:color w:val="auto"/>
          <w:sz w:val="24"/>
          <w:szCs w:val="24"/>
          <w:highlight w:val="none"/>
        </w:rPr>
      </w:pPr>
      <w:r>
        <w:rPr>
          <w:rFonts w:hint="eastAsia" w:ascii="宋体" w:hAnsi="宋体" w:cs="Times New Roman"/>
          <w:color w:val="auto"/>
          <w:sz w:val="24"/>
          <w:szCs w:val="24"/>
          <w:highlight w:val="none"/>
        </w:rPr>
        <w:t>1、制造商企业规模分为：</w:t>
      </w:r>
      <w:r>
        <w:rPr>
          <w:rFonts w:hint="eastAsia" w:ascii="宋体" w:hAnsi="宋体" w:cs="宋体"/>
          <w:bCs/>
          <w:color w:val="auto"/>
          <w:sz w:val="24"/>
          <w:szCs w:val="24"/>
          <w:highlight w:val="none"/>
        </w:rPr>
        <w:t>大型企业、中型企业、小型企业和微型企业。</w:t>
      </w:r>
    </w:p>
    <w:p>
      <w:pPr>
        <w:spacing w:line="360" w:lineRule="auto"/>
        <w:jc w:val="left"/>
        <w:rPr>
          <w:rFonts w:ascii="宋体" w:hAnsi="宋体" w:cs="Times New Roman"/>
          <w:color w:val="auto"/>
          <w:sz w:val="24"/>
          <w:szCs w:val="24"/>
          <w:highlight w:val="none"/>
        </w:rPr>
      </w:pPr>
      <w:r>
        <w:rPr>
          <w:rFonts w:hint="eastAsia" w:ascii="宋体" w:hAnsi="宋体" w:cs="Times New Roman"/>
          <w:color w:val="auto"/>
          <w:sz w:val="24"/>
          <w:szCs w:val="24"/>
          <w:highlight w:val="none"/>
        </w:rPr>
        <w:t>2、残疾人福利性单位和监狱企业视同小型、微型企业。</w:t>
      </w:r>
    </w:p>
    <w:p>
      <w:pPr>
        <w:spacing w:line="360" w:lineRule="auto"/>
        <w:jc w:val="left"/>
        <w:rPr>
          <w:rFonts w:ascii="宋体" w:cs="Times New Roman"/>
          <w:color w:val="auto"/>
          <w:sz w:val="24"/>
          <w:szCs w:val="24"/>
          <w:highlight w:val="none"/>
        </w:rPr>
      </w:pPr>
      <w:r>
        <w:rPr>
          <w:rFonts w:hint="eastAsia" w:ascii="宋体" w:cs="Times New Roman"/>
          <w:color w:val="auto"/>
          <w:sz w:val="24"/>
          <w:szCs w:val="24"/>
          <w:highlight w:val="none"/>
        </w:rPr>
        <w:t>3、货物名称必须与投标价格明细表中一致。</w:t>
      </w:r>
    </w:p>
    <w:p>
      <w:pPr>
        <w:spacing w:line="360" w:lineRule="auto"/>
        <w:jc w:val="left"/>
        <w:rPr>
          <w:rFonts w:ascii="宋体" w:cs="Times New Roman"/>
          <w:color w:val="auto"/>
          <w:sz w:val="24"/>
          <w:szCs w:val="24"/>
          <w:highlight w:val="none"/>
        </w:rPr>
      </w:pPr>
    </w:p>
    <w:p>
      <w:pPr>
        <w:spacing w:line="360" w:lineRule="auto"/>
        <w:jc w:val="left"/>
        <w:rPr>
          <w:rFonts w:ascii="宋体" w:cs="Times New Roman"/>
          <w:color w:val="auto"/>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投标人：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法定代表人：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wordWrap w:val="0"/>
        <w:snapToGrid w:val="0"/>
        <w:spacing w:line="384" w:lineRule="auto"/>
        <w:ind w:firstLine="420"/>
        <w:jc w:val="right"/>
        <w:rPr>
          <w:rFonts w:ascii="宋体" w:cs="Arial"/>
          <w:color w:val="auto"/>
          <w:kern w:val="0"/>
          <w:sz w:val="24"/>
          <w:szCs w:val="24"/>
          <w:highlight w:val="none"/>
        </w:rPr>
      </w:pPr>
      <w:r>
        <w:rPr>
          <w:rFonts w:hint="eastAsia" w:ascii="宋体" w:hAnsi="宋体" w:cs="Arial"/>
          <w:color w:val="auto"/>
          <w:kern w:val="0"/>
          <w:sz w:val="24"/>
          <w:szCs w:val="24"/>
          <w:highlight w:val="none"/>
        </w:rPr>
        <w:t>日期：</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年</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月</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日</w:t>
      </w:r>
    </w:p>
    <w:p>
      <w:pPr>
        <w:widowControl/>
        <w:jc w:val="left"/>
        <w:rPr>
          <w:rFonts w:ascii="宋体" w:cs="Arial"/>
          <w:b/>
          <w:bCs/>
          <w:color w:val="auto"/>
          <w:kern w:val="36"/>
          <w:sz w:val="24"/>
          <w:szCs w:val="24"/>
          <w:highlight w:val="none"/>
        </w:rPr>
      </w:pPr>
      <w:r>
        <w:rPr>
          <w:rFonts w:ascii="宋体" w:cs="Arial"/>
          <w:b/>
          <w:bCs/>
          <w:color w:val="auto"/>
          <w:kern w:val="36"/>
          <w:sz w:val="24"/>
          <w:szCs w:val="24"/>
          <w:highlight w:val="none"/>
        </w:rPr>
        <w:br w:type="page"/>
      </w:r>
    </w:p>
    <w:p>
      <w:pPr>
        <w:tabs>
          <w:tab w:val="center" w:pos="4832"/>
          <w:tab w:val="left" w:pos="7140"/>
        </w:tabs>
        <w:jc w:val="center"/>
        <w:outlineLvl w:val="1"/>
        <w:rPr>
          <w:rFonts w:ascii="宋体" w:hAnsi="宋体" w:cs="宋体"/>
          <w:b/>
          <w:color w:val="auto"/>
          <w:sz w:val="24"/>
          <w:szCs w:val="24"/>
          <w:highlight w:val="none"/>
        </w:rPr>
      </w:pPr>
      <w:bookmarkStart w:id="79" w:name="_Toc109941767"/>
      <w:bookmarkStart w:id="80" w:name="_Toc109921160"/>
      <w:bookmarkStart w:id="81" w:name="_Toc110707967"/>
      <w:bookmarkStart w:id="82" w:name="_Toc141050510"/>
      <w:bookmarkStart w:id="83" w:name="_Toc130252617"/>
      <w:r>
        <w:rPr>
          <w:rFonts w:hint="eastAsia" w:ascii="宋体" w:hAnsi="宋体" w:cs="宋体"/>
          <w:b/>
          <w:color w:val="auto"/>
          <w:sz w:val="24"/>
          <w:szCs w:val="24"/>
          <w:highlight w:val="none"/>
        </w:rPr>
        <w:t>四、技术条款偏离表</w:t>
      </w:r>
      <w:bookmarkEnd w:id="79"/>
      <w:bookmarkEnd w:id="80"/>
      <w:bookmarkEnd w:id="81"/>
      <w:bookmarkEnd w:id="82"/>
      <w:bookmarkEnd w:id="83"/>
    </w:p>
    <w:p>
      <w:pPr>
        <w:rPr>
          <w:color w:val="auto"/>
          <w:highlight w:val="none"/>
        </w:rPr>
      </w:pPr>
    </w:p>
    <w:tbl>
      <w:tblPr>
        <w:tblStyle w:val="37"/>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05"/>
        <w:gridCol w:w="1357"/>
        <w:gridCol w:w="1326"/>
        <w:gridCol w:w="1326"/>
        <w:gridCol w:w="1326"/>
        <w:gridCol w:w="1327"/>
        <w:gridCol w:w="132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vAlign w:val="center"/>
          </w:tcPr>
          <w:p>
            <w:pPr>
              <w:jc w:val="center"/>
              <w:rPr>
                <w:rFonts w:ascii="宋体" w:cs="宋体"/>
                <w:bCs/>
                <w:color w:val="auto"/>
                <w:sz w:val="24"/>
                <w:szCs w:val="24"/>
                <w:highlight w:val="none"/>
              </w:rPr>
            </w:pPr>
            <w:r>
              <w:rPr>
                <w:rFonts w:hint="eastAsia" w:ascii="宋体" w:hAnsi="宋体" w:cs="宋体"/>
                <w:bCs/>
                <w:color w:val="auto"/>
                <w:sz w:val="24"/>
                <w:szCs w:val="24"/>
                <w:highlight w:val="none"/>
              </w:rPr>
              <w:t>序号</w:t>
            </w:r>
          </w:p>
        </w:tc>
        <w:tc>
          <w:tcPr>
            <w:tcW w:w="1357" w:type="dxa"/>
            <w:vAlign w:val="center"/>
          </w:tcPr>
          <w:p>
            <w:pPr>
              <w:jc w:val="center"/>
              <w:rPr>
                <w:rFonts w:ascii="宋体" w:cs="宋体"/>
                <w:bCs/>
                <w:color w:val="auto"/>
                <w:sz w:val="24"/>
                <w:szCs w:val="24"/>
                <w:highlight w:val="none"/>
              </w:rPr>
            </w:pPr>
            <w:r>
              <w:rPr>
                <w:rFonts w:hint="eastAsia" w:ascii="宋体" w:hAnsi="宋体" w:cs="宋体"/>
                <w:bCs/>
                <w:color w:val="auto"/>
                <w:sz w:val="24"/>
                <w:szCs w:val="24"/>
                <w:highlight w:val="none"/>
              </w:rPr>
              <w:t>货物名称</w:t>
            </w:r>
          </w:p>
        </w:tc>
        <w:tc>
          <w:tcPr>
            <w:tcW w:w="1326" w:type="dxa"/>
            <w:vAlign w:val="center"/>
          </w:tcPr>
          <w:p>
            <w:pPr>
              <w:jc w:val="center"/>
              <w:rPr>
                <w:rFonts w:ascii="宋体" w:cs="宋体"/>
                <w:bCs/>
                <w:color w:val="auto"/>
                <w:sz w:val="24"/>
                <w:szCs w:val="24"/>
                <w:highlight w:val="none"/>
              </w:rPr>
            </w:pPr>
            <w:r>
              <w:rPr>
                <w:rFonts w:hint="eastAsia" w:ascii="宋体" w:hAnsi="宋体" w:cs="宋体"/>
                <w:bCs/>
                <w:color w:val="auto"/>
                <w:sz w:val="24"/>
                <w:szCs w:val="24"/>
                <w:highlight w:val="none"/>
              </w:rPr>
              <w:t>招标文件条目号</w:t>
            </w:r>
          </w:p>
        </w:tc>
        <w:tc>
          <w:tcPr>
            <w:tcW w:w="1326" w:type="dxa"/>
            <w:vAlign w:val="center"/>
          </w:tcPr>
          <w:p>
            <w:pPr>
              <w:jc w:val="center"/>
              <w:rPr>
                <w:rFonts w:ascii="宋体" w:cs="宋体"/>
                <w:bCs/>
                <w:color w:val="auto"/>
                <w:sz w:val="24"/>
                <w:szCs w:val="24"/>
                <w:highlight w:val="none"/>
              </w:rPr>
            </w:pPr>
            <w:r>
              <w:rPr>
                <w:rFonts w:hint="eastAsia" w:ascii="宋体" w:hAnsi="宋体" w:cs="宋体"/>
                <w:bCs/>
                <w:color w:val="auto"/>
                <w:sz w:val="24"/>
                <w:szCs w:val="24"/>
                <w:highlight w:val="none"/>
              </w:rPr>
              <w:t>招标文件要求规格</w:t>
            </w:r>
          </w:p>
        </w:tc>
        <w:tc>
          <w:tcPr>
            <w:tcW w:w="1326" w:type="dxa"/>
            <w:vAlign w:val="center"/>
          </w:tcPr>
          <w:p>
            <w:pPr>
              <w:jc w:val="center"/>
              <w:rPr>
                <w:rFonts w:ascii="宋体" w:cs="宋体"/>
                <w:bCs/>
                <w:color w:val="auto"/>
                <w:sz w:val="24"/>
                <w:szCs w:val="24"/>
                <w:highlight w:val="none"/>
              </w:rPr>
            </w:pPr>
            <w:r>
              <w:rPr>
                <w:rFonts w:hint="eastAsia" w:ascii="宋体" w:hAnsi="宋体" w:cs="宋体"/>
                <w:bCs/>
                <w:color w:val="auto"/>
                <w:sz w:val="24"/>
                <w:szCs w:val="24"/>
                <w:highlight w:val="none"/>
              </w:rPr>
              <w:t>投标规格</w:t>
            </w:r>
          </w:p>
        </w:tc>
        <w:tc>
          <w:tcPr>
            <w:tcW w:w="1327" w:type="dxa"/>
            <w:vAlign w:val="center"/>
          </w:tcPr>
          <w:p>
            <w:pPr>
              <w:jc w:val="center"/>
              <w:rPr>
                <w:rFonts w:ascii="宋体" w:cs="宋体"/>
                <w:bCs/>
                <w:color w:val="auto"/>
                <w:sz w:val="24"/>
                <w:szCs w:val="24"/>
                <w:highlight w:val="none"/>
              </w:rPr>
            </w:pPr>
            <w:r>
              <w:rPr>
                <w:rFonts w:hint="eastAsia" w:ascii="宋体" w:hAnsi="宋体" w:cs="宋体"/>
                <w:bCs/>
                <w:color w:val="auto"/>
                <w:sz w:val="24"/>
                <w:szCs w:val="24"/>
                <w:highlight w:val="none"/>
              </w:rPr>
              <w:t>偏离</w:t>
            </w:r>
          </w:p>
        </w:tc>
        <w:tc>
          <w:tcPr>
            <w:tcW w:w="1327" w:type="dxa"/>
            <w:vAlign w:val="center"/>
          </w:tcPr>
          <w:p>
            <w:pPr>
              <w:jc w:val="center"/>
              <w:rPr>
                <w:rFonts w:ascii="宋体" w:cs="宋体"/>
                <w:bCs/>
                <w:color w:val="auto"/>
                <w:sz w:val="24"/>
                <w:szCs w:val="24"/>
                <w:highlight w:val="none"/>
              </w:rPr>
            </w:pPr>
            <w:r>
              <w:rPr>
                <w:rFonts w:hint="eastAsia" w:ascii="宋体" w:hAnsi="宋体" w:cs="宋体"/>
                <w:bCs/>
                <w:color w:val="auto"/>
                <w:sz w:val="24"/>
                <w:szCs w:val="24"/>
                <w:highlight w:val="none"/>
              </w:rPr>
              <w:t>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pPr>
              <w:jc w:val="center"/>
              <w:rPr>
                <w:rFonts w:ascii="宋体" w:cs="宋体"/>
                <w:b/>
                <w:bCs/>
                <w:color w:val="auto"/>
                <w:sz w:val="24"/>
                <w:szCs w:val="24"/>
                <w:highlight w:val="none"/>
              </w:rPr>
            </w:pPr>
          </w:p>
        </w:tc>
        <w:tc>
          <w:tcPr>
            <w:tcW w:w="1357"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7" w:type="dxa"/>
          </w:tcPr>
          <w:p>
            <w:pPr>
              <w:jc w:val="center"/>
              <w:rPr>
                <w:rFonts w:ascii="宋体" w:cs="宋体"/>
                <w:b/>
                <w:bCs/>
                <w:color w:val="auto"/>
                <w:sz w:val="24"/>
                <w:szCs w:val="24"/>
                <w:highlight w:val="none"/>
              </w:rPr>
            </w:pPr>
          </w:p>
        </w:tc>
        <w:tc>
          <w:tcPr>
            <w:tcW w:w="1327" w:type="dxa"/>
          </w:tcPr>
          <w:p>
            <w:pPr>
              <w:jc w:val="center"/>
              <w:rPr>
                <w:rFonts w:ascii="宋体" w:cs="宋体"/>
                <w:b/>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pPr>
              <w:jc w:val="center"/>
              <w:rPr>
                <w:rFonts w:ascii="宋体" w:cs="宋体"/>
                <w:b/>
                <w:bCs/>
                <w:color w:val="auto"/>
                <w:sz w:val="24"/>
                <w:szCs w:val="24"/>
                <w:highlight w:val="none"/>
              </w:rPr>
            </w:pPr>
          </w:p>
        </w:tc>
        <w:tc>
          <w:tcPr>
            <w:tcW w:w="1357"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7" w:type="dxa"/>
          </w:tcPr>
          <w:p>
            <w:pPr>
              <w:jc w:val="center"/>
              <w:rPr>
                <w:rFonts w:ascii="宋体" w:cs="宋体"/>
                <w:b/>
                <w:bCs/>
                <w:color w:val="auto"/>
                <w:sz w:val="24"/>
                <w:szCs w:val="24"/>
                <w:highlight w:val="none"/>
              </w:rPr>
            </w:pPr>
          </w:p>
        </w:tc>
        <w:tc>
          <w:tcPr>
            <w:tcW w:w="1327" w:type="dxa"/>
          </w:tcPr>
          <w:p>
            <w:pPr>
              <w:jc w:val="center"/>
              <w:rPr>
                <w:rFonts w:ascii="宋体" w:cs="宋体"/>
                <w:b/>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pPr>
              <w:jc w:val="center"/>
              <w:rPr>
                <w:rFonts w:ascii="宋体" w:cs="宋体"/>
                <w:b/>
                <w:bCs/>
                <w:color w:val="auto"/>
                <w:sz w:val="24"/>
                <w:szCs w:val="24"/>
                <w:highlight w:val="none"/>
              </w:rPr>
            </w:pPr>
          </w:p>
        </w:tc>
        <w:tc>
          <w:tcPr>
            <w:tcW w:w="1357"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7" w:type="dxa"/>
          </w:tcPr>
          <w:p>
            <w:pPr>
              <w:jc w:val="center"/>
              <w:rPr>
                <w:rFonts w:ascii="宋体" w:cs="宋体"/>
                <w:b/>
                <w:bCs/>
                <w:color w:val="auto"/>
                <w:sz w:val="24"/>
                <w:szCs w:val="24"/>
                <w:highlight w:val="none"/>
              </w:rPr>
            </w:pPr>
          </w:p>
        </w:tc>
        <w:tc>
          <w:tcPr>
            <w:tcW w:w="1327" w:type="dxa"/>
          </w:tcPr>
          <w:p>
            <w:pPr>
              <w:jc w:val="center"/>
              <w:rPr>
                <w:rFonts w:ascii="宋体" w:cs="宋体"/>
                <w:b/>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pPr>
              <w:jc w:val="center"/>
              <w:rPr>
                <w:rFonts w:ascii="宋体" w:cs="宋体"/>
                <w:b/>
                <w:bCs/>
                <w:color w:val="auto"/>
                <w:sz w:val="24"/>
                <w:szCs w:val="24"/>
                <w:highlight w:val="none"/>
              </w:rPr>
            </w:pPr>
          </w:p>
        </w:tc>
        <w:tc>
          <w:tcPr>
            <w:tcW w:w="1357"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7" w:type="dxa"/>
          </w:tcPr>
          <w:p>
            <w:pPr>
              <w:jc w:val="center"/>
              <w:rPr>
                <w:rFonts w:ascii="宋体" w:cs="宋体"/>
                <w:b/>
                <w:bCs/>
                <w:color w:val="auto"/>
                <w:sz w:val="24"/>
                <w:szCs w:val="24"/>
                <w:highlight w:val="none"/>
              </w:rPr>
            </w:pPr>
          </w:p>
        </w:tc>
        <w:tc>
          <w:tcPr>
            <w:tcW w:w="1327" w:type="dxa"/>
          </w:tcPr>
          <w:p>
            <w:pPr>
              <w:jc w:val="center"/>
              <w:rPr>
                <w:rFonts w:ascii="宋体" w:cs="宋体"/>
                <w:b/>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pPr>
              <w:jc w:val="center"/>
              <w:rPr>
                <w:rFonts w:ascii="宋体" w:cs="宋体"/>
                <w:b/>
                <w:bCs/>
                <w:color w:val="auto"/>
                <w:sz w:val="24"/>
                <w:szCs w:val="24"/>
                <w:highlight w:val="none"/>
              </w:rPr>
            </w:pPr>
          </w:p>
        </w:tc>
        <w:tc>
          <w:tcPr>
            <w:tcW w:w="1357"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7" w:type="dxa"/>
          </w:tcPr>
          <w:p>
            <w:pPr>
              <w:jc w:val="center"/>
              <w:rPr>
                <w:rFonts w:ascii="宋体" w:cs="宋体"/>
                <w:b/>
                <w:bCs/>
                <w:color w:val="auto"/>
                <w:sz w:val="24"/>
                <w:szCs w:val="24"/>
                <w:highlight w:val="none"/>
              </w:rPr>
            </w:pPr>
          </w:p>
        </w:tc>
        <w:tc>
          <w:tcPr>
            <w:tcW w:w="1327" w:type="dxa"/>
          </w:tcPr>
          <w:p>
            <w:pPr>
              <w:jc w:val="center"/>
              <w:rPr>
                <w:rFonts w:ascii="宋体" w:cs="宋体"/>
                <w:b/>
                <w:bCs/>
                <w:color w:val="auto"/>
                <w:sz w:val="24"/>
                <w:szCs w:val="24"/>
                <w:highlight w:val="none"/>
              </w:rPr>
            </w:pPr>
          </w:p>
        </w:tc>
      </w:tr>
    </w:tbl>
    <w:p>
      <w:pPr>
        <w:spacing w:line="360" w:lineRule="auto"/>
        <w:ind w:firstLine="475" w:firstLineChars="198"/>
        <w:jc w:val="left"/>
        <w:rPr>
          <w:rFonts w:ascii="宋体" w:cs="Times New Roman"/>
          <w:color w:val="auto"/>
          <w:sz w:val="24"/>
          <w:szCs w:val="24"/>
          <w:highlight w:val="none"/>
        </w:rPr>
      </w:pPr>
      <w:r>
        <w:rPr>
          <w:rFonts w:hint="eastAsia" w:ascii="宋体" w:hAnsi="宋体" w:cs="Times New Roman"/>
          <w:color w:val="auto"/>
          <w:sz w:val="24"/>
          <w:szCs w:val="24"/>
          <w:highlight w:val="none"/>
        </w:rPr>
        <w:t>备注：投标人应根据其提供的货物，对照招标文件第四章“技术标准和要求”中的要求，有差异的，则在此表中列明实际响应的内容提要并加以说明，以便查对。本表包括所有的技术响应及差异。无差异说明表示完全响应。</w:t>
      </w: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投标人：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法定代表人：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wordWrap w:val="0"/>
        <w:snapToGrid w:val="0"/>
        <w:spacing w:line="384" w:lineRule="auto"/>
        <w:ind w:firstLine="420"/>
        <w:jc w:val="right"/>
        <w:rPr>
          <w:rFonts w:ascii="宋体" w:cs="Arial"/>
          <w:color w:val="auto"/>
          <w:kern w:val="0"/>
          <w:sz w:val="24"/>
          <w:szCs w:val="24"/>
          <w:highlight w:val="none"/>
        </w:rPr>
      </w:pPr>
      <w:r>
        <w:rPr>
          <w:rFonts w:hint="eastAsia" w:ascii="宋体" w:hAnsi="宋体" w:cs="Arial"/>
          <w:color w:val="auto"/>
          <w:kern w:val="0"/>
          <w:sz w:val="24"/>
          <w:szCs w:val="24"/>
          <w:highlight w:val="none"/>
        </w:rPr>
        <w:t>日期：</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年</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月</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日</w:t>
      </w:r>
    </w:p>
    <w:p>
      <w:pPr>
        <w:tabs>
          <w:tab w:val="center" w:pos="4832"/>
          <w:tab w:val="left" w:pos="7140"/>
        </w:tabs>
        <w:jc w:val="center"/>
        <w:outlineLvl w:val="1"/>
        <w:rPr>
          <w:rFonts w:ascii="宋体" w:hAnsi="宋体" w:cs="宋体"/>
          <w:b/>
          <w:color w:val="auto"/>
          <w:sz w:val="24"/>
          <w:szCs w:val="24"/>
          <w:highlight w:val="none"/>
        </w:rPr>
      </w:pPr>
      <w:r>
        <w:rPr>
          <w:rFonts w:ascii="宋体" w:cs="Arial"/>
          <w:b/>
          <w:bCs/>
          <w:color w:val="auto"/>
          <w:kern w:val="36"/>
          <w:sz w:val="24"/>
          <w:szCs w:val="24"/>
          <w:highlight w:val="none"/>
        </w:rPr>
        <w:br w:type="page"/>
      </w:r>
      <w:bookmarkStart w:id="84" w:name="_Toc110707968"/>
      <w:bookmarkStart w:id="85" w:name="_Toc109941768"/>
      <w:bookmarkStart w:id="86" w:name="_Toc130252618"/>
      <w:bookmarkStart w:id="87" w:name="_Toc141050511"/>
      <w:bookmarkStart w:id="88" w:name="_Toc109921161"/>
      <w:r>
        <w:rPr>
          <w:rFonts w:hint="eastAsia" w:ascii="宋体" w:hAnsi="宋体" w:cs="宋体"/>
          <w:b/>
          <w:color w:val="auto"/>
          <w:sz w:val="24"/>
          <w:szCs w:val="24"/>
          <w:highlight w:val="none"/>
        </w:rPr>
        <w:t>五、商务条款偏离表</w:t>
      </w:r>
      <w:bookmarkEnd w:id="84"/>
      <w:bookmarkEnd w:id="85"/>
      <w:bookmarkEnd w:id="86"/>
      <w:bookmarkEnd w:id="87"/>
      <w:bookmarkEnd w:id="88"/>
    </w:p>
    <w:p>
      <w:pPr>
        <w:rPr>
          <w:color w:val="auto"/>
          <w:highlight w:val="none"/>
        </w:rPr>
      </w:pPr>
    </w:p>
    <w:tbl>
      <w:tblPr>
        <w:tblStyle w:val="37"/>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06"/>
        <w:gridCol w:w="2070"/>
        <w:gridCol w:w="2052"/>
        <w:gridCol w:w="2126"/>
        <w:gridCol w:w="198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3" w:hRule="atLeast"/>
          <w:jc w:val="center"/>
        </w:trPr>
        <w:tc>
          <w:tcPr>
            <w:tcW w:w="806" w:type="dxa"/>
            <w:vAlign w:val="center"/>
          </w:tcPr>
          <w:p>
            <w:pPr>
              <w:jc w:val="center"/>
              <w:rPr>
                <w:rFonts w:ascii="宋体" w:cs="宋体"/>
                <w:bCs/>
                <w:color w:val="auto"/>
                <w:sz w:val="24"/>
                <w:szCs w:val="24"/>
                <w:highlight w:val="none"/>
              </w:rPr>
            </w:pPr>
            <w:r>
              <w:rPr>
                <w:rFonts w:hint="eastAsia" w:ascii="宋体" w:hAnsi="宋体" w:cs="宋体"/>
                <w:bCs/>
                <w:color w:val="auto"/>
                <w:sz w:val="24"/>
                <w:szCs w:val="24"/>
                <w:highlight w:val="none"/>
              </w:rPr>
              <w:t>序号</w:t>
            </w:r>
          </w:p>
        </w:tc>
        <w:tc>
          <w:tcPr>
            <w:tcW w:w="2070" w:type="dxa"/>
            <w:vAlign w:val="center"/>
          </w:tcPr>
          <w:p>
            <w:pPr>
              <w:jc w:val="center"/>
              <w:rPr>
                <w:rFonts w:ascii="宋体" w:cs="宋体"/>
                <w:bCs/>
                <w:color w:val="auto"/>
                <w:sz w:val="24"/>
                <w:szCs w:val="24"/>
                <w:highlight w:val="none"/>
              </w:rPr>
            </w:pPr>
            <w:r>
              <w:rPr>
                <w:rFonts w:hint="eastAsia" w:ascii="宋体" w:hAnsi="宋体" w:cs="宋体"/>
                <w:bCs/>
                <w:color w:val="auto"/>
                <w:sz w:val="24"/>
                <w:szCs w:val="24"/>
                <w:highlight w:val="none"/>
              </w:rPr>
              <w:t>招标文件条目号</w:t>
            </w:r>
          </w:p>
        </w:tc>
        <w:tc>
          <w:tcPr>
            <w:tcW w:w="2052" w:type="dxa"/>
            <w:vAlign w:val="center"/>
          </w:tcPr>
          <w:p>
            <w:pPr>
              <w:jc w:val="center"/>
              <w:rPr>
                <w:rFonts w:ascii="宋体" w:cs="宋体"/>
                <w:bCs/>
                <w:color w:val="auto"/>
                <w:sz w:val="24"/>
                <w:szCs w:val="24"/>
                <w:highlight w:val="none"/>
              </w:rPr>
            </w:pPr>
            <w:r>
              <w:rPr>
                <w:rFonts w:hint="eastAsia" w:ascii="宋体" w:hAnsi="宋体" w:cs="宋体"/>
                <w:bCs/>
                <w:color w:val="auto"/>
                <w:sz w:val="24"/>
                <w:szCs w:val="24"/>
                <w:highlight w:val="none"/>
              </w:rPr>
              <w:t>招标文件的商务条款</w:t>
            </w:r>
          </w:p>
        </w:tc>
        <w:tc>
          <w:tcPr>
            <w:tcW w:w="2126" w:type="dxa"/>
            <w:vAlign w:val="center"/>
          </w:tcPr>
          <w:p>
            <w:pPr>
              <w:jc w:val="center"/>
              <w:rPr>
                <w:rFonts w:ascii="宋体" w:cs="宋体"/>
                <w:bCs/>
                <w:color w:val="auto"/>
                <w:sz w:val="24"/>
                <w:szCs w:val="24"/>
                <w:highlight w:val="none"/>
              </w:rPr>
            </w:pPr>
            <w:r>
              <w:rPr>
                <w:rFonts w:hint="eastAsia" w:ascii="宋体" w:hAnsi="宋体" w:cs="宋体"/>
                <w:bCs/>
                <w:color w:val="auto"/>
                <w:sz w:val="24"/>
                <w:szCs w:val="24"/>
                <w:highlight w:val="none"/>
              </w:rPr>
              <w:t>投标文件的商务条款</w:t>
            </w:r>
          </w:p>
        </w:tc>
        <w:tc>
          <w:tcPr>
            <w:tcW w:w="1985" w:type="dxa"/>
            <w:vAlign w:val="center"/>
          </w:tcPr>
          <w:p>
            <w:pPr>
              <w:jc w:val="center"/>
              <w:rPr>
                <w:rFonts w:ascii="宋体" w:cs="宋体"/>
                <w:bCs/>
                <w:color w:val="auto"/>
                <w:sz w:val="24"/>
                <w:szCs w:val="24"/>
                <w:highlight w:val="none"/>
              </w:rPr>
            </w:pPr>
            <w:r>
              <w:rPr>
                <w:rFonts w:hint="eastAsia" w:ascii="宋体" w:hAnsi="宋体" w:cs="宋体"/>
                <w:bCs/>
                <w:color w:val="auto"/>
                <w:sz w:val="24"/>
                <w:szCs w:val="24"/>
                <w:highlight w:val="none"/>
              </w:rPr>
              <w:t>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806" w:type="dxa"/>
          </w:tcPr>
          <w:p>
            <w:pPr>
              <w:jc w:val="center"/>
              <w:rPr>
                <w:rFonts w:ascii="宋体" w:cs="宋体"/>
                <w:b/>
                <w:bCs/>
                <w:color w:val="auto"/>
                <w:sz w:val="24"/>
                <w:szCs w:val="24"/>
                <w:highlight w:val="none"/>
              </w:rPr>
            </w:pPr>
          </w:p>
        </w:tc>
        <w:tc>
          <w:tcPr>
            <w:tcW w:w="2070" w:type="dxa"/>
          </w:tcPr>
          <w:p>
            <w:pPr>
              <w:jc w:val="center"/>
              <w:rPr>
                <w:rFonts w:ascii="宋体" w:cs="宋体"/>
                <w:b/>
                <w:bCs/>
                <w:color w:val="auto"/>
                <w:sz w:val="24"/>
                <w:szCs w:val="24"/>
                <w:highlight w:val="none"/>
              </w:rPr>
            </w:pPr>
          </w:p>
        </w:tc>
        <w:tc>
          <w:tcPr>
            <w:tcW w:w="2052" w:type="dxa"/>
          </w:tcPr>
          <w:p>
            <w:pPr>
              <w:jc w:val="center"/>
              <w:rPr>
                <w:rFonts w:ascii="宋体" w:cs="宋体"/>
                <w:b/>
                <w:bCs/>
                <w:color w:val="auto"/>
                <w:sz w:val="24"/>
                <w:szCs w:val="24"/>
                <w:highlight w:val="none"/>
              </w:rPr>
            </w:pPr>
          </w:p>
        </w:tc>
        <w:tc>
          <w:tcPr>
            <w:tcW w:w="2126" w:type="dxa"/>
          </w:tcPr>
          <w:p>
            <w:pPr>
              <w:jc w:val="center"/>
              <w:rPr>
                <w:rFonts w:ascii="宋体" w:cs="宋体"/>
                <w:b/>
                <w:bCs/>
                <w:color w:val="auto"/>
                <w:sz w:val="24"/>
                <w:szCs w:val="24"/>
                <w:highlight w:val="none"/>
              </w:rPr>
            </w:pPr>
          </w:p>
        </w:tc>
        <w:tc>
          <w:tcPr>
            <w:tcW w:w="1985" w:type="dxa"/>
          </w:tcPr>
          <w:p>
            <w:pPr>
              <w:jc w:val="center"/>
              <w:rPr>
                <w:rFonts w:ascii="宋体" w:cs="宋体"/>
                <w:b/>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806" w:type="dxa"/>
          </w:tcPr>
          <w:p>
            <w:pPr>
              <w:jc w:val="center"/>
              <w:rPr>
                <w:rFonts w:ascii="宋体" w:cs="宋体"/>
                <w:b/>
                <w:bCs/>
                <w:color w:val="auto"/>
                <w:sz w:val="24"/>
                <w:szCs w:val="24"/>
                <w:highlight w:val="none"/>
              </w:rPr>
            </w:pPr>
          </w:p>
        </w:tc>
        <w:tc>
          <w:tcPr>
            <w:tcW w:w="2070" w:type="dxa"/>
          </w:tcPr>
          <w:p>
            <w:pPr>
              <w:jc w:val="center"/>
              <w:rPr>
                <w:rFonts w:ascii="宋体" w:cs="宋体"/>
                <w:b/>
                <w:bCs/>
                <w:color w:val="auto"/>
                <w:sz w:val="24"/>
                <w:szCs w:val="24"/>
                <w:highlight w:val="none"/>
              </w:rPr>
            </w:pPr>
          </w:p>
        </w:tc>
        <w:tc>
          <w:tcPr>
            <w:tcW w:w="2052" w:type="dxa"/>
          </w:tcPr>
          <w:p>
            <w:pPr>
              <w:jc w:val="center"/>
              <w:rPr>
                <w:rFonts w:ascii="宋体" w:cs="宋体"/>
                <w:b/>
                <w:bCs/>
                <w:color w:val="auto"/>
                <w:sz w:val="24"/>
                <w:szCs w:val="24"/>
                <w:highlight w:val="none"/>
              </w:rPr>
            </w:pPr>
          </w:p>
        </w:tc>
        <w:tc>
          <w:tcPr>
            <w:tcW w:w="2126" w:type="dxa"/>
          </w:tcPr>
          <w:p>
            <w:pPr>
              <w:jc w:val="center"/>
              <w:rPr>
                <w:rFonts w:ascii="宋体" w:cs="宋体"/>
                <w:b/>
                <w:bCs/>
                <w:color w:val="auto"/>
                <w:sz w:val="24"/>
                <w:szCs w:val="24"/>
                <w:highlight w:val="none"/>
              </w:rPr>
            </w:pPr>
          </w:p>
        </w:tc>
        <w:tc>
          <w:tcPr>
            <w:tcW w:w="1985" w:type="dxa"/>
          </w:tcPr>
          <w:p>
            <w:pPr>
              <w:jc w:val="center"/>
              <w:rPr>
                <w:rFonts w:ascii="宋体" w:cs="宋体"/>
                <w:b/>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806" w:type="dxa"/>
          </w:tcPr>
          <w:p>
            <w:pPr>
              <w:jc w:val="center"/>
              <w:rPr>
                <w:rFonts w:ascii="宋体" w:cs="宋体"/>
                <w:b/>
                <w:bCs/>
                <w:color w:val="auto"/>
                <w:sz w:val="24"/>
                <w:szCs w:val="24"/>
                <w:highlight w:val="none"/>
              </w:rPr>
            </w:pPr>
          </w:p>
        </w:tc>
        <w:tc>
          <w:tcPr>
            <w:tcW w:w="2070" w:type="dxa"/>
          </w:tcPr>
          <w:p>
            <w:pPr>
              <w:jc w:val="center"/>
              <w:rPr>
                <w:rFonts w:ascii="宋体" w:cs="宋体"/>
                <w:b/>
                <w:bCs/>
                <w:color w:val="auto"/>
                <w:sz w:val="24"/>
                <w:szCs w:val="24"/>
                <w:highlight w:val="none"/>
              </w:rPr>
            </w:pPr>
          </w:p>
        </w:tc>
        <w:tc>
          <w:tcPr>
            <w:tcW w:w="2052" w:type="dxa"/>
          </w:tcPr>
          <w:p>
            <w:pPr>
              <w:jc w:val="center"/>
              <w:rPr>
                <w:rFonts w:ascii="宋体" w:cs="宋体"/>
                <w:b/>
                <w:bCs/>
                <w:color w:val="auto"/>
                <w:sz w:val="24"/>
                <w:szCs w:val="24"/>
                <w:highlight w:val="none"/>
              </w:rPr>
            </w:pPr>
          </w:p>
        </w:tc>
        <w:tc>
          <w:tcPr>
            <w:tcW w:w="2126" w:type="dxa"/>
          </w:tcPr>
          <w:p>
            <w:pPr>
              <w:jc w:val="center"/>
              <w:rPr>
                <w:rFonts w:ascii="宋体" w:cs="宋体"/>
                <w:b/>
                <w:bCs/>
                <w:color w:val="auto"/>
                <w:sz w:val="24"/>
                <w:szCs w:val="24"/>
                <w:highlight w:val="none"/>
              </w:rPr>
            </w:pPr>
          </w:p>
        </w:tc>
        <w:tc>
          <w:tcPr>
            <w:tcW w:w="1985" w:type="dxa"/>
          </w:tcPr>
          <w:p>
            <w:pPr>
              <w:jc w:val="center"/>
              <w:rPr>
                <w:rFonts w:ascii="宋体" w:cs="宋体"/>
                <w:b/>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806" w:type="dxa"/>
          </w:tcPr>
          <w:p>
            <w:pPr>
              <w:jc w:val="center"/>
              <w:rPr>
                <w:rFonts w:ascii="宋体" w:cs="宋体"/>
                <w:b/>
                <w:bCs/>
                <w:color w:val="auto"/>
                <w:sz w:val="24"/>
                <w:szCs w:val="24"/>
                <w:highlight w:val="none"/>
              </w:rPr>
            </w:pPr>
          </w:p>
        </w:tc>
        <w:tc>
          <w:tcPr>
            <w:tcW w:w="2070" w:type="dxa"/>
          </w:tcPr>
          <w:p>
            <w:pPr>
              <w:jc w:val="center"/>
              <w:rPr>
                <w:rFonts w:ascii="宋体" w:cs="宋体"/>
                <w:b/>
                <w:bCs/>
                <w:color w:val="auto"/>
                <w:sz w:val="24"/>
                <w:szCs w:val="24"/>
                <w:highlight w:val="none"/>
              </w:rPr>
            </w:pPr>
          </w:p>
        </w:tc>
        <w:tc>
          <w:tcPr>
            <w:tcW w:w="2052" w:type="dxa"/>
          </w:tcPr>
          <w:p>
            <w:pPr>
              <w:jc w:val="center"/>
              <w:rPr>
                <w:rFonts w:ascii="宋体" w:cs="宋体"/>
                <w:b/>
                <w:bCs/>
                <w:color w:val="auto"/>
                <w:sz w:val="24"/>
                <w:szCs w:val="24"/>
                <w:highlight w:val="none"/>
              </w:rPr>
            </w:pPr>
          </w:p>
        </w:tc>
        <w:tc>
          <w:tcPr>
            <w:tcW w:w="2126" w:type="dxa"/>
          </w:tcPr>
          <w:p>
            <w:pPr>
              <w:jc w:val="center"/>
              <w:rPr>
                <w:rFonts w:ascii="宋体" w:cs="宋体"/>
                <w:b/>
                <w:bCs/>
                <w:color w:val="auto"/>
                <w:sz w:val="24"/>
                <w:szCs w:val="24"/>
                <w:highlight w:val="none"/>
              </w:rPr>
            </w:pPr>
          </w:p>
        </w:tc>
        <w:tc>
          <w:tcPr>
            <w:tcW w:w="1985" w:type="dxa"/>
          </w:tcPr>
          <w:p>
            <w:pPr>
              <w:jc w:val="center"/>
              <w:rPr>
                <w:rFonts w:ascii="宋体" w:cs="宋体"/>
                <w:b/>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806" w:type="dxa"/>
          </w:tcPr>
          <w:p>
            <w:pPr>
              <w:jc w:val="center"/>
              <w:rPr>
                <w:rFonts w:ascii="宋体" w:cs="宋体"/>
                <w:b/>
                <w:bCs/>
                <w:color w:val="auto"/>
                <w:sz w:val="24"/>
                <w:szCs w:val="24"/>
                <w:highlight w:val="none"/>
              </w:rPr>
            </w:pPr>
          </w:p>
        </w:tc>
        <w:tc>
          <w:tcPr>
            <w:tcW w:w="2070" w:type="dxa"/>
          </w:tcPr>
          <w:p>
            <w:pPr>
              <w:jc w:val="center"/>
              <w:rPr>
                <w:rFonts w:ascii="宋体" w:cs="宋体"/>
                <w:b/>
                <w:bCs/>
                <w:color w:val="auto"/>
                <w:sz w:val="24"/>
                <w:szCs w:val="24"/>
                <w:highlight w:val="none"/>
              </w:rPr>
            </w:pPr>
          </w:p>
        </w:tc>
        <w:tc>
          <w:tcPr>
            <w:tcW w:w="2052" w:type="dxa"/>
          </w:tcPr>
          <w:p>
            <w:pPr>
              <w:jc w:val="center"/>
              <w:rPr>
                <w:rFonts w:ascii="宋体" w:cs="宋体"/>
                <w:b/>
                <w:bCs/>
                <w:color w:val="auto"/>
                <w:sz w:val="24"/>
                <w:szCs w:val="24"/>
                <w:highlight w:val="none"/>
              </w:rPr>
            </w:pPr>
          </w:p>
        </w:tc>
        <w:tc>
          <w:tcPr>
            <w:tcW w:w="2126" w:type="dxa"/>
          </w:tcPr>
          <w:p>
            <w:pPr>
              <w:jc w:val="center"/>
              <w:rPr>
                <w:rFonts w:ascii="宋体" w:cs="宋体"/>
                <w:b/>
                <w:bCs/>
                <w:color w:val="auto"/>
                <w:sz w:val="24"/>
                <w:szCs w:val="24"/>
                <w:highlight w:val="none"/>
              </w:rPr>
            </w:pPr>
          </w:p>
        </w:tc>
        <w:tc>
          <w:tcPr>
            <w:tcW w:w="1985" w:type="dxa"/>
          </w:tcPr>
          <w:p>
            <w:pPr>
              <w:jc w:val="center"/>
              <w:rPr>
                <w:rFonts w:ascii="宋体" w:cs="宋体"/>
                <w:b/>
                <w:bCs/>
                <w:color w:val="auto"/>
                <w:sz w:val="24"/>
                <w:szCs w:val="24"/>
                <w:highlight w:val="none"/>
              </w:rPr>
            </w:pPr>
          </w:p>
        </w:tc>
      </w:tr>
    </w:tbl>
    <w:p>
      <w:pPr>
        <w:spacing w:line="360" w:lineRule="auto"/>
        <w:ind w:firstLine="480" w:firstLineChars="200"/>
        <w:jc w:val="left"/>
        <w:rPr>
          <w:rFonts w:ascii="宋体" w:cs="Times New Roman"/>
          <w:color w:val="auto"/>
          <w:sz w:val="24"/>
          <w:szCs w:val="24"/>
          <w:highlight w:val="none"/>
        </w:rPr>
      </w:pPr>
      <w:r>
        <w:rPr>
          <w:rFonts w:hint="eastAsia" w:ascii="宋体" w:hAnsi="宋体" w:cs="Times New Roman"/>
          <w:color w:val="auto"/>
          <w:sz w:val="24"/>
          <w:szCs w:val="24"/>
          <w:highlight w:val="none"/>
        </w:rPr>
        <w:t>备注：投标人商务条款有差异的，则在此表中列明实际响应的内容提要并加以说明，以便查对。无差异说明表示完全响应。</w:t>
      </w:r>
    </w:p>
    <w:p>
      <w:pPr>
        <w:spacing w:line="360" w:lineRule="auto"/>
        <w:jc w:val="left"/>
        <w:rPr>
          <w:rFonts w:ascii="宋体" w:cs="Times New Roman"/>
          <w:color w:val="auto"/>
          <w:sz w:val="24"/>
          <w:szCs w:val="24"/>
          <w:highlight w:val="none"/>
        </w:rPr>
      </w:pPr>
    </w:p>
    <w:p>
      <w:pPr>
        <w:spacing w:line="360" w:lineRule="auto"/>
        <w:jc w:val="left"/>
        <w:rPr>
          <w:rFonts w:ascii="宋体" w:cs="Times New Roman"/>
          <w:color w:val="auto"/>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投标人：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法定代表人：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wordWrap w:val="0"/>
        <w:snapToGrid w:val="0"/>
        <w:spacing w:line="384" w:lineRule="auto"/>
        <w:ind w:firstLine="420"/>
        <w:jc w:val="right"/>
        <w:rPr>
          <w:rFonts w:ascii="宋体" w:cs="Arial"/>
          <w:color w:val="auto"/>
          <w:kern w:val="0"/>
          <w:sz w:val="24"/>
          <w:szCs w:val="24"/>
          <w:highlight w:val="none"/>
        </w:rPr>
      </w:pPr>
      <w:r>
        <w:rPr>
          <w:rFonts w:hint="eastAsia" w:ascii="宋体" w:hAnsi="宋体" w:cs="Arial"/>
          <w:color w:val="auto"/>
          <w:kern w:val="0"/>
          <w:sz w:val="24"/>
          <w:szCs w:val="24"/>
          <w:highlight w:val="none"/>
        </w:rPr>
        <w:t>日期：</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年</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月</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日</w:t>
      </w:r>
    </w:p>
    <w:p>
      <w:pPr>
        <w:tabs>
          <w:tab w:val="center" w:pos="4832"/>
          <w:tab w:val="left" w:pos="7140"/>
        </w:tabs>
        <w:jc w:val="center"/>
        <w:outlineLvl w:val="1"/>
        <w:rPr>
          <w:rFonts w:ascii="宋体" w:hAnsi="宋体" w:cs="宋体"/>
          <w:b/>
          <w:color w:val="auto"/>
          <w:sz w:val="24"/>
          <w:szCs w:val="24"/>
          <w:highlight w:val="none"/>
        </w:rPr>
      </w:pPr>
      <w:r>
        <w:rPr>
          <w:rFonts w:ascii="宋体" w:cs="Arial"/>
          <w:b/>
          <w:bCs/>
          <w:color w:val="auto"/>
          <w:kern w:val="36"/>
          <w:sz w:val="24"/>
          <w:szCs w:val="24"/>
          <w:highlight w:val="none"/>
        </w:rPr>
        <w:br w:type="page"/>
      </w:r>
      <w:bookmarkStart w:id="89" w:name="_Toc109921162"/>
      <w:bookmarkStart w:id="90" w:name="_Toc109941769"/>
      <w:bookmarkStart w:id="91" w:name="_Toc110707969"/>
      <w:bookmarkStart w:id="92" w:name="_Toc130252619"/>
      <w:bookmarkStart w:id="93" w:name="_Toc141050512"/>
      <w:r>
        <w:rPr>
          <w:rFonts w:hint="eastAsia" w:ascii="宋体" w:hAnsi="宋体" w:cs="宋体"/>
          <w:b/>
          <w:color w:val="auto"/>
          <w:sz w:val="24"/>
          <w:szCs w:val="24"/>
          <w:highlight w:val="none"/>
        </w:rPr>
        <w:t>六、法定代表人身份证明书</w:t>
      </w:r>
      <w:bookmarkEnd w:id="89"/>
      <w:bookmarkEnd w:id="90"/>
      <w:bookmarkEnd w:id="91"/>
      <w:bookmarkEnd w:id="92"/>
      <w:bookmarkEnd w:id="93"/>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投</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标</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人：</w:t>
      </w:r>
      <w:r>
        <w:rPr>
          <w:rFonts w:ascii="宋体" w:hAnsi="宋体" w:cs="Arial"/>
          <w:color w:val="auto"/>
          <w:kern w:val="0"/>
          <w:sz w:val="24"/>
          <w:szCs w:val="24"/>
          <w:highlight w:val="none"/>
          <w:u w:val="single"/>
        </w:rPr>
        <w:t xml:space="preserve">                              </w:t>
      </w: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单位性质：</w:t>
      </w:r>
      <w:r>
        <w:rPr>
          <w:rFonts w:ascii="宋体" w:hAnsi="宋体" w:cs="Arial"/>
          <w:color w:val="auto"/>
          <w:kern w:val="0"/>
          <w:sz w:val="24"/>
          <w:szCs w:val="24"/>
          <w:highlight w:val="none"/>
          <w:u w:val="single"/>
        </w:rPr>
        <w:t xml:space="preserve">                              </w:t>
      </w: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地</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址：</w:t>
      </w:r>
      <w:r>
        <w:rPr>
          <w:rFonts w:ascii="宋体" w:hAnsi="宋体" w:cs="Arial"/>
          <w:color w:val="auto"/>
          <w:kern w:val="0"/>
          <w:sz w:val="24"/>
          <w:szCs w:val="24"/>
          <w:highlight w:val="none"/>
          <w:u w:val="single"/>
        </w:rPr>
        <w:t xml:space="preserve">                              </w:t>
      </w: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成立时间：</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年</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月</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日</w:t>
      </w: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经营期限：</w:t>
      </w:r>
      <w:r>
        <w:rPr>
          <w:rFonts w:ascii="宋体" w:hAnsi="宋体" w:cs="Arial"/>
          <w:color w:val="auto"/>
          <w:kern w:val="0"/>
          <w:sz w:val="24"/>
          <w:szCs w:val="24"/>
          <w:highlight w:val="none"/>
          <w:u w:val="single"/>
        </w:rPr>
        <w:t xml:space="preserve">                              </w:t>
      </w: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ind w:firstLine="480" w:firstLineChars="200"/>
        <w:jc w:val="left"/>
        <w:rPr>
          <w:rFonts w:ascii="宋体" w:cs="Arial"/>
          <w:color w:val="auto"/>
          <w:kern w:val="0"/>
          <w:sz w:val="24"/>
          <w:szCs w:val="24"/>
          <w:highlight w:val="none"/>
        </w:rPr>
      </w:pPr>
      <w:r>
        <w:rPr>
          <w:rFonts w:hint="eastAsia" w:ascii="宋体" w:hAnsi="宋体" w:cs="Arial"/>
          <w:color w:val="auto"/>
          <w:kern w:val="0"/>
          <w:sz w:val="24"/>
          <w:szCs w:val="24"/>
          <w:highlight w:val="none"/>
        </w:rPr>
        <w:t>姓名：</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性别：</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年龄：</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职务：</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系</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（投标人名称）的法定代表人。</w:t>
      </w:r>
    </w:p>
    <w:p>
      <w:pPr>
        <w:widowControl/>
        <w:shd w:val="clear" w:color="auto" w:fill="FFFFFF"/>
        <w:snapToGrid w:val="0"/>
        <w:spacing w:line="384" w:lineRule="auto"/>
        <w:ind w:firstLine="480" w:firstLineChars="200"/>
        <w:jc w:val="left"/>
        <w:rPr>
          <w:rFonts w:ascii="宋体" w:cs="Arial"/>
          <w:color w:val="auto"/>
          <w:kern w:val="0"/>
          <w:sz w:val="24"/>
          <w:szCs w:val="24"/>
          <w:highlight w:val="none"/>
        </w:rPr>
      </w:pPr>
      <w:r>
        <w:rPr>
          <w:rFonts w:hint="eastAsia" w:ascii="宋体" w:hAnsi="宋体" w:cs="Arial"/>
          <w:color w:val="auto"/>
          <w:kern w:val="0"/>
          <w:sz w:val="24"/>
          <w:szCs w:val="24"/>
          <w:highlight w:val="none"/>
        </w:rPr>
        <w:t>特此证明。</w:t>
      </w: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ind w:firstLine="480" w:firstLineChars="200"/>
        <w:jc w:val="left"/>
        <w:rPr>
          <w:rFonts w:ascii="宋体" w:cs="Arial"/>
          <w:color w:val="auto"/>
          <w:kern w:val="0"/>
          <w:sz w:val="24"/>
          <w:szCs w:val="24"/>
          <w:highlight w:val="none"/>
        </w:rPr>
      </w:pPr>
      <w:r>
        <w:rPr>
          <w:rFonts w:hint="eastAsia" w:ascii="宋体" w:hAnsi="宋体" w:cs="Arial"/>
          <w:color w:val="auto"/>
          <w:kern w:val="0"/>
          <w:sz w:val="24"/>
          <w:szCs w:val="24"/>
          <w:highlight w:val="none"/>
        </w:rPr>
        <w:t>附：法定代表人身份证明</w:t>
      </w:r>
    </w:p>
    <w:p>
      <w:pPr>
        <w:widowControl/>
        <w:shd w:val="clear" w:color="auto" w:fill="FFFFFF"/>
        <w:snapToGrid w:val="0"/>
        <w:spacing w:line="384" w:lineRule="auto"/>
        <w:jc w:val="left"/>
        <w:rPr>
          <w:rFonts w:ascii="宋体" w:cs="Arial"/>
          <w:color w:val="auto"/>
          <w:kern w:val="0"/>
          <w:sz w:val="24"/>
          <w:szCs w:val="24"/>
          <w:highlight w:val="none"/>
        </w:rPr>
      </w:pPr>
    </w:p>
    <w:tbl>
      <w:tblPr>
        <w:tblStyle w:val="37"/>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tblPrEx>
          <w:tblCellMar>
            <w:top w:w="0" w:type="dxa"/>
            <w:left w:w="108" w:type="dxa"/>
            <w:bottom w:w="0" w:type="dxa"/>
            <w:right w:w="108" w:type="dxa"/>
          </w:tblCellMar>
        </w:tblPrEx>
        <w:trPr>
          <w:trHeight w:val="2438" w:hRule="exact"/>
        </w:trPr>
        <w:tc>
          <w:tcPr>
            <w:tcW w:w="3969" w:type="dxa"/>
            <w:vAlign w:val="center"/>
          </w:tcPr>
          <w:p>
            <w:pPr>
              <w:jc w:val="center"/>
              <w:rPr>
                <w:rFonts w:ascii="宋体" w:cs="Times New Roman"/>
                <w:color w:val="auto"/>
                <w:kern w:val="0"/>
                <w:sz w:val="24"/>
                <w:szCs w:val="24"/>
                <w:highlight w:val="none"/>
              </w:rPr>
            </w:pPr>
            <w:r>
              <w:rPr>
                <w:rFonts w:hint="eastAsia" w:ascii="宋体" w:hAnsi="宋体" w:cs="Arial"/>
                <w:color w:val="auto"/>
                <w:kern w:val="0"/>
                <w:sz w:val="24"/>
                <w:szCs w:val="24"/>
                <w:highlight w:val="none"/>
              </w:rPr>
              <w:t>法定代表人</w:t>
            </w:r>
            <w:r>
              <w:rPr>
                <w:rFonts w:hint="eastAsia" w:ascii="宋体" w:hAnsi="宋体" w:cs="Times New Roman"/>
                <w:color w:val="auto"/>
                <w:kern w:val="0"/>
                <w:sz w:val="24"/>
                <w:szCs w:val="24"/>
                <w:highlight w:val="none"/>
              </w:rPr>
              <w:t>身份证复印件（正面）</w:t>
            </w:r>
          </w:p>
        </w:tc>
      </w:tr>
    </w:tbl>
    <w:p>
      <w:pPr>
        <w:rPr>
          <w:vanish/>
          <w:color w:val="auto"/>
          <w:highlight w:val="none"/>
        </w:rPr>
      </w:pPr>
    </w:p>
    <w:tbl>
      <w:tblPr>
        <w:tblStyle w:val="37"/>
        <w:tblpPr w:leftFromText="180" w:rightFromText="180" w:vertAnchor="text" w:horzAnchor="page" w:tblpX="5711" w:tblpY="-2431"/>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pPr>
              <w:jc w:val="center"/>
              <w:rPr>
                <w:rFonts w:ascii="宋体" w:cs="Times New Roman"/>
                <w:color w:val="auto"/>
                <w:kern w:val="0"/>
                <w:sz w:val="24"/>
                <w:szCs w:val="24"/>
                <w:highlight w:val="none"/>
              </w:rPr>
            </w:pPr>
            <w:r>
              <w:rPr>
                <w:rFonts w:hint="eastAsia" w:ascii="宋体" w:hAnsi="宋体" w:cs="Arial"/>
                <w:color w:val="auto"/>
                <w:kern w:val="0"/>
                <w:sz w:val="24"/>
                <w:szCs w:val="24"/>
                <w:highlight w:val="none"/>
              </w:rPr>
              <w:t>法定代表人</w:t>
            </w:r>
            <w:r>
              <w:rPr>
                <w:rFonts w:hint="eastAsia" w:ascii="宋体" w:hAnsi="宋体" w:cs="Times New Roman"/>
                <w:color w:val="auto"/>
                <w:kern w:val="0"/>
                <w:sz w:val="24"/>
                <w:szCs w:val="24"/>
                <w:highlight w:val="none"/>
              </w:rPr>
              <w:t>身份证复印件（反面）</w:t>
            </w:r>
          </w:p>
        </w:tc>
      </w:tr>
    </w:tbl>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投标人：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wordWrap w:val="0"/>
        <w:snapToGrid w:val="0"/>
        <w:jc w:val="right"/>
        <w:rPr>
          <w:rFonts w:ascii="宋体" w:cs="Arial"/>
          <w:color w:val="auto"/>
          <w:kern w:val="0"/>
          <w:sz w:val="24"/>
          <w:szCs w:val="24"/>
          <w:highlight w:val="none"/>
        </w:rPr>
      </w:pPr>
      <w:r>
        <w:rPr>
          <w:rFonts w:hint="eastAsia" w:ascii="宋体" w:hAnsi="宋体" w:cs="Arial"/>
          <w:color w:val="auto"/>
          <w:kern w:val="0"/>
          <w:sz w:val="24"/>
          <w:szCs w:val="24"/>
          <w:highlight w:val="none"/>
        </w:rPr>
        <w:t>日期：</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年</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月</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日</w:t>
      </w:r>
      <w:r>
        <w:rPr>
          <w:rFonts w:ascii="宋体" w:hAnsi="宋体" w:cs="Arial"/>
          <w:color w:val="auto"/>
          <w:kern w:val="0"/>
          <w:sz w:val="24"/>
          <w:szCs w:val="24"/>
          <w:highlight w:val="none"/>
        </w:rPr>
        <w:t xml:space="preserve"> </w:t>
      </w:r>
    </w:p>
    <w:p>
      <w:pPr>
        <w:widowControl/>
        <w:shd w:val="clear" w:color="auto" w:fill="FFFFFF"/>
        <w:snapToGrid w:val="0"/>
        <w:jc w:val="right"/>
        <w:rPr>
          <w:rFonts w:ascii="宋体" w:cs="Arial"/>
          <w:color w:val="auto"/>
          <w:kern w:val="0"/>
          <w:sz w:val="24"/>
          <w:szCs w:val="24"/>
          <w:highlight w:val="none"/>
        </w:rPr>
      </w:pPr>
    </w:p>
    <w:p>
      <w:pPr>
        <w:widowControl/>
        <w:shd w:val="clear" w:color="auto" w:fill="FFFFFF"/>
        <w:snapToGrid w:val="0"/>
        <w:jc w:val="right"/>
        <w:rPr>
          <w:rFonts w:ascii="宋体" w:cs="Arial"/>
          <w:color w:val="auto"/>
          <w:kern w:val="0"/>
          <w:sz w:val="24"/>
          <w:szCs w:val="24"/>
          <w:highlight w:val="none"/>
        </w:rPr>
      </w:pPr>
    </w:p>
    <w:p>
      <w:pPr>
        <w:widowControl/>
        <w:shd w:val="clear" w:color="auto" w:fill="FFFFFF"/>
        <w:snapToGrid w:val="0"/>
        <w:jc w:val="right"/>
        <w:rPr>
          <w:rFonts w:ascii="宋体" w:cs="Arial"/>
          <w:color w:val="auto"/>
          <w:kern w:val="0"/>
          <w:sz w:val="24"/>
          <w:szCs w:val="24"/>
          <w:highlight w:val="none"/>
        </w:rPr>
      </w:pPr>
    </w:p>
    <w:p>
      <w:pPr>
        <w:tabs>
          <w:tab w:val="center" w:pos="4832"/>
          <w:tab w:val="left" w:pos="7140"/>
        </w:tabs>
        <w:jc w:val="center"/>
        <w:outlineLvl w:val="1"/>
        <w:rPr>
          <w:rFonts w:ascii="宋体" w:hAnsi="宋体" w:cs="宋体"/>
          <w:b/>
          <w:color w:val="auto"/>
          <w:sz w:val="24"/>
          <w:szCs w:val="24"/>
          <w:highlight w:val="none"/>
        </w:rPr>
      </w:pPr>
      <w:r>
        <w:rPr>
          <w:rFonts w:ascii="宋体" w:cs="Arial"/>
          <w:b/>
          <w:bCs/>
          <w:color w:val="auto"/>
          <w:kern w:val="0"/>
          <w:sz w:val="24"/>
          <w:szCs w:val="24"/>
          <w:highlight w:val="none"/>
        </w:rPr>
        <w:br w:type="page"/>
      </w:r>
      <w:bookmarkStart w:id="94" w:name="_Toc109921163"/>
      <w:bookmarkStart w:id="95" w:name="_Toc110707970"/>
      <w:bookmarkStart w:id="96" w:name="_Toc141050513"/>
      <w:bookmarkStart w:id="97" w:name="_Toc130252620"/>
      <w:bookmarkStart w:id="98" w:name="_Toc109941770"/>
      <w:r>
        <w:rPr>
          <w:rFonts w:hint="eastAsia" w:ascii="宋体" w:hAnsi="宋体" w:cs="宋体"/>
          <w:b/>
          <w:color w:val="auto"/>
          <w:sz w:val="24"/>
          <w:szCs w:val="24"/>
          <w:highlight w:val="none"/>
        </w:rPr>
        <w:t>七、法定代表人授权委托书</w:t>
      </w:r>
      <w:bookmarkEnd w:id="94"/>
      <w:bookmarkEnd w:id="95"/>
      <w:bookmarkEnd w:id="96"/>
      <w:bookmarkEnd w:id="97"/>
      <w:bookmarkEnd w:id="98"/>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ind w:firstLine="480" w:firstLineChars="200"/>
        <w:jc w:val="left"/>
        <w:rPr>
          <w:rFonts w:ascii="宋体" w:cs="Arial"/>
          <w:color w:val="auto"/>
          <w:kern w:val="0"/>
          <w:sz w:val="24"/>
          <w:szCs w:val="24"/>
          <w:highlight w:val="none"/>
        </w:rPr>
      </w:pPr>
      <w:r>
        <w:rPr>
          <w:rFonts w:hint="eastAsia" w:ascii="宋体" w:hAnsi="宋体" w:cs="Arial"/>
          <w:color w:val="auto"/>
          <w:kern w:val="0"/>
          <w:sz w:val="24"/>
          <w:szCs w:val="24"/>
          <w:highlight w:val="none"/>
        </w:rPr>
        <w:t>本人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（姓名）系</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u w:val="single"/>
        </w:rPr>
        <w:t xml:space="preserve">       </w:t>
      </w:r>
      <w:r>
        <w:rPr>
          <w:rFonts w:ascii="宋体" w:hAnsi="宋体" w:cs="Arial"/>
          <w:color w:val="auto"/>
          <w:kern w:val="0"/>
          <w:sz w:val="24"/>
          <w:szCs w:val="24"/>
          <w:highlight w:val="none"/>
          <w:u w:val="single"/>
        </w:rPr>
        <w:t xml:space="preserve">       </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（投标人名称）的法定代表人，现拟派我单位</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（姓名）为我方委托代理人。委托代理人根据授权，就</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（招标项目名称）的投标，以本公司名义处理一切与之有关的事务，其法律后果由我方承担。</w:t>
      </w:r>
    </w:p>
    <w:p>
      <w:pPr>
        <w:widowControl/>
        <w:shd w:val="clear" w:color="auto" w:fill="FFFFFF"/>
        <w:snapToGrid w:val="0"/>
        <w:spacing w:line="384" w:lineRule="auto"/>
        <w:ind w:firstLine="480" w:firstLineChars="200"/>
        <w:jc w:val="left"/>
        <w:rPr>
          <w:rFonts w:ascii="宋体" w:cs="Arial"/>
          <w:color w:val="auto"/>
          <w:kern w:val="0"/>
          <w:sz w:val="24"/>
          <w:szCs w:val="24"/>
          <w:highlight w:val="none"/>
          <w:u w:val="single"/>
        </w:rPr>
      </w:pPr>
      <w:r>
        <w:rPr>
          <w:rFonts w:hint="eastAsia" w:ascii="宋体" w:hAnsi="宋体" w:cs="Arial"/>
          <w:color w:val="auto"/>
          <w:kern w:val="0"/>
          <w:sz w:val="24"/>
          <w:szCs w:val="24"/>
          <w:highlight w:val="none"/>
        </w:rPr>
        <w:t>代理人：</w:t>
      </w:r>
      <w:r>
        <w:rPr>
          <w:rFonts w:ascii="宋体" w:hAnsi="宋体" w:cs="Arial"/>
          <w:i/>
          <w:color w:val="auto"/>
          <w:kern w:val="0"/>
          <w:sz w:val="24"/>
          <w:szCs w:val="24"/>
          <w:highlight w:val="none"/>
          <w:u w:val="single"/>
        </w:rPr>
        <w:t xml:space="preserve">                 </w:t>
      </w:r>
      <w:r>
        <w:rPr>
          <w:rFonts w:hint="eastAsia" w:ascii="宋体" w:hAnsi="宋体" w:cs="Arial"/>
          <w:color w:val="auto"/>
          <w:kern w:val="0"/>
          <w:sz w:val="24"/>
          <w:szCs w:val="24"/>
          <w:highlight w:val="none"/>
        </w:rPr>
        <w:t>性别：</w:t>
      </w:r>
      <w:r>
        <w:rPr>
          <w:rFonts w:ascii="宋体" w:hAnsi="宋体" w:cs="Arial"/>
          <w:color w:val="auto"/>
          <w:kern w:val="0"/>
          <w:sz w:val="24"/>
          <w:szCs w:val="24"/>
          <w:highlight w:val="none"/>
          <w:u w:val="single"/>
        </w:rPr>
        <w:t xml:space="preserve">             </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年龄：</w:t>
      </w:r>
      <w:r>
        <w:rPr>
          <w:rFonts w:ascii="宋体" w:hAnsi="宋体" w:cs="Arial"/>
          <w:color w:val="auto"/>
          <w:kern w:val="0"/>
          <w:sz w:val="24"/>
          <w:szCs w:val="24"/>
          <w:highlight w:val="none"/>
          <w:u w:val="single"/>
        </w:rPr>
        <w:t xml:space="preserve">                    </w:t>
      </w:r>
    </w:p>
    <w:p>
      <w:pPr>
        <w:widowControl/>
        <w:shd w:val="clear" w:color="auto" w:fill="FFFFFF"/>
        <w:snapToGrid w:val="0"/>
        <w:spacing w:line="384" w:lineRule="auto"/>
        <w:ind w:firstLine="480" w:firstLineChars="200"/>
        <w:jc w:val="left"/>
        <w:rPr>
          <w:rFonts w:ascii="宋体" w:cs="Arial"/>
          <w:color w:val="auto"/>
          <w:kern w:val="0"/>
          <w:sz w:val="24"/>
          <w:szCs w:val="24"/>
          <w:highlight w:val="none"/>
        </w:rPr>
      </w:pPr>
      <w:r>
        <w:rPr>
          <w:rFonts w:hint="eastAsia" w:ascii="宋体" w:hAnsi="宋体" w:cs="Arial"/>
          <w:color w:val="auto"/>
          <w:kern w:val="0"/>
          <w:sz w:val="24"/>
          <w:szCs w:val="24"/>
          <w:highlight w:val="none"/>
        </w:rPr>
        <w:t>单</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位：</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部门：</w:t>
      </w:r>
      <w:r>
        <w:rPr>
          <w:rFonts w:ascii="宋体" w:hAnsi="宋体" w:cs="Arial"/>
          <w:color w:val="auto"/>
          <w:kern w:val="0"/>
          <w:sz w:val="24"/>
          <w:szCs w:val="24"/>
          <w:highlight w:val="none"/>
          <w:u w:val="single"/>
        </w:rPr>
        <w:t xml:space="preserve">             </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职务：</w:t>
      </w:r>
      <w:r>
        <w:rPr>
          <w:rFonts w:ascii="宋体" w:hAnsi="宋体" w:cs="Arial"/>
          <w:color w:val="auto"/>
          <w:kern w:val="0"/>
          <w:sz w:val="24"/>
          <w:szCs w:val="24"/>
          <w:highlight w:val="none"/>
          <w:u w:val="single"/>
        </w:rPr>
        <w:t xml:space="preserve">                    </w:t>
      </w:r>
    </w:p>
    <w:p>
      <w:pPr>
        <w:widowControl/>
        <w:shd w:val="clear" w:color="auto" w:fill="FFFFFF"/>
        <w:snapToGrid w:val="0"/>
        <w:spacing w:line="384" w:lineRule="auto"/>
        <w:ind w:firstLine="480" w:firstLineChars="200"/>
        <w:jc w:val="left"/>
        <w:rPr>
          <w:rFonts w:ascii="宋体" w:cs="Arial"/>
          <w:color w:val="auto"/>
          <w:kern w:val="0"/>
          <w:sz w:val="24"/>
          <w:szCs w:val="24"/>
          <w:highlight w:val="none"/>
        </w:rPr>
      </w:pPr>
      <w:r>
        <w:rPr>
          <w:rFonts w:hint="eastAsia" w:ascii="宋体" w:hAnsi="宋体" w:cs="Arial"/>
          <w:color w:val="auto"/>
          <w:kern w:val="0"/>
          <w:sz w:val="24"/>
          <w:szCs w:val="24"/>
          <w:highlight w:val="none"/>
        </w:rPr>
        <w:t>代理人无转委权，特此申明。</w:t>
      </w:r>
    </w:p>
    <w:p>
      <w:pPr>
        <w:widowControl/>
        <w:shd w:val="clear" w:color="auto" w:fill="FFFFFF"/>
        <w:snapToGrid w:val="0"/>
        <w:spacing w:line="384" w:lineRule="auto"/>
        <w:ind w:firstLine="480" w:firstLineChars="200"/>
        <w:jc w:val="left"/>
        <w:rPr>
          <w:rFonts w:ascii="宋体" w:hAnsi="宋体" w:cs="Arial"/>
          <w:color w:val="auto"/>
          <w:kern w:val="0"/>
          <w:sz w:val="24"/>
          <w:szCs w:val="24"/>
          <w:highlight w:val="none"/>
        </w:rPr>
      </w:pPr>
    </w:p>
    <w:p>
      <w:pPr>
        <w:widowControl/>
        <w:shd w:val="clear" w:color="auto" w:fill="FFFFFF"/>
        <w:snapToGrid w:val="0"/>
        <w:spacing w:line="384" w:lineRule="auto"/>
        <w:rPr>
          <w:rFonts w:ascii="宋体" w:cs="Arial"/>
          <w:color w:val="auto"/>
          <w:kern w:val="0"/>
          <w:sz w:val="24"/>
          <w:szCs w:val="24"/>
          <w:highlight w:val="none"/>
        </w:rPr>
      </w:pPr>
      <w:r>
        <w:rPr>
          <w:rFonts w:hint="eastAsia" w:ascii="宋体" w:hAnsi="宋体" w:cs="Arial"/>
          <w:color w:val="auto"/>
          <w:kern w:val="0"/>
          <w:sz w:val="24"/>
          <w:szCs w:val="24"/>
          <w:highlight w:val="none"/>
        </w:rPr>
        <w:t>附：授权委托人身份证明。</w:t>
      </w:r>
    </w:p>
    <w:tbl>
      <w:tblPr>
        <w:tblStyle w:val="37"/>
        <w:tblW w:w="0" w:type="auto"/>
        <w:tblInd w:w="57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pPr>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代理人身份证复印件（正面）</w:t>
            </w:r>
          </w:p>
        </w:tc>
      </w:tr>
    </w:tbl>
    <w:p>
      <w:pPr>
        <w:rPr>
          <w:vanish/>
          <w:color w:val="auto"/>
          <w:highlight w:val="none"/>
        </w:rPr>
      </w:pPr>
    </w:p>
    <w:tbl>
      <w:tblPr>
        <w:tblStyle w:val="37"/>
        <w:tblpPr w:leftFromText="180" w:rightFromText="180" w:vertAnchor="text" w:horzAnchor="margin" w:tblpXSpec="right" w:tblpY="-2446"/>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pPr>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代理人身份证复印件（反面）</w:t>
            </w:r>
          </w:p>
        </w:tc>
      </w:tr>
    </w:tbl>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投标人：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法定代表人：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wordWrap w:val="0"/>
        <w:snapToGrid w:val="0"/>
        <w:spacing w:line="384" w:lineRule="auto"/>
        <w:ind w:firstLine="420"/>
        <w:jc w:val="right"/>
        <w:rPr>
          <w:rFonts w:ascii="宋体" w:cs="Arial"/>
          <w:color w:val="auto"/>
          <w:kern w:val="0"/>
          <w:sz w:val="24"/>
          <w:szCs w:val="24"/>
          <w:highlight w:val="none"/>
        </w:rPr>
      </w:pPr>
      <w:r>
        <w:rPr>
          <w:rFonts w:hint="eastAsia" w:ascii="宋体" w:hAnsi="宋体" w:cs="Arial"/>
          <w:color w:val="auto"/>
          <w:kern w:val="0"/>
          <w:sz w:val="24"/>
          <w:szCs w:val="24"/>
          <w:highlight w:val="none"/>
        </w:rPr>
        <w:t>日期：</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年</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月</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日</w:t>
      </w: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p>
    <w:p>
      <w:pPr>
        <w:tabs>
          <w:tab w:val="center" w:pos="4832"/>
          <w:tab w:val="left" w:pos="7140"/>
        </w:tabs>
        <w:jc w:val="center"/>
        <w:outlineLvl w:val="1"/>
        <w:rPr>
          <w:rFonts w:ascii="宋体" w:hAnsi="宋体" w:cs="宋体"/>
          <w:b/>
          <w:color w:val="auto"/>
          <w:sz w:val="24"/>
          <w:szCs w:val="24"/>
          <w:highlight w:val="none"/>
        </w:rPr>
      </w:pPr>
      <w:r>
        <w:rPr>
          <w:rFonts w:ascii="宋体" w:cs="Arial"/>
          <w:color w:val="auto"/>
          <w:kern w:val="0"/>
          <w:sz w:val="24"/>
          <w:szCs w:val="24"/>
          <w:highlight w:val="none"/>
        </w:rPr>
        <w:br w:type="page"/>
      </w:r>
      <w:bookmarkStart w:id="99" w:name="_Toc109941771"/>
      <w:bookmarkStart w:id="100" w:name="_Toc109921164"/>
      <w:bookmarkStart w:id="101" w:name="_Toc110707971"/>
      <w:bookmarkStart w:id="102" w:name="_Toc141050514"/>
      <w:bookmarkStart w:id="103" w:name="_Toc130252621"/>
      <w:bookmarkStart w:id="104" w:name="_Toc358451723"/>
      <w:r>
        <w:rPr>
          <w:rFonts w:hint="eastAsia" w:ascii="宋体" w:hAnsi="宋体" w:cs="宋体"/>
          <w:b/>
          <w:color w:val="auto"/>
          <w:sz w:val="24"/>
          <w:szCs w:val="24"/>
          <w:highlight w:val="none"/>
        </w:rPr>
        <w:t>八、</w:t>
      </w:r>
      <w:bookmarkEnd w:id="99"/>
      <w:bookmarkEnd w:id="100"/>
      <w:bookmarkEnd w:id="101"/>
      <w:r>
        <w:rPr>
          <w:rFonts w:hint="eastAsia" w:ascii="宋体" w:hAnsi="宋体"/>
          <w:b/>
          <w:bCs/>
          <w:color w:val="auto"/>
          <w:sz w:val="24"/>
          <w:szCs w:val="24"/>
          <w:highlight w:val="none"/>
        </w:rPr>
        <w:t>投标人资格条件证明材料</w:t>
      </w:r>
      <w:bookmarkEnd w:id="102"/>
      <w:bookmarkEnd w:id="103"/>
    </w:p>
    <w:p>
      <w:pPr>
        <w:rPr>
          <w:color w:val="auto"/>
          <w:highlight w:val="none"/>
        </w:rPr>
      </w:pPr>
    </w:p>
    <w:tbl>
      <w:tblPr>
        <w:tblStyle w:val="37"/>
        <w:tblW w:w="0" w:type="auto"/>
        <w:jc w:val="center"/>
        <w:tblLayout w:type="fixed"/>
        <w:tblCellMar>
          <w:top w:w="0" w:type="dxa"/>
          <w:left w:w="0" w:type="dxa"/>
          <w:bottom w:w="0" w:type="dxa"/>
          <w:right w:w="0" w:type="dxa"/>
        </w:tblCellMar>
      </w:tblPr>
      <w:tblGrid>
        <w:gridCol w:w="1665"/>
        <w:gridCol w:w="1038"/>
        <w:gridCol w:w="552"/>
        <w:gridCol w:w="587"/>
        <w:gridCol w:w="988"/>
        <w:gridCol w:w="262"/>
        <w:gridCol w:w="1733"/>
        <w:gridCol w:w="2140"/>
      </w:tblGrid>
      <w:tr>
        <w:tblPrEx>
          <w:tblCellMar>
            <w:top w:w="0" w:type="dxa"/>
            <w:left w:w="0" w:type="dxa"/>
            <w:bottom w:w="0" w:type="dxa"/>
            <w:right w:w="0" w:type="dxa"/>
          </w:tblCellMar>
        </w:tblPrEx>
        <w:trPr>
          <w:cantSplit/>
          <w:jc w:val="center"/>
        </w:trPr>
        <w:tc>
          <w:tcPr>
            <w:tcW w:w="1665" w:type="dxa"/>
            <w:tcBorders>
              <w:top w:val="single" w:color="auto" w:sz="8" w:space="0"/>
              <w:left w:val="single" w:color="auto" w:sz="12"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投标人名称</w:t>
            </w:r>
          </w:p>
        </w:tc>
        <w:tc>
          <w:tcPr>
            <w:tcW w:w="7300" w:type="dxa"/>
            <w:gridSpan w:val="7"/>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r>
      <w:tr>
        <w:tblPrEx>
          <w:tblCellMar>
            <w:top w:w="0" w:type="dxa"/>
            <w:left w:w="0" w:type="dxa"/>
            <w:bottom w:w="0" w:type="dxa"/>
            <w:right w:w="0" w:type="dxa"/>
          </w:tblCellMar>
        </w:tblPrEx>
        <w:trPr>
          <w:cantSplit/>
          <w:jc w:val="center"/>
        </w:trPr>
        <w:tc>
          <w:tcPr>
            <w:tcW w:w="1665" w:type="dxa"/>
            <w:tcBorders>
              <w:top w:val="single" w:color="auto" w:sz="8" w:space="0"/>
              <w:left w:val="single" w:color="auto" w:sz="12"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注册地址</w:t>
            </w:r>
          </w:p>
        </w:tc>
        <w:tc>
          <w:tcPr>
            <w:tcW w:w="3165" w:type="dxa"/>
            <w:gridSpan w:val="4"/>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邮政编码</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r>
      <w:tr>
        <w:tblPrEx>
          <w:tblCellMar>
            <w:top w:w="0" w:type="dxa"/>
            <w:left w:w="0" w:type="dxa"/>
            <w:bottom w:w="0" w:type="dxa"/>
            <w:right w:w="0" w:type="dxa"/>
          </w:tblCellMar>
        </w:tblPrEx>
        <w:trPr>
          <w:cantSplit/>
          <w:jc w:val="center"/>
        </w:trPr>
        <w:tc>
          <w:tcPr>
            <w:tcW w:w="1665" w:type="dxa"/>
            <w:tcBorders>
              <w:top w:val="single" w:color="auto" w:sz="8" w:space="0"/>
              <w:left w:val="single" w:color="auto" w:sz="12"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成立时间</w:t>
            </w:r>
          </w:p>
        </w:tc>
        <w:tc>
          <w:tcPr>
            <w:tcW w:w="3165" w:type="dxa"/>
            <w:gridSpan w:val="4"/>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企业性质</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r>
      <w:tr>
        <w:tblPrEx>
          <w:tblCellMar>
            <w:top w:w="0" w:type="dxa"/>
            <w:left w:w="0" w:type="dxa"/>
            <w:bottom w:w="0" w:type="dxa"/>
            <w:right w:w="0" w:type="dxa"/>
          </w:tblCellMar>
        </w:tblPrEx>
        <w:trPr>
          <w:cantSplit/>
          <w:jc w:val="center"/>
        </w:trPr>
        <w:tc>
          <w:tcPr>
            <w:tcW w:w="1665" w:type="dxa"/>
            <w:tcBorders>
              <w:top w:val="single" w:color="auto" w:sz="8" w:space="0"/>
              <w:left w:val="single" w:color="auto" w:sz="12"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营业执照号</w:t>
            </w:r>
          </w:p>
        </w:tc>
        <w:tc>
          <w:tcPr>
            <w:tcW w:w="3165" w:type="dxa"/>
            <w:gridSpan w:val="4"/>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注册资金</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r>
      <w:tr>
        <w:tblPrEx>
          <w:tblCellMar>
            <w:top w:w="0" w:type="dxa"/>
            <w:left w:w="0" w:type="dxa"/>
            <w:bottom w:w="0" w:type="dxa"/>
            <w:right w:w="0" w:type="dxa"/>
          </w:tblCellMar>
        </w:tblPrEx>
        <w:trPr>
          <w:cantSplit/>
          <w:jc w:val="center"/>
        </w:trPr>
        <w:tc>
          <w:tcPr>
            <w:tcW w:w="1665" w:type="dxa"/>
            <w:tcBorders>
              <w:top w:val="single" w:color="auto" w:sz="8" w:space="0"/>
              <w:left w:val="single" w:color="auto" w:sz="12"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法定代表人</w:t>
            </w:r>
          </w:p>
        </w:tc>
        <w:tc>
          <w:tcPr>
            <w:tcW w:w="3165" w:type="dxa"/>
            <w:gridSpan w:val="4"/>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电</w:t>
            </w:r>
            <w:r>
              <w:rPr>
                <w:rFonts w:ascii="宋体" w:hAnsi="宋体" w:cs="Times New Roman"/>
                <w:color w:val="auto"/>
                <w:kern w:val="0"/>
                <w:sz w:val="24"/>
                <w:szCs w:val="24"/>
                <w:highlight w:val="none"/>
              </w:rPr>
              <w:t xml:space="preserve">    </w:t>
            </w:r>
            <w:r>
              <w:rPr>
                <w:rFonts w:hint="eastAsia" w:ascii="宋体" w:hAnsi="宋体" w:cs="Times New Roman"/>
                <w:color w:val="auto"/>
                <w:kern w:val="0"/>
                <w:sz w:val="24"/>
                <w:szCs w:val="24"/>
                <w:highlight w:val="none"/>
              </w:rPr>
              <w:t>话</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r>
      <w:tr>
        <w:tblPrEx>
          <w:tblCellMar>
            <w:top w:w="0" w:type="dxa"/>
            <w:left w:w="0" w:type="dxa"/>
            <w:bottom w:w="0" w:type="dxa"/>
            <w:right w:w="0" w:type="dxa"/>
          </w:tblCellMar>
        </w:tblPrEx>
        <w:trPr>
          <w:cantSplit/>
          <w:jc w:val="center"/>
        </w:trPr>
        <w:tc>
          <w:tcPr>
            <w:tcW w:w="1665" w:type="dxa"/>
            <w:tcBorders>
              <w:top w:val="single" w:color="auto" w:sz="8" w:space="0"/>
              <w:left w:val="single" w:color="auto" w:sz="12"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联</w:t>
            </w:r>
            <w:r>
              <w:rPr>
                <w:rFonts w:ascii="宋体" w:hAnsi="宋体" w:cs="Times New Roman"/>
                <w:color w:val="auto"/>
                <w:kern w:val="0"/>
                <w:sz w:val="24"/>
                <w:szCs w:val="24"/>
                <w:highlight w:val="none"/>
              </w:rPr>
              <w:t xml:space="preserve"> </w:t>
            </w:r>
            <w:r>
              <w:rPr>
                <w:rFonts w:hint="eastAsia" w:ascii="宋体" w:hAnsi="宋体" w:cs="Times New Roman"/>
                <w:color w:val="auto"/>
                <w:kern w:val="0"/>
                <w:sz w:val="24"/>
                <w:szCs w:val="24"/>
                <w:highlight w:val="none"/>
              </w:rPr>
              <w:t>系</w:t>
            </w:r>
            <w:r>
              <w:rPr>
                <w:rFonts w:ascii="宋体" w:hAnsi="宋体" w:cs="Times New Roman"/>
                <w:color w:val="auto"/>
                <w:kern w:val="0"/>
                <w:sz w:val="24"/>
                <w:szCs w:val="24"/>
                <w:highlight w:val="none"/>
              </w:rPr>
              <w:t xml:space="preserve"> </w:t>
            </w:r>
            <w:r>
              <w:rPr>
                <w:rFonts w:hint="eastAsia" w:ascii="宋体" w:hAnsi="宋体" w:cs="Times New Roman"/>
                <w:color w:val="auto"/>
                <w:kern w:val="0"/>
                <w:sz w:val="24"/>
                <w:szCs w:val="24"/>
                <w:highlight w:val="none"/>
              </w:rPr>
              <w:t>人</w:t>
            </w:r>
          </w:p>
        </w:tc>
        <w:tc>
          <w:tcPr>
            <w:tcW w:w="3165" w:type="dxa"/>
            <w:gridSpan w:val="4"/>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rPr>
                <w:rFonts w:ascii="宋体" w:cs="Times New Roman"/>
                <w:color w:val="auto"/>
                <w:kern w:val="0"/>
                <w:sz w:val="24"/>
                <w:szCs w:val="24"/>
                <w:highlight w:val="none"/>
              </w:rPr>
            </w:pP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电</w:t>
            </w:r>
            <w:r>
              <w:rPr>
                <w:rFonts w:ascii="宋体" w:hAnsi="宋体" w:cs="Times New Roman"/>
                <w:color w:val="auto"/>
                <w:kern w:val="0"/>
                <w:sz w:val="24"/>
                <w:szCs w:val="24"/>
                <w:highlight w:val="none"/>
              </w:rPr>
              <w:t xml:space="preserve">    </w:t>
            </w:r>
            <w:r>
              <w:rPr>
                <w:rFonts w:hint="eastAsia" w:ascii="宋体" w:hAnsi="宋体" w:cs="Times New Roman"/>
                <w:color w:val="auto"/>
                <w:kern w:val="0"/>
                <w:sz w:val="24"/>
                <w:szCs w:val="24"/>
                <w:highlight w:val="none"/>
              </w:rPr>
              <w:t>话</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r>
      <w:tr>
        <w:tblPrEx>
          <w:tblCellMar>
            <w:top w:w="0" w:type="dxa"/>
            <w:left w:w="0" w:type="dxa"/>
            <w:bottom w:w="0" w:type="dxa"/>
            <w:right w:w="0" w:type="dxa"/>
          </w:tblCellMar>
        </w:tblPrEx>
        <w:trPr>
          <w:cantSplit/>
          <w:jc w:val="center"/>
        </w:trPr>
        <w:tc>
          <w:tcPr>
            <w:tcW w:w="1665" w:type="dxa"/>
            <w:tcBorders>
              <w:top w:val="single" w:color="auto" w:sz="8" w:space="0"/>
              <w:left w:val="single" w:color="auto" w:sz="12" w:space="0"/>
              <w:bottom w:val="single" w:color="auto" w:sz="8" w:space="0"/>
              <w:right w:val="single" w:color="auto" w:sz="8" w:space="0"/>
            </w:tcBorders>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传</w:t>
            </w:r>
            <w:r>
              <w:rPr>
                <w:rFonts w:ascii="宋体" w:hAnsi="宋体" w:cs="Times New Roman"/>
                <w:color w:val="auto"/>
                <w:kern w:val="0"/>
                <w:sz w:val="24"/>
                <w:szCs w:val="24"/>
                <w:highlight w:val="none"/>
              </w:rPr>
              <w:t xml:space="preserve">    </w:t>
            </w:r>
            <w:r>
              <w:rPr>
                <w:rFonts w:hint="eastAsia" w:ascii="宋体" w:hAnsi="宋体" w:cs="Times New Roman"/>
                <w:color w:val="auto"/>
                <w:kern w:val="0"/>
                <w:sz w:val="24"/>
                <w:szCs w:val="24"/>
                <w:highlight w:val="none"/>
              </w:rPr>
              <w:t>真</w:t>
            </w:r>
          </w:p>
        </w:tc>
        <w:tc>
          <w:tcPr>
            <w:tcW w:w="3165" w:type="dxa"/>
            <w:gridSpan w:val="4"/>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520" w:lineRule="exact"/>
              <w:rPr>
                <w:rFonts w:ascii="宋体" w:cs="Times New Roman"/>
                <w:color w:val="auto"/>
                <w:kern w:val="0"/>
                <w:sz w:val="24"/>
                <w:szCs w:val="24"/>
                <w:highlight w:val="none"/>
              </w:rPr>
            </w:pPr>
          </w:p>
        </w:tc>
        <w:tc>
          <w:tcPr>
            <w:tcW w:w="1995" w:type="dxa"/>
            <w:gridSpan w:val="2"/>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网</w:t>
            </w:r>
            <w:r>
              <w:rPr>
                <w:rFonts w:ascii="宋体" w:hAnsi="宋体" w:cs="Times New Roman"/>
                <w:color w:val="auto"/>
                <w:kern w:val="0"/>
                <w:sz w:val="24"/>
                <w:szCs w:val="24"/>
                <w:highlight w:val="none"/>
              </w:rPr>
              <w:t xml:space="preserve">    </w:t>
            </w:r>
            <w:r>
              <w:rPr>
                <w:rFonts w:hint="eastAsia" w:ascii="宋体" w:hAnsi="宋体" w:cs="Times New Roman"/>
                <w:color w:val="auto"/>
                <w:kern w:val="0"/>
                <w:sz w:val="24"/>
                <w:szCs w:val="24"/>
                <w:highlight w:val="none"/>
              </w:rPr>
              <w:t>址</w:t>
            </w:r>
          </w:p>
        </w:tc>
        <w:tc>
          <w:tcPr>
            <w:tcW w:w="2140" w:type="dxa"/>
            <w:tcBorders>
              <w:top w:val="single" w:color="auto" w:sz="8" w:space="0"/>
              <w:left w:val="single" w:color="auto" w:sz="8" w:space="0"/>
              <w:bottom w:val="single" w:color="auto" w:sz="8" w:space="0"/>
              <w:right w:val="single" w:color="auto" w:sz="12" w:space="0"/>
            </w:tcBorders>
          </w:tcPr>
          <w:p>
            <w:pPr>
              <w:autoSpaceDE w:val="0"/>
              <w:autoSpaceDN w:val="0"/>
              <w:adjustRightInd w:val="0"/>
              <w:snapToGrid w:val="0"/>
              <w:spacing w:line="520" w:lineRule="exact"/>
              <w:rPr>
                <w:rFonts w:ascii="宋体" w:cs="Times New Roman"/>
                <w:color w:val="auto"/>
                <w:kern w:val="0"/>
                <w:sz w:val="24"/>
                <w:szCs w:val="24"/>
                <w:highlight w:val="none"/>
              </w:rPr>
            </w:pPr>
          </w:p>
        </w:tc>
      </w:tr>
      <w:tr>
        <w:tblPrEx>
          <w:tblCellMar>
            <w:top w:w="0" w:type="dxa"/>
            <w:left w:w="0" w:type="dxa"/>
            <w:bottom w:w="0" w:type="dxa"/>
            <w:right w:w="0" w:type="dxa"/>
          </w:tblCellMar>
        </w:tblPrEx>
        <w:trPr>
          <w:cantSplit/>
          <w:jc w:val="center"/>
        </w:trPr>
        <w:tc>
          <w:tcPr>
            <w:tcW w:w="1665" w:type="dxa"/>
            <w:tcBorders>
              <w:top w:val="single" w:color="auto" w:sz="8" w:space="0"/>
              <w:left w:val="single" w:color="auto" w:sz="12"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开户银行</w:t>
            </w:r>
          </w:p>
        </w:tc>
        <w:tc>
          <w:tcPr>
            <w:tcW w:w="3165" w:type="dxa"/>
            <w:gridSpan w:val="4"/>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银行帐号</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r>
      <w:tr>
        <w:tblPrEx>
          <w:tblCellMar>
            <w:top w:w="0" w:type="dxa"/>
            <w:left w:w="0" w:type="dxa"/>
            <w:bottom w:w="0" w:type="dxa"/>
            <w:right w:w="0" w:type="dxa"/>
          </w:tblCellMar>
        </w:tblPrEx>
        <w:trPr>
          <w:cantSplit/>
          <w:jc w:val="center"/>
        </w:trPr>
        <w:tc>
          <w:tcPr>
            <w:tcW w:w="1665" w:type="dxa"/>
            <w:vMerge w:val="restart"/>
            <w:tcBorders>
              <w:top w:val="single" w:color="auto" w:sz="8" w:space="0"/>
              <w:left w:val="single" w:color="auto" w:sz="12"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职工概况</w:t>
            </w:r>
          </w:p>
        </w:tc>
        <w:tc>
          <w:tcPr>
            <w:tcW w:w="1038" w:type="dxa"/>
            <w:vMerge w:val="restart"/>
            <w:tcBorders>
              <w:top w:val="single" w:color="auto" w:sz="8" w:space="0"/>
              <w:left w:val="single" w:color="auto" w:sz="8" w:space="0"/>
              <w:right w:val="single" w:color="auto" w:sz="4" w:space="0"/>
            </w:tcBorders>
            <w:vAlign w:val="center"/>
          </w:tcPr>
          <w:p>
            <w:pPr>
              <w:autoSpaceDE w:val="0"/>
              <w:autoSpaceDN w:val="0"/>
              <w:adjustRightInd w:val="0"/>
              <w:snapToGrid w:val="0"/>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职工总数</w:t>
            </w:r>
          </w:p>
        </w:tc>
        <w:tc>
          <w:tcPr>
            <w:tcW w:w="1139" w:type="dxa"/>
            <w:gridSpan w:val="2"/>
            <w:vMerge w:val="restart"/>
            <w:tcBorders>
              <w:top w:val="single" w:color="auto" w:sz="8" w:space="0"/>
              <w:left w:val="single" w:color="auto" w:sz="4" w:space="0"/>
              <w:right w:val="single" w:color="auto" w:sz="4"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c>
          <w:tcPr>
            <w:tcW w:w="988" w:type="dxa"/>
            <w:vMerge w:val="restart"/>
            <w:tcBorders>
              <w:top w:val="single" w:color="auto" w:sz="8" w:space="0"/>
              <w:left w:val="single" w:color="auto" w:sz="4"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其</w:t>
            </w:r>
          </w:p>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中</w:t>
            </w: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高级职称人员</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r>
      <w:tr>
        <w:tblPrEx>
          <w:tblCellMar>
            <w:top w:w="0" w:type="dxa"/>
            <w:left w:w="0" w:type="dxa"/>
            <w:bottom w:w="0" w:type="dxa"/>
            <w:right w:w="0" w:type="dxa"/>
          </w:tblCellMar>
        </w:tblPrEx>
        <w:trPr>
          <w:cantSplit/>
          <w:jc w:val="center"/>
        </w:trPr>
        <w:tc>
          <w:tcPr>
            <w:tcW w:w="1665" w:type="dxa"/>
            <w:vMerge w:val="continue"/>
            <w:tcBorders>
              <w:top w:val="single" w:color="auto" w:sz="8" w:space="0"/>
              <w:left w:val="single" w:color="auto" w:sz="12" w:space="0"/>
              <w:bottom w:val="single" w:color="auto" w:sz="8" w:space="0"/>
              <w:right w:val="single" w:color="auto" w:sz="8" w:space="0"/>
            </w:tcBorders>
            <w:vAlign w:val="center"/>
          </w:tcPr>
          <w:p>
            <w:pPr>
              <w:widowControl/>
              <w:adjustRightInd w:val="0"/>
              <w:snapToGrid w:val="0"/>
              <w:spacing w:line="520" w:lineRule="exact"/>
              <w:jc w:val="left"/>
              <w:rPr>
                <w:rFonts w:ascii="宋体" w:cs="Times New Roman"/>
                <w:color w:val="auto"/>
                <w:kern w:val="0"/>
                <w:sz w:val="24"/>
                <w:szCs w:val="24"/>
                <w:highlight w:val="none"/>
              </w:rPr>
            </w:pPr>
          </w:p>
        </w:tc>
        <w:tc>
          <w:tcPr>
            <w:tcW w:w="1038" w:type="dxa"/>
            <w:vMerge w:val="continue"/>
            <w:tcBorders>
              <w:left w:val="single" w:color="auto" w:sz="8" w:space="0"/>
              <w:right w:val="single" w:color="auto" w:sz="4"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c>
          <w:tcPr>
            <w:tcW w:w="1139" w:type="dxa"/>
            <w:gridSpan w:val="2"/>
            <w:vMerge w:val="continue"/>
            <w:tcBorders>
              <w:left w:val="single" w:color="auto" w:sz="4" w:space="0"/>
              <w:right w:val="single" w:color="auto" w:sz="4"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c>
          <w:tcPr>
            <w:tcW w:w="988" w:type="dxa"/>
            <w:vMerge w:val="continue"/>
            <w:tcBorders>
              <w:left w:val="single" w:color="auto" w:sz="4"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中级职称人员</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r>
      <w:tr>
        <w:tblPrEx>
          <w:tblCellMar>
            <w:top w:w="0" w:type="dxa"/>
            <w:left w:w="0" w:type="dxa"/>
            <w:bottom w:w="0" w:type="dxa"/>
            <w:right w:w="0" w:type="dxa"/>
          </w:tblCellMar>
        </w:tblPrEx>
        <w:trPr>
          <w:cantSplit/>
          <w:jc w:val="center"/>
        </w:trPr>
        <w:tc>
          <w:tcPr>
            <w:tcW w:w="1665" w:type="dxa"/>
            <w:vMerge w:val="continue"/>
            <w:tcBorders>
              <w:top w:val="single" w:color="auto" w:sz="8" w:space="0"/>
              <w:left w:val="single" w:color="auto" w:sz="12" w:space="0"/>
              <w:bottom w:val="single" w:color="auto" w:sz="8" w:space="0"/>
              <w:right w:val="single" w:color="auto" w:sz="8" w:space="0"/>
            </w:tcBorders>
            <w:vAlign w:val="center"/>
          </w:tcPr>
          <w:p>
            <w:pPr>
              <w:widowControl/>
              <w:adjustRightInd w:val="0"/>
              <w:snapToGrid w:val="0"/>
              <w:spacing w:line="520" w:lineRule="exact"/>
              <w:jc w:val="left"/>
              <w:rPr>
                <w:rFonts w:ascii="宋体" w:cs="Times New Roman"/>
                <w:color w:val="auto"/>
                <w:kern w:val="0"/>
                <w:sz w:val="24"/>
                <w:szCs w:val="24"/>
                <w:highlight w:val="none"/>
              </w:rPr>
            </w:pPr>
          </w:p>
        </w:tc>
        <w:tc>
          <w:tcPr>
            <w:tcW w:w="1038" w:type="dxa"/>
            <w:vMerge w:val="continue"/>
            <w:tcBorders>
              <w:left w:val="single" w:color="auto" w:sz="8" w:space="0"/>
              <w:bottom w:val="single" w:color="auto" w:sz="8" w:space="0"/>
              <w:right w:val="single" w:color="auto" w:sz="4"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c>
          <w:tcPr>
            <w:tcW w:w="1139" w:type="dxa"/>
            <w:gridSpan w:val="2"/>
            <w:vMerge w:val="continue"/>
            <w:tcBorders>
              <w:left w:val="single" w:color="auto" w:sz="4" w:space="0"/>
              <w:bottom w:val="single" w:color="auto" w:sz="8" w:space="0"/>
              <w:right w:val="single" w:color="auto" w:sz="4"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c>
          <w:tcPr>
            <w:tcW w:w="988" w:type="dxa"/>
            <w:vMerge w:val="continue"/>
            <w:tcBorders>
              <w:left w:val="single" w:color="auto" w:sz="4"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初级职称人员</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r>
      <w:tr>
        <w:tblPrEx>
          <w:tblCellMar>
            <w:top w:w="0" w:type="dxa"/>
            <w:left w:w="0" w:type="dxa"/>
            <w:bottom w:w="0" w:type="dxa"/>
            <w:right w:w="0" w:type="dxa"/>
          </w:tblCellMar>
        </w:tblPrEx>
        <w:trPr>
          <w:cantSplit/>
          <w:jc w:val="center"/>
        </w:trPr>
        <w:tc>
          <w:tcPr>
            <w:tcW w:w="1665" w:type="dxa"/>
            <w:vMerge w:val="continue"/>
            <w:tcBorders>
              <w:top w:val="single" w:color="auto" w:sz="8" w:space="0"/>
              <w:left w:val="single" w:color="auto" w:sz="12" w:space="0"/>
              <w:bottom w:val="single" w:color="auto" w:sz="8" w:space="0"/>
              <w:right w:val="single" w:color="auto" w:sz="8" w:space="0"/>
            </w:tcBorders>
            <w:vAlign w:val="center"/>
          </w:tcPr>
          <w:p>
            <w:pPr>
              <w:widowControl/>
              <w:adjustRightInd w:val="0"/>
              <w:snapToGrid w:val="0"/>
              <w:spacing w:line="520" w:lineRule="exact"/>
              <w:jc w:val="left"/>
              <w:rPr>
                <w:rFonts w:ascii="宋体" w:cs="Times New Roman"/>
                <w:color w:val="auto"/>
                <w:kern w:val="0"/>
                <w:sz w:val="24"/>
                <w:szCs w:val="24"/>
                <w:highlight w:val="none"/>
              </w:rPr>
            </w:pPr>
          </w:p>
        </w:tc>
        <w:tc>
          <w:tcPr>
            <w:tcW w:w="7300" w:type="dxa"/>
            <w:gridSpan w:val="7"/>
            <w:tcBorders>
              <w:top w:val="single" w:color="auto" w:sz="8" w:space="0"/>
              <w:left w:val="single" w:color="auto" w:sz="8" w:space="0"/>
              <w:bottom w:val="single" w:color="auto" w:sz="8" w:space="0"/>
              <w:right w:val="single" w:color="auto" w:sz="12" w:space="0"/>
            </w:tcBorders>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单位负责人</w:t>
            </w:r>
          </w:p>
        </w:tc>
      </w:tr>
      <w:tr>
        <w:tblPrEx>
          <w:tblCellMar>
            <w:top w:w="0" w:type="dxa"/>
            <w:left w:w="0" w:type="dxa"/>
            <w:bottom w:w="0" w:type="dxa"/>
            <w:right w:w="0" w:type="dxa"/>
          </w:tblCellMar>
        </w:tblPrEx>
        <w:trPr>
          <w:cantSplit/>
          <w:jc w:val="center"/>
        </w:trPr>
        <w:tc>
          <w:tcPr>
            <w:tcW w:w="1665" w:type="dxa"/>
            <w:vMerge w:val="continue"/>
            <w:tcBorders>
              <w:top w:val="single" w:color="auto" w:sz="8" w:space="0"/>
              <w:left w:val="single" w:color="auto" w:sz="12" w:space="0"/>
              <w:bottom w:val="single" w:color="auto" w:sz="8" w:space="0"/>
              <w:right w:val="single" w:color="auto" w:sz="8" w:space="0"/>
            </w:tcBorders>
            <w:vAlign w:val="center"/>
          </w:tcPr>
          <w:p>
            <w:pPr>
              <w:widowControl/>
              <w:adjustRightInd w:val="0"/>
              <w:snapToGrid w:val="0"/>
              <w:spacing w:line="520" w:lineRule="exact"/>
              <w:jc w:val="left"/>
              <w:rPr>
                <w:rFonts w:ascii="宋体" w:cs="Times New Roman"/>
                <w:color w:val="auto"/>
                <w:kern w:val="0"/>
                <w:sz w:val="24"/>
                <w:szCs w:val="24"/>
                <w:highlight w:val="none"/>
              </w:rPr>
            </w:pPr>
          </w:p>
        </w:tc>
        <w:tc>
          <w:tcPr>
            <w:tcW w:w="1590" w:type="dxa"/>
            <w:gridSpan w:val="2"/>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姓</w:t>
            </w:r>
            <w:r>
              <w:rPr>
                <w:rFonts w:ascii="宋体" w:hAnsi="宋体" w:cs="Times New Roman"/>
                <w:color w:val="auto"/>
                <w:kern w:val="0"/>
                <w:sz w:val="24"/>
                <w:szCs w:val="24"/>
                <w:highlight w:val="none"/>
              </w:rPr>
              <w:t xml:space="preserve">  </w:t>
            </w:r>
            <w:r>
              <w:rPr>
                <w:rFonts w:hint="eastAsia" w:ascii="宋体" w:hAnsi="宋体" w:cs="Times New Roman"/>
                <w:color w:val="auto"/>
                <w:kern w:val="0"/>
                <w:sz w:val="24"/>
                <w:szCs w:val="24"/>
                <w:highlight w:val="none"/>
              </w:rPr>
              <w:t>名</w:t>
            </w:r>
          </w:p>
        </w:tc>
        <w:tc>
          <w:tcPr>
            <w:tcW w:w="1837" w:type="dxa"/>
            <w:gridSpan w:val="3"/>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职务及职称</w:t>
            </w:r>
          </w:p>
        </w:tc>
        <w:tc>
          <w:tcPr>
            <w:tcW w:w="1733" w:type="dxa"/>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520" w:lineRule="exact"/>
              <w:ind w:firstLine="480" w:firstLineChars="200"/>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年</w:t>
            </w:r>
            <w:r>
              <w:rPr>
                <w:rFonts w:ascii="宋体" w:hAnsi="宋体" w:cs="Times New Roman"/>
                <w:color w:val="auto"/>
                <w:kern w:val="0"/>
                <w:sz w:val="24"/>
                <w:szCs w:val="24"/>
                <w:highlight w:val="none"/>
              </w:rPr>
              <w:t xml:space="preserve">  </w:t>
            </w:r>
            <w:r>
              <w:rPr>
                <w:rFonts w:hint="eastAsia" w:ascii="宋体" w:hAnsi="宋体" w:cs="Times New Roman"/>
                <w:color w:val="auto"/>
                <w:kern w:val="0"/>
                <w:sz w:val="24"/>
                <w:szCs w:val="24"/>
                <w:highlight w:val="none"/>
              </w:rPr>
              <w:t>龄</w:t>
            </w:r>
          </w:p>
        </w:tc>
        <w:tc>
          <w:tcPr>
            <w:tcW w:w="2140" w:type="dxa"/>
            <w:tcBorders>
              <w:top w:val="single" w:color="auto" w:sz="8" w:space="0"/>
              <w:left w:val="single" w:color="auto" w:sz="8" w:space="0"/>
              <w:bottom w:val="single" w:color="auto" w:sz="8" w:space="0"/>
              <w:right w:val="single" w:color="auto" w:sz="12" w:space="0"/>
            </w:tcBorders>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专</w:t>
            </w:r>
            <w:r>
              <w:rPr>
                <w:rFonts w:ascii="宋体" w:hAnsi="宋体" w:cs="Times New Roman"/>
                <w:color w:val="auto"/>
                <w:kern w:val="0"/>
                <w:sz w:val="24"/>
                <w:szCs w:val="24"/>
                <w:highlight w:val="none"/>
              </w:rPr>
              <w:t xml:space="preserve">   </w:t>
            </w:r>
            <w:r>
              <w:rPr>
                <w:rFonts w:hint="eastAsia" w:ascii="宋体" w:hAnsi="宋体" w:cs="Times New Roman"/>
                <w:color w:val="auto"/>
                <w:kern w:val="0"/>
                <w:sz w:val="24"/>
                <w:szCs w:val="24"/>
                <w:highlight w:val="none"/>
              </w:rPr>
              <w:t>业</w:t>
            </w:r>
          </w:p>
        </w:tc>
      </w:tr>
      <w:tr>
        <w:tblPrEx>
          <w:tblCellMar>
            <w:top w:w="0" w:type="dxa"/>
            <w:left w:w="0" w:type="dxa"/>
            <w:bottom w:w="0" w:type="dxa"/>
            <w:right w:w="0" w:type="dxa"/>
          </w:tblCellMar>
        </w:tblPrEx>
        <w:trPr>
          <w:cantSplit/>
          <w:jc w:val="center"/>
        </w:trPr>
        <w:tc>
          <w:tcPr>
            <w:tcW w:w="1665" w:type="dxa"/>
            <w:vMerge w:val="continue"/>
            <w:tcBorders>
              <w:top w:val="single" w:color="auto" w:sz="8" w:space="0"/>
              <w:left w:val="single" w:color="auto" w:sz="12" w:space="0"/>
              <w:bottom w:val="single" w:color="auto" w:sz="8" w:space="0"/>
              <w:right w:val="single" w:color="auto" w:sz="8" w:space="0"/>
            </w:tcBorders>
            <w:vAlign w:val="center"/>
          </w:tcPr>
          <w:p>
            <w:pPr>
              <w:widowControl/>
              <w:adjustRightInd w:val="0"/>
              <w:snapToGrid w:val="0"/>
              <w:spacing w:line="520" w:lineRule="exact"/>
              <w:jc w:val="left"/>
              <w:rPr>
                <w:rFonts w:ascii="宋体" w:cs="Times New Roman"/>
                <w:color w:val="auto"/>
                <w:kern w:val="0"/>
                <w:sz w:val="24"/>
                <w:szCs w:val="24"/>
                <w:highlight w:val="none"/>
              </w:rPr>
            </w:pPr>
          </w:p>
        </w:tc>
        <w:tc>
          <w:tcPr>
            <w:tcW w:w="1590" w:type="dxa"/>
            <w:gridSpan w:val="2"/>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520" w:lineRule="exact"/>
              <w:rPr>
                <w:rFonts w:ascii="宋体" w:cs="Times New Roman"/>
                <w:color w:val="auto"/>
                <w:kern w:val="0"/>
                <w:sz w:val="24"/>
                <w:szCs w:val="24"/>
                <w:highlight w:val="none"/>
              </w:rPr>
            </w:pPr>
          </w:p>
        </w:tc>
        <w:tc>
          <w:tcPr>
            <w:tcW w:w="1837" w:type="dxa"/>
            <w:gridSpan w:val="3"/>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520" w:lineRule="exact"/>
              <w:rPr>
                <w:rFonts w:ascii="宋体" w:cs="Times New Roman"/>
                <w:color w:val="auto"/>
                <w:kern w:val="0"/>
                <w:sz w:val="24"/>
                <w:szCs w:val="24"/>
                <w:highlight w:val="none"/>
              </w:rPr>
            </w:pPr>
          </w:p>
        </w:tc>
        <w:tc>
          <w:tcPr>
            <w:tcW w:w="1733" w:type="dxa"/>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520" w:lineRule="exact"/>
              <w:rPr>
                <w:rFonts w:ascii="宋体" w:cs="Times New Roman"/>
                <w:color w:val="auto"/>
                <w:kern w:val="0"/>
                <w:sz w:val="24"/>
                <w:szCs w:val="24"/>
                <w:highlight w:val="none"/>
              </w:rPr>
            </w:pPr>
          </w:p>
        </w:tc>
        <w:tc>
          <w:tcPr>
            <w:tcW w:w="2140" w:type="dxa"/>
            <w:tcBorders>
              <w:top w:val="single" w:color="auto" w:sz="8" w:space="0"/>
              <w:left w:val="single" w:color="auto" w:sz="8" w:space="0"/>
              <w:bottom w:val="single" w:color="auto" w:sz="8" w:space="0"/>
              <w:right w:val="single" w:color="auto" w:sz="12" w:space="0"/>
            </w:tcBorders>
          </w:tcPr>
          <w:p>
            <w:pPr>
              <w:autoSpaceDE w:val="0"/>
              <w:autoSpaceDN w:val="0"/>
              <w:adjustRightInd w:val="0"/>
              <w:snapToGrid w:val="0"/>
              <w:spacing w:line="520" w:lineRule="exact"/>
              <w:rPr>
                <w:rFonts w:ascii="宋体" w:cs="Times New Roman"/>
                <w:color w:val="auto"/>
                <w:kern w:val="0"/>
                <w:sz w:val="24"/>
                <w:szCs w:val="24"/>
                <w:highlight w:val="none"/>
              </w:rPr>
            </w:pPr>
          </w:p>
        </w:tc>
      </w:tr>
      <w:tr>
        <w:tblPrEx>
          <w:tblCellMar>
            <w:top w:w="0" w:type="dxa"/>
            <w:left w:w="0" w:type="dxa"/>
            <w:bottom w:w="0" w:type="dxa"/>
            <w:right w:w="0" w:type="dxa"/>
          </w:tblCellMar>
        </w:tblPrEx>
        <w:trPr>
          <w:cantSplit/>
          <w:trHeight w:val="3043" w:hRule="atLeast"/>
          <w:jc w:val="center"/>
        </w:trPr>
        <w:tc>
          <w:tcPr>
            <w:tcW w:w="1665" w:type="dxa"/>
            <w:tcBorders>
              <w:top w:val="single" w:color="auto" w:sz="8" w:space="0"/>
              <w:left w:val="single" w:color="auto" w:sz="12" w:space="0"/>
              <w:bottom w:val="single" w:color="auto" w:sz="8" w:space="0"/>
              <w:right w:val="single" w:color="auto" w:sz="8" w:space="0"/>
            </w:tcBorders>
            <w:vAlign w:val="center"/>
          </w:tcPr>
          <w:p>
            <w:pPr>
              <w:widowControl/>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经营范围</w:t>
            </w:r>
          </w:p>
        </w:tc>
        <w:tc>
          <w:tcPr>
            <w:tcW w:w="7300" w:type="dxa"/>
            <w:gridSpan w:val="7"/>
            <w:tcBorders>
              <w:top w:val="single" w:color="auto" w:sz="8" w:space="0"/>
              <w:left w:val="single" w:color="auto" w:sz="8" w:space="0"/>
              <w:bottom w:val="single" w:color="auto" w:sz="8" w:space="0"/>
              <w:right w:val="single" w:color="auto" w:sz="12" w:space="0"/>
            </w:tcBorders>
          </w:tcPr>
          <w:p>
            <w:pPr>
              <w:autoSpaceDE w:val="0"/>
              <w:autoSpaceDN w:val="0"/>
              <w:adjustRightInd w:val="0"/>
              <w:snapToGrid w:val="0"/>
              <w:spacing w:line="520" w:lineRule="exact"/>
              <w:rPr>
                <w:rFonts w:ascii="宋体" w:cs="Times New Roman"/>
                <w:color w:val="auto"/>
                <w:kern w:val="0"/>
                <w:sz w:val="24"/>
                <w:szCs w:val="24"/>
                <w:highlight w:val="none"/>
              </w:rPr>
            </w:pPr>
          </w:p>
        </w:tc>
      </w:tr>
    </w:tbl>
    <w:p>
      <w:pPr>
        <w:spacing w:line="360" w:lineRule="auto"/>
        <w:jc w:val="left"/>
        <w:rPr>
          <w:rFonts w:ascii="宋体" w:cs="Times New Roman"/>
          <w:color w:val="auto"/>
          <w:sz w:val="24"/>
          <w:szCs w:val="24"/>
          <w:highlight w:val="none"/>
        </w:rPr>
      </w:pPr>
    </w:p>
    <w:p>
      <w:pPr>
        <w:spacing w:line="360" w:lineRule="auto"/>
        <w:jc w:val="center"/>
        <w:outlineLvl w:val="1"/>
        <w:rPr>
          <w:rFonts w:ascii="宋体" w:hAnsi="宋体" w:cs="宋体"/>
          <w:b/>
          <w:color w:val="auto"/>
          <w:sz w:val="24"/>
          <w:szCs w:val="24"/>
          <w:highlight w:val="none"/>
        </w:rPr>
      </w:pPr>
      <w:r>
        <w:rPr>
          <w:rFonts w:ascii="宋体" w:cs="Times New Roman"/>
          <w:color w:val="auto"/>
          <w:sz w:val="24"/>
          <w:szCs w:val="24"/>
          <w:highlight w:val="none"/>
        </w:rPr>
        <w:br w:type="page"/>
      </w:r>
      <w:bookmarkStart w:id="105" w:name="_Toc130252622"/>
      <w:bookmarkStart w:id="106" w:name="_Toc128476878"/>
      <w:bookmarkStart w:id="107" w:name="_Toc141050515"/>
      <w:bookmarkStart w:id="108" w:name="_Toc113901849"/>
      <w:r>
        <w:rPr>
          <w:rFonts w:hint="eastAsia" w:ascii="宋体" w:hAnsi="宋体" w:cs="宋体"/>
          <w:b/>
          <w:color w:val="auto"/>
          <w:sz w:val="24"/>
          <w:szCs w:val="24"/>
          <w:highlight w:val="none"/>
        </w:rPr>
        <w:t>8.1、法人或者其他组织的营业执照等证明文件，自然人的身份证明</w:t>
      </w:r>
      <w:bookmarkEnd w:id="105"/>
      <w:bookmarkEnd w:id="106"/>
      <w:bookmarkEnd w:id="107"/>
      <w:bookmarkEnd w:id="108"/>
    </w:p>
    <w:p>
      <w:pPr>
        <w:spacing w:line="360" w:lineRule="auto"/>
        <w:rPr>
          <w:rFonts w:ascii="宋体" w:hAnsi="宋体" w:cs="Times New Roman"/>
          <w:color w:val="auto"/>
          <w:sz w:val="24"/>
          <w:szCs w:val="24"/>
          <w:highlight w:val="none"/>
        </w:rPr>
      </w:pPr>
    </w:p>
    <w:p>
      <w:pPr>
        <w:spacing w:line="360" w:lineRule="auto"/>
        <w:ind w:firstLine="480" w:firstLineChars="200"/>
        <w:rPr>
          <w:rFonts w:ascii="宋体" w:hAnsi="宋体" w:cs="Times New Roman"/>
          <w:color w:val="auto"/>
          <w:sz w:val="24"/>
          <w:szCs w:val="24"/>
          <w:highlight w:val="none"/>
        </w:rPr>
      </w:pPr>
      <w:r>
        <w:rPr>
          <w:rFonts w:hint="eastAsia" w:ascii="宋体" w:hAnsi="宋体" w:cs="Times New Roman"/>
          <w:color w:val="auto"/>
          <w:sz w:val="24"/>
          <w:szCs w:val="24"/>
          <w:highlight w:val="none"/>
        </w:rPr>
        <w:t>一、如投标人是企业（包括合伙企业)，应提供在工商部门注册的有效“企业法人营业执照”或“营业执照”;</w:t>
      </w:r>
    </w:p>
    <w:p>
      <w:pPr>
        <w:spacing w:line="360" w:lineRule="auto"/>
        <w:ind w:firstLine="480" w:firstLineChars="200"/>
        <w:rPr>
          <w:rFonts w:ascii="宋体" w:hAnsi="宋体" w:cs="Times New Roman"/>
          <w:color w:val="auto"/>
          <w:sz w:val="24"/>
          <w:szCs w:val="24"/>
          <w:highlight w:val="none"/>
        </w:rPr>
      </w:pPr>
      <w:r>
        <w:rPr>
          <w:rFonts w:hint="eastAsia" w:ascii="宋体" w:hAnsi="宋体" w:cs="Times New Roman"/>
          <w:color w:val="auto"/>
          <w:sz w:val="24"/>
          <w:szCs w:val="24"/>
          <w:highlight w:val="none"/>
        </w:rPr>
        <w:t>二、如投标人是事业单位，应提供有效的“事业单位法人证书”;</w:t>
      </w:r>
    </w:p>
    <w:p>
      <w:pPr>
        <w:spacing w:line="360" w:lineRule="auto"/>
        <w:ind w:firstLine="480" w:firstLineChars="200"/>
        <w:rPr>
          <w:rFonts w:ascii="宋体" w:hAnsi="宋体" w:cs="Times New Roman"/>
          <w:color w:val="auto"/>
          <w:sz w:val="24"/>
          <w:szCs w:val="24"/>
          <w:highlight w:val="none"/>
        </w:rPr>
      </w:pPr>
      <w:r>
        <w:rPr>
          <w:rFonts w:hint="eastAsia" w:ascii="宋体" w:hAnsi="宋体" w:cs="Times New Roman"/>
          <w:color w:val="auto"/>
          <w:sz w:val="24"/>
          <w:szCs w:val="24"/>
          <w:highlight w:val="none"/>
        </w:rPr>
        <w:t>三、投标人是非企业专业服务机构的，应提供执业许可证等证明文件;</w:t>
      </w:r>
    </w:p>
    <w:p>
      <w:pPr>
        <w:spacing w:line="360" w:lineRule="auto"/>
        <w:ind w:firstLine="480" w:firstLineChars="200"/>
        <w:rPr>
          <w:rFonts w:ascii="宋体" w:hAnsi="宋体" w:cs="Times New Roman"/>
          <w:color w:val="auto"/>
          <w:sz w:val="24"/>
          <w:szCs w:val="24"/>
          <w:highlight w:val="none"/>
        </w:rPr>
      </w:pPr>
      <w:r>
        <w:rPr>
          <w:rFonts w:hint="eastAsia" w:ascii="宋体" w:hAnsi="宋体" w:cs="Times New Roman"/>
          <w:color w:val="auto"/>
          <w:sz w:val="24"/>
          <w:szCs w:val="24"/>
          <w:highlight w:val="none"/>
        </w:rPr>
        <w:t>四、如投标人是个体工商户，应提供有效的“个体工商户营业执照”;</w:t>
      </w:r>
    </w:p>
    <w:p>
      <w:pPr>
        <w:spacing w:line="360" w:lineRule="auto"/>
        <w:ind w:firstLine="480" w:firstLineChars="200"/>
        <w:rPr>
          <w:rFonts w:ascii="宋体" w:hAnsi="宋体" w:cs="Times New Roman"/>
          <w:color w:val="auto"/>
          <w:sz w:val="24"/>
          <w:szCs w:val="24"/>
          <w:highlight w:val="none"/>
        </w:rPr>
      </w:pPr>
      <w:r>
        <w:rPr>
          <w:rFonts w:hint="eastAsia" w:ascii="宋体" w:hAnsi="宋体" w:cs="Times New Roman"/>
          <w:color w:val="auto"/>
          <w:sz w:val="24"/>
          <w:szCs w:val="24"/>
          <w:highlight w:val="none"/>
        </w:rPr>
        <w:t>五、如投标人是自然人，应提供有效的自然人身份证明。</w:t>
      </w:r>
    </w:p>
    <w:p>
      <w:pPr>
        <w:spacing w:line="360" w:lineRule="auto"/>
        <w:rPr>
          <w:rFonts w:ascii="宋体" w:hAnsi="宋体" w:cs="Times New Roman"/>
          <w:color w:val="auto"/>
          <w:sz w:val="24"/>
          <w:szCs w:val="24"/>
          <w:highlight w:val="none"/>
        </w:rPr>
      </w:pPr>
    </w:p>
    <w:p>
      <w:pPr>
        <w:spacing w:line="360" w:lineRule="auto"/>
        <w:rPr>
          <w:rFonts w:ascii="宋体" w:hAnsi="宋体" w:cs="Times New Roman"/>
          <w:color w:val="auto"/>
          <w:sz w:val="24"/>
          <w:szCs w:val="24"/>
          <w:highlight w:val="none"/>
        </w:rPr>
      </w:pPr>
    </w:p>
    <w:p>
      <w:pPr>
        <w:widowControl/>
        <w:spacing w:line="360" w:lineRule="auto"/>
        <w:jc w:val="left"/>
        <w:rPr>
          <w:rFonts w:cs="Times New Roman"/>
          <w:color w:val="auto"/>
          <w:highlight w:val="none"/>
        </w:rPr>
      </w:pPr>
      <w:r>
        <w:rPr>
          <w:rFonts w:ascii="宋体" w:hAnsi="宋体" w:cs="宋体"/>
          <w:b/>
          <w:color w:val="auto"/>
          <w:sz w:val="24"/>
          <w:szCs w:val="24"/>
          <w:highlight w:val="none"/>
        </w:rPr>
        <w:br w:type="page"/>
      </w:r>
    </w:p>
    <w:p>
      <w:pPr>
        <w:spacing w:line="360" w:lineRule="auto"/>
        <w:jc w:val="center"/>
        <w:outlineLvl w:val="1"/>
        <w:rPr>
          <w:rFonts w:ascii="宋体" w:hAnsi="宋体" w:cs="Times New Roman"/>
          <w:b/>
          <w:color w:val="auto"/>
          <w:sz w:val="24"/>
          <w:szCs w:val="24"/>
          <w:highlight w:val="none"/>
        </w:rPr>
      </w:pPr>
      <w:bookmarkStart w:id="109" w:name="_Toc141050516"/>
      <w:bookmarkStart w:id="110" w:name="_Toc128476879"/>
      <w:bookmarkStart w:id="111" w:name="_Toc113901850"/>
      <w:bookmarkStart w:id="112" w:name="_Toc130252623"/>
      <w:r>
        <w:rPr>
          <w:rFonts w:hint="eastAsia" w:ascii="宋体" w:hAnsi="宋体" w:cs="宋体"/>
          <w:b/>
          <w:color w:val="auto"/>
          <w:sz w:val="24"/>
          <w:szCs w:val="24"/>
          <w:highlight w:val="none"/>
        </w:rPr>
        <w:t>8.2、财务状况报告，依法缴纳税收和社会保障资金的相关材料</w:t>
      </w:r>
      <w:bookmarkEnd w:id="109"/>
      <w:bookmarkEnd w:id="110"/>
      <w:bookmarkEnd w:id="111"/>
      <w:bookmarkEnd w:id="112"/>
    </w:p>
    <w:p>
      <w:pPr>
        <w:spacing w:after="120" w:line="360" w:lineRule="auto"/>
        <w:rPr>
          <w:rFonts w:ascii="宋体" w:hAnsi="宋体" w:cs="仿宋"/>
          <w:color w:val="auto"/>
          <w:spacing w:val="10"/>
          <w:kern w:val="0"/>
          <w:sz w:val="24"/>
          <w:szCs w:val="24"/>
          <w:highlight w:val="none"/>
        </w:rPr>
      </w:pPr>
    </w:p>
    <w:p>
      <w:pPr>
        <w:spacing w:after="120" w:line="360" w:lineRule="auto"/>
        <w:ind w:firstLine="520" w:firstLineChars="200"/>
        <w:rPr>
          <w:rFonts w:ascii="宋体" w:hAnsi="宋体" w:cs="仿宋"/>
          <w:color w:val="auto"/>
          <w:spacing w:val="10"/>
          <w:kern w:val="0"/>
          <w:sz w:val="24"/>
          <w:szCs w:val="24"/>
          <w:highlight w:val="none"/>
        </w:rPr>
      </w:pPr>
      <w:r>
        <w:rPr>
          <w:rFonts w:hint="eastAsia" w:ascii="宋体" w:hAnsi="宋体" w:cs="仿宋"/>
          <w:color w:val="auto"/>
          <w:spacing w:val="10"/>
          <w:kern w:val="0"/>
          <w:sz w:val="24"/>
          <w:szCs w:val="24"/>
          <w:highlight w:val="none"/>
        </w:rPr>
        <w:t>一、财务状况报告（</w:t>
      </w:r>
      <w:r>
        <w:rPr>
          <w:rFonts w:hint="eastAsia" w:ascii="宋体" w:hAnsi="宋体" w:cs="Times New Roman"/>
          <w:color w:val="auto"/>
          <w:kern w:val="0"/>
          <w:sz w:val="24"/>
          <w:szCs w:val="24"/>
          <w:highlight w:val="none"/>
        </w:rPr>
        <w:t>满足下述一条要求即可</w:t>
      </w:r>
      <w:r>
        <w:rPr>
          <w:rFonts w:hint="eastAsia" w:ascii="宋体" w:hAnsi="宋体" w:cs="仿宋"/>
          <w:color w:val="auto"/>
          <w:spacing w:val="10"/>
          <w:kern w:val="0"/>
          <w:sz w:val="24"/>
          <w:szCs w:val="24"/>
          <w:highlight w:val="none"/>
        </w:rPr>
        <w:t>）：</w:t>
      </w:r>
    </w:p>
    <w:p>
      <w:pPr>
        <w:spacing w:after="120" w:line="360" w:lineRule="auto"/>
        <w:ind w:firstLine="480" w:firstLineChars="200"/>
        <w:rPr>
          <w:rFonts w:ascii="宋体" w:hAnsi="宋体" w:cs="仿宋"/>
          <w:color w:val="auto"/>
          <w:spacing w:val="10"/>
          <w:kern w:val="0"/>
          <w:sz w:val="24"/>
          <w:szCs w:val="24"/>
          <w:highlight w:val="none"/>
        </w:rPr>
      </w:pPr>
      <w:r>
        <w:rPr>
          <w:rFonts w:hint="eastAsia" w:ascii="宋体" w:hAnsi="宋体" w:cs="Times New Roman"/>
          <w:color w:val="auto"/>
          <w:kern w:val="0"/>
          <w:sz w:val="24"/>
          <w:szCs w:val="24"/>
          <w:highlight w:val="none"/>
        </w:rPr>
        <w:t>要求1</w:t>
      </w:r>
      <w:r>
        <w:rPr>
          <w:rFonts w:hint="eastAsia" w:ascii="宋体" w:hAnsi="宋体" w:cs="仿宋"/>
          <w:color w:val="auto"/>
          <w:spacing w:val="10"/>
          <w:kern w:val="0"/>
          <w:sz w:val="24"/>
          <w:szCs w:val="24"/>
          <w:highlight w:val="none"/>
        </w:rPr>
        <w:t>、投标人是法人的，应提供经审计的财务报告（2021年度或2022年度），包括“四表-注”，即资产负债表、利润表、现金流量表、所有者权益变动表及其附注，或其基本开户银行出具的资信证明。部分其他组织和自然人，没有经审计的财务报告，可以提供银行出具的资信证明。</w:t>
      </w:r>
    </w:p>
    <w:p>
      <w:pPr>
        <w:spacing w:after="120" w:line="360" w:lineRule="auto"/>
        <w:ind w:firstLine="480" w:firstLineChars="200"/>
        <w:rPr>
          <w:rFonts w:ascii="宋体" w:hAnsi="宋体" w:cs="仿宋"/>
          <w:color w:val="auto"/>
          <w:spacing w:val="10"/>
          <w:kern w:val="0"/>
          <w:sz w:val="24"/>
          <w:szCs w:val="24"/>
          <w:highlight w:val="none"/>
        </w:rPr>
      </w:pPr>
      <w:r>
        <w:rPr>
          <w:rFonts w:hint="eastAsia" w:ascii="宋体" w:hAnsi="宋体" w:cs="Times New Roman"/>
          <w:color w:val="auto"/>
          <w:kern w:val="0"/>
          <w:sz w:val="24"/>
          <w:szCs w:val="24"/>
          <w:highlight w:val="none"/>
        </w:rPr>
        <w:t>要求2</w:t>
      </w:r>
      <w:r>
        <w:rPr>
          <w:rFonts w:hint="eastAsia" w:ascii="宋体" w:hAnsi="宋体" w:cs="仿宋"/>
          <w:color w:val="auto"/>
          <w:spacing w:val="10"/>
          <w:kern w:val="0"/>
          <w:sz w:val="24"/>
          <w:szCs w:val="24"/>
          <w:highlight w:val="none"/>
        </w:rPr>
        <w:t>、财政部门认可的政府采购专业担保机构出具的有效期内的投标担保函。</w:t>
      </w:r>
    </w:p>
    <w:p>
      <w:pPr>
        <w:spacing w:after="120" w:line="360" w:lineRule="auto"/>
        <w:ind w:firstLine="480" w:firstLineChars="200"/>
        <w:rPr>
          <w:rFonts w:ascii="宋体" w:hAnsi="宋体" w:cs="仿宋"/>
          <w:color w:val="auto"/>
          <w:spacing w:val="10"/>
          <w:kern w:val="0"/>
          <w:sz w:val="24"/>
          <w:szCs w:val="24"/>
          <w:highlight w:val="none"/>
        </w:rPr>
      </w:pPr>
      <w:r>
        <w:rPr>
          <w:rFonts w:hint="eastAsia" w:ascii="宋体" w:hAnsi="宋体" w:cs="Times New Roman"/>
          <w:color w:val="auto"/>
          <w:kern w:val="0"/>
          <w:sz w:val="24"/>
          <w:szCs w:val="24"/>
          <w:highlight w:val="none"/>
        </w:rPr>
        <w:t>要求3</w:t>
      </w:r>
      <w:r>
        <w:rPr>
          <w:rFonts w:hint="eastAsia" w:ascii="宋体" w:hAnsi="宋体" w:cs="仿宋"/>
          <w:color w:val="auto"/>
          <w:spacing w:val="10"/>
          <w:kern w:val="0"/>
          <w:sz w:val="24"/>
          <w:szCs w:val="24"/>
          <w:highlight w:val="none"/>
        </w:rPr>
        <w:t>、</w:t>
      </w:r>
      <w:r>
        <w:rPr>
          <w:rFonts w:hint="eastAsia" w:ascii="宋体" w:hAnsi="宋体" w:cs="仿宋"/>
          <w:color w:val="auto"/>
          <w:kern w:val="0"/>
          <w:sz w:val="24"/>
          <w:szCs w:val="24"/>
          <w:highlight w:val="none"/>
        </w:rPr>
        <w:t>成立不足一个月（</w:t>
      </w:r>
      <w:r>
        <w:rPr>
          <w:rFonts w:hint="eastAsia" w:ascii="宋体" w:hAnsi="宋体" w:cs="仿宋"/>
          <w:color w:val="auto"/>
          <w:spacing w:val="10"/>
          <w:kern w:val="0"/>
          <w:sz w:val="24"/>
          <w:szCs w:val="24"/>
          <w:highlight w:val="none"/>
        </w:rPr>
        <w:t>以投标文件递交截止之日为期限</w:t>
      </w:r>
      <w:r>
        <w:rPr>
          <w:rFonts w:hint="eastAsia" w:ascii="宋体" w:hAnsi="宋体" w:cs="仿宋"/>
          <w:color w:val="auto"/>
          <w:kern w:val="0"/>
          <w:sz w:val="24"/>
          <w:szCs w:val="24"/>
          <w:highlight w:val="none"/>
        </w:rPr>
        <w:t>）的投标人无需提供。</w:t>
      </w:r>
    </w:p>
    <w:p>
      <w:pPr>
        <w:spacing w:after="120" w:line="360" w:lineRule="auto"/>
        <w:ind w:firstLine="520" w:firstLineChars="200"/>
        <w:rPr>
          <w:rFonts w:ascii="宋体" w:hAnsi="宋体" w:cs="仿宋"/>
          <w:color w:val="auto"/>
          <w:spacing w:val="10"/>
          <w:kern w:val="0"/>
          <w:sz w:val="24"/>
          <w:szCs w:val="24"/>
          <w:highlight w:val="none"/>
        </w:rPr>
      </w:pPr>
      <w:r>
        <w:rPr>
          <w:rFonts w:hint="eastAsia" w:ascii="宋体" w:hAnsi="宋体" w:cs="仿宋"/>
          <w:color w:val="auto"/>
          <w:spacing w:val="10"/>
          <w:kern w:val="0"/>
          <w:sz w:val="24"/>
          <w:szCs w:val="24"/>
          <w:highlight w:val="none"/>
        </w:rPr>
        <w:t>二、依法缴纳税收和社会保障资金的相关材料</w:t>
      </w:r>
    </w:p>
    <w:p>
      <w:pPr>
        <w:spacing w:after="120" w:line="360" w:lineRule="auto"/>
        <w:ind w:firstLine="520" w:firstLineChars="200"/>
        <w:rPr>
          <w:rFonts w:ascii="宋体" w:hAnsi="宋体" w:cs="仿宋"/>
          <w:color w:val="auto"/>
          <w:spacing w:val="10"/>
          <w:kern w:val="0"/>
          <w:sz w:val="24"/>
          <w:szCs w:val="24"/>
          <w:highlight w:val="none"/>
        </w:rPr>
      </w:pPr>
      <w:r>
        <w:rPr>
          <w:rFonts w:hint="eastAsia" w:ascii="宋体" w:hAnsi="宋体" w:cs="仿宋"/>
          <w:color w:val="auto"/>
          <w:spacing w:val="10"/>
          <w:kern w:val="0"/>
          <w:sz w:val="24"/>
          <w:szCs w:val="24"/>
          <w:highlight w:val="none"/>
        </w:rPr>
        <w:t>2.1、依法缴纳税收的证明材料：</w:t>
      </w:r>
    </w:p>
    <w:p>
      <w:pPr>
        <w:spacing w:after="120" w:line="360" w:lineRule="auto"/>
        <w:ind w:firstLine="480" w:firstLineChars="200"/>
        <w:rPr>
          <w:rFonts w:ascii="宋体" w:hAnsi="宋体" w:cs="仿宋"/>
          <w:color w:val="auto"/>
          <w:spacing w:val="10"/>
          <w:kern w:val="0"/>
          <w:sz w:val="24"/>
          <w:szCs w:val="24"/>
          <w:highlight w:val="none"/>
        </w:rPr>
      </w:pPr>
      <w:r>
        <w:rPr>
          <w:rFonts w:hint="eastAsia" w:ascii="宋体" w:hAnsi="宋体" w:cs="Times New Roman"/>
          <w:color w:val="auto"/>
          <w:kern w:val="0"/>
          <w:sz w:val="24"/>
          <w:szCs w:val="24"/>
          <w:highlight w:val="none"/>
        </w:rPr>
        <w:t>投标人参加政府采购活动前一段时间（投标文件递交截止之日前六个月内任一个月）内缴纳税收的完税凭证（指各种完税证、缴款书、印花税票、扣（收）税凭证以及其他完税证明）。</w:t>
      </w:r>
    </w:p>
    <w:p>
      <w:pPr>
        <w:spacing w:after="120" w:line="360" w:lineRule="auto"/>
        <w:ind w:right="516" w:firstLine="520" w:firstLineChars="200"/>
        <w:rPr>
          <w:rFonts w:ascii="宋体" w:hAnsi="宋体" w:cs="仿宋"/>
          <w:color w:val="auto"/>
          <w:spacing w:val="10"/>
          <w:kern w:val="0"/>
          <w:sz w:val="24"/>
          <w:szCs w:val="24"/>
          <w:highlight w:val="none"/>
        </w:rPr>
      </w:pPr>
      <w:r>
        <w:rPr>
          <w:rFonts w:hint="eastAsia" w:ascii="宋体" w:hAnsi="宋体" w:cs="仿宋"/>
          <w:color w:val="auto"/>
          <w:spacing w:val="10"/>
          <w:kern w:val="0"/>
          <w:sz w:val="24"/>
          <w:szCs w:val="24"/>
          <w:highlight w:val="none"/>
        </w:rPr>
        <w:t>2.2、依法缴纳社会保障资金的证明材料：</w:t>
      </w:r>
    </w:p>
    <w:p>
      <w:pPr>
        <w:spacing w:after="120" w:line="360" w:lineRule="auto"/>
        <w:ind w:right="516" w:firstLine="480" w:firstLineChars="200"/>
        <w:rPr>
          <w:rFonts w:ascii="宋体" w:hAnsi="宋体" w:cs="仿宋"/>
          <w:color w:val="auto"/>
          <w:spacing w:val="10"/>
          <w:kern w:val="0"/>
          <w:sz w:val="24"/>
          <w:szCs w:val="24"/>
          <w:highlight w:val="none"/>
        </w:rPr>
      </w:pPr>
      <w:r>
        <w:rPr>
          <w:rFonts w:hint="eastAsia" w:ascii="宋体" w:hAnsi="宋体" w:cs="Times New Roman"/>
          <w:color w:val="auto"/>
          <w:kern w:val="0"/>
          <w:sz w:val="24"/>
          <w:szCs w:val="24"/>
          <w:highlight w:val="none"/>
        </w:rPr>
        <w:t>投标人参加政府采购活动前一段时间（投标文件递交截止之日前六个月内任一个月）内缴纳社会保险的凭据，其他组织和自然人也需要提供缴纳税收的凭据和缴纳社会保险的凭据。</w:t>
      </w:r>
    </w:p>
    <w:p>
      <w:pPr>
        <w:spacing w:after="120" w:line="360" w:lineRule="auto"/>
        <w:ind w:right="516" w:firstLine="520" w:firstLineChars="200"/>
        <w:rPr>
          <w:rFonts w:ascii="宋体" w:hAnsi="宋体" w:cs="仿宋"/>
          <w:color w:val="auto"/>
          <w:spacing w:val="10"/>
          <w:kern w:val="0"/>
          <w:sz w:val="24"/>
          <w:szCs w:val="24"/>
          <w:highlight w:val="none"/>
        </w:rPr>
      </w:pPr>
      <w:r>
        <w:rPr>
          <w:rFonts w:hint="eastAsia" w:ascii="宋体" w:hAnsi="宋体" w:cs="仿宋"/>
          <w:color w:val="auto"/>
          <w:spacing w:val="10"/>
          <w:kern w:val="0"/>
          <w:sz w:val="24"/>
          <w:szCs w:val="24"/>
          <w:highlight w:val="none"/>
        </w:rPr>
        <w:t>2.3、依法免税或不需要缴纳社会保障资金的投标人，应提供相应文件证明其依法免税或不需要缴纳社会保障资金。</w:t>
      </w:r>
    </w:p>
    <w:p>
      <w:pPr>
        <w:spacing w:after="120" w:line="360" w:lineRule="auto"/>
        <w:ind w:right="516" w:firstLine="520" w:firstLineChars="200"/>
        <w:rPr>
          <w:rFonts w:ascii="宋体" w:hAnsi="宋体" w:cs="仿宋"/>
          <w:color w:val="auto"/>
          <w:spacing w:val="10"/>
          <w:kern w:val="0"/>
          <w:sz w:val="24"/>
          <w:szCs w:val="24"/>
          <w:highlight w:val="none"/>
        </w:rPr>
      </w:pPr>
      <w:r>
        <w:rPr>
          <w:rFonts w:hint="eastAsia" w:ascii="宋体" w:hAnsi="宋体" w:cs="仿宋"/>
          <w:color w:val="auto"/>
          <w:spacing w:val="10"/>
          <w:kern w:val="0"/>
          <w:sz w:val="24"/>
          <w:szCs w:val="24"/>
          <w:highlight w:val="none"/>
        </w:rPr>
        <w:t>三、注：</w:t>
      </w:r>
    </w:p>
    <w:p>
      <w:pPr>
        <w:spacing w:after="120" w:line="360" w:lineRule="auto"/>
        <w:ind w:right="516" w:firstLine="520" w:firstLineChars="200"/>
        <w:rPr>
          <w:rFonts w:ascii="宋体" w:hAnsi="宋体" w:cs="仿宋"/>
          <w:color w:val="auto"/>
          <w:spacing w:val="10"/>
          <w:kern w:val="0"/>
          <w:sz w:val="24"/>
          <w:szCs w:val="24"/>
          <w:highlight w:val="none"/>
        </w:rPr>
      </w:pPr>
      <w:r>
        <w:rPr>
          <w:rFonts w:hint="eastAsia" w:ascii="宋体" w:hAnsi="宋体" w:cs="仿宋"/>
          <w:color w:val="auto"/>
          <w:spacing w:val="10"/>
          <w:kern w:val="0"/>
          <w:sz w:val="24"/>
          <w:szCs w:val="24"/>
          <w:highlight w:val="none"/>
        </w:rPr>
        <w:t>3.1、如因有关主管部门政策调整，部分证明材料有所增减，以最新政策要求为准；</w:t>
      </w:r>
    </w:p>
    <w:p>
      <w:pPr>
        <w:spacing w:after="120" w:line="360" w:lineRule="auto"/>
        <w:ind w:right="516" w:firstLine="520" w:firstLineChars="200"/>
        <w:rPr>
          <w:rFonts w:ascii="宋体" w:hAnsi="宋体" w:cs="仿宋"/>
          <w:color w:val="auto"/>
          <w:spacing w:val="10"/>
          <w:kern w:val="0"/>
          <w:sz w:val="24"/>
          <w:szCs w:val="24"/>
          <w:highlight w:val="none"/>
        </w:rPr>
      </w:pPr>
      <w:r>
        <w:rPr>
          <w:rFonts w:hint="eastAsia" w:ascii="宋体" w:hAnsi="宋体" w:cs="仿宋"/>
          <w:color w:val="auto"/>
          <w:spacing w:val="10"/>
          <w:kern w:val="0"/>
          <w:sz w:val="24"/>
          <w:szCs w:val="24"/>
          <w:highlight w:val="none"/>
        </w:rPr>
        <w:t>3.2、如投标人所在地有关主管部门反馈的证明材料与本文中要求不一致时，以当地要求为准，但须投标人提供文字说明。</w:t>
      </w:r>
    </w:p>
    <w:p>
      <w:pPr>
        <w:tabs>
          <w:tab w:val="center" w:pos="4832"/>
          <w:tab w:val="left" w:pos="7140"/>
        </w:tabs>
        <w:spacing w:line="360" w:lineRule="auto"/>
        <w:jc w:val="center"/>
        <w:outlineLvl w:val="1"/>
        <w:rPr>
          <w:rFonts w:ascii="宋体" w:hAnsi="宋体" w:cs="宋体"/>
          <w:b/>
          <w:color w:val="auto"/>
          <w:sz w:val="24"/>
          <w:szCs w:val="24"/>
          <w:highlight w:val="none"/>
        </w:rPr>
      </w:pPr>
      <w:bookmarkStart w:id="113" w:name="_Toc128476880"/>
      <w:bookmarkStart w:id="114" w:name="_Toc113901851"/>
      <w:bookmarkStart w:id="115" w:name="_Toc111556488"/>
      <w:r>
        <w:rPr>
          <w:rFonts w:ascii="宋体" w:hAnsi="宋体" w:cs="宋体"/>
          <w:b/>
          <w:color w:val="auto"/>
          <w:sz w:val="24"/>
          <w:szCs w:val="24"/>
          <w:highlight w:val="none"/>
        </w:rPr>
        <w:br w:type="page"/>
      </w:r>
      <w:bookmarkStart w:id="116" w:name="_Toc141050517"/>
      <w:bookmarkStart w:id="117" w:name="_Toc130252624"/>
      <w:r>
        <w:rPr>
          <w:rFonts w:hint="eastAsia" w:ascii="宋体" w:hAnsi="宋体" w:cs="宋体"/>
          <w:b/>
          <w:color w:val="auto"/>
          <w:sz w:val="24"/>
          <w:szCs w:val="24"/>
          <w:highlight w:val="none"/>
        </w:rPr>
        <w:t>8.3、具备履行合同所必需的设备和专业技术能力的证明材料</w:t>
      </w:r>
      <w:bookmarkEnd w:id="113"/>
      <w:bookmarkEnd w:id="114"/>
      <w:bookmarkEnd w:id="116"/>
      <w:bookmarkEnd w:id="117"/>
    </w:p>
    <w:p>
      <w:pPr>
        <w:spacing w:line="360" w:lineRule="auto"/>
        <w:jc w:val="center"/>
        <w:rPr>
          <w:rFonts w:ascii="宋体" w:hAnsi="宋体" w:cs="Times New Roman"/>
          <w:b/>
          <w:color w:val="auto"/>
          <w:sz w:val="24"/>
          <w:szCs w:val="24"/>
          <w:highlight w:val="none"/>
        </w:rPr>
      </w:pPr>
    </w:p>
    <w:p>
      <w:pPr>
        <w:spacing w:line="360" w:lineRule="auto"/>
        <w:jc w:val="center"/>
        <w:rPr>
          <w:rFonts w:ascii="宋体" w:hAnsi="宋体" w:cs="Times New Roman"/>
          <w:b/>
          <w:color w:val="auto"/>
          <w:sz w:val="24"/>
          <w:szCs w:val="24"/>
          <w:highlight w:val="none"/>
        </w:rPr>
      </w:pPr>
    </w:p>
    <w:p>
      <w:pPr>
        <w:spacing w:line="360" w:lineRule="auto"/>
        <w:jc w:val="center"/>
        <w:rPr>
          <w:rFonts w:ascii="宋体" w:hAnsi="宋体" w:cs="Times New Roman"/>
          <w:b/>
          <w:color w:val="auto"/>
          <w:sz w:val="24"/>
          <w:szCs w:val="24"/>
          <w:highlight w:val="none"/>
        </w:rPr>
      </w:pPr>
    </w:p>
    <w:p>
      <w:pPr>
        <w:spacing w:line="360" w:lineRule="auto"/>
        <w:jc w:val="center"/>
        <w:rPr>
          <w:rFonts w:ascii="宋体" w:hAnsi="宋体" w:cs="Times New Roman"/>
          <w:b/>
          <w:color w:val="auto"/>
          <w:sz w:val="24"/>
          <w:szCs w:val="24"/>
          <w:highlight w:val="none"/>
        </w:rPr>
      </w:pPr>
      <w:r>
        <w:rPr>
          <w:rFonts w:hint="eastAsia" w:ascii="宋体" w:hAnsi="宋体" w:cs="Times New Roman"/>
          <w:b/>
          <w:color w:val="auto"/>
          <w:sz w:val="24"/>
          <w:szCs w:val="24"/>
          <w:highlight w:val="none"/>
        </w:rPr>
        <w:t>具有履行合同所必需的设备和专业技术能力的承诺</w:t>
      </w:r>
      <w:bookmarkEnd w:id="115"/>
      <w:r>
        <w:rPr>
          <w:rFonts w:hint="eastAsia" w:ascii="宋体" w:hAnsi="宋体" w:cs="Times New Roman"/>
          <w:b/>
          <w:color w:val="auto"/>
          <w:sz w:val="24"/>
          <w:szCs w:val="24"/>
          <w:highlight w:val="none"/>
        </w:rPr>
        <w:t>函</w:t>
      </w:r>
    </w:p>
    <w:p>
      <w:pPr>
        <w:adjustRightInd w:val="0"/>
        <w:snapToGrid w:val="0"/>
        <w:spacing w:line="360" w:lineRule="auto"/>
        <w:ind w:firstLine="480" w:firstLineChars="200"/>
        <w:jc w:val="center"/>
        <w:rPr>
          <w:rFonts w:ascii="宋体" w:hAnsi="宋体" w:cs="Times New Roman"/>
          <w:color w:val="auto"/>
          <w:sz w:val="24"/>
          <w:szCs w:val="24"/>
          <w:highlight w:val="none"/>
        </w:rPr>
      </w:pPr>
    </w:p>
    <w:p>
      <w:pPr>
        <w:autoSpaceDE w:val="0"/>
        <w:autoSpaceDN w:val="0"/>
        <w:adjustRightInd w:val="0"/>
        <w:spacing w:line="360" w:lineRule="auto"/>
        <w:ind w:firstLine="480" w:firstLineChars="200"/>
        <w:jc w:val="left"/>
        <w:rPr>
          <w:rFonts w:ascii="宋体" w:hAnsi="宋体" w:cs="Arial"/>
          <w:color w:val="auto"/>
          <w:kern w:val="0"/>
          <w:sz w:val="24"/>
          <w:szCs w:val="24"/>
          <w:highlight w:val="none"/>
        </w:rPr>
      </w:pPr>
      <w:r>
        <w:rPr>
          <w:rFonts w:hint="eastAsia" w:ascii="宋体" w:hAnsi="宋体" w:cs="Arial"/>
          <w:color w:val="auto"/>
          <w:kern w:val="0"/>
          <w:sz w:val="24"/>
          <w:szCs w:val="24"/>
          <w:highlight w:val="none"/>
        </w:rPr>
        <w:t>致：</w:t>
      </w:r>
      <w:r>
        <w:rPr>
          <w:rFonts w:hint="eastAsia"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（采购人名称）</w:t>
      </w:r>
    </w:p>
    <w:p>
      <w:pPr>
        <w:autoSpaceDE w:val="0"/>
        <w:autoSpaceDN w:val="0"/>
        <w:adjustRightInd w:val="0"/>
        <w:spacing w:line="360" w:lineRule="auto"/>
        <w:ind w:firstLine="480" w:firstLineChars="200"/>
        <w:jc w:val="left"/>
        <w:rPr>
          <w:rFonts w:ascii="宋体" w:hAnsi="宋体" w:cs="宋体"/>
          <w:color w:val="auto"/>
          <w:kern w:val="0"/>
          <w:sz w:val="24"/>
          <w:szCs w:val="24"/>
          <w:highlight w:val="none"/>
        </w:rPr>
      </w:pPr>
    </w:p>
    <w:p>
      <w:pPr>
        <w:autoSpaceDE w:val="0"/>
        <w:autoSpaceDN w:val="0"/>
        <w:adjustRightInd w:val="0"/>
        <w:spacing w:line="360" w:lineRule="auto"/>
        <w:ind w:firstLine="480" w:firstLineChars="2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我单位郑重承诺： </w:t>
      </w:r>
    </w:p>
    <w:p>
      <w:pPr>
        <w:autoSpaceDE w:val="0"/>
        <w:autoSpaceDN w:val="0"/>
        <w:adjustRightInd w:val="0"/>
        <w:spacing w:line="360" w:lineRule="auto"/>
        <w:ind w:firstLine="480" w:firstLineChars="2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我单位具备履行</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（项目名称）合同所必需的设备和专业技术能力；</w:t>
      </w:r>
    </w:p>
    <w:p>
      <w:pPr>
        <w:autoSpaceDE w:val="0"/>
        <w:autoSpaceDN w:val="0"/>
        <w:adjustRightInd w:val="0"/>
        <w:spacing w:line="360" w:lineRule="auto"/>
        <w:ind w:firstLine="480" w:firstLineChars="2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特此承诺。 </w:t>
      </w:r>
    </w:p>
    <w:p>
      <w:pPr>
        <w:autoSpaceDE w:val="0"/>
        <w:autoSpaceDN w:val="0"/>
        <w:adjustRightInd w:val="0"/>
        <w:spacing w:line="360" w:lineRule="auto"/>
        <w:jc w:val="left"/>
        <w:rPr>
          <w:rFonts w:ascii="宋体" w:hAnsi="宋体" w:cs="宋体"/>
          <w:color w:val="auto"/>
          <w:kern w:val="0"/>
          <w:sz w:val="24"/>
          <w:szCs w:val="24"/>
          <w:highlight w:val="none"/>
        </w:rPr>
      </w:pPr>
    </w:p>
    <w:p>
      <w:pPr>
        <w:autoSpaceDE w:val="0"/>
        <w:autoSpaceDN w:val="0"/>
        <w:adjustRightInd w:val="0"/>
        <w:spacing w:line="360" w:lineRule="auto"/>
        <w:jc w:val="left"/>
        <w:rPr>
          <w:rFonts w:ascii="宋体" w:hAnsi="宋体" w:cs="宋体"/>
          <w:color w:val="auto"/>
          <w:kern w:val="0"/>
          <w:sz w:val="24"/>
          <w:szCs w:val="24"/>
          <w:highlight w:val="none"/>
        </w:rPr>
      </w:pPr>
    </w:p>
    <w:p>
      <w:pPr>
        <w:autoSpaceDE w:val="0"/>
        <w:autoSpaceDN w:val="0"/>
        <w:adjustRightInd w:val="0"/>
        <w:spacing w:line="360" w:lineRule="auto"/>
        <w:jc w:val="left"/>
        <w:rPr>
          <w:rFonts w:ascii="宋体" w:hAnsi="宋体" w:cs="宋体"/>
          <w:color w:val="auto"/>
          <w:kern w:val="0"/>
          <w:sz w:val="24"/>
          <w:szCs w:val="24"/>
          <w:highlight w:val="none"/>
        </w:rPr>
      </w:pPr>
    </w:p>
    <w:p>
      <w:pPr>
        <w:autoSpaceDE w:val="0"/>
        <w:autoSpaceDN w:val="0"/>
        <w:adjustRightInd w:val="0"/>
        <w:spacing w:line="360" w:lineRule="auto"/>
        <w:jc w:val="left"/>
        <w:rPr>
          <w:rFonts w:ascii="宋体" w:hAnsi="宋体" w:cs="宋体"/>
          <w:color w:val="auto"/>
          <w:kern w:val="0"/>
          <w:sz w:val="24"/>
          <w:szCs w:val="24"/>
          <w:highlight w:val="none"/>
        </w:rPr>
      </w:pPr>
    </w:p>
    <w:p>
      <w:pPr>
        <w:widowControl/>
        <w:shd w:val="clear" w:color="auto" w:fill="FFFFFF"/>
        <w:snapToGrid w:val="0"/>
        <w:spacing w:line="360" w:lineRule="auto"/>
        <w:jc w:val="left"/>
        <w:rPr>
          <w:rFonts w:ascii="宋体" w:hAnsi="宋体" w:cs="Arial"/>
          <w:color w:val="auto"/>
          <w:kern w:val="0"/>
          <w:sz w:val="24"/>
          <w:szCs w:val="24"/>
          <w:highlight w:val="none"/>
        </w:rPr>
      </w:pPr>
      <w:r>
        <w:rPr>
          <w:rFonts w:hint="eastAsia" w:ascii="宋体" w:hAnsi="宋体" w:cs="Arial"/>
          <w:color w:val="auto"/>
          <w:kern w:val="0"/>
          <w:sz w:val="24"/>
          <w:szCs w:val="24"/>
          <w:highlight w:val="none"/>
        </w:rPr>
        <w:t>投标人：</w:t>
      </w:r>
      <w:r>
        <w:rPr>
          <w:rFonts w:hint="eastAsia"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snapToGrid w:val="0"/>
        <w:spacing w:line="360" w:lineRule="auto"/>
        <w:jc w:val="left"/>
        <w:rPr>
          <w:rFonts w:ascii="宋体" w:hAnsi="宋体" w:cs="Arial"/>
          <w:color w:val="auto"/>
          <w:kern w:val="0"/>
          <w:sz w:val="24"/>
          <w:szCs w:val="24"/>
          <w:highlight w:val="none"/>
        </w:rPr>
      </w:pPr>
    </w:p>
    <w:p>
      <w:pPr>
        <w:widowControl/>
        <w:shd w:val="clear" w:color="auto" w:fill="FFFFFF"/>
        <w:snapToGrid w:val="0"/>
        <w:spacing w:line="360" w:lineRule="auto"/>
        <w:jc w:val="left"/>
        <w:rPr>
          <w:rFonts w:ascii="宋体" w:hAnsi="宋体" w:cs="Arial"/>
          <w:color w:val="auto"/>
          <w:kern w:val="0"/>
          <w:sz w:val="24"/>
          <w:szCs w:val="24"/>
          <w:highlight w:val="none"/>
        </w:rPr>
      </w:pPr>
    </w:p>
    <w:p>
      <w:pPr>
        <w:widowControl/>
        <w:shd w:val="clear" w:color="auto" w:fill="FFFFFF"/>
        <w:snapToGrid w:val="0"/>
        <w:spacing w:line="360" w:lineRule="auto"/>
        <w:ind w:firstLine="420"/>
        <w:jc w:val="center"/>
        <w:rPr>
          <w:rFonts w:ascii="宋体" w:hAnsi="宋体" w:cs="Arial"/>
          <w:color w:val="auto"/>
          <w:kern w:val="0"/>
          <w:sz w:val="24"/>
          <w:szCs w:val="24"/>
          <w:highlight w:val="none"/>
        </w:rPr>
      </w:pPr>
      <w:r>
        <w:rPr>
          <w:rFonts w:hint="eastAsia" w:ascii="宋体" w:hAnsi="宋体" w:cs="Arial"/>
          <w:color w:val="auto"/>
          <w:kern w:val="0"/>
          <w:sz w:val="24"/>
          <w:szCs w:val="24"/>
          <w:highlight w:val="none"/>
        </w:rPr>
        <w:t xml:space="preserve">                                               日期： 年  月  日</w:t>
      </w:r>
    </w:p>
    <w:p>
      <w:pPr>
        <w:adjustRightInd w:val="0"/>
        <w:snapToGrid w:val="0"/>
        <w:spacing w:line="360" w:lineRule="auto"/>
        <w:rPr>
          <w:rFonts w:ascii="宋体" w:hAnsi="宋体" w:cs="Times New Roman"/>
          <w:bCs/>
          <w:color w:val="auto"/>
          <w:sz w:val="24"/>
          <w:szCs w:val="24"/>
          <w:highlight w:val="none"/>
        </w:rPr>
      </w:pPr>
    </w:p>
    <w:p>
      <w:pPr>
        <w:spacing w:line="360" w:lineRule="auto"/>
        <w:rPr>
          <w:rFonts w:ascii="宋体" w:hAnsi="宋体" w:cs="Times New Roman"/>
          <w:color w:val="auto"/>
          <w:sz w:val="24"/>
          <w:szCs w:val="24"/>
          <w:highlight w:val="none"/>
        </w:rPr>
      </w:pPr>
    </w:p>
    <w:p>
      <w:pPr>
        <w:spacing w:line="360" w:lineRule="auto"/>
        <w:rPr>
          <w:rFonts w:ascii="宋体" w:hAnsi="宋体" w:cs="Times New Roman"/>
          <w:color w:val="auto"/>
          <w:sz w:val="24"/>
          <w:szCs w:val="24"/>
          <w:highlight w:val="none"/>
        </w:rPr>
      </w:pPr>
    </w:p>
    <w:p>
      <w:pPr>
        <w:spacing w:line="360" w:lineRule="auto"/>
        <w:rPr>
          <w:rFonts w:ascii="宋体" w:hAnsi="宋体" w:cs="Times New Roman"/>
          <w:color w:val="auto"/>
          <w:sz w:val="24"/>
          <w:szCs w:val="24"/>
          <w:highlight w:val="none"/>
        </w:rPr>
      </w:pPr>
    </w:p>
    <w:p>
      <w:pPr>
        <w:spacing w:line="360" w:lineRule="auto"/>
        <w:rPr>
          <w:rFonts w:ascii="宋体" w:hAnsi="宋体" w:cs="Times New Roman"/>
          <w:color w:val="auto"/>
          <w:sz w:val="24"/>
          <w:szCs w:val="24"/>
          <w:highlight w:val="none"/>
        </w:rPr>
      </w:pPr>
    </w:p>
    <w:p>
      <w:pPr>
        <w:spacing w:line="360" w:lineRule="auto"/>
        <w:rPr>
          <w:rFonts w:ascii="宋体" w:hAnsi="宋体" w:cs="Times New Roman"/>
          <w:color w:val="auto"/>
          <w:sz w:val="24"/>
          <w:szCs w:val="24"/>
          <w:highlight w:val="none"/>
        </w:rPr>
      </w:pPr>
    </w:p>
    <w:p>
      <w:pPr>
        <w:spacing w:line="360" w:lineRule="auto"/>
        <w:rPr>
          <w:rFonts w:ascii="宋体" w:hAnsi="宋体" w:cs="Times New Roman"/>
          <w:color w:val="auto"/>
          <w:sz w:val="24"/>
          <w:szCs w:val="24"/>
          <w:highlight w:val="none"/>
        </w:rPr>
      </w:pPr>
    </w:p>
    <w:p>
      <w:pPr>
        <w:tabs>
          <w:tab w:val="center" w:pos="4832"/>
          <w:tab w:val="left" w:pos="7140"/>
        </w:tabs>
        <w:spacing w:line="360" w:lineRule="auto"/>
        <w:jc w:val="center"/>
        <w:outlineLvl w:val="1"/>
        <w:rPr>
          <w:rFonts w:ascii="宋体" w:hAnsi="宋体" w:cs="宋体"/>
          <w:b/>
          <w:color w:val="auto"/>
          <w:sz w:val="24"/>
          <w:szCs w:val="24"/>
          <w:highlight w:val="none"/>
        </w:rPr>
      </w:pPr>
      <w:r>
        <w:rPr>
          <w:rFonts w:ascii="宋体" w:hAnsi="宋体" w:cs="Times New Roman"/>
          <w:color w:val="auto"/>
          <w:sz w:val="24"/>
          <w:szCs w:val="24"/>
          <w:highlight w:val="none"/>
        </w:rPr>
        <w:br w:type="page"/>
      </w:r>
      <w:bookmarkStart w:id="118" w:name="_Toc130252625"/>
      <w:bookmarkStart w:id="119" w:name="_Toc141050518"/>
      <w:bookmarkStart w:id="120" w:name="_Toc113901852"/>
      <w:bookmarkStart w:id="121" w:name="_Toc128476881"/>
      <w:bookmarkStart w:id="122" w:name="_Toc111556490"/>
      <w:r>
        <w:rPr>
          <w:rFonts w:hint="eastAsia" w:ascii="宋体" w:hAnsi="宋体" w:cs="宋体"/>
          <w:b/>
          <w:color w:val="auto"/>
          <w:sz w:val="24"/>
          <w:szCs w:val="24"/>
          <w:highlight w:val="none"/>
        </w:rPr>
        <w:t>8.4、参加政府采购活动前3年内在经营活动中没有重大违法记录的书面声明</w:t>
      </w:r>
      <w:bookmarkEnd w:id="118"/>
      <w:bookmarkEnd w:id="119"/>
      <w:bookmarkEnd w:id="120"/>
      <w:bookmarkEnd w:id="121"/>
    </w:p>
    <w:bookmarkEnd w:id="122"/>
    <w:p>
      <w:pPr>
        <w:widowControl/>
        <w:adjustRightInd w:val="0"/>
        <w:snapToGrid w:val="0"/>
        <w:spacing w:line="360" w:lineRule="auto"/>
        <w:rPr>
          <w:rFonts w:ascii="宋体" w:hAnsi="宋体" w:cs="Times New Roman"/>
          <w:color w:val="auto"/>
          <w:sz w:val="24"/>
          <w:szCs w:val="24"/>
          <w:highlight w:val="none"/>
        </w:rPr>
      </w:pPr>
    </w:p>
    <w:p>
      <w:pPr>
        <w:widowControl/>
        <w:adjustRightInd w:val="0"/>
        <w:snapToGrid w:val="0"/>
        <w:spacing w:line="360" w:lineRule="auto"/>
        <w:rPr>
          <w:rFonts w:ascii="宋体" w:hAnsi="宋体" w:cs="Times New Roman"/>
          <w:color w:val="auto"/>
          <w:sz w:val="24"/>
          <w:szCs w:val="24"/>
          <w:highlight w:val="none"/>
        </w:rPr>
      </w:pPr>
    </w:p>
    <w:p>
      <w:pPr>
        <w:autoSpaceDE w:val="0"/>
        <w:autoSpaceDN w:val="0"/>
        <w:adjustRightInd w:val="0"/>
        <w:spacing w:line="360" w:lineRule="auto"/>
        <w:ind w:firstLine="480" w:firstLineChars="200"/>
        <w:jc w:val="left"/>
        <w:rPr>
          <w:rFonts w:ascii="宋体" w:hAnsi="宋体" w:cs="Arial"/>
          <w:color w:val="auto"/>
          <w:kern w:val="0"/>
          <w:sz w:val="24"/>
          <w:szCs w:val="24"/>
          <w:highlight w:val="none"/>
        </w:rPr>
      </w:pPr>
      <w:r>
        <w:rPr>
          <w:rFonts w:hint="eastAsia" w:ascii="宋体" w:hAnsi="宋体" w:cs="Arial"/>
          <w:color w:val="auto"/>
          <w:kern w:val="0"/>
          <w:sz w:val="24"/>
          <w:szCs w:val="24"/>
          <w:highlight w:val="none"/>
        </w:rPr>
        <w:t>致：</w:t>
      </w:r>
      <w:r>
        <w:rPr>
          <w:rFonts w:hint="eastAsia"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（采购人名称）</w:t>
      </w:r>
    </w:p>
    <w:p>
      <w:pPr>
        <w:adjustRightInd w:val="0"/>
        <w:snapToGrid w:val="0"/>
        <w:spacing w:line="360" w:lineRule="auto"/>
        <w:ind w:firstLine="480" w:firstLineChars="200"/>
        <w:rPr>
          <w:rFonts w:ascii="宋体" w:hAnsi="宋体" w:cs="Times New Roman"/>
          <w:color w:val="auto"/>
          <w:sz w:val="24"/>
          <w:szCs w:val="24"/>
          <w:highlight w:val="none"/>
        </w:rPr>
      </w:pPr>
    </w:p>
    <w:p>
      <w:pPr>
        <w:adjustRightInd w:val="0"/>
        <w:snapToGrid w:val="0"/>
        <w:spacing w:line="360" w:lineRule="auto"/>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我单位在参与</w:t>
      </w:r>
      <w:r>
        <w:rPr>
          <w:rFonts w:hint="eastAsia" w:ascii="宋体" w:hAnsi="宋体" w:cs="宋体"/>
          <w:color w:val="auto"/>
          <w:kern w:val="0"/>
          <w:sz w:val="24"/>
          <w:szCs w:val="24"/>
          <w:highlight w:val="none"/>
          <w:u w:val="single"/>
        </w:rPr>
        <w:t xml:space="preserve">            </w:t>
      </w:r>
      <w:r>
        <w:rPr>
          <w:rFonts w:hint="eastAsia" w:ascii="宋体" w:hAnsi="宋体" w:cs="Times New Roman"/>
          <w:color w:val="auto"/>
          <w:sz w:val="24"/>
          <w:szCs w:val="24"/>
          <w:highlight w:val="none"/>
        </w:rPr>
        <w:t>（项目名称）</w:t>
      </w:r>
      <w:r>
        <w:rPr>
          <w:rFonts w:hint="eastAsia" w:ascii="宋体" w:hAnsi="宋体" w:cs="宋体"/>
          <w:color w:val="auto"/>
          <w:kern w:val="0"/>
          <w:sz w:val="24"/>
          <w:szCs w:val="24"/>
          <w:highlight w:val="none"/>
        </w:rPr>
        <w:t>前三年内（以</w:t>
      </w:r>
      <w:r>
        <w:rPr>
          <w:rFonts w:hint="eastAsia" w:ascii="宋体" w:hAnsi="宋体" w:cs="Times New Roman"/>
          <w:color w:val="auto"/>
          <w:sz w:val="24"/>
          <w:szCs w:val="24"/>
          <w:highlight w:val="none"/>
        </w:rPr>
        <w:t>投标文件递交截止之日为期限</w:t>
      </w:r>
      <w:r>
        <w:rPr>
          <w:rFonts w:hint="eastAsia" w:ascii="宋体" w:hAnsi="宋体" w:cs="宋体"/>
          <w:color w:val="auto"/>
          <w:kern w:val="0"/>
          <w:sz w:val="24"/>
          <w:szCs w:val="24"/>
          <w:highlight w:val="none"/>
        </w:rPr>
        <w:t>）在经营活动中没有重大违法记录。</w:t>
      </w:r>
    </w:p>
    <w:p>
      <w:pPr>
        <w:adjustRightInd w:val="0"/>
        <w:snapToGrid w:val="0"/>
        <w:spacing w:line="360" w:lineRule="auto"/>
        <w:ind w:firstLine="480" w:firstLineChars="200"/>
        <w:rPr>
          <w:rFonts w:ascii="宋体" w:hAnsi="宋体" w:cs="Times New Roman"/>
          <w:color w:val="auto"/>
          <w:sz w:val="24"/>
          <w:szCs w:val="24"/>
          <w:highlight w:val="none"/>
        </w:rPr>
      </w:pPr>
      <w:r>
        <w:rPr>
          <w:rFonts w:hint="eastAsia" w:ascii="宋体" w:hAnsi="宋体" w:cs="Times New Roman"/>
          <w:color w:val="auto"/>
          <w:sz w:val="24"/>
          <w:szCs w:val="24"/>
          <w:highlight w:val="none"/>
        </w:rPr>
        <w:t>若贵方在本项目采购过程中发现我方参加政府采购活动前三年内有重大违法记录；</w:t>
      </w:r>
      <w:r>
        <w:rPr>
          <w:rFonts w:hint="eastAsia" w:ascii="宋体" w:hAnsi="宋体" w:cs="宋体"/>
          <w:color w:val="auto"/>
          <w:kern w:val="0"/>
          <w:sz w:val="24"/>
          <w:szCs w:val="24"/>
          <w:highlight w:val="none"/>
        </w:rPr>
        <w:t>我单位</w:t>
      </w:r>
      <w:r>
        <w:rPr>
          <w:rFonts w:hint="eastAsia" w:ascii="宋体" w:hAnsi="宋体" w:cs="Times New Roman"/>
          <w:color w:val="auto"/>
          <w:sz w:val="24"/>
          <w:szCs w:val="24"/>
          <w:highlight w:val="none"/>
        </w:rPr>
        <w:t>将无条件退出本项目的投标，并承担因此引起的一切后果。我方对此声明负全部法律责任。</w:t>
      </w:r>
    </w:p>
    <w:p>
      <w:pPr>
        <w:adjustRightInd w:val="0"/>
        <w:snapToGrid w:val="0"/>
        <w:spacing w:line="360" w:lineRule="auto"/>
        <w:ind w:firstLine="480" w:firstLineChars="200"/>
        <w:rPr>
          <w:rFonts w:ascii="宋体" w:hAnsi="宋体" w:cs="Times New Roman"/>
          <w:color w:val="auto"/>
          <w:sz w:val="24"/>
          <w:szCs w:val="24"/>
          <w:highlight w:val="none"/>
        </w:rPr>
      </w:pPr>
      <w:r>
        <w:rPr>
          <w:rFonts w:hint="eastAsia" w:ascii="宋体" w:hAnsi="宋体" w:cs="Times New Roman"/>
          <w:color w:val="auto"/>
          <w:sz w:val="24"/>
          <w:szCs w:val="24"/>
          <w:highlight w:val="none"/>
        </w:rPr>
        <w:t>特此声明！</w:t>
      </w:r>
    </w:p>
    <w:p>
      <w:pPr>
        <w:adjustRightInd w:val="0"/>
        <w:snapToGrid w:val="0"/>
        <w:spacing w:line="360" w:lineRule="auto"/>
        <w:ind w:firstLine="480" w:firstLineChars="200"/>
        <w:rPr>
          <w:rFonts w:ascii="宋体" w:hAnsi="宋体" w:cs="Times New Roman"/>
          <w:color w:val="auto"/>
          <w:sz w:val="24"/>
          <w:szCs w:val="24"/>
          <w:highlight w:val="none"/>
        </w:rPr>
      </w:pPr>
    </w:p>
    <w:p>
      <w:pPr>
        <w:adjustRightInd w:val="0"/>
        <w:snapToGrid w:val="0"/>
        <w:spacing w:line="360" w:lineRule="auto"/>
        <w:ind w:firstLine="480" w:firstLineChars="200"/>
        <w:rPr>
          <w:rFonts w:ascii="宋体" w:hAnsi="宋体" w:cs="Times New Roman"/>
          <w:color w:val="auto"/>
          <w:sz w:val="24"/>
          <w:szCs w:val="24"/>
          <w:highlight w:val="none"/>
        </w:rPr>
      </w:pPr>
    </w:p>
    <w:p>
      <w:pPr>
        <w:adjustRightInd w:val="0"/>
        <w:snapToGrid w:val="0"/>
        <w:spacing w:line="360" w:lineRule="auto"/>
        <w:ind w:firstLine="420" w:firstLineChars="200"/>
        <w:rPr>
          <w:rFonts w:ascii="宋体" w:hAnsi="宋体" w:cs="Times New Roman"/>
          <w:color w:val="auto"/>
          <w:szCs w:val="24"/>
          <w:highlight w:val="none"/>
        </w:rPr>
      </w:pPr>
      <w:r>
        <w:rPr>
          <w:rFonts w:hint="eastAsia" w:ascii="宋体" w:hAnsi="宋体" w:cs="Times New Roman"/>
          <w:color w:val="auto"/>
          <w:szCs w:val="24"/>
          <w:highlight w:val="none"/>
        </w:rPr>
        <w:t>备注：</w:t>
      </w:r>
    </w:p>
    <w:p>
      <w:pPr>
        <w:adjustRightInd w:val="0"/>
        <w:snapToGrid w:val="0"/>
        <w:spacing w:line="360" w:lineRule="auto"/>
        <w:ind w:firstLine="420" w:firstLineChars="200"/>
        <w:rPr>
          <w:rFonts w:ascii="宋体" w:hAnsi="宋体" w:cs="Times New Roman"/>
          <w:color w:val="auto"/>
          <w:sz w:val="24"/>
          <w:szCs w:val="24"/>
          <w:highlight w:val="none"/>
        </w:rPr>
      </w:pPr>
      <w:r>
        <w:rPr>
          <w:rFonts w:hint="eastAsia" w:ascii="宋体" w:hAnsi="宋体" w:cs="Times New Roman"/>
          <w:color w:val="auto"/>
          <w:szCs w:val="24"/>
          <w:highlight w:val="none"/>
        </w:rPr>
        <w:t>若投标人在投标文件递交截止之日成立时间不足三年，以自成立以来的时间计取。</w:t>
      </w:r>
    </w:p>
    <w:p>
      <w:pPr>
        <w:adjustRightInd w:val="0"/>
        <w:snapToGrid w:val="0"/>
        <w:spacing w:line="360" w:lineRule="auto"/>
        <w:ind w:firstLine="480" w:firstLineChars="200"/>
        <w:rPr>
          <w:rFonts w:ascii="宋体" w:hAnsi="宋体" w:cs="宋体"/>
          <w:color w:val="auto"/>
          <w:kern w:val="0"/>
          <w:sz w:val="24"/>
          <w:szCs w:val="24"/>
          <w:highlight w:val="none"/>
        </w:rPr>
      </w:pPr>
    </w:p>
    <w:p>
      <w:pPr>
        <w:adjustRightInd w:val="0"/>
        <w:snapToGrid w:val="0"/>
        <w:spacing w:line="360" w:lineRule="auto"/>
        <w:ind w:firstLine="3112" w:firstLineChars="1297"/>
        <w:rPr>
          <w:rFonts w:ascii="宋体" w:hAnsi="宋体" w:cs="Times New Roman"/>
          <w:color w:val="auto"/>
          <w:sz w:val="24"/>
          <w:szCs w:val="24"/>
          <w:highlight w:val="none"/>
        </w:rPr>
      </w:pPr>
    </w:p>
    <w:p>
      <w:pPr>
        <w:widowControl/>
        <w:shd w:val="clear" w:color="auto" w:fill="FFFFFF"/>
        <w:snapToGrid w:val="0"/>
        <w:spacing w:line="360" w:lineRule="auto"/>
        <w:jc w:val="left"/>
        <w:rPr>
          <w:rFonts w:ascii="宋体" w:hAnsi="宋体" w:cs="Arial"/>
          <w:color w:val="auto"/>
          <w:kern w:val="0"/>
          <w:sz w:val="24"/>
          <w:szCs w:val="24"/>
          <w:highlight w:val="none"/>
        </w:rPr>
      </w:pPr>
      <w:r>
        <w:rPr>
          <w:rFonts w:hint="eastAsia" w:ascii="宋体" w:hAnsi="宋体" w:cs="Arial"/>
          <w:color w:val="auto"/>
          <w:kern w:val="0"/>
          <w:sz w:val="24"/>
          <w:szCs w:val="24"/>
          <w:highlight w:val="none"/>
        </w:rPr>
        <w:t>投标人：</w:t>
      </w:r>
      <w:r>
        <w:rPr>
          <w:rFonts w:hint="eastAsia"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snapToGrid w:val="0"/>
        <w:spacing w:line="360" w:lineRule="auto"/>
        <w:ind w:firstLine="420"/>
        <w:jc w:val="center"/>
        <w:rPr>
          <w:rFonts w:ascii="宋体" w:hAnsi="宋体" w:cs="Arial"/>
          <w:color w:val="auto"/>
          <w:kern w:val="0"/>
          <w:sz w:val="24"/>
          <w:szCs w:val="24"/>
          <w:highlight w:val="none"/>
        </w:rPr>
      </w:pPr>
    </w:p>
    <w:p>
      <w:pPr>
        <w:widowControl/>
        <w:shd w:val="clear" w:color="auto" w:fill="FFFFFF"/>
        <w:snapToGrid w:val="0"/>
        <w:spacing w:line="360" w:lineRule="auto"/>
        <w:ind w:firstLine="420"/>
        <w:jc w:val="center"/>
        <w:rPr>
          <w:rFonts w:ascii="宋体" w:hAnsi="宋体" w:cs="Arial"/>
          <w:color w:val="auto"/>
          <w:kern w:val="0"/>
          <w:sz w:val="24"/>
          <w:szCs w:val="24"/>
          <w:highlight w:val="none"/>
        </w:rPr>
      </w:pPr>
    </w:p>
    <w:p>
      <w:pPr>
        <w:widowControl/>
        <w:shd w:val="clear" w:color="auto" w:fill="FFFFFF"/>
        <w:snapToGrid w:val="0"/>
        <w:spacing w:line="360" w:lineRule="auto"/>
        <w:ind w:firstLine="420"/>
        <w:jc w:val="center"/>
        <w:rPr>
          <w:rFonts w:ascii="宋体" w:hAnsi="宋体" w:cs="Arial"/>
          <w:color w:val="auto"/>
          <w:kern w:val="0"/>
          <w:sz w:val="24"/>
          <w:szCs w:val="24"/>
          <w:highlight w:val="none"/>
        </w:rPr>
      </w:pPr>
      <w:r>
        <w:rPr>
          <w:rFonts w:hint="eastAsia" w:ascii="宋体" w:hAnsi="宋体" w:cs="Arial"/>
          <w:color w:val="auto"/>
          <w:kern w:val="0"/>
          <w:sz w:val="24"/>
          <w:szCs w:val="24"/>
          <w:highlight w:val="none"/>
        </w:rPr>
        <w:t xml:space="preserve">                                               日期： 年  月  日</w:t>
      </w:r>
    </w:p>
    <w:p>
      <w:pPr>
        <w:widowControl/>
        <w:shd w:val="clear" w:color="auto" w:fill="FFFFFF"/>
        <w:snapToGrid w:val="0"/>
        <w:spacing w:line="360" w:lineRule="auto"/>
        <w:ind w:firstLine="420"/>
        <w:rPr>
          <w:rFonts w:ascii="宋体" w:hAnsi="宋体" w:cs="Arial"/>
          <w:color w:val="auto"/>
          <w:kern w:val="0"/>
          <w:sz w:val="24"/>
          <w:szCs w:val="24"/>
          <w:highlight w:val="none"/>
        </w:rPr>
      </w:pPr>
    </w:p>
    <w:p>
      <w:pPr>
        <w:tabs>
          <w:tab w:val="center" w:pos="4832"/>
          <w:tab w:val="left" w:pos="7140"/>
        </w:tabs>
        <w:spacing w:line="360" w:lineRule="auto"/>
        <w:jc w:val="center"/>
        <w:outlineLvl w:val="1"/>
        <w:rPr>
          <w:rFonts w:ascii="宋体" w:hAnsi="宋体" w:cs="宋体"/>
          <w:b/>
          <w:color w:val="auto"/>
          <w:sz w:val="24"/>
          <w:szCs w:val="24"/>
          <w:highlight w:val="none"/>
        </w:rPr>
      </w:pPr>
      <w:r>
        <w:rPr>
          <w:rFonts w:ascii="宋体" w:hAnsi="宋体" w:cs="Arial"/>
          <w:color w:val="auto"/>
          <w:kern w:val="0"/>
          <w:sz w:val="24"/>
          <w:szCs w:val="24"/>
          <w:highlight w:val="none"/>
        </w:rPr>
        <w:br w:type="page"/>
      </w:r>
      <w:bookmarkStart w:id="123" w:name="_Toc130252626"/>
      <w:bookmarkStart w:id="124" w:name="_Toc141050519"/>
      <w:bookmarkStart w:id="125" w:name="_Toc113901853"/>
      <w:bookmarkStart w:id="126" w:name="_Toc128476882"/>
      <w:r>
        <w:rPr>
          <w:rFonts w:hint="eastAsia" w:ascii="宋体" w:hAnsi="宋体" w:cs="宋体"/>
          <w:b/>
          <w:color w:val="auto"/>
          <w:sz w:val="24"/>
          <w:szCs w:val="24"/>
          <w:highlight w:val="none"/>
        </w:rPr>
        <w:t>8.5、具备法律、行政法规规定的其他条件的证明材料</w:t>
      </w:r>
      <w:bookmarkEnd w:id="123"/>
      <w:bookmarkEnd w:id="124"/>
      <w:bookmarkEnd w:id="125"/>
      <w:bookmarkEnd w:id="126"/>
    </w:p>
    <w:p>
      <w:pPr>
        <w:widowControl/>
        <w:adjustRightInd w:val="0"/>
        <w:snapToGrid w:val="0"/>
        <w:spacing w:line="360" w:lineRule="auto"/>
        <w:rPr>
          <w:rFonts w:ascii="宋体" w:hAnsi="宋体" w:cs="Times New Roman"/>
          <w:color w:val="auto"/>
          <w:sz w:val="24"/>
          <w:szCs w:val="24"/>
          <w:highlight w:val="none"/>
        </w:rPr>
      </w:pPr>
    </w:p>
    <w:p>
      <w:pPr>
        <w:widowControl/>
        <w:adjustRightInd w:val="0"/>
        <w:snapToGrid w:val="0"/>
        <w:spacing w:line="360" w:lineRule="auto"/>
        <w:ind w:firstLine="480" w:firstLineChars="200"/>
        <w:rPr>
          <w:rFonts w:hint="eastAsia" w:ascii="宋体" w:hAnsi="宋体" w:cs="Times New Roman"/>
          <w:color w:val="auto"/>
          <w:sz w:val="24"/>
          <w:szCs w:val="24"/>
          <w:highlight w:val="none"/>
        </w:rPr>
      </w:pPr>
      <w:r>
        <w:rPr>
          <w:rFonts w:hint="eastAsia" w:ascii="宋体" w:hAnsi="宋体" w:cs="Times New Roman"/>
          <w:color w:val="auto"/>
          <w:sz w:val="24"/>
          <w:szCs w:val="24"/>
          <w:highlight w:val="none"/>
        </w:rPr>
        <w:t>1、投标人所投货物制造商如为中小企业或残疾人福利性单位的须提供声明函，为监狱企业的须提供由省级以上监狱管理局、戒毒管理局（含新疆生产建设兵团）出具的属于监狱企业的证明文件。</w:t>
      </w:r>
    </w:p>
    <w:p>
      <w:pPr>
        <w:widowControl/>
        <w:adjustRightInd w:val="0"/>
        <w:snapToGrid w:val="0"/>
        <w:spacing w:line="360" w:lineRule="auto"/>
        <w:ind w:firstLine="480" w:firstLineChars="200"/>
        <w:rPr>
          <w:rFonts w:ascii="宋体" w:hAnsi="宋体" w:cs="Times New Roman"/>
          <w:color w:val="auto"/>
          <w:sz w:val="24"/>
          <w:szCs w:val="24"/>
          <w:highlight w:val="none"/>
        </w:rPr>
      </w:pPr>
      <w:r>
        <w:rPr>
          <w:rFonts w:hint="eastAsia" w:ascii="宋体" w:hAnsi="宋体" w:cs="Times New Roman"/>
          <w:color w:val="auto"/>
          <w:sz w:val="24"/>
          <w:szCs w:val="24"/>
          <w:highlight w:val="none"/>
        </w:rPr>
        <w:t>2、国家有关主管部门的行政许可（如有时）。</w:t>
      </w:r>
    </w:p>
    <w:p>
      <w:pPr>
        <w:widowControl/>
        <w:spacing w:line="360" w:lineRule="auto"/>
        <w:jc w:val="left"/>
        <w:rPr>
          <w:rFonts w:ascii="宋体" w:hAnsi="宋体" w:cs="Times New Roman"/>
          <w:b/>
          <w:color w:val="auto"/>
          <w:kern w:val="0"/>
          <w:sz w:val="24"/>
          <w:szCs w:val="24"/>
          <w:highlight w:val="none"/>
        </w:rPr>
      </w:pPr>
      <w:r>
        <w:rPr>
          <w:rFonts w:ascii="宋体" w:hAnsi="宋体" w:cs="Times New Roman"/>
          <w:color w:val="auto"/>
          <w:sz w:val="24"/>
          <w:szCs w:val="24"/>
          <w:highlight w:val="none"/>
        </w:rPr>
        <w:br w:type="page"/>
      </w:r>
      <w:r>
        <w:rPr>
          <w:rFonts w:hint="eastAsia" w:ascii="宋体" w:hAnsi="宋体" w:cs="宋体"/>
          <w:color w:val="auto"/>
          <w:kern w:val="0"/>
          <w:sz w:val="24"/>
          <w:szCs w:val="24"/>
          <w:highlight w:val="none"/>
        </w:rPr>
        <w:t xml:space="preserve"> </w:t>
      </w:r>
      <w:r>
        <w:rPr>
          <w:rFonts w:hint="eastAsia" w:ascii="宋体" w:hAnsi="宋体" w:cs="Times New Roman"/>
          <w:b/>
          <w:color w:val="auto"/>
          <w:kern w:val="0"/>
          <w:sz w:val="24"/>
          <w:szCs w:val="24"/>
          <w:highlight w:val="none"/>
        </w:rPr>
        <w:t xml:space="preserve">附表一、                  </w:t>
      </w:r>
    </w:p>
    <w:p>
      <w:pPr>
        <w:spacing w:line="588" w:lineRule="exact"/>
        <w:jc w:val="center"/>
        <w:rPr>
          <w:rFonts w:ascii="宋体" w:hAnsi="宋体"/>
          <w:b/>
          <w:color w:val="auto"/>
          <w:spacing w:val="6"/>
          <w:sz w:val="24"/>
          <w:szCs w:val="24"/>
          <w:highlight w:val="none"/>
        </w:rPr>
      </w:pPr>
      <w:r>
        <w:rPr>
          <w:rFonts w:hint="eastAsia" w:ascii="宋体" w:hAnsi="宋体"/>
          <w:b/>
          <w:color w:val="auto"/>
          <w:spacing w:val="6"/>
          <w:sz w:val="24"/>
          <w:szCs w:val="24"/>
          <w:highlight w:val="none"/>
        </w:rPr>
        <w:t>中小企业声明函（货物）</w:t>
      </w:r>
    </w:p>
    <w:p>
      <w:pPr>
        <w:spacing w:line="588" w:lineRule="exact"/>
        <w:jc w:val="center"/>
        <w:rPr>
          <w:rFonts w:ascii="宋体" w:hAnsi="宋体"/>
          <w:b/>
          <w:color w:val="auto"/>
          <w:spacing w:val="6"/>
          <w:sz w:val="24"/>
          <w:szCs w:val="24"/>
          <w:highlight w:val="none"/>
        </w:rPr>
      </w:pPr>
    </w:p>
    <w:p>
      <w:pPr>
        <w:spacing w:line="588"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本公司（联合体）郑重声明，根据《政府采购促进中小企业发展管理办法》（财库﹝</w:t>
      </w:r>
      <w:r>
        <w:rPr>
          <w:rFonts w:ascii="宋体" w:hAnsi="宋体" w:cs="宋体"/>
          <w:color w:val="auto"/>
          <w:kern w:val="0"/>
          <w:sz w:val="24"/>
          <w:szCs w:val="24"/>
          <w:highlight w:val="none"/>
        </w:rPr>
        <w:t>2020</w:t>
      </w:r>
      <w:r>
        <w:rPr>
          <w:rFonts w:hint="eastAsia" w:ascii="宋体" w:hAnsi="宋体" w:cs="宋体"/>
          <w:color w:val="auto"/>
          <w:kern w:val="0"/>
          <w:sz w:val="24"/>
          <w:szCs w:val="24"/>
          <w:highlight w:val="none"/>
        </w:rPr>
        <w:t>﹞</w:t>
      </w:r>
      <w:r>
        <w:rPr>
          <w:rFonts w:ascii="宋体" w:hAnsi="宋体" w:cs="宋体"/>
          <w:color w:val="auto"/>
          <w:kern w:val="0"/>
          <w:sz w:val="24"/>
          <w:szCs w:val="24"/>
          <w:highlight w:val="none"/>
        </w:rPr>
        <w:t xml:space="preserve">46 </w:t>
      </w:r>
      <w:r>
        <w:rPr>
          <w:rFonts w:hint="eastAsia" w:ascii="宋体" w:hAnsi="宋体" w:cs="宋体"/>
          <w:color w:val="auto"/>
          <w:kern w:val="0"/>
          <w:sz w:val="24"/>
          <w:szCs w:val="24"/>
          <w:highlight w:val="none"/>
        </w:rPr>
        <w:t>号）的规定，本公司</w:t>
      </w:r>
      <w:r>
        <w:rPr>
          <w:rFonts w:hint="eastAsia" w:ascii="宋体" w:hAnsi="宋体" w:cs="宋体"/>
          <w:color w:val="auto"/>
          <w:kern w:val="0"/>
          <w:sz w:val="24"/>
          <w:szCs w:val="24"/>
          <w:highlight w:val="none"/>
          <w:u w:val="single"/>
        </w:rPr>
        <w:t>（联合体）</w:t>
      </w:r>
      <w:r>
        <w:rPr>
          <w:rFonts w:hint="eastAsia" w:ascii="宋体" w:hAnsi="宋体" w:cs="宋体"/>
          <w:color w:val="auto"/>
          <w:kern w:val="0"/>
          <w:sz w:val="24"/>
          <w:szCs w:val="24"/>
          <w:highlight w:val="none"/>
        </w:rPr>
        <w:t>参加</w:t>
      </w:r>
      <w:r>
        <w:rPr>
          <w:rFonts w:hint="eastAsia" w:ascii="宋体" w:hAnsi="宋体" w:cs="宋体"/>
          <w:color w:val="auto"/>
          <w:kern w:val="0"/>
          <w:sz w:val="24"/>
          <w:szCs w:val="24"/>
          <w:highlight w:val="none"/>
          <w:u w:val="single"/>
        </w:rPr>
        <w:t>（单位名称）</w:t>
      </w:r>
      <w:r>
        <w:rPr>
          <w:rFonts w:hint="eastAsia" w:ascii="宋体" w:hAnsi="宋体" w:cs="宋体"/>
          <w:color w:val="auto"/>
          <w:kern w:val="0"/>
          <w:sz w:val="24"/>
          <w:szCs w:val="24"/>
          <w:highlight w:val="none"/>
        </w:rPr>
        <w:t>的</w:t>
      </w:r>
      <w:r>
        <w:rPr>
          <w:rFonts w:hint="eastAsia" w:ascii="宋体" w:hAnsi="宋体" w:cs="宋体"/>
          <w:color w:val="auto"/>
          <w:kern w:val="0"/>
          <w:sz w:val="24"/>
          <w:szCs w:val="24"/>
          <w:highlight w:val="none"/>
          <w:u w:val="single"/>
        </w:rPr>
        <w:t>（项目名称）</w:t>
      </w:r>
      <w:r>
        <w:rPr>
          <w:rFonts w:hint="eastAsia" w:ascii="宋体" w:hAnsi="宋体" w:cs="宋体"/>
          <w:color w:val="auto"/>
          <w:kern w:val="0"/>
          <w:sz w:val="24"/>
          <w:szCs w:val="24"/>
          <w:highlight w:val="none"/>
        </w:rPr>
        <w:t>采购活动，提供的货物全部由符合政策要求的中小企业制造。相关企业（含联合体中的中小企业、签订分包意向协议的中小企业）的具体情况如下：</w:t>
      </w:r>
    </w:p>
    <w:p>
      <w:pPr>
        <w:spacing w:line="588" w:lineRule="exact"/>
        <w:ind w:firstLine="480" w:firstLineChars="200"/>
        <w:rPr>
          <w:rFonts w:ascii="宋体" w:hAnsi="宋体" w:cs="宋体"/>
          <w:color w:val="auto"/>
          <w:kern w:val="0"/>
          <w:sz w:val="24"/>
          <w:szCs w:val="24"/>
          <w:highlight w:val="none"/>
        </w:rPr>
      </w:pPr>
      <w:r>
        <w:rPr>
          <w:rFonts w:ascii="宋体" w:hAnsi="宋体" w:cs="宋体"/>
          <w:color w:val="auto"/>
          <w:kern w:val="0"/>
          <w:sz w:val="24"/>
          <w:szCs w:val="24"/>
          <w:highlight w:val="none"/>
        </w:rPr>
        <w:t xml:space="preserve">1. </w:t>
      </w:r>
      <w:r>
        <w:rPr>
          <w:rFonts w:hint="eastAsia" w:ascii="宋体" w:hAnsi="宋体" w:cs="宋体"/>
          <w:color w:val="auto"/>
          <w:kern w:val="0"/>
          <w:sz w:val="24"/>
          <w:szCs w:val="24"/>
          <w:highlight w:val="none"/>
          <w:u w:val="single"/>
        </w:rPr>
        <w:t>（标的名称）</w:t>
      </w:r>
      <w:r>
        <w:rPr>
          <w:rFonts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，属于</w:t>
      </w:r>
      <w:r>
        <w:rPr>
          <w:rFonts w:hint="eastAsia" w:ascii="宋体" w:hAnsi="宋体" w:cs="宋体"/>
          <w:color w:val="auto"/>
          <w:kern w:val="0"/>
          <w:sz w:val="24"/>
          <w:szCs w:val="24"/>
          <w:highlight w:val="none"/>
          <w:u w:val="single"/>
        </w:rPr>
        <w:t>（采购文件中明确的所属行业）</w:t>
      </w:r>
      <w:r>
        <w:rPr>
          <w:rFonts w:hint="eastAsia" w:ascii="宋体" w:hAnsi="宋体" w:cs="宋体"/>
          <w:color w:val="auto"/>
          <w:kern w:val="0"/>
          <w:sz w:val="24"/>
          <w:szCs w:val="24"/>
          <w:highlight w:val="none"/>
        </w:rPr>
        <w:t>行业；制造商为</w:t>
      </w:r>
      <w:r>
        <w:rPr>
          <w:rFonts w:hint="eastAsia" w:ascii="宋体" w:hAnsi="宋体" w:cs="宋体"/>
          <w:color w:val="auto"/>
          <w:kern w:val="0"/>
          <w:sz w:val="24"/>
          <w:szCs w:val="24"/>
          <w:highlight w:val="none"/>
          <w:u w:val="single"/>
        </w:rPr>
        <w:t>（企业名称）</w:t>
      </w:r>
      <w:r>
        <w:rPr>
          <w:rFonts w:hint="eastAsia" w:ascii="宋体" w:hAnsi="宋体" w:cs="宋体"/>
          <w:color w:val="auto"/>
          <w:kern w:val="0"/>
          <w:sz w:val="24"/>
          <w:szCs w:val="24"/>
          <w:highlight w:val="none"/>
        </w:rPr>
        <w:t>，从业人员</w:t>
      </w:r>
      <w:r>
        <w:rPr>
          <w:rFonts w:hint="eastAsia" w:ascii="宋体" w:hAnsi="宋体" w:cs="宋体"/>
          <w:color w:val="auto"/>
          <w:kern w:val="0"/>
          <w:sz w:val="24"/>
          <w:szCs w:val="24"/>
          <w:highlight w:val="none"/>
          <w:u w:val="single"/>
        </w:rPr>
        <w:t xml:space="preserve">  /  </w:t>
      </w:r>
      <w:r>
        <w:rPr>
          <w:rFonts w:hint="eastAsia" w:ascii="宋体" w:hAnsi="宋体" w:cs="宋体"/>
          <w:color w:val="auto"/>
          <w:kern w:val="0"/>
          <w:sz w:val="24"/>
          <w:szCs w:val="24"/>
          <w:highlight w:val="none"/>
        </w:rPr>
        <w:t xml:space="preserve"> 人，营业收入为</w:t>
      </w:r>
      <w:r>
        <w:rPr>
          <w:rFonts w:hint="eastAsia" w:ascii="宋体" w:hAnsi="宋体" w:cs="宋体"/>
          <w:color w:val="auto"/>
          <w:kern w:val="0"/>
          <w:sz w:val="24"/>
          <w:szCs w:val="24"/>
          <w:highlight w:val="none"/>
          <w:u w:val="single"/>
        </w:rPr>
        <w:t xml:space="preserve">  /  </w:t>
      </w:r>
      <w:r>
        <w:rPr>
          <w:rFonts w:hint="eastAsia" w:ascii="宋体" w:hAnsi="宋体" w:cs="宋体"/>
          <w:color w:val="auto"/>
          <w:kern w:val="0"/>
          <w:sz w:val="24"/>
          <w:szCs w:val="24"/>
          <w:highlight w:val="none"/>
        </w:rPr>
        <w:t>万元，资产总额为</w:t>
      </w:r>
      <w:r>
        <w:rPr>
          <w:rFonts w:hint="eastAsia" w:ascii="宋体" w:hAnsi="宋体" w:cs="宋体"/>
          <w:color w:val="auto"/>
          <w:kern w:val="0"/>
          <w:sz w:val="24"/>
          <w:szCs w:val="24"/>
          <w:highlight w:val="none"/>
          <w:u w:val="single"/>
        </w:rPr>
        <w:t xml:space="preserve">  /  </w:t>
      </w:r>
      <w:r>
        <w:rPr>
          <w:rFonts w:hint="eastAsia" w:ascii="宋体" w:hAnsi="宋体" w:cs="宋体"/>
          <w:color w:val="auto"/>
          <w:kern w:val="0"/>
          <w:sz w:val="24"/>
          <w:szCs w:val="24"/>
          <w:highlight w:val="none"/>
        </w:rPr>
        <w:t>万元，属于</w:t>
      </w:r>
      <w:r>
        <w:rPr>
          <w:rFonts w:hint="eastAsia" w:ascii="宋体" w:hAnsi="宋体" w:cs="宋体"/>
          <w:color w:val="auto"/>
          <w:kern w:val="0"/>
          <w:sz w:val="24"/>
          <w:szCs w:val="24"/>
          <w:highlight w:val="none"/>
          <w:u w:val="single"/>
        </w:rPr>
        <w:t>（中型企业、小型企业、微型企业）</w:t>
      </w:r>
      <w:r>
        <w:rPr>
          <w:rFonts w:hint="eastAsia" w:ascii="宋体" w:hAnsi="宋体" w:cs="宋体"/>
          <w:color w:val="auto"/>
          <w:kern w:val="0"/>
          <w:sz w:val="24"/>
          <w:szCs w:val="24"/>
          <w:highlight w:val="none"/>
        </w:rPr>
        <w:t>；</w:t>
      </w:r>
    </w:p>
    <w:p>
      <w:pPr>
        <w:spacing w:line="588" w:lineRule="exact"/>
        <w:ind w:firstLine="480" w:firstLineChars="200"/>
        <w:rPr>
          <w:rFonts w:ascii="宋体" w:hAnsi="宋体" w:cs="宋体"/>
          <w:color w:val="auto"/>
          <w:kern w:val="0"/>
          <w:sz w:val="24"/>
          <w:szCs w:val="24"/>
          <w:highlight w:val="none"/>
        </w:rPr>
      </w:pPr>
      <w:r>
        <w:rPr>
          <w:rFonts w:ascii="宋体" w:hAnsi="宋体" w:cs="宋体"/>
          <w:color w:val="auto"/>
          <w:kern w:val="0"/>
          <w:sz w:val="24"/>
          <w:szCs w:val="24"/>
          <w:highlight w:val="none"/>
        </w:rPr>
        <w:t xml:space="preserve">2. </w:t>
      </w:r>
      <w:r>
        <w:rPr>
          <w:rFonts w:hint="eastAsia" w:ascii="宋体" w:hAnsi="宋体" w:cs="宋体"/>
          <w:color w:val="auto"/>
          <w:kern w:val="0"/>
          <w:sz w:val="24"/>
          <w:szCs w:val="24"/>
          <w:highlight w:val="none"/>
          <w:u w:val="single"/>
        </w:rPr>
        <w:t>（标的名称）</w:t>
      </w:r>
      <w:r>
        <w:rPr>
          <w:rFonts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，属于</w:t>
      </w:r>
      <w:r>
        <w:rPr>
          <w:rFonts w:hint="eastAsia" w:ascii="宋体" w:hAnsi="宋体" w:cs="宋体"/>
          <w:color w:val="auto"/>
          <w:kern w:val="0"/>
          <w:sz w:val="24"/>
          <w:szCs w:val="24"/>
          <w:highlight w:val="none"/>
          <w:u w:val="single"/>
        </w:rPr>
        <w:t>（采购文件中明确的所属行业）</w:t>
      </w:r>
      <w:r>
        <w:rPr>
          <w:rFonts w:hint="eastAsia" w:ascii="宋体" w:hAnsi="宋体" w:cs="宋体"/>
          <w:color w:val="auto"/>
          <w:kern w:val="0"/>
          <w:sz w:val="24"/>
          <w:szCs w:val="24"/>
          <w:highlight w:val="none"/>
        </w:rPr>
        <w:t>行业；制造商为</w:t>
      </w:r>
      <w:r>
        <w:rPr>
          <w:rFonts w:hint="eastAsia" w:ascii="宋体" w:hAnsi="宋体" w:cs="宋体"/>
          <w:color w:val="auto"/>
          <w:kern w:val="0"/>
          <w:sz w:val="24"/>
          <w:szCs w:val="24"/>
          <w:highlight w:val="none"/>
          <w:u w:val="single"/>
        </w:rPr>
        <w:t>（企业名称）</w:t>
      </w:r>
      <w:r>
        <w:rPr>
          <w:rFonts w:hint="eastAsia" w:ascii="宋体" w:hAnsi="宋体" w:cs="宋体"/>
          <w:color w:val="auto"/>
          <w:kern w:val="0"/>
          <w:sz w:val="24"/>
          <w:szCs w:val="24"/>
          <w:highlight w:val="none"/>
        </w:rPr>
        <w:t>，从业人员</w:t>
      </w:r>
      <w:r>
        <w:rPr>
          <w:rFonts w:hint="eastAsia" w:ascii="宋体" w:hAnsi="宋体" w:cs="宋体"/>
          <w:color w:val="auto"/>
          <w:kern w:val="0"/>
          <w:sz w:val="24"/>
          <w:szCs w:val="24"/>
          <w:highlight w:val="none"/>
          <w:u w:val="single"/>
        </w:rPr>
        <w:t xml:space="preserve">  /  </w:t>
      </w:r>
      <w:r>
        <w:rPr>
          <w:rFonts w:hint="eastAsia" w:ascii="宋体" w:hAnsi="宋体" w:cs="宋体"/>
          <w:color w:val="auto"/>
          <w:kern w:val="0"/>
          <w:sz w:val="24"/>
          <w:szCs w:val="24"/>
          <w:highlight w:val="none"/>
        </w:rPr>
        <w:t xml:space="preserve"> 人，营业收入为</w:t>
      </w:r>
      <w:r>
        <w:rPr>
          <w:rFonts w:hint="eastAsia" w:ascii="宋体" w:hAnsi="宋体" w:cs="宋体"/>
          <w:color w:val="auto"/>
          <w:kern w:val="0"/>
          <w:sz w:val="24"/>
          <w:szCs w:val="24"/>
          <w:highlight w:val="none"/>
          <w:u w:val="single"/>
        </w:rPr>
        <w:t xml:space="preserve">  /  </w:t>
      </w:r>
      <w:r>
        <w:rPr>
          <w:rFonts w:hint="eastAsia" w:ascii="宋体" w:hAnsi="宋体" w:cs="宋体"/>
          <w:color w:val="auto"/>
          <w:kern w:val="0"/>
          <w:sz w:val="24"/>
          <w:szCs w:val="24"/>
          <w:highlight w:val="none"/>
        </w:rPr>
        <w:t>万元，资产总额为</w:t>
      </w:r>
      <w:r>
        <w:rPr>
          <w:rFonts w:hint="eastAsia" w:ascii="宋体" w:hAnsi="宋体" w:cs="宋体"/>
          <w:color w:val="auto"/>
          <w:kern w:val="0"/>
          <w:sz w:val="24"/>
          <w:szCs w:val="24"/>
          <w:highlight w:val="none"/>
          <w:u w:val="single"/>
        </w:rPr>
        <w:t xml:space="preserve">   / </w:t>
      </w:r>
      <w:r>
        <w:rPr>
          <w:rFonts w:hint="eastAsia" w:ascii="宋体" w:hAnsi="宋体" w:cs="宋体"/>
          <w:color w:val="auto"/>
          <w:kern w:val="0"/>
          <w:sz w:val="24"/>
          <w:szCs w:val="24"/>
          <w:highlight w:val="none"/>
        </w:rPr>
        <w:t>万元，属于</w:t>
      </w:r>
      <w:r>
        <w:rPr>
          <w:rFonts w:hint="eastAsia" w:ascii="宋体" w:hAnsi="宋体" w:cs="宋体"/>
          <w:color w:val="auto"/>
          <w:kern w:val="0"/>
          <w:sz w:val="24"/>
          <w:szCs w:val="24"/>
          <w:highlight w:val="none"/>
          <w:u w:val="single"/>
        </w:rPr>
        <w:t>（中型企业、小型企业、微型企业）</w:t>
      </w:r>
      <w:r>
        <w:rPr>
          <w:rFonts w:hint="eastAsia" w:ascii="宋体" w:hAnsi="宋体" w:cs="宋体"/>
          <w:color w:val="auto"/>
          <w:kern w:val="0"/>
          <w:sz w:val="24"/>
          <w:szCs w:val="24"/>
          <w:highlight w:val="none"/>
        </w:rPr>
        <w:t>；</w:t>
      </w:r>
    </w:p>
    <w:p>
      <w:pPr>
        <w:spacing w:line="588" w:lineRule="exact"/>
        <w:rPr>
          <w:rFonts w:ascii="宋体" w:hAnsi="宋体" w:cs="宋体"/>
          <w:color w:val="auto"/>
          <w:kern w:val="0"/>
          <w:sz w:val="24"/>
          <w:szCs w:val="24"/>
          <w:highlight w:val="none"/>
        </w:rPr>
      </w:pPr>
    </w:p>
    <w:p>
      <w:pPr>
        <w:spacing w:line="588" w:lineRule="exact"/>
        <w:rPr>
          <w:rFonts w:ascii="宋体" w:hAnsi="宋体" w:cs="宋体"/>
          <w:color w:val="auto"/>
          <w:kern w:val="0"/>
          <w:sz w:val="24"/>
          <w:szCs w:val="24"/>
          <w:highlight w:val="none"/>
        </w:rPr>
      </w:pPr>
      <w:r>
        <w:rPr>
          <w:rFonts w:hint="eastAsia" w:ascii="宋体" w:hAnsi="宋体" w:cs="宋体"/>
          <w:color w:val="auto"/>
          <w:kern w:val="0"/>
          <w:sz w:val="24"/>
          <w:szCs w:val="24"/>
          <w:highlight w:val="none"/>
        </w:rPr>
        <w:t>……</w:t>
      </w:r>
    </w:p>
    <w:p>
      <w:pPr>
        <w:spacing w:line="588"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以上企业，不属于大企业的分支机构，不存在控股股东为大企业的情形，也不存在与大企业的负责人为同一人的情形。</w:t>
      </w:r>
    </w:p>
    <w:p>
      <w:pPr>
        <w:spacing w:line="588"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本企业对上述声明内容的真实性负责。如有虚假，将依法承担相应责任。</w:t>
      </w:r>
    </w:p>
    <w:p>
      <w:pPr>
        <w:spacing w:line="588" w:lineRule="exact"/>
        <w:ind w:firstLine="480" w:firstLineChars="200"/>
        <w:rPr>
          <w:rFonts w:ascii="宋体" w:hAnsi="宋体" w:cs="宋体"/>
          <w:color w:val="auto"/>
          <w:kern w:val="0"/>
          <w:sz w:val="24"/>
          <w:szCs w:val="24"/>
          <w:highlight w:val="none"/>
        </w:rPr>
      </w:pPr>
    </w:p>
    <w:p>
      <w:pPr>
        <w:spacing w:line="588" w:lineRule="exact"/>
        <w:ind w:right="480"/>
        <w:jc w:val="center"/>
        <w:rPr>
          <w:rFonts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                                         企业名称（盖章）：</w:t>
      </w:r>
    </w:p>
    <w:p>
      <w:pPr>
        <w:spacing w:line="588" w:lineRule="exact"/>
        <w:ind w:right="480" w:firstLine="6240" w:firstLineChars="26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日期：</w:t>
      </w:r>
    </w:p>
    <w:p>
      <w:pPr>
        <w:spacing w:line="588" w:lineRule="exact"/>
        <w:ind w:right="480" w:firstLine="6240" w:firstLineChars="2600"/>
        <w:rPr>
          <w:rFonts w:ascii="宋体" w:hAnsi="宋体" w:cs="宋体"/>
          <w:color w:val="auto"/>
          <w:kern w:val="0"/>
          <w:sz w:val="24"/>
          <w:szCs w:val="24"/>
          <w:highlight w:val="none"/>
        </w:rPr>
      </w:pPr>
    </w:p>
    <w:p>
      <w:pPr>
        <w:spacing w:line="588" w:lineRule="exact"/>
        <w:rPr>
          <w:rFonts w:ascii="宋体" w:hAnsi="宋体" w:cs="宋体"/>
          <w:color w:val="auto"/>
          <w:kern w:val="0"/>
          <w:szCs w:val="21"/>
          <w:highlight w:val="none"/>
        </w:rPr>
      </w:pPr>
      <w:r>
        <w:rPr>
          <w:rFonts w:hint="eastAsia" w:ascii="宋体" w:hAnsi="宋体" w:cs="宋体"/>
          <w:color w:val="auto"/>
          <w:kern w:val="0"/>
          <w:szCs w:val="21"/>
          <w:highlight w:val="none"/>
        </w:rPr>
        <w:t>注：人员、营业收入、资产总额填报上一年度数据，无上一年度数据的新成立企业可不填报。</w:t>
      </w:r>
    </w:p>
    <w:p>
      <w:pPr>
        <w:spacing w:line="588" w:lineRule="exact"/>
        <w:rPr>
          <w:rFonts w:ascii="宋体" w:hAnsi="宋体" w:cs="Times New Roman"/>
          <w:color w:val="auto"/>
          <w:spacing w:val="6"/>
          <w:sz w:val="24"/>
          <w:szCs w:val="24"/>
          <w:highlight w:val="none"/>
        </w:rPr>
      </w:pPr>
      <w:r>
        <w:rPr>
          <w:rStyle w:val="40"/>
          <w:rFonts w:ascii="宋体" w:hAnsi="宋体"/>
          <w:color w:val="auto"/>
          <w:kern w:val="0"/>
          <w:sz w:val="24"/>
          <w:szCs w:val="24"/>
          <w:highlight w:val="none"/>
        </w:rPr>
        <w:br w:type="page"/>
      </w:r>
      <w:r>
        <w:rPr>
          <w:rFonts w:hint="eastAsia" w:ascii="宋体" w:hAnsi="宋体" w:cs="Times New Roman"/>
          <w:b/>
          <w:color w:val="auto"/>
          <w:kern w:val="0"/>
          <w:sz w:val="24"/>
          <w:szCs w:val="24"/>
          <w:highlight w:val="none"/>
        </w:rPr>
        <w:t>附表二、</w:t>
      </w:r>
    </w:p>
    <w:p>
      <w:pPr>
        <w:spacing w:line="360" w:lineRule="auto"/>
        <w:jc w:val="center"/>
        <w:rPr>
          <w:rFonts w:ascii="宋体" w:hAnsi="宋体" w:cs="Times New Roman"/>
          <w:b/>
          <w:color w:val="auto"/>
          <w:spacing w:val="6"/>
          <w:sz w:val="24"/>
          <w:szCs w:val="24"/>
          <w:highlight w:val="none"/>
        </w:rPr>
      </w:pPr>
      <w:r>
        <w:rPr>
          <w:rFonts w:hint="eastAsia" w:ascii="宋体" w:hAnsi="宋体" w:cs="Times New Roman"/>
          <w:b/>
          <w:color w:val="auto"/>
          <w:spacing w:val="6"/>
          <w:sz w:val="24"/>
          <w:szCs w:val="24"/>
          <w:highlight w:val="none"/>
        </w:rPr>
        <w:t>残疾人福利性单位声明函</w:t>
      </w:r>
    </w:p>
    <w:p>
      <w:pPr>
        <w:spacing w:line="360" w:lineRule="auto"/>
        <w:rPr>
          <w:rFonts w:ascii="宋体" w:hAnsi="宋体" w:cs="Times New Roman"/>
          <w:b/>
          <w:color w:val="auto"/>
          <w:spacing w:val="6"/>
          <w:sz w:val="24"/>
          <w:szCs w:val="24"/>
          <w:highlight w:val="none"/>
        </w:rPr>
      </w:pPr>
    </w:p>
    <w:p>
      <w:pPr>
        <w:spacing w:line="360" w:lineRule="auto"/>
        <w:ind w:firstLine="504" w:firstLineChars="200"/>
        <w:rPr>
          <w:rFonts w:ascii="宋体" w:hAnsi="宋体" w:cs="Times New Roman"/>
          <w:color w:val="auto"/>
          <w:spacing w:val="6"/>
          <w:sz w:val="24"/>
          <w:szCs w:val="24"/>
          <w:highlight w:val="none"/>
        </w:rPr>
      </w:pPr>
      <w:r>
        <w:rPr>
          <w:rFonts w:hint="eastAsia" w:ascii="宋体" w:hAnsi="宋体" w:cs="Times New Roman"/>
          <w:color w:val="auto"/>
          <w:spacing w:val="6"/>
          <w:sz w:val="24"/>
          <w:szCs w:val="24"/>
          <w:highlight w:val="none"/>
        </w:rPr>
        <w:t>本单位郑重声明，根据《财政部</w:t>
      </w:r>
      <w:r>
        <w:rPr>
          <w:rFonts w:ascii="宋体" w:hAnsi="宋体" w:cs="Times New Roman"/>
          <w:color w:val="auto"/>
          <w:spacing w:val="6"/>
          <w:sz w:val="24"/>
          <w:szCs w:val="24"/>
          <w:highlight w:val="none"/>
        </w:rPr>
        <w:t xml:space="preserve"> </w:t>
      </w:r>
      <w:r>
        <w:rPr>
          <w:rFonts w:hint="eastAsia" w:ascii="宋体" w:hAnsi="宋体" w:cs="Times New Roman"/>
          <w:color w:val="auto"/>
          <w:spacing w:val="6"/>
          <w:sz w:val="24"/>
          <w:szCs w:val="24"/>
          <w:highlight w:val="none"/>
        </w:rPr>
        <w:t>民政部</w:t>
      </w:r>
      <w:r>
        <w:rPr>
          <w:rFonts w:ascii="宋体" w:hAnsi="宋体" w:cs="Times New Roman"/>
          <w:color w:val="auto"/>
          <w:spacing w:val="6"/>
          <w:sz w:val="24"/>
          <w:szCs w:val="24"/>
          <w:highlight w:val="none"/>
        </w:rPr>
        <w:t xml:space="preserve"> </w:t>
      </w:r>
      <w:r>
        <w:rPr>
          <w:rFonts w:hint="eastAsia" w:ascii="宋体" w:hAnsi="宋体" w:cs="Times New Roman"/>
          <w:color w:val="auto"/>
          <w:spacing w:val="6"/>
          <w:sz w:val="24"/>
          <w:szCs w:val="24"/>
          <w:highlight w:val="none"/>
        </w:rPr>
        <w:t>中国残疾人联合会关于促进残疾人就业政府采购政策的通知》（财库</w:t>
      </w:r>
      <w:r>
        <w:rPr>
          <w:rFonts w:hint="eastAsia" w:ascii="宋体" w:hAnsi="宋体" w:cs="Times New Roman"/>
          <w:color w:val="auto"/>
          <w:sz w:val="24"/>
          <w:szCs w:val="24"/>
          <w:highlight w:val="none"/>
        </w:rPr>
        <w:t>〔</w:t>
      </w:r>
      <w:r>
        <w:rPr>
          <w:rFonts w:ascii="宋体" w:hAnsi="宋体" w:cs="Times New Roman"/>
          <w:color w:val="auto"/>
          <w:sz w:val="24"/>
          <w:szCs w:val="24"/>
          <w:highlight w:val="none"/>
        </w:rPr>
        <w:t>2017</w:t>
      </w:r>
      <w:r>
        <w:rPr>
          <w:rFonts w:hint="eastAsia" w:ascii="宋体" w:hAnsi="宋体" w:cs="Times New Roman"/>
          <w:color w:val="auto"/>
          <w:sz w:val="24"/>
          <w:szCs w:val="24"/>
          <w:highlight w:val="none"/>
        </w:rPr>
        <w:t>〕</w:t>
      </w:r>
      <w:r>
        <w:rPr>
          <w:rFonts w:ascii="宋体" w:hAnsi="宋体" w:cs="Times New Roman"/>
          <w:color w:val="auto"/>
          <w:sz w:val="24"/>
          <w:szCs w:val="24"/>
          <w:highlight w:val="none"/>
        </w:rPr>
        <w:t xml:space="preserve"> 141</w:t>
      </w:r>
      <w:r>
        <w:rPr>
          <w:rFonts w:hint="eastAsia" w:ascii="宋体" w:hAnsi="宋体" w:cs="Times New Roman"/>
          <w:color w:val="auto"/>
          <w:spacing w:val="6"/>
          <w:sz w:val="24"/>
          <w:szCs w:val="24"/>
          <w:highlight w:val="none"/>
        </w:rPr>
        <w:t>号）的规定，本单位为符合条件的残疾人福利性单位，且本单位参加</w:t>
      </w:r>
      <w:r>
        <w:rPr>
          <w:rFonts w:ascii="宋体" w:hAnsi="宋体" w:cs="Times New Roman"/>
          <w:color w:val="auto"/>
          <w:spacing w:val="6"/>
          <w:sz w:val="24"/>
          <w:szCs w:val="24"/>
          <w:highlight w:val="none"/>
          <w:u w:val="single"/>
        </w:rPr>
        <w:t>___</w:t>
      </w:r>
      <w:r>
        <w:rPr>
          <w:rFonts w:hint="eastAsia" w:ascii="宋体" w:hAnsi="宋体" w:cs="Times New Roman"/>
          <w:color w:val="auto"/>
          <w:spacing w:val="6"/>
          <w:sz w:val="24"/>
          <w:szCs w:val="24"/>
          <w:highlight w:val="none"/>
          <w:u w:val="single"/>
        </w:rPr>
        <w:t>/</w:t>
      </w:r>
      <w:r>
        <w:rPr>
          <w:rFonts w:ascii="宋体" w:hAnsi="宋体" w:cs="Times New Roman"/>
          <w:color w:val="auto"/>
          <w:spacing w:val="6"/>
          <w:sz w:val="24"/>
          <w:szCs w:val="24"/>
          <w:highlight w:val="none"/>
          <w:u w:val="single"/>
        </w:rPr>
        <w:t>___</w:t>
      </w:r>
      <w:r>
        <w:rPr>
          <w:rFonts w:hint="eastAsia" w:ascii="宋体" w:hAnsi="宋体" w:cs="Times New Roman"/>
          <w:color w:val="auto"/>
          <w:spacing w:val="6"/>
          <w:sz w:val="24"/>
          <w:szCs w:val="24"/>
          <w:highlight w:val="none"/>
        </w:rPr>
        <w:t>单位的</w:t>
      </w:r>
      <w:r>
        <w:rPr>
          <w:rFonts w:ascii="宋体" w:hAnsi="宋体" w:cs="Times New Roman"/>
          <w:color w:val="auto"/>
          <w:spacing w:val="6"/>
          <w:sz w:val="24"/>
          <w:szCs w:val="24"/>
          <w:highlight w:val="none"/>
          <w:u w:val="single"/>
        </w:rPr>
        <w:t>___</w:t>
      </w:r>
      <w:r>
        <w:rPr>
          <w:rFonts w:hint="eastAsia" w:ascii="宋体" w:hAnsi="宋体" w:cs="Times New Roman"/>
          <w:color w:val="auto"/>
          <w:spacing w:val="6"/>
          <w:sz w:val="24"/>
          <w:szCs w:val="24"/>
          <w:highlight w:val="none"/>
          <w:u w:val="single"/>
        </w:rPr>
        <w:t>/</w:t>
      </w:r>
      <w:r>
        <w:rPr>
          <w:rFonts w:ascii="宋体" w:hAnsi="宋体" w:cs="Times New Roman"/>
          <w:color w:val="auto"/>
          <w:spacing w:val="6"/>
          <w:sz w:val="24"/>
          <w:szCs w:val="24"/>
          <w:highlight w:val="none"/>
          <w:u w:val="single"/>
        </w:rPr>
        <w:t>___</w:t>
      </w:r>
      <w:r>
        <w:rPr>
          <w:rFonts w:hint="eastAsia" w:ascii="宋体" w:hAnsi="宋体" w:cs="Times New Roman"/>
          <w:color w:val="auto"/>
          <w:spacing w:val="6"/>
          <w:sz w:val="24"/>
          <w:szCs w:val="24"/>
          <w:highlight w:val="none"/>
        </w:rPr>
        <w:t>项目采购活动提供本单位制造的货物（由本单位承担工程</w:t>
      </w:r>
      <w:r>
        <w:rPr>
          <w:rFonts w:ascii="宋体" w:hAnsi="宋体" w:cs="Times New Roman"/>
          <w:color w:val="auto"/>
          <w:spacing w:val="6"/>
          <w:sz w:val="24"/>
          <w:szCs w:val="24"/>
          <w:highlight w:val="none"/>
        </w:rPr>
        <w:t>/</w:t>
      </w:r>
      <w:r>
        <w:rPr>
          <w:rFonts w:hint="eastAsia" w:ascii="宋体" w:hAnsi="宋体" w:cs="Times New Roman"/>
          <w:color w:val="auto"/>
          <w:spacing w:val="6"/>
          <w:sz w:val="24"/>
          <w:szCs w:val="24"/>
          <w:highlight w:val="none"/>
        </w:rPr>
        <w:t>提供服务），或者提供其他残疾人福利性单位制造的货物（不包括使用非残疾人福利性单位注册商标的货物）。</w:t>
      </w:r>
    </w:p>
    <w:p>
      <w:pPr>
        <w:spacing w:line="360" w:lineRule="auto"/>
        <w:ind w:firstLine="504" w:firstLineChars="200"/>
        <w:rPr>
          <w:rFonts w:ascii="宋体" w:hAnsi="宋体" w:cs="Times New Roman"/>
          <w:color w:val="auto"/>
          <w:spacing w:val="6"/>
          <w:sz w:val="24"/>
          <w:szCs w:val="24"/>
          <w:highlight w:val="none"/>
        </w:rPr>
      </w:pPr>
      <w:r>
        <w:rPr>
          <w:rFonts w:hint="eastAsia" w:ascii="宋体" w:hAnsi="宋体" w:cs="Times New Roman"/>
          <w:color w:val="auto"/>
          <w:spacing w:val="6"/>
          <w:sz w:val="24"/>
          <w:szCs w:val="24"/>
          <w:highlight w:val="none"/>
        </w:rPr>
        <w:t>本单位对上述声明的真实性负责。如有虚假，将依法承担相应责任。</w:t>
      </w:r>
    </w:p>
    <w:p>
      <w:pPr>
        <w:spacing w:line="360" w:lineRule="auto"/>
        <w:ind w:firstLine="504" w:firstLineChars="200"/>
        <w:rPr>
          <w:rFonts w:ascii="宋体" w:hAnsi="宋体" w:cs="Times New Roman"/>
          <w:color w:val="auto"/>
          <w:spacing w:val="6"/>
          <w:sz w:val="24"/>
          <w:szCs w:val="24"/>
          <w:highlight w:val="none"/>
        </w:rPr>
      </w:pPr>
    </w:p>
    <w:p>
      <w:pPr>
        <w:spacing w:line="360" w:lineRule="auto"/>
        <w:ind w:firstLine="504" w:firstLineChars="200"/>
        <w:rPr>
          <w:rFonts w:ascii="宋体" w:hAnsi="宋体" w:cs="Times New Roman"/>
          <w:color w:val="auto"/>
          <w:spacing w:val="6"/>
          <w:sz w:val="24"/>
          <w:szCs w:val="24"/>
          <w:highlight w:val="none"/>
        </w:rPr>
      </w:pPr>
    </w:p>
    <w:p>
      <w:pPr>
        <w:tabs>
          <w:tab w:val="left" w:pos="4860"/>
        </w:tabs>
        <w:spacing w:line="360" w:lineRule="auto"/>
        <w:ind w:right="1560" w:firstLine="504" w:firstLineChars="200"/>
        <w:rPr>
          <w:rFonts w:ascii="宋体" w:hAnsi="宋体" w:cs="Times New Roman"/>
          <w:color w:val="auto"/>
          <w:spacing w:val="6"/>
          <w:sz w:val="24"/>
          <w:szCs w:val="24"/>
          <w:highlight w:val="none"/>
        </w:rPr>
      </w:pPr>
      <w:r>
        <w:rPr>
          <w:rFonts w:hint="eastAsia" w:ascii="宋体" w:hAnsi="宋体" w:cs="Times New Roman"/>
          <w:color w:val="auto"/>
          <w:spacing w:val="6"/>
          <w:sz w:val="24"/>
          <w:szCs w:val="24"/>
          <w:highlight w:val="none"/>
        </w:rPr>
        <w:t>单位名称（盖章）：</w:t>
      </w:r>
    </w:p>
    <w:p>
      <w:pPr>
        <w:tabs>
          <w:tab w:val="left" w:pos="4860"/>
        </w:tabs>
        <w:spacing w:line="360" w:lineRule="auto"/>
        <w:ind w:right="1560" w:firstLine="504" w:firstLineChars="200"/>
        <w:jc w:val="center"/>
        <w:rPr>
          <w:rFonts w:ascii="宋体" w:hAnsi="宋体" w:cs="Times New Roman"/>
          <w:color w:val="auto"/>
          <w:spacing w:val="6"/>
          <w:sz w:val="24"/>
          <w:szCs w:val="24"/>
          <w:highlight w:val="none"/>
        </w:rPr>
      </w:pPr>
      <w:r>
        <w:rPr>
          <w:rFonts w:ascii="宋体" w:hAnsi="宋体" w:cs="Times New Roman"/>
          <w:color w:val="auto"/>
          <w:spacing w:val="6"/>
          <w:sz w:val="24"/>
          <w:szCs w:val="24"/>
          <w:highlight w:val="none"/>
        </w:rPr>
        <w:t xml:space="preserve">       </w:t>
      </w:r>
      <w:r>
        <w:rPr>
          <w:rFonts w:hint="eastAsia" w:ascii="宋体" w:hAnsi="宋体" w:cs="Times New Roman"/>
          <w:color w:val="auto"/>
          <w:spacing w:val="6"/>
          <w:sz w:val="24"/>
          <w:szCs w:val="24"/>
          <w:highlight w:val="none"/>
        </w:rPr>
        <w:t xml:space="preserve">                                    日</w:t>
      </w:r>
      <w:r>
        <w:rPr>
          <w:rFonts w:ascii="宋体" w:hAnsi="宋体" w:cs="Times New Roman"/>
          <w:color w:val="auto"/>
          <w:spacing w:val="6"/>
          <w:sz w:val="24"/>
          <w:szCs w:val="24"/>
          <w:highlight w:val="none"/>
        </w:rPr>
        <w:t xml:space="preserve">  </w:t>
      </w:r>
      <w:r>
        <w:rPr>
          <w:rFonts w:hint="eastAsia" w:ascii="宋体" w:hAnsi="宋体" w:cs="Times New Roman"/>
          <w:color w:val="auto"/>
          <w:spacing w:val="6"/>
          <w:sz w:val="24"/>
          <w:szCs w:val="24"/>
          <w:highlight w:val="none"/>
        </w:rPr>
        <w:t>期：</w:t>
      </w:r>
    </w:p>
    <w:p>
      <w:pPr>
        <w:spacing w:line="360" w:lineRule="auto"/>
        <w:rPr>
          <w:rFonts w:ascii="宋体" w:hAnsi="宋体" w:cs="Times New Roman"/>
          <w:color w:val="auto"/>
          <w:sz w:val="24"/>
          <w:szCs w:val="24"/>
          <w:highlight w:val="none"/>
        </w:rPr>
      </w:pPr>
    </w:p>
    <w:p>
      <w:pPr>
        <w:spacing w:line="360" w:lineRule="auto"/>
        <w:rPr>
          <w:rFonts w:ascii="宋体" w:hAnsi="宋体" w:cs="Times New Roman"/>
          <w:color w:val="auto"/>
          <w:sz w:val="24"/>
          <w:szCs w:val="24"/>
          <w:highlight w:val="none"/>
        </w:rPr>
      </w:pPr>
    </w:p>
    <w:p>
      <w:pPr>
        <w:spacing w:line="360" w:lineRule="auto"/>
        <w:rPr>
          <w:rFonts w:ascii="宋体" w:hAnsi="宋体" w:cs="Times New Roman"/>
          <w:color w:val="auto"/>
          <w:sz w:val="24"/>
          <w:szCs w:val="24"/>
          <w:highlight w:val="none"/>
        </w:rPr>
      </w:pPr>
    </w:p>
    <w:p>
      <w:pPr>
        <w:widowControl/>
        <w:spacing w:line="360" w:lineRule="auto"/>
        <w:jc w:val="left"/>
        <w:rPr>
          <w:rFonts w:ascii="宋体" w:hAnsi="宋体" w:cs="Times New Roman"/>
          <w:color w:val="auto"/>
          <w:sz w:val="24"/>
          <w:szCs w:val="24"/>
          <w:highlight w:val="none"/>
        </w:rPr>
      </w:pPr>
      <w:r>
        <w:rPr>
          <w:rFonts w:hint="eastAsia" w:ascii="宋体" w:hAnsi="宋体" w:cs="Times New Roman"/>
          <w:b/>
          <w:color w:val="auto"/>
          <w:kern w:val="0"/>
          <w:sz w:val="24"/>
          <w:szCs w:val="24"/>
          <w:highlight w:val="none"/>
        </w:rPr>
        <w:t>附表三、</w:t>
      </w:r>
    </w:p>
    <w:p>
      <w:pPr>
        <w:spacing w:line="360" w:lineRule="auto"/>
        <w:jc w:val="center"/>
        <w:rPr>
          <w:rFonts w:ascii="宋体" w:hAnsi="宋体" w:cs="Times New Roman"/>
          <w:color w:val="auto"/>
          <w:kern w:val="0"/>
          <w:sz w:val="24"/>
          <w:szCs w:val="24"/>
          <w:highlight w:val="none"/>
        </w:rPr>
      </w:pPr>
      <w:r>
        <w:rPr>
          <w:rFonts w:hint="eastAsia" w:ascii="宋体" w:hAnsi="宋体" w:cs="Times New Roman"/>
          <w:b/>
          <w:color w:val="auto"/>
          <w:kern w:val="0"/>
          <w:sz w:val="24"/>
          <w:szCs w:val="24"/>
          <w:highlight w:val="none"/>
        </w:rPr>
        <w:t>监狱企业证明文件</w:t>
      </w:r>
    </w:p>
    <w:p>
      <w:pPr>
        <w:spacing w:line="360" w:lineRule="auto"/>
        <w:ind w:firstLine="504" w:firstLineChars="200"/>
        <w:rPr>
          <w:rFonts w:ascii="宋体" w:hAnsi="宋体" w:cs="Times New Roman"/>
          <w:color w:val="auto"/>
          <w:spacing w:val="6"/>
          <w:sz w:val="24"/>
          <w:szCs w:val="24"/>
          <w:highlight w:val="none"/>
        </w:rPr>
      </w:pPr>
      <w:r>
        <w:rPr>
          <w:rFonts w:hint="eastAsia" w:ascii="宋体" w:hAnsi="宋体" w:cs="Times New Roman"/>
          <w:color w:val="auto"/>
          <w:spacing w:val="6"/>
          <w:sz w:val="24"/>
          <w:szCs w:val="24"/>
          <w:highlight w:val="none"/>
        </w:rPr>
        <w:t>监狱企业参加政府采购活动时，应当提供由省级以上监狱管理局、戒毒管理局（含新疆生产建设兵团）出具的属于监狱企业的证明文件。</w:t>
      </w:r>
    </w:p>
    <w:p>
      <w:pPr>
        <w:widowControl/>
        <w:adjustRightInd w:val="0"/>
        <w:snapToGrid w:val="0"/>
        <w:spacing w:line="360" w:lineRule="auto"/>
        <w:rPr>
          <w:rFonts w:ascii="宋体" w:hAnsi="宋体" w:cs="Times New Roman"/>
          <w:color w:val="auto"/>
          <w:sz w:val="24"/>
          <w:szCs w:val="24"/>
          <w:highlight w:val="none"/>
        </w:rPr>
      </w:pPr>
    </w:p>
    <w:p>
      <w:pPr>
        <w:tabs>
          <w:tab w:val="center" w:pos="4832"/>
          <w:tab w:val="left" w:pos="7140"/>
        </w:tabs>
        <w:jc w:val="center"/>
        <w:outlineLvl w:val="1"/>
        <w:rPr>
          <w:rFonts w:ascii="宋体" w:hAnsi="宋体" w:cs="宋体"/>
          <w:b/>
          <w:color w:val="auto"/>
          <w:sz w:val="24"/>
          <w:szCs w:val="24"/>
          <w:highlight w:val="none"/>
        </w:rPr>
      </w:pPr>
      <w:r>
        <w:rPr>
          <w:rFonts w:ascii="宋体" w:hAnsi="宋体" w:cs="Times New Roman"/>
          <w:b/>
          <w:color w:val="auto"/>
          <w:sz w:val="24"/>
          <w:szCs w:val="24"/>
          <w:highlight w:val="none"/>
        </w:rPr>
        <w:br w:type="page"/>
      </w:r>
      <w:bookmarkStart w:id="127" w:name="_Toc141050520"/>
      <w:bookmarkStart w:id="128" w:name="_Toc109921165"/>
      <w:bookmarkStart w:id="129" w:name="_Toc130252627"/>
      <w:bookmarkStart w:id="130" w:name="_Toc109941772"/>
      <w:bookmarkStart w:id="131" w:name="_Toc110707972"/>
      <w:r>
        <w:rPr>
          <w:rFonts w:hint="eastAsia" w:ascii="宋体" w:hAnsi="宋体" w:cs="宋体"/>
          <w:b/>
          <w:color w:val="auto"/>
          <w:sz w:val="24"/>
          <w:szCs w:val="24"/>
          <w:highlight w:val="none"/>
        </w:rPr>
        <w:t>九、投标人近年类似项目情况表</w:t>
      </w:r>
      <w:bookmarkEnd w:id="127"/>
      <w:bookmarkEnd w:id="128"/>
      <w:bookmarkEnd w:id="129"/>
      <w:bookmarkEnd w:id="130"/>
      <w:bookmarkEnd w:id="131"/>
    </w:p>
    <w:p>
      <w:pPr>
        <w:spacing w:line="360" w:lineRule="auto"/>
        <w:jc w:val="left"/>
        <w:rPr>
          <w:rFonts w:ascii="宋体" w:hAnsi="宋体" w:cs="Times New Roman"/>
          <w:color w:val="auto"/>
          <w:sz w:val="24"/>
          <w:szCs w:val="24"/>
          <w:highlight w:val="none"/>
        </w:rPr>
      </w:pPr>
    </w:p>
    <w:tbl>
      <w:tblPr>
        <w:tblStyle w:val="37"/>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697"/>
        <w:gridCol w:w="1233"/>
        <w:gridCol w:w="963"/>
        <w:gridCol w:w="1922"/>
        <w:gridCol w:w="1212"/>
        <w:gridCol w:w="1232"/>
        <w:gridCol w:w="1232"/>
        <w:gridCol w:w="79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pPr>
              <w:rPr>
                <w:rFonts w:ascii="宋体" w:hAnsi="宋体"/>
                <w:color w:val="auto"/>
                <w:kern w:val="0"/>
                <w:sz w:val="24"/>
                <w:szCs w:val="24"/>
                <w:highlight w:val="none"/>
              </w:rPr>
            </w:pPr>
            <w:r>
              <w:rPr>
                <w:rFonts w:hint="eastAsia" w:ascii="宋体" w:hAnsi="宋体"/>
                <w:color w:val="auto"/>
                <w:kern w:val="0"/>
                <w:sz w:val="24"/>
                <w:szCs w:val="24"/>
                <w:highlight w:val="none"/>
              </w:rPr>
              <w:t>序号</w:t>
            </w:r>
          </w:p>
        </w:tc>
        <w:tc>
          <w:tcPr>
            <w:tcW w:w="1233" w:type="dxa"/>
            <w:shd w:val="clear" w:color="auto" w:fill="auto"/>
          </w:tcPr>
          <w:p>
            <w:pPr>
              <w:rPr>
                <w:rFonts w:ascii="宋体" w:hAnsi="宋体"/>
                <w:color w:val="auto"/>
                <w:kern w:val="0"/>
                <w:sz w:val="24"/>
                <w:szCs w:val="24"/>
                <w:highlight w:val="none"/>
              </w:rPr>
            </w:pPr>
            <w:r>
              <w:rPr>
                <w:rFonts w:hint="eastAsia" w:ascii="宋体" w:hAnsi="宋体"/>
                <w:color w:val="auto"/>
                <w:kern w:val="0"/>
                <w:sz w:val="24"/>
                <w:szCs w:val="24"/>
                <w:highlight w:val="none"/>
              </w:rPr>
              <w:t>项目名称</w:t>
            </w:r>
          </w:p>
        </w:tc>
        <w:tc>
          <w:tcPr>
            <w:tcW w:w="963" w:type="dxa"/>
            <w:shd w:val="clear" w:color="auto" w:fill="auto"/>
          </w:tcPr>
          <w:p>
            <w:pPr>
              <w:rPr>
                <w:rFonts w:ascii="宋体" w:hAnsi="宋体"/>
                <w:color w:val="auto"/>
                <w:kern w:val="0"/>
                <w:sz w:val="24"/>
                <w:szCs w:val="24"/>
                <w:highlight w:val="none"/>
              </w:rPr>
            </w:pPr>
            <w:r>
              <w:rPr>
                <w:rFonts w:hint="eastAsia" w:ascii="宋体" w:hAnsi="宋体"/>
                <w:color w:val="auto"/>
                <w:kern w:val="0"/>
                <w:sz w:val="24"/>
                <w:szCs w:val="24"/>
                <w:highlight w:val="none"/>
              </w:rPr>
              <w:t>采购人</w:t>
            </w:r>
          </w:p>
        </w:tc>
        <w:tc>
          <w:tcPr>
            <w:tcW w:w="1922" w:type="dxa"/>
            <w:shd w:val="clear" w:color="auto" w:fill="auto"/>
          </w:tcPr>
          <w:p>
            <w:pPr>
              <w:rPr>
                <w:rFonts w:ascii="宋体" w:hAnsi="宋体"/>
                <w:color w:val="auto"/>
                <w:kern w:val="0"/>
                <w:sz w:val="24"/>
                <w:szCs w:val="24"/>
                <w:highlight w:val="none"/>
              </w:rPr>
            </w:pPr>
            <w:r>
              <w:rPr>
                <w:rFonts w:hint="eastAsia" w:ascii="宋体" w:hAnsi="宋体"/>
                <w:color w:val="auto"/>
                <w:kern w:val="0"/>
                <w:sz w:val="24"/>
                <w:szCs w:val="24"/>
                <w:highlight w:val="none"/>
              </w:rPr>
              <w:t>采购人联系方式</w:t>
            </w:r>
          </w:p>
        </w:tc>
        <w:tc>
          <w:tcPr>
            <w:tcW w:w="1212" w:type="dxa"/>
            <w:shd w:val="clear" w:color="auto" w:fill="auto"/>
          </w:tcPr>
          <w:p>
            <w:pPr>
              <w:rPr>
                <w:rFonts w:ascii="宋体" w:hAnsi="宋体"/>
                <w:color w:val="auto"/>
                <w:kern w:val="0"/>
                <w:sz w:val="24"/>
                <w:szCs w:val="24"/>
                <w:highlight w:val="none"/>
              </w:rPr>
            </w:pPr>
            <w:r>
              <w:rPr>
                <w:rFonts w:hint="eastAsia" w:ascii="宋体" w:hAnsi="宋体"/>
                <w:color w:val="auto"/>
                <w:kern w:val="0"/>
                <w:sz w:val="24"/>
                <w:szCs w:val="24"/>
                <w:highlight w:val="none"/>
              </w:rPr>
              <w:t>合同内容</w:t>
            </w:r>
          </w:p>
        </w:tc>
        <w:tc>
          <w:tcPr>
            <w:tcW w:w="1232" w:type="dxa"/>
            <w:shd w:val="clear" w:color="auto" w:fill="auto"/>
          </w:tcPr>
          <w:p>
            <w:pPr>
              <w:rPr>
                <w:rFonts w:ascii="宋体" w:hAnsi="宋体"/>
                <w:color w:val="auto"/>
                <w:kern w:val="0"/>
                <w:sz w:val="24"/>
                <w:szCs w:val="24"/>
                <w:highlight w:val="none"/>
              </w:rPr>
            </w:pPr>
            <w:r>
              <w:rPr>
                <w:rFonts w:hint="eastAsia" w:ascii="宋体" w:hAnsi="宋体"/>
                <w:color w:val="auto"/>
                <w:kern w:val="0"/>
                <w:sz w:val="24"/>
                <w:szCs w:val="24"/>
                <w:highlight w:val="none"/>
              </w:rPr>
              <w:t>合同价格</w:t>
            </w:r>
          </w:p>
        </w:tc>
        <w:tc>
          <w:tcPr>
            <w:tcW w:w="1232" w:type="dxa"/>
            <w:shd w:val="clear" w:color="auto" w:fill="auto"/>
          </w:tcPr>
          <w:p>
            <w:pPr>
              <w:rPr>
                <w:rFonts w:ascii="宋体" w:hAnsi="宋体"/>
                <w:color w:val="auto"/>
                <w:kern w:val="0"/>
                <w:sz w:val="24"/>
                <w:szCs w:val="24"/>
                <w:highlight w:val="none"/>
              </w:rPr>
            </w:pPr>
            <w:r>
              <w:rPr>
                <w:rFonts w:hint="eastAsia" w:ascii="宋体" w:hAnsi="宋体"/>
                <w:color w:val="auto"/>
                <w:kern w:val="0"/>
                <w:sz w:val="24"/>
                <w:szCs w:val="24"/>
                <w:highlight w:val="none"/>
              </w:rPr>
              <w:t>签约日期</w:t>
            </w:r>
          </w:p>
        </w:tc>
        <w:tc>
          <w:tcPr>
            <w:tcW w:w="795" w:type="dxa"/>
            <w:shd w:val="clear" w:color="auto" w:fill="auto"/>
          </w:tcPr>
          <w:p>
            <w:pPr>
              <w:rPr>
                <w:rFonts w:ascii="宋体" w:hAnsi="宋体"/>
                <w:color w:val="auto"/>
                <w:kern w:val="0"/>
                <w:sz w:val="24"/>
                <w:szCs w:val="24"/>
                <w:highlight w:val="none"/>
              </w:rPr>
            </w:pPr>
            <w:r>
              <w:rPr>
                <w:rFonts w:hint="eastAsia" w:ascii="宋体" w:hAnsi="宋体"/>
                <w:color w:val="auto"/>
                <w:kern w:val="0"/>
                <w:sz w:val="24"/>
                <w:szCs w:val="24"/>
                <w:highlight w:val="non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pPr>
              <w:rPr>
                <w:rFonts w:ascii="宋体" w:hAnsi="宋体"/>
                <w:color w:val="auto"/>
                <w:kern w:val="0"/>
                <w:sz w:val="24"/>
                <w:szCs w:val="24"/>
                <w:highlight w:val="none"/>
              </w:rPr>
            </w:pPr>
          </w:p>
        </w:tc>
        <w:tc>
          <w:tcPr>
            <w:tcW w:w="1233" w:type="dxa"/>
            <w:shd w:val="clear" w:color="auto" w:fill="auto"/>
          </w:tcPr>
          <w:p>
            <w:pPr>
              <w:rPr>
                <w:rFonts w:ascii="宋体" w:hAnsi="宋体"/>
                <w:color w:val="auto"/>
                <w:kern w:val="0"/>
                <w:sz w:val="24"/>
                <w:szCs w:val="24"/>
                <w:highlight w:val="none"/>
              </w:rPr>
            </w:pPr>
          </w:p>
        </w:tc>
        <w:tc>
          <w:tcPr>
            <w:tcW w:w="963" w:type="dxa"/>
            <w:shd w:val="clear" w:color="auto" w:fill="auto"/>
          </w:tcPr>
          <w:p>
            <w:pPr>
              <w:rPr>
                <w:rFonts w:ascii="宋体" w:hAnsi="宋体"/>
                <w:color w:val="auto"/>
                <w:kern w:val="0"/>
                <w:sz w:val="24"/>
                <w:szCs w:val="24"/>
                <w:highlight w:val="none"/>
              </w:rPr>
            </w:pPr>
          </w:p>
        </w:tc>
        <w:tc>
          <w:tcPr>
            <w:tcW w:w="1922" w:type="dxa"/>
            <w:shd w:val="clear" w:color="auto" w:fill="auto"/>
          </w:tcPr>
          <w:p>
            <w:pPr>
              <w:rPr>
                <w:rFonts w:ascii="宋体" w:hAnsi="宋体"/>
                <w:color w:val="auto"/>
                <w:kern w:val="0"/>
                <w:sz w:val="24"/>
                <w:szCs w:val="24"/>
                <w:highlight w:val="none"/>
              </w:rPr>
            </w:pPr>
          </w:p>
        </w:tc>
        <w:tc>
          <w:tcPr>
            <w:tcW w:w="1212" w:type="dxa"/>
            <w:shd w:val="clear" w:color="auto" w:fill="auto"/>
          </w:tcPr>
          <w:p>
            <w:pPr>
              <w:rPr>
                <w:rFonts w:ascii="宋体" w:hAnsi="宋体"/>
                <w:color w:val="auto"/>
                <w:kern w:val="0"/>
                <w:sz w:val="24"/>
                <w:szCs w:val="24"/>
                <w:highlight w:val="none"/>
              </w:rPr>
            </w:pPr>
          </w:p>
        </w:tc>
        <w:tc>
          <w:tcPr>
            <w:tcW w:w="1232" w:type="dxa"/>
            <w:shd w:val="clear" w:color="auto" w:fill="auto"/>
          </w:tcPr>
          <w:p>
            <w:pPr>
              <w:rPr>
                <w:rFonts w:ascii="宋体" w:hAnsi="宋体"/>
                <w:color w:val="auto"/>
                <w:kern w:val="0"/>
                <w:sz w:val="24"/>
                <w:szCs w:val="24"/>
                <w:highlight w:val="none"/>
              </w:rPr>
            </w:pPr>
          </w:p>
        </w:tc>
        <w:tc>
          <w:tcPr>
            <w:tcW w:w="1232" w:type="dxa"/>
            <w:shd w:val="clear" w:color="auto" w:fill="auto"/>
          </w:tcPr>
          <w:p>
            <w:pPr>
              <w:rPr>
                <w:rFonts w:ascii="宋体" w:hAnsi="宋体"/>
                <w:color w:val="auto"/>
                <w:kern w:val="0"/>
                <w:sz w:val="24"/>
                <w:szCs w:val="24"/>
                <w:highlight w:val="none"/>
              </w:rPr>
            </w:pPr>
          </w:p>
        </w:tc>
        <w:tc>
          <w:tcPr>
            <w:tcW w:w="795" w:type="dxa"/>
            <w:shd w:val="clear" w:color="auto" w:fill="auto"/>
          </w:tcPr>
          <w:p>
            <w:pPr>
              <w:rPr>
                <w:rFonts w:ascii="宋体" w:hAnsi="宋体"/>
                <w:color w:val="auto"/>
                <w:kern w:val="0"/>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pPr>
              <w:rPr>
                <w:rFonts w:ascii="宋体" w:hAnsi="宋体"/>
                <w:color w:val="auto"/>
                <w:kern w:val="0"/>
                <w:sz w:val="24"/>
                <w:szCs w:val="24"/>
                <w:highlight w:val="none"/>
              </w:rPr>
            </w:pPr>
          </w:p>
        </w:tc>
        <w:tc>
          <w:tcPr>
            <w:tcW w:w="1233" w:type="dxa"/>
            <w:shd w:val="clear" w:color="auto" w:fill="auto"/>
          </w:tcPr>
          <w:p>
            <w:pPr>
              <w:rPr>
                <w:rFonts w:ascii="宋体" w:hAnsi="宋体"/>
                <w:color w:val="auto"/>
                <w:kern w:val="0"/>
                <w:sz w:val="24"/>
                <w:szCs w:val="24"/>
                <w:highlight w:val="none"/>
              </w:rPr>
            </w:pPr>
          </w:p>
        </w:tc>
        <w:tc>
          <w:tcPr>
            <w:tcW w:w="963" w:type="dxa"/>
            <w:shd w:val="clear" w:color="auto" w:fill="auto"/>
          </w:tcPr>
          <w:p>
            <w:pPr>
              <w:rPr>
                <w:rFonts w:ascii="宋体" w:hAnsi="宋体"/>
                <w:color w:val="auto"/>
                <w:kern w:val="0"/>
                <w:sz w:val="24"/>
                <w:szCs w:val="24"/>
                <w:highlight w:val="none"/>
              </w:rPr>
            </w:pPr>
          </w:p>
        </w:tc>
        <w:tc>
          <w:tcPr>
            <w:tcW w:w="1922" w:type="dxa"/>
            <w:shd w:val="clear" w:color="auto" w:fill="auto"/>
          </w:tcPr>
          <w:p>
            <w:pPr>
              <w:rPr>
                <w:rFonts w:ascii="宋体" w:hAnsi="宋体"/>
                <w:color w:val="auto"/>
                <w:kern w:val="0"/>
                <w:sz w:val="24"/>
                <w:szCs w:val="24"/>
                <w:highlight w:val="none"/>
              </w:rPr>
            </w:pPr>
          </w:p>
        </w:tc>
        <w:tc>
          <w:tcPr>
            <w:tcW w:w="1212" w:type="dxa"/>
            <w:shd w:val="clear" w:color="auto" w:fill="auto"/>
          </w:tcPr>
          <w:p>
            <w:pPr>
              <w:rPr>
                <w:rFonts w:ascii="宋体" w:hAnsi="宋体"/>
                <w:color w:val="auto"/>
                <w:kern w:val="0"/>
                <w:sz w:val="24"/>
                <w:szCs w:val="24"/>
                <w:highlight w:val="none"/>
              </w:rPr>
            </w:pPr>
          </w:p>
        </w:tc>
        <w:tc>
          <w:tcPr>
            <w:tcW w:w="1232" w:type="dxa"/>
            <w:shd w:val="clear" w:color="auto" w:fill="auto"/>
          </w:tcPr>
          <w:p>
            <w:pPr>
              <w:rPr>
                <w:rFonts w:ascii="宋体" w:hAnsi="宋体"/>
                <w:color w:val="auto"/>
                <w:kern w:val="0"/>
                <w:sz w:val="24"/>
                <w:szCs w:val="24"/>
                <w:highlight w:val="none"/>
              </w:rPr>
            </w:pPr>
          </w:p>
        </w:tc>
        <w:tc>
          <w:tcPr>
            <w:tcW w:w="1232" w:type="dxa"/>
            <w:shd w:val="clear" w:color="auto" w:fill="auto"/>
          </w:tcPr>
          <w:p>
            <w:pPr>
              <w:rPr>
                <w:rFonts w:ascii="宋体" w:hAnsi="宋体"/>
                <w:color w:val="auto"/>
                <w:kern w:val="0"/>
                <w:sz w:val="24"/>
                <w:szCs w:val="24"/>
                <w:highlight w:val="none"/>
              </w:rPr>
            </w:pPr>
          </w:p>
        </w:tc>
        <w:tc>
          <w:tcPr>
            <w:tcW w:w="795" w:type="dxa"/>
            <w:shd w:val="clear" w:color="auto" w:fill="auto"/>
          </w:tcPr>
          <w:p>
            <w:pPr>
              <w:rPr>
                <w:rFonts w:ascii="宋体" w:hAnsi="宋体"/>
                <w:color w:val="auto"/>
                <w:kern w:val="0"/>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pPr>
              <w:rPr>
                <w:rFonts w:ascii="宋体" w:hAnsi="宋体"/>
                <w:color w:val="auto"/>
                <w:kern w:val="0"/>
                <w:sz w:val="24"/>
                <w:szCs w:val="24"/>
                <w:highlight w:val="none"/>
              </w:rPr>
            </w:pPr>
          </w:p>
        </w:tc>
        <w:tc>
          <w:tcPr>
            <w:tcW w:w="1233" w:type="dxa"/>
            <w:shd w:val="clear" w:color="auto" w:fill="auto"/>
          </w:tcPr>
          <w:p>
            <w:pPr>
              <w:rPr>
                <w:rFonts w:ascii="宋体" w:hAnsi="宋体"/>
                <w:color w:val="auto"/>
                <w:kern w:val="0"/>
                <w:sz w:val="24"/>
                <w:szCs w:val="24"/>
                <w:highlight w:val="none"/>
              </w:rPr>
            </w:pPr>
          </w:p>
        </w:tc>
        <w:tc>
          <w:tcPr>
            <w:tcW w:w="963" w:type="dxa"/>
            <w:shd w:val="clear" w:color="auto" w:fill="auto"/>
          </w:tcPr>
          <w:p>
            <w:pPr>
              <w:rPr>
                <w:rFonts w:ascii="宋体" w:hAnsi="宋体"/>
                <w:color w:val="auto"/>
                <w:kern w:val="0"/>
                <w:sz w:val="24"/>
                <w:szCs w:val="24"/>
                <w:highlight w:val="none"/>
              </w:rPr>
            </w:pPr>
          </w:p>
        </w:tc>
        <w:tc>
          <w:tcPr>
            <w:tcW w:w="1922" w:type="dxa"/>
            <w:shd w:val="clear" w:color="auto" w:fill="auto"/>
          </w:tcPr>
          <w:p>
            <w:pPr>
              <w:rPr>
                <w:rFonts w:ascii="宋体" w:hAnsi="宋体"/>
                <w:color w:val="auto"/>
                <w:kern w:val="0"/>
                <w:sz w:val="24"/>
                <w:szCs w:val="24"/>
                <w:highlight w:val="none"/>
              </w:rPr>
            </w:pPr>
          </w:p>
        </w:tc>
        <w:tc>
          <w:tcPr>
            <w:tcW w:w="1212" w:type="dxa"/>
            <w:shd w:val="clear" w:color="auto" w:fill="auto"/>
          </w:tcPr>
          <w:p>
            <w:pPr>
              <w:rPr>
                <w:rFonts w:ascii="宋体" w:hAnsi="宋体"/>
                <w:color w:val="auto"/>
                <w:kern w:val="0"/>
                <w:sz w:val="24"/>
                <w:szCs w:val="24"/>
                <w:highlight w:val="none"/>
              </w:rPr>
            </w:pPr>
          </w:p>
        </w:tc>
        <w:tc>
          <w:tcPr>
            <w:tcW w:w="1232" w:type="dxa"/>
            <w:shd w:val="clear" w:color="auto" w:fill="auto"/>
          </w:tcPr>
          <w:p>
            <w:pPr>
              <w:rPr>
                <w:rFonts w:ascii="宋体" w:hAnsi="宋体"/>
                <w:color w:val="auto"/>
                <w:kern w:val="0"/>
                <w:sz w:val="24"/>
                <w:szCs w:val="24"/>
                <w:highlight w:val="none"/>
              </w:rPr>
            </w:pPr>
          </w:p>
        </w:tc>
        <w:tc>
          <w:tcPr>
            <w:tcW w:w="1232" w:type="dxa"/>
            <w:shd w:val="clear" w:color="auto" w:fill="auto"/>
          </w:tcPr>
          <w:p>
            <w:pPr>
              <w:rPr>
                <w:rFonts w:ascii="宋体" w:hAnsi="宋体"/>
                <w:color w:val="auto"/>
                <w:kern w:val="0"/>
                <w:sz w:val="24"/>
                <w:szCs w:val="24"/>
                <w:highlight w:val="none"/>
              </w:rPr>
            </w:pPr>
          </w:p>
        </w:tc>
        <w:tc>
          <w:tcPr>
            <w:tcW w:w="795" w:type="dxa"/>
            <w:shd w:val="clear" w:color="auto" w:fill="auto"/>
          </w:tcPr>
          <w:p>
            <w:pPr>
              <w:rPr>
                <w:rFonts w:ascii="宋体" w:hAnsi="宋体"/>
                <w:color w:val="auto"/>
                <w:kern w:val="0"/>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pPr>
              <w:rPr>
                <w:rFonts w:ascii="宋体" w:hAnsi="宋体"/>
                <w:color w:val="auto"/>
                <w:kern w:val="0"/>
                <w:sz w:val="24"/>
                <w:szCs w:val="24"/>
                <w:highlight w:val="none"/>
              </w:rPr>
            </w:pPr>
          </w:p>
        </w:tc>
        <w:tc>
          <w:tcPr>
            <w:tcW w:w="1233" w:type="dxa"/>
            <w:shd w:val="clear" w:color="auto" w:fill="auto"/>
          </w:tcPr>
          <w:p>
            <w:pPr>
              <w:rPr>
                <w:rFonts w:ascii="宋体" w:hAnsi="宋体"/>
                <w:color w:val="auto"/>
                <w:kern w:val="0"/>
                <w:sz w:val="24"/>
                <w:szCs w:val="24"/>
                <w:highlight w:val="none"/>
              </w:rPr>
            </w:pPr>
          </w:p>
        </w:tc>
        <w:tc>
          <w:tcPr>
            <w:tcW w:w="963" w:type="dxa"/>
            <w:shd w:val="clear" w:color="auto" w:fill="auto"/>
          </w:tcPr>
          <w:p>
            <w:pPr>
              <w:rPr>
                <w:rFonts w:ascii="宋体" w:hAnsi="宋体"/>
                <w:color w:val="auto"/>
                <w:kern w:val="0"/>
                <w:sz w:val="24"/>
                <w:szCs w:val="24"/>
                <w:highlight w:val="none"/>
              </w:rPr>
            </w:pPr>
          </w:p>
        </w:tc>
        <w:tc>
          <w:tcPr>
            <w:tcW w:w="1922" w:type="dxa"/>
            <w:shd w:val="clear" w:color="auto" w:fill="auto"/>
          </w:tcPr>
          <w:p>
            <w:pPr>
              <w:rPr>
                <w:rFonts w:ascii="宋体" w:hAnsi="宋体"/>
                <w:color w:val="auto"/>
                <w:kern w:val="0"/>
                <w:sz w:val="24"/>
                <w:szCs w:val="24"/>
                <w:highlight w:val="none"/>
              </w:rPr>
            </w:pPr>
          </w:p>
        </w:tc>
        <w:tc>
          <w:tcPr>
            <w:tcW w:w="1212" w:type="dxa"/>
            <w:shd w:val="clear" w:color="auto" w:fill="auto"/>
          </w:tcPr>
          <w:p>
            <w:pPr>
              <w:rPr>
                <w:rFonts w:ascii="宋体" w:hAnsi="宋体"/>
                <w:color w:val="auto"/>
                <w:kern w:val="0"/>
                <w:sz w:val="24"/>
                <w:szCs w:val="24"/>
                <w:highlight w:val="none"/>
              </w:rPr>
            </w:pPr>
          </w:p>
        </w:tc>
        <w:tc>
          <w:tcPr>
            <w:tcW w:w="1232" w:type="dxa"/>
            <w:shd w:val="clear" w:color="auto" w:fill="auto"/>
          </w:tcPr>
          <w:p>
            <w:pPr>
              <w:rPr>
                <w:rFonts w:ascii="宋体" w:hAnsi="宋体"/>
                <w:color w:val="auto"/>
                <w:kern w:val="0"/>
                <w:sz w:val="24"/>
                <w:szCs w:val="24"/>
                <w:highlight w:val="none"/>
              </w:rPr>
            </w:pPr>
          </w:p>
        </w:tc>
        <w:tc>
          <w:tcPr>
            <w:tcW w:w="1232" w:type="dxa"/>
            <w:shd w:val="clear" w:color="auto" w:fill="auto"/>
          </w:tcPr>
          <w:p>
            <w:pPr>
              <w:rPr>
                <w:rFonts w:ascii="宋体" w:hAnsi="宋体"/>
                <w:color w:val="auto"/>
                <w:kern w:val="0"/>
                <w:sz w:val="24"/>
                <w:szCs w:val="24"/>
                <w:highlight w:val="none"/>
              </w:rPr>
            </w:pPr>
          </w:p>
        </w:tc>
        <w:tc>
          <w:tcPr>
            <w:tcW w:w="795" w:type="dxa"/>
            <w:shd w:val="clear" w:color="auto" w:fill="auto"/>
          </w:tcPr>
          <w:p>
            <w:pPr>
              <w:rPr>
                <w:rFonts w:ascii="宋体" w:hAnsi="宋体"/>
                <w:color w:val="auto"/>
                <w:kern w:val="0"/>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pPr>
              <w:rPr>
                <w:rFonts w:ascii="宋体" w:hAnsi="宋体"/>
                <w:color w:val="auto"/>
                <w:kern w:val="0"/>
                <w:sz w:val="24"/>
                <w:szCs w:val="24"/>
                <w:highlight w:val="none"/>
              </w:rPr>
            </w:pPr>
          </w:p>
        </w:tc>
        <w:tc>
          <w:tcPr>
            <w:tcW w:w="1233" w:type="dxa"/>
            <w:shd w:val="clear" w:color="auto" w:fill="auto"/>
          </w:tcPr>
          <w:p>
            <w:pPr>
              <w:rPr>
                <w:rFonts w:ascii="宋体" w:hAnsi="宋体"/>
                <w:color w:val="auto"/>
                <w:kern w:val="0"/>
                <w:sz w:val="24"/>
                <w:szCs w:val="24"/>
                <w:highlight w:val="none"/>
              </w:rPr>
            </w:pPr>
          </w:p>
        </w:tc>
        <w:tc>
          <w:tcPr>
            <w:tcW w:w="963" w:type="dxa"/>
            <w:shd w:val="clear" w:color="auto" w:fill="auto"/>
          </w:tcPr>
          <w:p>
            <w:pPr>
              <w:rPr>
                <w:rFonts w:ascii="宋体" w:hAnsi="宋体"/>
                <w:color w:val="auto"/>
                <w:kern w:val="0"/>
                <w:sz w:val="24"/>
                <w:szCs w:val="24"/>
                <w:highlight w:val="none"/>
              </w:rPr>
            </w:pPr>
          </w:p>
        </w:tc>
        <w:tc>
          <w:tcPr>
            <w:tcW w:w="1922" w:type="dxa"/>
            <w:shd w:val="clear" w:color="auto" w:fill="auto"/>
          </w:tcPr>
          <w:p>
            <w:pPr>
              <w:rPr>
                <w:rFonts w:ascii="宋体" w:hAnsi="宋体"/>
                <w:color w:val="auto"/>
                <w:kern w:val="0"/>
                <w:sz w:val="24"/>
                <w:szCs w:val="24"/>
                <w:highlight w:val="none"/>
              </w:rPr>
            </w:pPr>
          </w:p>
        </w:tc>
        <w:tc>
          <w:tcPr>
            <w:tcW w:w="1212" w:type="dxa"/>
            <w:shd w:val="clear" w:color="auto" w:fill="auto"/>
          </w:tcPr>
          <w:p>
            <w:pPr>
              <w:rPr>
                <w:rFonts w:ascii="宋体" w:hAnsi="宋体"/>
                <w:color w:val="auto"/>
                <w:kern w:val="0"/>
                <w:sz w:val="24"/>
                <w:szCs w:val="24"/>
                <w:highlight w:val="none"/>
              </w:rPr>
            </w:pPr>
          </w:p>
        </w:tc>
        <w:tc>
          <w:tcPr>
            <w:tcW w:w="1232" w:type="dxa"/>
            <w:shd w:val="clear" w:color="auto" w:fill="auto"/>
          </w:tcPr>
          <w:p>
            <w:pPr>
              <w:rPr>
                <w:rFonts w:ascii="宋体" w:hAnsi="宋体"/>
                <w:color w:val="auto"/>
                <w:kern w:val="0"/>
                <w:sz w:val="24"/>
                <w:szCs w:val="24"/>
                <w:highlight w:val="none"/>
              </w:rPr>
            </w:pPr>
          </w:p>
        </w:tc>
        <w:tc>
          <w:tcPr>
            <w:tcW w:w="1232" w:type="dxa"/>
            <w:shd w:val="clear" w:color="auto" w:fill="auto"/>
          </w:tcPr>
          <w:p>
            <w:pPr>
              <w:rPr>
                <w:rFonts w:ascii="宋体" w:hAnsi="宋体"/>
                <w:color w:val="auto"/>
                <w:kern w:val="0"/>
                <w:sz w:val="24"/>
                <w:szCs w:val="24"/>
                <w:highlight w:val="none"/>
              </w:rPr>
            </w:pPr>
          </w:p>
        </w:tc>
        <w:tc>
          <w:tcPr>
            <w:tcW w:w="795" w:type="dxa"/>
            <w:shd w:val="clear" w:color="auto" w:fill="auto"/>
          </w:tcPr>
          <w:p>
            <w:pPr>
              <w:rPr>
                <w:rFonts w:ascii="宋体" w:hAnsi="宋体"/>
                <w:color w:val="auto"/>
                <w:kern w:val="0"/>
                <w:sz w:val="24"/>
                <w:szCs w:val="24"/>
                <w:highlight w:val="none"/>
              </w:rPr>
            </w:pPr>
          </w:p>
        </w:tc>
      </w:tr>
    </w:tbl>
    <w:p>
      <w:pPr>
        <w:spacing w:line="360" w:lineRule="auto"/>
        <w:jc w:val="left"/>
        <w:rPr>
          <w:rFonts w:ascii="宋体" w:hAnsi="宋体" w:cs="Times New Roman"/>
          <w:color w:val="auto"/>
          <w:sz w:val="24"/>
          <w:szCs w:val="24"/>
          <w:highlight w:val="none"/>
        </w:rPr>
      </w:pPr>
    </w:p>
    <w:p>
      <w:pPr>
        <w:spacing w:line="360" w:lineRule="auto"/>
        <w:jc w:val="left"/>
        <w:rPr>
          <w:rFonts w:ascii="宋体" w:cs="Times New Roman"/>
          <w:color w:val="auto"/>
          <w:sz w:val="24"/>
          <w:szCs w:val="24"/>
          <w:highlight w:val="none"/>
        </w:rPr>
      </w:pPr>
      <w:r>
        <w:rPr>
          <w:rFonts w:hint="eastAsia" w:ascii="宋体" w:hAnsi="宋体" w:cs="Times New Roman"/>
          <w:color w:val="auto"/>
          <w:sz w:val="24"/>
          <w:szCs w:val="24"/>
          <w:highlight w:val="none"/>
        </w:rPr>
        <w:t>备注：</w:t>
      </w:r>
    </w:p>
    <w:p>
      <w:pPr>
        <w:spacing w:line="360" w:lineRule="auto"/>
        <w:rPr>
          <w:rFonts w:ascii="宋体" w:hAnsi="宋体" w:cs="Times New Roman"/>
          <w:color w:val="auto"/>
          <w:sz w:val="24"/>
          <w:szCs w:val="24"/>
          <w:highlight w:val="none"/>
        </w:rPr>
      </w:pPr>
      <w:r>
        <w:rPr>
          <w:rFonts w:ascii="宋体" w:hAnsi="宋体" w:cs="Times New Roman"/>
          <w:color w:val="auto"/>
          <w:sz w:val="24"/>
          <w:szCs w:val="24"/>
          <w:highlight w:val="none"/>
        </w:rPr>
        <w:t>1</w:t>
      </w:r>
      <w:r>
        <w:rPr>
          <w:rFonts w:hint="eastAsia" w:ascii="宋体" w:hAnsi="宋体" w:cs="Times New Roman"/>
          <w:color w:val="auto"/>
          <w:sz w:val="24"/>
          <w:szCs w:val="24"/>
          <w:highlight w:val="none"/>
        </w:rPr>
        <w:t>、本表后须附类似业绩的证明资料（</w:t>
      </w:r>
      <w:r>
        <w:rPr>
          <w:rFonts w:hint="eastAsia" w:ascii="宋体" w:hAnsi="宋体" w:cs="宋体"/>
          <w:color w:val="auto"/>
          <w:kern w:val="0"/>
          <w:sz w:val="24"/>
          <w:szCs w:val="24"/>
          <w:highlight w:val="none"/>
        </w:rPr>
        <w:t>须提供中标通知书和合同</w:t>
      </w:r>
      <w:r>
        <w:rPr>
          <w:rFonts w:hint="eastAsia" w:ascii="宋体" w:hAnsi="宋体" w:cs="Times New Roman"/>
          <w:color w:val="auto"/>
          <w:sz w:val="24"/>
          <w:szCs w:val="24"/>
          <w:highlight w:val="none"/>
        </w:rPr>
        <w:t>）。</w:t>
      </w:r>
    </w:p>
    <w:p>
      <w:pPr>
        <w:spacing w:line="360" w:lineRule="auto"/>
        <w:jc w:val="left"/>
        <w:rPr>
          <w:rFonts w:ascii="宋体" w:cs="Times New Roman"/>
          <w:color w:val="auto"/>
          <w:sz w:val="24"/>
          <w:szCs w:val="24"/>
          <w:highlight w:val="none"/>
          <w:u w:val="single"/>
        </w:rPr>
      </w:pPr>
      <w:r>
        <w:rPr>
          <w:rFonts w:ascii="宋体" w:hAnsi="宋体" w:cs="Times New Roman"/>
          <w:color w:val="auto"/>
          <w:sz w:val="24"/>
          <w:szCs w:val="24"/>
          <w:highlight w:val="none"/>
        </w:rPr>
        <w:t>2</w:t>
      </w:r>
      <w:r>
        <w:rPr>
          <w:rFonts w:hint="eastAsia" w:ascii="宋体" w:hAnsi="宋体" w:cs="Times New Roman"/>
          <w:color w:val="auto"/>
          <w:sz w:val="24"/>
          <w:szCs w:val="24"/>
          <w:highlight w:val="none"/>
        </w:rPr>
        <w:t>、具体年份要求：</w:t>
      </w:r>
      <w:r>
        <w:rPr>
          <w:rFonts w:hint="eastAsia" w:ascii="宋体" w:hAnsi="宋体" w:cs="Times New Roman"/>
          <w:color w:val="auto"/>
          <w:sz w:val="24"/>
          <w:szCs w:val="24"/>
          <w:highlight w:val="none"/>
          <w:u w:val="single"/>
        </w:rPr>
        <w:t>2020年01月01日---至今</w:t>
      </w:r>
      <w:r>
        <w:rPr>
          <w:rFonts w:ascii="宋体" w:hAnsi="宋体" w:cs="Times New Roman"/>
          <w:color w:val="auto"/>
          <w:sz w:val="24"/>
          <w:szCs w:val="24"/>
          <w:highlight w:val="none"/>
        </w:rPr>
        <w:t xml:space="preserve"> 。</w:t>
      </w:r>
    </w:p>
    <w:p>
      <w:pPr>
        <w:tabs>
          <w:tab w:val="center" w:pos="4832"/>
          <w:tab w:val="left" w:pos="7140"/>
        </w:tabs>
        <w:jc w:val="center"/>
        <w:outlineLvl w:val="1"/>
        <w:rPr>
          <w:rFonts w:ascii="宋体" w:cs="宋体"/>
          <w:b/>
          <w:color w:val="auto"/>
          <w:sz w:val="24"/>
          <w:szCs w:val="24"/>
          <w:highlight w:val="none"/>
        </w:rPr>
      </w:pPr>
      <w:r>
        <w:rPr>
          <w:rFonts w:ascii="宋体" w:cs="Times New Roman"/>
          <w:color w:val="auto"/>
          <w:sz w:val="24"/>
          <w:szCs w:val="24"/>
          <w:highlight w:val="none"/>
        </w:rPr>
        <w:br w:type="page"/>
      </w:r>
      <w:bookmarkStart w:id="132" w:name="_Toc110707973"/>
      <w:bookmarkStart w:id="133" w:name="_Toc130252628"/>
      <w:bookmarkStart w:id="134" w:name="_Toc109921166"/>
      <w:bookmarkStart w:id="135" w:name="_Toc141050521"/>
      <w:bookmarkStart w:id="136" w:name="_Toc109941773"/>
      <w:r>
        <w:rPr>
          <w:rFonts w:hint="eastAsia" w:ascii="宋体" w:hAnsi="宋体" w:cs="宋体"/>
          <w:b/>
          <w:color w:val="auto"/>
          <w:sz w:val="24"/>
          <w:szCs w:val="24"/>
          <w:highlight w:val="none"/>
        </w:rPr>
        <w:t>十、售后服务承诺书</w:t>
      </w:r>
      <w:bookmarkEnd w:id="104"/>
      <w:bookmarkEnd w:id="132"/>
      <w:bookmarkEnd w:id="133"/>
      <w:bookmarkEnd w:id="134"/>
      <w:bookmarkEnd w:id="135"/>
      <w:bookmarkEnd w:id="136"/>
    </w:p>
    <w:p>
      <w:pPr>
        <w:spacing w:line="360" w:lineRule="auto"/>
        <w:ind w:firstLine="480" w:firstLineChars="200"/>
        <w:rPr>
          <w:rFonts w:ascii="宋体" w:hAnsi="宋体" w:cs="Times New Roman"/>
          <w:color w:val="auto"/>
          <w:sz w:val="24"/>
          <w:szCs w:val="24"/>
          <w:highlight w:val="none"/>
        </w:rPr>
      </w:pPr>
    </w:p>
    <w:p>
      <w:pPr>
        <w:spacing w:line="360" w:lineRule="auto"/>
        <w:jc w:val="center"/>
        <w:rPr>
          <w:rFonts w:ascii="宋体" w:cs="Times New Roman"/>
          <w:color w:val="auto"/>
          <w:sz w:val="24"/>
          <w:szCs w:val="24"/>
          <w:highlight w:val="none"/>
        </w:rPr>
      </w:pPr>
      <w:r>
        <w:rPr>
          <w:rFonts w:hint="eastAsia" w:ascii="宋体" w:hAnsi="宋体" w:cs="Times New Roman"/>
          <w:bCs/>
          <w:color w:val="auto"/>
          <w:sz w:val="24"/>
          <w:szCs w:val="24"/>
          <w:highlight w:val="none"/>
        </w:rPr>
        <w:t>格式和内容</w:t>
      </w:r>
      <w:r>
        <w:rPr>
          <w:rFonts w:hint="eastAsia" w:ascii="宋体" w:hAnsi="宋体" w:cs="Times New Roman"/>
          <w:color w:val="auto"/>
          <w:sz w:val="24"/>
          <w:szCs w:val="24"/>
          <w:highlight w:val="none"/>
        </w:rPr>
        <w:t>自行拟定</w:t>
      </w:r>
    </w:p>
    <w:p>
      <w:pPr>
        <w:spacing w:line="360" w:lineRule="auto"/>
        <w:ind w:firstLine="480" w:firstLineChars="200"/>
        <w:rPr>
          <w:rFonts w:ascii="宋体" w:cs="Times New Roman"/>
          <w:color w:val="auto"/>
          <w:sz w:val="24"/>
          <w:szCs w:val="24"/>
          <w:highlight w:val="none"/>
        </w:rPr>
      </w:pPr>
    </w:p>
    <w:p>
      <w:pPr>
        <w:spacing w:line="360" w:lineRule="auto"/>
        <w:ind w:firstLine="480" w:firstLineChars="200"/>
        <w:rPr>
          <w:rFonts w:ascii="宋体" w:cs="Times New Roman"/>
          <w:color w:val="auto"/>
          <w:sz w:val="24"/>
          <w:szCs w:val="24"/>
          <w:highlight w:val="none"/>
        </w:rPr>
      </w:pPr>
    </w:p>
    <w:p>
      <w:pPr>
        <w:spacing w:line="360" w:lineRule="auto"/>
        <w:ind w:firstLine="480" w:firstLineChars="200"/>
        <w:rPr>
          <w:rFonts w:ascii="宋体" w:cs="Times New Roman"/>
          <w:color w:val="auto"/>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投标人：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wordWrap w:val="0"/>
        <w:snapToGrid w:val="0"/>
        <w:spacing w:line="384" w:lineRule="auto"/>
        <w:ind w:firstLine="420"/>
        <w:jc w:val="right"/>
        <w:rPr>
          <w:rFonts w:ascii="宋体" w:cs="Arial"/>
          <w:color w:val="auto"/>
          <w:kern w:val="0"/>
          <w:sz w:val="24"/>
          <w:szCs w:val="24"/>
          <w:highlight w:val="none"/>
        </w:rPr>
      </w:pPr>
      <w:r>
        <w:rPr>
          <w:rFonts w:hint="eastAsia" w:ascii="宋体" w:hAnsi="宋体" w:cs="Arial"/>
          <w:color w:val="auto"/>
          <w:kern w:val="0"/>
          <w:sz w:val="24"/>
          <w:szCs w:val="24"/>
          <w:highlight w:val="none"/>
        </w:rPr>
        <w:t>日期：</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年</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月</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日</w:t>
      </w:r>
    </w:p>
    <w:p>
      <w:pPr>
        <w:spacing w:line="360" w:lineRule="auto"/>
        <w:ind w:firstLine="480" w:firstLineChars="200"/>
        <w:jc w:val="right"/>
        <w:rPr>
          <w:rFonts w:ascii="宋体" w:cs="Times New Roman"/>
          <w:color w:val="auto"/>
          <w:sz w:val="24"/>
          <w:szCs w:val="24"/>
          <w:highlight w:val="none"/>
        </w:rPr>
      </w:pPr>
    </w:p>
    <w:p>
      <w:pPr>
        <w:tabs>
          <w:tab w:val="center" w:pos="4832"/>
          <w:tab w:val="left" w:pos="7140"/>
        </w:tabs>
        <w:jc w:val="center"/>
        <w:outlineLvl w:val="1"/>
        <w:rPr>
          <w:rFonts w:ascii="宋体" w:hAnsi="宋体" w:cs="宋体"/>
          <w:b/>
          <w:color w:val="auto"/>
          <w:sz w:val="24"/>
          <w:szCs w:val="24"/>
          <w:highlight w:val="none"/>
        </w:rPr>
      </w:pPr>
      <w:r>
        <w:rPr>
          <w:rFonts w:ascii="宋体" w:cs="Times New Roman"/>
          <w:color w:val="auto"/>
          <w:sz w:val="24"/>
          <w:szCs w:val="24"/>
          <w:highlight w:val="none"/>
        </w:rPr>
        <w:br w:type="page"/>
      </w:r>
      <w:bookmarkStart w:id="137" w:name="_Toc141050522"/>
      <w:bookmarkStart w:id="138" w:name="_Toc109921167"/>
      <w:bookmarkStart w:id="139" w:name="_Toc130252629"/>
      <w:bookmarkStart w:id="140" w:name="_Toc110707974"/>
      <w:bookmarkStart w:id="141" w:name="_Toc109941774"/>
      <w:r>
        <w:rPr>
          <w:rFonts w:hint="eastAsia" w:ascii="宋体" w:hAnsi="宋体" w:cs="宋体"/>
          <w:b/>
          <w:color w:val="auto"/>
          <w:sz w:val="24"/>
          <w:szCs w:val="24"/>
          <w:highlight w:val="none"/>
        </w:rPr>
        <w:t>十一、技术方案</w:t>
      </w:r>
      <w:bookmarkEnd w:id="137"/>
      <w:bookmarkEnd w:id="138"/>
      <w:bookmarkEnd w:id="139"/>
      <w:bookmarkEnd w:id="140"/>
      <w:bookmarkEnd w:id="141"/>
    </w:p>
    <w:p>
      <w:pPr>
        <w:spacing w:line="360" w:lineRule="auto"/>
        <w:ind w:firstLine="480" w:firstLineChars="200"/>
        <w:rPr>
          <w:rFonts w:ascii="宋体" w:hAnsi="宋体" w:cs="Times New Roman"/>
          <w:bCs/>
          <w:color w:val="auto"/>
          <w:sz w:val="24"/>
          <w:szCs w:val="24"/>
          <w:highlight w:val="none"/>
        </w:rPr>
      </w:pPr>
      <w:bookmarkStart w:id="142" w:name="_Toc375218897"/>
    </w:p>
    <w:p>
      <w:pPr>
        <w:spacing w:line="360" w:lineRule="auto"/>
        <w:jc w:val="center"/>
        <w:rPr>
          <w:rFonts w:ascii="宋体" w:hAnsi="宋体" w:cs="Times New Roman"/>
          <w:color w:val="auto"/>
          <w:sz w:val="24"/>
          <w:szCs w:val="24"/>
          <w:highlight w:val="none"/>
        </w:rPr>
      </w:pPr>
      <w:r>
        <w:rPr>
          <w:rFonts w:hint="eastAsia" w:ascii="宋体" w:hAnsi="宋体" w:cs="Times New Roman"/>
          <w:bCs/>
          <w:color w:val="auto"/>
          <w:sz w:val="24"/>
          <w:szCs w:val="24"/>
          <w:highlight w:val="none"/>
        </w:rPr>
        <w:t>格式和内容</w:t>
      </w:r>
      <w:r>
        <w:rPr>
          <w:rFonts w:hint="eastAsia" w:ascii="宋体" w:hAnsi="宋体" w:cs="Times New Roman"/>
          <w:color w:val="auto"/>
          <w:sz w:val="24"/>
          <w:szCs w:val="24"/>
          <w:highlight w:val="none"/>
        </w:rPr>
        <w:t>自行拟定</w:t>
      </w:r>
      <w:bookmarkStart w:id="143" w:name="_Toc375218899"/>
    </w:p>
    <w:p>
      <w:pPr>
        <w:spacing w:line="360" w:lineRule="auto"/>
        <w:ind w:firstLine="480" w:firstLineChars="200"/>
        <w:rPr>
          <w:rFonts w:ascii="宋体" w:hAnsi="宋体" w:cs="Times New Roman"/>
          <w:color w:val="auto"/>
          <w:sz w:val="24"/>
          <w:szCs w:val="24"/>
          <w:highlight w:val="none"/>
        </w:rPr>
      </w:pPr>
    </w:p>
    <w:bookmarkEnd w:id="142"/>
    <w:bookmarkEnd w:id="143"/>
    <w:p>
      <w:pPr>
        <w:spacing w:line="360" w:lineRule="auto"/>
        <w:ind w:firstLine="480" w:firstLineChars="200"/>
        <w:rPr>
          <w:rFonts w:ascii="宋体" w:hAnsi="宋体" w:cs="Times New Roman"/>
          <w:color w:val="auto"/>
          <w:sz w:val="24"/>
          <w:szCs w:val="24"/>
          <w:highlight w:val="none"/>
        </w:rPr>
      </w:pPr>
    </w:p>
    <w:p>
      <w:pPr>
        <w:spacing w:line="360" w:lineRule="auto"/>
        <w:ind w:firstLine="480" w:firstLineChars="200"/>
        <w:rPr>
          <w:rFonts w:ascii="宋体" w:hAnsi="宋体" w:cs="Times New Roman"/>
          <w:color w:val="auto"/>
          <w:sz w:val="24"/>
          <w:szCs w:val="24"/>
          <w:highlight w:val="none"/>
        </w:rPr>
      </w:pPr>
    </w:p>
    <w:p>
      <w:pPr>
        <w:spacing w:line="360" w:lineRule="auto"/>
        <w:ind w:firstLine="480" w:firstLineChars="200"/>
        <w:rPr>
          <w:rFonts w:ascii="宋体" w:hAnsi="宋体" w:cs="Times New Roman"/>
          <w:color w:val="auto"/>
          <w:sz w:val="24"/>
          <w:szCs w:val="24"/>
          <w:highlight w:val="none"/>
        </w:rPr>
      </w:pPr>
    </w:p>
    <w:p>
      <w:pPr>
        <w:tabs>
          <w:tab w:val="center" w:pos="4832"/>
          <w:tab w:val="left" w:pos="7140"/>
        </w:tabs>
        <w:jc w:val="center"/>
        <w:outlineLvl w:val="1"/>
        <w:rPr>
          <w:rFonts w:ascii="宋体" w:hAnsi="宋体" w:cs="宋体"/>
          <w:b/>
          <w:color w:val="auto"/>
          <w:sz w:val="24"/>
          <w:szCs w:val="24"/>
          <w:highlight w:val="none"/>
        </w:rPr>
      </w:pPr>
      <w:bookmarkStart w:id="144" w:name="_Toc110707975"/>
      <w:bookmarkStart w:id="145" w:name="_Toc109941775"/>
      <w:bookmarkStart w:id="146" w:name="_Toc109921168"/>
      <w:bookmarkStart w:id="147" w:name="_Toc141050523"/>
      <w:bookmarkStart w:id="148" w:name="_Toc130252630"/>
      <w:r>
        <w:rPr>
          <w:rFonts w:hint="eastAsia" w:ascii="宋体" w:hAnsi="宋体" w:cs="宋体"/>
          <w:b/>
          <w:color w:val="auto"/>
          <w:sz w:val="24"/>
          <w:szCs w:val="24"/>
          <w:highlight w:val="none"/>
        </w:rPr>
        <w:t>十二、其它需要提交的资料</w:t>
      </w:r>
      <w:bookmarkEnd w:id="144"/>
      <w:bookmarkEnd w:id="145"/>
      <w:bookmarkEnd w:id="146"/>
      <w:bookmarkEnd w:id="147"/>
      <w:bookmarkEnd w:id="148"/>
    </w:p>
    <w:p>
      <w:pPr>
        <w:spacing w:line="360" w:lineRule="auto"/>
        <w:ind w:firstLine="480" w:firstLineChars="200"/>
        <w:rPr>
          <w:rFonts w:ascii="宋体" w:hAnsi="宋体" w:cs="Times New Roman"/>
          <w:color w:val="auto"/>
          <w:sz w:val="24"/>
          <w:szCs w:val="24"/>
          <w:highlight w:val="none"/>
        </w:rPr>
      </w:pPr>
    </w:p>
    <w:p>
      <w:pPr>
        <w:spacing w:line="360" w:lineRule="auto"/>
        <w:ind w:firstLine="480" w:firstLineChars="200"/>
        <w:rPr>
          <w:rFonts w:ascii="宋体" w:cs="Arial"/>
          <w:color w:val="auto"/>
          <w:kern w:val="0"/>
          <w:sz w:val="24"/>
          <w:szCs w:val="24"/>
          <w:highlight w:val="none"/>
        </w:rPr>
      </w:pPr>
      <w:r>
        <w:rPr>
          <w:rFonts w:hint="eastAsia" w:ascii="宋体" w:hAnsi="宋体" w:cs="Times New Roman"/>
          <w:color w:val="auto"/>
          <w:sz w:val="24"/>
          <w:szCs w:val="24"/>
          <w:highlight w:val="none"/>
        </w:rPr>
        <w:t>根据招标文件的要求和投标人认为需要提供的资料。</w:t>
      </w:r>
    </w:p>
    <w:p>
      <w:pPr>
        <w:rPr>
          <w:color w:val="auto"/>
          <w:highlight w:val="none"/>
        </w:rPr>
      </w:pPr>
      <w:r>
        <w:rPr>
          <w:rFonts w:cs="Times New Roman"/>
          <w:color w:val="auto"/>
          <w:highlight w:val="none"/>
        </w:rPr>
        <w:br w:type="page"/>
      </w:r>
      <w:r>
        <w:rPr>
          <w:color w:val="auto"/>
          <w:highlight w:val="none"/>
        </w:rPr>
        <w:t xml:space="preserve"> </w:t>
      </w:r>
    </w:p>
    <w:p>
      <w:pPr>
        <w:spacing w:line="440" w:lineRule="exact"/>
        <w:jc w:val="center"/>
        <w:outlineLvl w:val="0"/>
        <w:rPr>
          <w:rFonts w:ascii="宋体" w:hAnsi="宋体" w:cs="宋体"/>
          <w:b/>
          <w:color w:val="auto"/>
          <w:sz w:val="24"/>
          <w:szCs w:val="24"/>
          <w:highlight w:val="none"/>
        </w:rPr>
      </w:pPr>
      <w:bookmarkStart w:id="149" w:name="_Toc141050524"/>
      <w:bookmarkStart w:id="150" w:name="_Toc130252631"/>
      <w:bookmarkStart w:id="151" w:name="_Toc60925660"/>
      <w:r>
        <w:rPr>
          <w:rFonts w:hint="eastAsia" w:ascii="宋体" w:hAnsi="宋体" w:cs="宋体"/>
          <w:b/>
          <w:color w:val="auto"/>
          <w:sz w:val="24"/>
          <w:szCs w:val="24"/>
          <w:highlight w:val="none"/>
        </w:rPr>
        <w:t>第六章</w:t>
      </w:r>
      <w:r>
        <w:rPr>
          <w:rFonts w:ascii="宋体" w:hAnsi="宋体" w:cs="宋体"/>
          <w:b/>
          <w:color w:val="auto"/>
          <w:sz w:val="24"/>
          <w:szCs w:val="24"/>
          <w:highlight w:val="none"/>
        </w:rPr>
        <w:t xml:space="preserve"> </w:t>
      </w:r>
      <w:r>
        <w:rPr>
          <w:rFonts w:hint="eastAsia" w:ascii="宋体" w:hAnsi="宋体" w:cs="宋体"/>
          <w:b/>
          <w:color w:val="auto"/>
          <w:sz w:val="24"/>
          <w:szCs w:val="24"/>
          <w:highlight w:val="none"/>
        </w:rPr>
        <w:t>补充条款</w:t>
      </w:r>
      <w:bookmarkEnd w:id="149"/>
      <w:bookmarkEnd w:id="150"/>
      <w:bookmarkEnd w:id="151"/>
    </w:p>
    <w:p>
      <w:pPr>
        <w:rPr>
          <w:color w:val="auto"/>
          <w:highlight w:val="none"/>
        </w:rPr>
      </w:pPr>
    </w:p>
    <w:p>
      <w:pPr>
        <w:rPr>
          <w:color w:val="auto"/>
          <w:highlight w:val="none"/>
        </w:rPr>
      </w:pPr>
    </w:p>
    <w:p>
      <w:pPr>
        <w:widowControl/>
        <w:jc w:val="left"/>
        <w:rPr>
          <w:color w:val="auto"/>
          <w:highlight w:val="none"/>
        </w:rPr>
      </w:pPr>
    </w:p>
    <w:p>
      <w:pPr>
        <w:widowControl/>
        <w:jc w:val="left"/>
        <w:rPr>
          <w:color w:val="auto"/>
          <w:highlight w:val="none"/>
        </w:rPr>
      </w:pPr>
    </w:p>
    <w:p>
      <w:pPr>
        <w:rPr>
          <w:rFonts w:ascii="宋体" w:hAnsi="Calibri" w:eastAsia="宋体" w:cs="宋体"/>
          <w:b/>
          <w:color w:val="auto"/>
          <w:sz w:val="24"/>
          <w:szCs w:val="24"/>
          <w:highlight w:val="none"/>
        </w:rPr>
      </w:pPr>
    </w:p>
    <w:p>
      <w:pPr>
        <w:spacing w:line="360" w:lineRule="auto"/>
        <w:ind w:firstLine="480" w:firstLineChars="200"/>
        <w:jc w:val="center"/>
        <w:rPr>
          <w:rFonts w:ascii="宋体" w:hAnsi="宋体" w:eastAsia="宋体" w:cs="Times New Roman"/>
          <w:color w:val="auto"/>
          <w:sz w:val="24"/>
          <w:szCs w:val="24"/>
          <w:highlight w:val="none"/>
        </w:rPr>
      </w:pPr>
    </w:p>
    <w:p>
      <w:pPr>
        <w:spacing w:line="360" w:lineRule="auto"/>
        <w:ind w:firstLine="480" w:firstLineChars="200"/>
        <w:jc w:val="center"/>
        <w:rPr>
          <w:rFonts w:ascii="宋体" w:hAnsi="宋体" w:eastAsia="宋体" w:cs="Times New Roman"/>
          <w:color w:val="auto"/>
          <w:sz w:val="24"/>
          <w:szCs w:val="24"/>
          <w:highlight w:val="none"/>
        </w:rPr>
      </w:pPr>
    </w:p>
    <w:p>
      <w:pPr>
        <w:spacing w:line="360" w:lineRule="auto"/>
        <w:ind w:firstLine="480" w:firstLineChars="200"/>
        <w:jc w:val="center"/>
        <w:rPr>
          <w:rFonts w:ascii="宋体" w:hAnsi="宋体" w:eastAsia="宋体" w:cs="Times New Roman"/>
          <w:color w:val="auto"/>
          <w:sz w:val="24"/>
          <w:szCs w:val="24"/>
          <w:highlight w:val="none"/>
        </w:rPr>
      </w:pPr>
    </w:p>
    <w:sectPr>
      <w:headerReference r:id="rId6" w:type="default"/>
      <w:footerReference r:id="rId7" w:type="default"/>
      <w:pgSz w:w="11906" w:h="16838"/>
      <w:pgMar w:top="1134" w:right="1418" w:bottom="1134" w:left="1418" w:header="851" w:footer="992" w:gutter="0"/>
      <w:pgNumType w:start="1"/>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
    <w:altName w:val="Times New Roman"/>
    <w:panose1 w:val="00000000000000000000"/>
    <w:charset w:val="00"/>
    <w:family w:val="auto"/>
    <w:pitch w:val="default"/>
    <w:sig w:usb0="00000000" w:usb1="00000000" w:usb2="00000000" w:usb3="00000000" w:csb0="00000001" w:csb1="00000000"/>
  </w:font>
  <w:font w:name="??">
    <w:altName w:val="Times New Roman"/>
    <w:panose1 w:val="00000000000000000000"/>
    <w:charset w:val="00"/>
    <w:family w:val="roman"/>
    <w:pitch w:val="default"/>
    <w:sig w:usb0="00000000" w:usb1="00000000" w:usb2="00000000" w:usb3="00000000" w:csb0="00000001"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monospace">
    <w:altName w:val="Courier New"/>
    <w:panose1 w:val="00000000000000000000"/>
    <w:charset w:val="00"/>
    <w:family w:val="auto"/>
    <w:pitch w:val="default"/>
    <w:sig w:usb0="00000000" w:usb1="00000000" w:usb2="00000000" w:usb3="00000000" w:csb0="00000001" w:csb1="00000000"/>
  </w:font>
  <w:font w:name="Trebuchet MS">
    <w:panose1 w:val="020B0603020202020204"/>
    <w:charset w:val="00"/>
    <w:family w:val="swiss"/>
    <w:pitch w:val="default"/>
    <w:sig w:usb0="00000687" w:usb1="00000000" w:usb2="00000000" w:usb3="00000000" w:csb0="2000009F" w:csb1="00000000"/>
  </w:font>
  <w:font w:name="方正仿宋简体">
    <w:altName w:val="宋体"/>
    <w:panose1 w:val="00000000000000000000"/>
    <w:charset w:val="86"/>
    <w:family w:val="auto"/>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ind w:right="90"/>
      <w:jc w:val="right"/>
    </w:pPr>
  </w:p>
  <w:p>
    <w:pPr>
      <w:pStyle w:val="2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framePr w:wrap="around" w:vAnchor="text" w:hAnchor="margin" w:xAlign="center" w:y="1"/>
      <w:rPr>
        <w:rStyle w:val="41"/>
      </w:rPr>
    </w:pPr>
    <w:r>
      <w:rPr>
        <w:rStyle w:val="41"/>
      </w:rPr>
      <w:fldChar w:fldCharType="begin"/>
    </w:r>
    <w:r>
      <w:rPr>
        <w:rStyle w:val="41"/>
      </w:rPr>
      <w:instrText xml:space="preserve">PAGE  </w:instrText>
    </w:r>
    <w:r>
      <w:rPr>
        <w:rStyle w:val="41"/>
      </w:rPr>
      <w:fldChar w:fldCharType="separate"/>
    </w:r>
    <w:r>
      <w:rPr>
        <w:rStyle w:val="41"/>
      </w:rPr>
      <w:t>68</w:t>
    </w:r>
    <w:r>
      <w:rPr>
        <w:rStyle w:val="41"/>
      </w:rPr>
      <w:fldChar w:fldCharType="end"/>
    </w:r>
  </w:p>
  <w:p>
    <w:pPr>
      <w:pStyle w:val="2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67532114"/>
    </w:sdtPr>
    <w:sdtEndPr>
      <w:rPr>
        <w:rFonts w:asciiTheme="minorEastAsia" w:hAnsiTheme="minorEastAsia" w:eastAsiaTheme="minorEastAsia"/>
        <w:sz w:val="30"/>
        <w:szCs w:val="30"/>
      </w:rPr>
    </w:sdtEndPr>
    <w:sdtContent>
      <w:p>
        <w:pPr>
          <w:pStyle w:val="22"/>
          <w:ind w:right="360"/>
          <w:jc w:val="center"/>
          <w:rPr>
            <w:rFonts w:asciiTheme="minorEastAsia" w:hAnsiTheme="minorEastAsia" w:eastAsiaTheme="minorEastAsia"/>
            <w:sz w:val="30"/>
            <w:szCs w:val="30"/>
          </w:rPr>
        </w:pPr>
        <w:r>
          <w:rPr>
            <w:rFonts w:asciiTheme="minorEastAsia" w:hAnsiTheme="minorEastAsia" w:eastAsiaTheme="minorEastAsia"/>
            <w:sz w:val="30"/>
            <w:szCs w:val="30"/>
          </w:rPr>
          <w:fldChar w:fldCharType="begin"/>
        </w:r>
        <w:r>
          <w:rPr>
            <w:rFonts w:asciiTheme="minorEastAsia" w:hAnsiTheme="minorEastAsia" w:eastAsiaTheme="minorEastAsia"/>
            <w:sz w:val="30"/>
            <w:szCs w:val="30"/>
          </w:rPr>
          <w:instrText xml:space="preserve">PAGE   \* MERGEFORMAT</w:instrText>
        </w:r>
        <w:r>
          <w:rPr>
            <w:rFonts w:asciiTheme="minorEastAsia" w:hAnsiTheme="minorEastAsia" w:eastAsiaTheme="minorEastAsia"/>
            <w:sz w:val="30"/>
            <w:szCs w:val="30"/>
          </w:rPr>
          <w:fldChar w:fldCharType="separate"/>
        </w:r>
        <w:r>
          <w:rPr>
            <w:rFonts w:asciiTheme="minorEastAsia" w:hAnsiTheme="minorEastAsia" w:eastAsiaTheme="minorEastAsia"/>
            <w:sz w:val="30"/>
            <w:szCs w:val="30"/>
            <w:lang w:val="zh-CN"/>
          </w:rPr>
          <w:t>33</w:t>
        </w:r>
        <w:r>
          <w:rPr>
            <w:rFonts w:asciiTheme="minorEastAsia" w:hAnsiTheme="minorEastAsia" w:eastAsiaTheme="minorEastAsia"/>
            <w:sz w:val="30"/>
            <w:szCs w:val="30"/>
          </w:rPr>
          <w:fldChar w:fldCharType="end"/>
        </w:r>
      </w:p>
    </w:sdtContent>
  </w:sdt>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CE0E8E"/>
    <w:multiLevelType w:val="singleLevel"/>
    <w:tmpl w:val="ABCE0E8E"/>
    <w:lvl w:ilvl="0" w:tentative="0">
      <w:start w:val="1"/>
      <w:numFmt w:val="decimal"/>
      <w:suff w:val="nothing"/>
      <w:lvlText w:val="%1、"/>
      <w:lvlJc w:val="left"/>
    </w:lvl>
  </w:abstractNum>
  <w:abstractNum w:abstractNumId="1">
    <w:nsid w:val="371F68B2"/>
    <w:multiLevelType w:val="multilevel"/>
    <w:tmpl w:val="371F68B2"/>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644E5166"/>
    <w:multiLevelType w:val="multilevel"/>
    <w:tmpl w:val="644E5166"/>
    <w:lvl w:ilvl="0" w:tentative="0">
      <w:start w:val="1"/>
      <w:numFmt w:val="decimal"/>
      <w:lvlText w:val="（%1）"/>
      <w:lvlJc w:val="left"/>
      <w:pPr>
        <w:ind w:left="1200" w:hanging="7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hideSpellingErrors/>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zE5M2NlMWI0ZmI4MTMyOTFjNDg1ODY2YTdiMDE0NzAifQ=="/>
  </w:docVars>
  <w:rsids>
    <w:rsidRoot w:val="00101AA4"/>
    <w:rsid w:val="000002B4"/>
    <w:rsid w:val="00001340"/>
    <w:rsid w:val="00002143"/>
    <w:rsid w:val="00004DAA"/>
    <w:rsid w:val="00005C75"/>
    <w:rsid w:val="00006BD9"/>
    <w:rsid w:val="00007BA8"/>
    <w:rsid w:val="000104D6"/>
    <w:rsid w:val="00010CE2"/>
    <w:rsid w:val="00012108"/>
    <w:rsid w:val="00012E01"/>
    <w:rsid w:val="00014F7D"/>
    <w:rsid w:val="000162FE"/>
    <w:rsid w:val="00020411"/>
    <w:rsid w:val="0002386B"/>
    <w:rsid w:val="0002405E"/>
    <w:rsid w:val="000244CA"/>
    <w:rsid w:val="0002545E"/>
    <w:rsid w:val="00027B5D"/>
    <w:rsid w:val="00030171"/>
    <w:rsid w:val="00033566"/>
    <w:rsid w:val="00033852"/>
    <w:rsid w:val="000343A0"/>
    <w:rsid w:val="000347EB"/>
    <w:rsid w:val="00036B12"/>
    <w:rsid w:val="000400E8"/>
    <w:rsid w:val="00044B32"/>
    <w:rsid w:val="00046152"/>
    <w:rsid w:val="0005003E"/>
    <w:rsid w:val="00054F47"/>
    <w:rsid w:val="0005551C"/>
    <w:rsid w:val="000604DE"/>
    <w:rsid w:val="0006199F"/>
    <w:rsid w:val="000641A9"/>
    <w:rsid w:val="000653CD"/>
    <w:rsid w:val="000661C0"/>
    <w:rsid w:val="00070AF5"/>
    <w:rsid w:val="00070BFE"/>
    <w:rsid w:val="0007362D"/>
    <w:rsid w:val="00073846"/>
    <w:rsid w:val="00073D96"/>
    <w:rsid w:val="000762D4"/>
    <w:rsid w:val="00077DB3"/>
    <w:rsid w:val="0008025F"/>
    <w:rsid w:val="00080E16"/>
    <w:rsid w:val="000829F2"/>
    <w:rsid w:val="00082FC4"/>
    <w:rsid w:val="00085ED3"/>
    <w:rsid w:val="000904A3"/>
    <w:rsid w:val="00090F37"/>
    <w:rsid w:val="000916AB"/>
    <w:rsid w:val="000923E8"/>
    <w:rsid w:val="000946D4"/>
    <w:rsid w:val="00094989"/>
    <w:rsid w:val="000A0272"/>
    <w:rsid w:val="000A02F9"/>
    <w:rsid w:val="000A1ECD"/>
    <w:rsid w:val="000A32B9"/>
    <w:rsid w:val="000A3552"/>
    <w:rsid w:val="000A452A"/>
    <w:rsid w:val="000B210F"/>
    <w:rsid w:val="000B318F"/>
    <w:rsid w:val="000B331B"/>
    <w:rsid w:val="000B4C6A"/>
    <w:rsid w:val="000B7C76"/>
    <w:rsid w:val="000C364C"/>
    <w:rsid w:val="000C3FDE"/>
    <w:rsid w:val="000D171A"/>
    <w:rsid w:val="000D5DA0"/>
    <w:rsid w:val="000D7CE7"/>
    <w:rsid w:val="000E2D54"/>
    <w:rsid w:val="000E40A6"/>
    <w:rsid w:val="000E5B9C"/>
    <w:rsid w:val="000E674D"/>
    <w:rsid w:val="000E7461"/>
    <w:rsid w:val="000F186E"/>
    <w:rsid w:val="000F56EE"/>
    <w:rsid w:val="00100D44"/>
    <w:rsid w:val="00101AA4"/>
    <w:rsid w:val="00102AB6"/>
    <w:rsid w:val="00104F86"/>
    <w:rsid w:val="001063D0"/>
    <w:rsid w:val="0010650C"/>
    <w:rsid w:val="00106BA4"/>
    <w:rsid w:val="00111383"/>
    <w:rsid w:val="001145B2"/>
    <w:rsid w:val="00115901"/>
    <w:rsid w:val="00115A4B"/>
    <w:rsid w:val="0011725D"/>
    <w:rsid w:val="00121DF5"/>
    <w:rsid w:val="001248E7"/>
    <w:rsid w:val="00127B38"/>
    <w:rsid w:val="00127C9A"/>
    <w:rsid w:val="0013312B"/>
    <w:rsid w:val="00134210"/>
    <w:rsid w:val="00134F82"/>
    <w:rsid w:val="001357C8"/>
    <w:rsid w:val="00142BB8"/>
    <w:rsid w:val="00143169"/>
    <w:rsid w:val="0014554F"/>
    <w:rsid w:val="00146E26"/>
    <w:rsid w:val="001543A3"/>
    <w:rsid w:val="001575BE"/>
    <w:rsid w:val="00157673"/>
    <w:rsid w:val="0015794E"/>
    <w:rsid w:val="00160159"/>
    <w:rsid w:val="00160311"/>
    <w:rsid w:val="00161961"/>
    <w:rsid w:val="00162DD4"/>
    <w:rsid w:val="001652C6"/>
    <w:rsid w:val="0016644B"/>
    <w:rsid w:val="00170A17"/>
    <w:rsid w:val="00171110"/>
    <w:rsid w:val="00172AA0"/>
    <w:rsid w:val="001733AF"/>
    <w:rsid w:val="00176FAD"/>
    <w:rsid w:val="0017733A"/>
    <w:rsid w:val="00181200"/>
    <w:rsid w:val="00182F01"/>
    <w:rsid w:val="001901CA"/>
    <w:rsid w:val="001930FC"/>
    <w:rsid w:val="00193402"/>
    <w:rsid w:val="00194DD8"/>
    <w:rsid w:val="00197628"/>
    <w:rsid w:val="001A1D16"/>
    <w:rsid w:val="001A2117"/>
    <w:rsid w:val="001A45DD"/>
    <w:rsid w:val="001A4E5A"/>
    <w:rsid w:val="001A4E90"/>
    <w:rsid w:val="001A71AF"/>
    <w:rsid w:val="001B1372"/>
    <w:rsid w:val="001B1748"/>
    <w:rsid w:val="001B5A4C"/>
    <w:rsid w:val="001C15DD"/>
    <w:rsid w:val="001C4134"/>
    <w:rsid w:val="001D029C"/>
    <w:rsid w:val="001D4B73"/>
    <w:rsid w:val="001D50A5"/>
    <w:rsid w:val="001E288B"/>
    <w:rsid w:val="001E33A7"/>
    <w:rsid w:val="001E3D69"/>
    <w:rsid w:val="001E4755"/>
    <w:rsid w:val="001E6E8F"/>
    <w:rsid w:val="001E794E"/>
    <w:rsid w:val="001F292C"/>
    <w:rsid w:val="001F3A08"/>
    <w:rsid w:val="001F610A"/>
    <w:rsid w:val="001F79E8"/>
    <w:rsid w:val="00200BA8"/>
    <w:rsid w:val="0020240F"/>
    <w:rsid w:val="002055DD"/>
    <w:rsid w:val="00205968"/>
    <w:rsid w:val="00205DF6"/>
    <w:rsid w:val="00205F22"/>
    <w:rsid w:val="0021147C"/>
    <w:rsid w:val="00214257"/>
    <w:rsid w:val="00214392"/>
    <w:rsid w:val="00215BA5"/>
    <w:rsid w:val="00215F58"/>
    <w:rsid w:val="00217E00"/>
    <w:rsid w:val="0022016C"/>
    <w:rsid w:val="0022177D"/>
    <w:rsid w:val="002224AE"/>
    <w:rsid w:val="00223931"/>
    <w:rsid w:val="002246D6"/>
    <w:rsid w:val="00226DEC"/>
    <w:rsid w:val="0022747A"/>
    <w:rsid w:val="0023151C"/>
    <w:rsid w:val="0023323E"/>
    <w:rsid w:val="00236A48"/>
    <w:rsid w:val="00236D43"/>
    <w:rsid w:val="00240D63"/>
    <w:rsid w:val="00243861"/>
    <w:rsid w:val="002472C0"/>
    <w:rsid w:val="002508FA"/>
    <w:rsid w:val="00253DC3"/>
    <w:rsid w:val="002541CE"/>
    <w:rsid w:val="00255C6B"/>
    <w:rsid w:val="0025723D"/>
    <w:rsid w:val="00257F22"/>
    <w:rsid w:val="002604A7"/>
    <w:rsid w:val="00260910"/>
    <w:rsid w:val="00262A6E"/>
    <w:rsid w:val="00263141"/>
    <w:rsid w:val="00266F04"/>
    <w:rsid w:val="00280F38"/>
    <w:rsid w:val="00283C54"/>
    <w:rsid w:val="00285885"/>
    <w:rsid w:val="00285ABC"/>
    <w:rsid w:val="002967DA"/>
    <w:rsid w:val="002A6197"/>
    <w:rsid w:val="002A7CE2"/>
    <w:rsid w:val="002B0041"/>
    <w:rsid w:val="002B01D0"/>
    <w:rsid w:val="002B38BE"/>
    <w:rsid w:val="002B3DBF"/>
    <w:rsid w:val="002B77E1"/>
    <w:rsid w:val="002C02A1"/>
    <w:rsid w:val="002C2DD2"/>
    <w:rsid w:val="002C7FCF"/>
    <w:rsid w:val="002D280B"/>
    <w:rsid w:val="002D3439"/>
    <w:rsid w:val="002D635D"/>
    <w:rsid w:val="002D6CF2"/>
    <w:rsid w:val="002E1B79"/>
    <w:rsid w:val="002E25BC"/>
    <w:rsid w:val="002E29B4"/>
    <w:rsid w:val="002E5AAD"/>
    <w:rsid w:val="002F10F5"/>
    <w:rsid w:val="002F2283"/>
    <w:rsid w:val="002F640F"/>
    <w:rsid w:val="002F7FD1"/>
    <w:rsid w:val="00300C92"/>
    <w:rsid w:val="003017E3"/>
    <w:rsid w:val="00301FBF"/>
    <w:rsid w:val="00304A1A"/>
    <w:rsid w:val="00304D2D"/>
    <w:rsid w:val="00305EE3"/>
    <w:rsid w:val="0030747A"/>
    <w:rsid w:val="003117CE"/>
    <w:rsid w:val="003121AD"/>
    <w:rsid w:val="00313F13"/>
    <w:rsid w:val="00315623"/>
    <w:rsid w:val="00315D4B"/>
    <w:rsid w:val="00315D59"/>
    <w:rsid w:val="003160D4"/>
    <w:rsid w:val="00316DBA"/>
    <w:rsid w:val="00317D34"/>
    <w:rsid w:val="00321036"/>
    <w:rsid w:val="00323AFC"/>
    <w:rsid w:val="0032592F"/>
    <w:rsid w:val="00326152"/>
    <w:rsid w:val="00331C14"/>
    <w:rsid w:val="0033231B"/>
    <w:rsid w:val="00332D2E"/>
    <w:rsid w:val="00333E01"/>
    <w:rsid w:val="00336EED"/>
    <w:rsid w:val="00344BCD"/>
    <w:rsid w:val="00347E66"/>
    <w:rsid w:val="0035118C"/>
    <w:rsid w:val="003537E4"/>
    <w:rsid w:val="0035581F"/>
    <w:rsid w:val="00357E91"/>
    <w:rsid w:val="00360D30"/>
    <w:rsid w:val="00361C9D"/>
    <w:rsid w:val="00363991"/>
    <w:rsid w:val="00364473"/>
    <w:rsid w:val="003646E5"/>
    <w:rsid w:val="00366F29"/>
    <w:rsid w:val="00367BA8"/>
    <w:rsid w:val="00370F25"/>
    <w:rsid w:val="00373602"/>
    <w:rsid w:val="00373826"/>
    <w:rsid w:val="00373AD1"/>
    <w:rsid w:val="00374981"/>
    <w:rsid w:val="00376E83"/>
    <w:rsid w:val="00390A3C"/>
    <w:rsid w:val="003A28C5"/>
    <w:rsid w:val="003A5B50"/>
    <w:rsid w:val="003A6107"/>
    <w:rsid w:val="003A7427"/>
    <w:rsid w:val="003B0D63"/>
    <w:rsid w:val="003B70AD"/>
    <w:rsid w:val="003B7226"/>
    <w:rsid w:val="003C0B9E"/>
    <w:rsid w:val="003C179F"/>
    <w:rsid w:val="003C21E8"/>
    <w:rsid w:val="003C558B"/>
    <w:rsid w:val="003C5699"/>
    <w:rsid w:val="003D01BB"/>
    <w:rsid w:val="003D05EA"/>
    <w:rsid w:val="003D2C56"/>
    <w:rsid w:val="003D3CCB"/>
    <w:rsid w:val="003D4211"/>
    <w:rsid w:val="003E11F4"/>
    <w:rsid w:val="003E4A7A"/>
    <w:rsid w:val="003F08DC"/>
    <w:rsid w:val="003F3849"/>
    <w:rsid w:val="003F4611"/>
    <w:rsid w:val="003F59D7"/>
    <w:rsid w:val="0040310D"/>
    <w:rsid w:val="00404253"/>
    <w:rsid w:val="00407128"/>
    <w:rsid w:val="004079CE"/>
    <w:rsid w:val="004143A5"/>
    <w:rsid w:val="004220B6"/>
    <w:rsid w:val="00423980"/>
    <w:rsid w:val="0042662D"/>
    <w:rsid w:val="004270EF"/>
    <w:rsid w:val="00427533"/>
    <w:rsid w:val="00432C0C"/>
    <w:rsid w:val="00433EED"/>
    <w:rsid w:val="0044198C"/>
    <w:rsid w:val="0044280B"/>
    <w:rsid w:val="00443888"/>
    <w:rsid w:val="004449F3"/>
    <w:rsid w:val="00444EE1"/>
    <w:rsid w:val="00445872"/>
    <w:rsid w:val="0044799D"/>
    <w:rsid w:val="0045091A"/>
    <w:rsid w:val="00452BB8"/>
    <w:rsid w:val="00455196"/>
    <w:rsid w:val="0045602F"/>
    <w:rsid w:val="004639BC"/>
    <w:rsid w:val="004640C1"/>
    <w:rsid w:val="00464725"/>
    <w:rsid w:val="00464BAE"/>
    <w:rsid w:val="004660B0"/>
    <w:rsid w:val="004704FB"/>
    <w:rsid w:val="0048512D"/>
    <w:rsid w:val="004A010F"/>
    <w:rsid w:val="004A01F6"/>
    <w:rsid w:val="004A1F5D"/>
    <w:rsid w:val="004A3D6D"/>
    <w:rsid w:val="004A4981"/>
    <w:rsid w:val="004A5190"/>
    <w:rsid w:val="004A5376"/>
    <w:rsid w:val="004A6517"/>
    <w:rsid w:val="004A67FA"/>
    <w:rsid w:val="004A68AF"/>
    <w:rsid w:val="004A7D7E"/>
    <w:rsid w:val="004B029E"/>
    <w:rsid w:val="004B0537"/>
    <w:rsid w:val="004B7DE5"/>
    <w:rsid w:val="004C1AE6"/>
    <w:rsid w:val="004C6BAD"/>
    <w:rsid w:val="004D0A4A"/>
    <w:rsid w:val="004D0E18"/>
    <w:rsid w:val="004D11B3"/>
    <w:rsid w:val="004D3C30"/>
    <w:rsid w:val="004D5AE9"/>
    <w:rsid w:val="004D5C23"/>
    <w:rsid w:val="004D5F63"/>
    <w:rsid w:val="004D75D5"/>
    <w:rsid w:val="004E0230"/>
    <w:rsid w:val="004E2088"/>
    <w:rsid w:val="004E419C"/>
    <w:rsid w:val="004E56D8"/>
    <w:rsid w:val="004E5B18"/>
    <w:rsid w:val="004E606C"/>
    <w:rsid w:val="004E76F6"/>
    <w:rsid w:val="004E7786"/>
    <w:rsid w:val="004F0D23"/>
    <w:rsid w:val="00501303"/>
    <w:rsid w:val="0050507E"/>
    <w:rsid w:val="00507DCF"/>
    <w:rsid w:val="00511664"/>
    <w:rsid w:val="005170D9"/>
    <w:rsid w:val="00520FE8"/>
    <w:rsid w:val="0052394D"/>
    <w:rsid w:val="00524F86"/>
    <w:rsid w:val="00526F0E"/>
    <w:rsid w:val="005271EF"/>
    <w:rsid w:val="00527A46"/>
    <w:rsid w:val="005307A5"/>
    <w:rsid w:val="0053132A"/>
    <w:rsid w:val="00536952"/>
    <w:rsid w:val="005369FB"/>
    <w:rsid w:val="00537638"/>
    <w:rsid w:val="0054181E"/>
    <w:rsid w:val="00541AC4"/>
    <w:rsid w:val="00541FB5"/>
    <w:rsid w:val="0055435D"/>
    <w:rsid w:val="005574D7"/>
    <w:rsid w:val="00560740"/>
    <w:rsid w:val="005627EE"/>
    <w:rsid w:val="00562B2E"/>
    <w:rsid w:val="00566F28"/>
    <w:rsid w:val="00570015"/>
    <w:rsid w:val="00573EAA"/>
    <w:rsid w:val="00576ADE"/>
    <w:rsid w:val="00577ECB"/>
    <w:rsid w:val="00577FFA"/>
    <w:rsid w:val="0058012A"/>
    <w:rsid w:val="00582F95"/>
    <w:rsid w:val="00586658"/>
    <w:rsid w:val="00587816"/>
    <w:rsid w:val="005879D1"/>
    <w:rsid w:val="0059145C"/>
    <w:rsid w:val="00594BE3"/>
    <w:rsid w:val="00595F0C"/>
    <w:rsid w:val="00596BA7"/>
    <w:rsid w:val="005A215C"/>
    <w:rsid w:val="005A6326"/>
    <w:rsid w:val="005A69CA"/>
    <w:rsid w:val="005A770A"/>
    <w:rsid w:val="005C53A8"/>
    <w:rsid w:val="005D2A28"/>
    <w:rsid w:val="005D3846"/>
    <w:rsid w:val="005D5695"/>
    <w:rsid w:val="005D651D"/>
    <w:rsid w:val="005D6F56"/>
    <w:rsid w:val="005E22B8"/>
    <w:rsid w:val="005E28BD"/>
    <w:rsid w:val="005E3C18"/>
    <w:rsid w:val="005E617A"/>
    <w:rsid w:val="005F3159"/>
    <w:rsid w:val="005F3701"/>
    <w:rsid w:val="005F437E"/>
    <w:rsid w:val="005F4DCF"/>
    <w:rsid w:val="005F6E37"/>
    <w:rsid w:val="005F7CCF"/>
    <w:rsid w:val="0060072E"/>
    <w:rsid w:val="0060086F"/>
    <w:rsid w:val="00600C9C"/>
    <w:rsid w:val="00601507"/>
    <w:rsid w:val="006053D2"/>
    <w:rsid w:val="00606716"/>
    <w:rsid w:val="00607BD4"/>
    <w:rsid w:val="0061147C"/>
    <w:rsid w:val="00614490"/>
    <w:rsid w:val="0061632F"/>
    <w:rsid w:val="00616341"/>
    <w:rsid w:val="00617E79"/>
    <w:rsid w:val="00617EC4"/>
    <w:rsid w:val="00622699"/>
    <w:rsid w:val="00624E16"/>
    <w:rsid w:val="00630AAC"/>
    <w:rsid w:val="006314C2"/>
    <w:rsid w:val="00631C5A"/>
    <w:rsid w:val="0063569B"/>
    <w:rsid w:val="00635CE4"/>
    <w:rsid w:val="0063610A"/>
    <w:rsid w:val="006367D4"/>
    <w:rsid w:val="00640267"/>
    <w:rsid w:val="00644CAA"/>
    <w:rsid w:val="0064722F"/>
    <w:rsid w:val="00647D58"/>
    <w:rsid w:val="0065082F"/>
    <w:rsid w:val="00650F27"/>
    <w:rsid w:val="00651977"/>
    <w:rsid w:val="006523BD"/>
    <w:rsid w:val="00652A1B"/>
    <w:rsid w:val="00652A7E"/>
    <w:rsid w:val="00652A9D"/>
    <w:rsid w:val="00653B67"/>
    <w:rsid w:val="006546EA"/>
    <w:rsid w:val="00654D73"/>
    <w:rsid w:val="00655FCC"/>
    <w:rsid w:val="006568E0"/>
    <w:rsid w:val="00656C08"/>
    <w:rsid w:val="00657AD0"/>
    <w:rsid w:val="0066102E"/>
    <w:rsid w:val="00661E10"/>
    <w:rsid w:val="00664BD0"/>
    <w:rsid w:val="0066520F"/>
    <w:rsid w:val="006654E8"/>
    <w:rsid w:val="0066681E"/>
    <w:rsid w:val="00666A31"/>
    <w:rsid w:val="00670008"/>
    <w:rsid w:val="00670790"/>
    <w:rsid w:val="0067272A"/>
    <w:rsid w:val="006728AB"/>
    <w:rsid w:val="00672F73"/>
    <w:rsid w:val="00673798"/>
    <w:rsid w:val="00674559"/>
    <w:rsid w:val="00674A1B"/>
    <w:rsid w:val="006804BB"/>
    <w:rsid w:val="00680D11"/>
    <w:rsid w:val="00691232"/>
    <w:rsid w:val="006932B7"/>
    <w:rsid w:val="00693DA7"/>
    <w:rsid w:val="00694538"/>
    <w:rsid w:val="006956A0"/>
    <w:rsid w:val="0069732C"/>
    <w:rsid w:val="0069791E"/>
    <w:rsid w:val="006A4AC4"/>
    <w:rsid w:val="006A72C3"/>
    <w:rsid w:val="006B014A"/>
    <w:rsid w:val="006B14EC"/>
    <w:rsid w:val="006B2DDD"/>
    <w:rsid w:val="006B6739"/>
    <w:rsid w:val="006B72B0"/>
    <w:rsid w:val="006B72D9"/>
    <w:rsid w:val="006B7760"/>
    <w:rsid w:val="006C06C9"/>
    <w:rsid w:val="006C08F0"/>
    <w:rsid w:val="006C214D"/>
    <w:rsid w:val="006C2490"/>
    <w:rsid w:val="006C3250"/>
    <w:rsid w:val="006C43B6"/>
    <w:rsid w:val="006C551A"/>
    <w:rsid w:val="006C5A93"/>
    <w:rsid w:val="006D0395"/>
    <w:rsid w:val="006D21CC"/>
    <w:rsid w:val="006D3A4C"/>
    <w:rsid w:val="006D3A5D"/>
    <w:rsid w:val="006D5419"/>
    <w:rsid w:val="006D541A"/>
    <w:rsid w:val="006D54D4"/>
    <w:rsid w:val="006D72DF"/>
    <w:rsid w:val="006D747B"/>
    <w:rsid w:val="006E249F"/>
    <w:rsid w:val="006E344D"/>
    <w:rsid w:val="006E51CF"/>
    <w:rsid w:val="006F07AB"/>
    <w:rsid w:val="006F2A4E"/>
    <w:rsid w:val="006F3AF3"/>
    <w:rsid w:val="006F5509"/>
    <w:rsid w:val="006F6DB0"/>
    <w:rsid w:val="006F7BBE"/>
    <w:rsid w:val="00700939"/>
    <w:rsid w:val="00701061"/>
    <w:rsid w:val="00703743"/>
    <w:rsid w:val="00704AEC"/>
    <w:rsid w:val="00704C14"/>
    <w:rsid w:val="00705A54"/>
    <w:rsid w:val="00707DD7"/>
    <w:rsid w:val="007104B7"/>
    <w:rsid w:val="00711806"/>
    <w:rsid w:val="00711DFE"/>
    <w:rsid w:val="007127BA"/>
    <w:rsid w:val="00712834"/>
    <w:rsid w:val="007128C2"/>
    <w:rsid w:val="007137F1"/>
    <w:rsid w:val="007138D7"/>
    <w:rsid w:val="007156D2"/>
    <w:rsid w:val="007171D2"/>
    <w:rsid w:val="0072037A"/>
    <w:rsid w:val="00731CAD"/>
    <w:rsid w:val="00737F44"/>
    <w:rsid w:val="00742828"/>
    <w:rsid w:val="00747623"/>
    <w:rsid w:val="007509C9"/>
    <w:rsid w:val="00750F56"/>
    <w:rsid w:val="0075151D"/>
    <w:rsid w:val="0075182A"/>
    <w:rsid w:val="00751E8B"/>
    <w:rsid w:val="00752409"/>
    <w:rsid w:val="007555F9"/>
    <w:rsid w:val="00756E59"/>
    <w:rsid w:val="0076194F"/>
    <w:rsid w:val="00767044"/>
    <w:rsid w:val="00767A9C"/>
    <w:rsid w:val="007706A6"/>
    <w:rsid w:val="00775831"/>
    <w:rsid w:val="007758AC"/>
    <w:rsid w:val="00775DEA"/>
    <w:rsid w:val="00775E04"/>
    <w:rsid w:val="00777B6C"/>
    <w:rsid w:val="0078033B"/>
    <w:rsid w:val="00781F52"/>
    <w:rsid w:val="00782548"/>
    <w:rsid w:val="00782584"/>
    <w:rsid w:val="00784173"/>
    <w:rsid w:val="00786AAF"/>
    <w:rsid w:val="00787D19"/>
    <w:rsid w:val="007952C7"/>
    <w:rsid w:val="00796034"/>
    <w:rsid w:val="007A0C42"/>
    <w:rsid w:val="007A0E43"/>
    <w:rsid w:val="007A1947"/>
    <w:rsid w:val="007A237A"/>
    <w:rsid w:val="007A3B2A"/>
    <w:rsid w:val="007A5319"/>
    <w:rsid w:val="007A7C18"/>
    <w:rsid w:val="007A7EF1"/>
    <w:rsid w:val="007B2A84"/>
    <w:rsid w:val="007B32E9"/>
    <w:rsid w:val="007C4912"/>
    <w:rsid w:val="007C66D2"/>
    <w:rsid w:val="007C6BBF"/>
    <w:rsid w:val="007D1C55"/>
    <w:rsid w:val="007D3CF4"/>
    <w:rsid w:val="007D3DC6"/>
    <w:rsid w:val="007D4455"/>
    <w:rsid w:val="007D62D7"/>
    <w:rsid w:val="007D68A5"/>
    <w:rsid w:val="007E7421"/>
    <w:rsid w:val="007F314D"/>
    <w:rsid w:val="007F6C55"/>
    <w:rsid w:val="008012FC"/>
    <w:rsid w:val="00801FFA"/>
    <w:rsid w:val="008036B7"/>
    <w:rsid w:val="00804D5D"/>
    <w:rsid w:val="0080672E"/>
    <w:rsid w:val="008067AA"/>
    <w:rsid w:val="008068DA"/>
    <w:rsid w:val="008068EC"/>
    <w:rsid w:val="00807795"/>
    <w:rsid w:val="00810459"/>
    <w:rsid w:val="00813D04"/>
    <w:rsid w:val="0081414C"/>
    <w:rsid w:val="00816A53"/>
    <w:rsid w:val="00820914"/>
    <w:rsid w:val="00822EBD"/>
    <w:rsid w:val="008247D9"/>
    <w:rsid w:val="00825A15"/>
    <w:rsid w:val="00825F46"/>
    <w:rsid w:val="00825FAA"/>
    <w:rsid w:val="00826C3A"/>
    <w:rsid w:val="00830296"/>
    <w:rsid w:val="0083223D"/>
    <w:rsid w:val="008330C9"/>
    <w:rsid w:val="00835F52"/>
    <w:rsid w:val="00840117"/>
    <w:rsid w:val="00843C8F"/>
    <w:rsid w:val="00844290"/>
    <w:rsid w:val="008443B1"/>
    <w:rsid w:val="00844507"/>
    <w:rsid w:val="0084490D"/>
    <w:rsid w:val="00844A00"/>
    <w:rsid w:val="00846F1B"/>
    <w:rsid w:val="008526D9"/>
    <w:rsid w:val="00854E30"/>
    <w:rsid w:val="00857654"/>
    <w:rsid w:val="00857B62"/>
    <w:rsid w:val="008618C1"/>
    <w:rsid w:val="00862EBB"/>
    <w:rsid w:val="008631DD"/>
    <w:rsid w:val="00864330"/>
    <w:rsid w:val="008703DB"/>
    <w:rsid w:val="00872CE4"/>
    <w:rsid w:val="0087459C"/>
    <w:rsid w:val="00877E4D"/>
    <w:rsid w:val="00880D74"/>
    <w:rsid w:val="00880ED3"/>
    <w:rsid w:val="00881BAB"/>
    <w:rsid w:val="00881D84"/>
    <w:rsid w:val="00883470"/>
    <w:rsid w:val="00884BA6"/>
    <w:rsid w:val="008858F6"/>
    <w:rsid w:val="00890712"/>
    <w:rsid w:val="00890B69"/>
    <w:rsid w:val="00892BDA"/>
    <w:rsid w:val="00892DE8"/>
    <w:rsid w:val="00897453"/>
    <w:rsid w:val="008A072E"/>
    <w:rsid w:val="008A3A9E"/>
    <w:rsid w:val="008A4942"/>
    <w:rsid w:val="008A4B8E"/>
    <w:rsid w:val="008A53DE"/>
    <w:rsid w:val="008A561B"/>
    <w:rsid w:val="008A6628"/>
    <w:rsid w:val="008B01C2"/>
    <w:rsid w:val="008B029B"/>
    <w:rsid w:val="008B1D39"/>
    <w:rsid w:val="008B5573"/>
    <w:rsid w:val="008C24AF"/>
    <w:rsid w:val="008C5641"/>
    <w:rsid w:val="008C6135"/>
    <w:rsid w:val="008D0766"/>
    <w:rsid w:val="008D4521"/>
    <w:rsid w:val="008D4BDD"/>
    <w:rsid w:val="008D5387"/>
    <w:rsid w:val="008D60F8"/>
    <w:rsid w:val="008D7591"/>
    <w:rsid w:val="008E1EA1"/>
    <w:rsid w:val="008E337E"/>
    <w:rsid w:val="008E47C0"/>
    <w:rsid w:val="008E6003"/>
    <w:rsid w:val="008E69FC"/>
    <w:rsid w:val="008E6AAE"/>
    <w:rsid w:val="008E7631"/>
    <w:rsid w:val="008F1D6D"/>
    <w:rsid w:val="008F52D0"/>
    <w:rsid w:val="008F6AA2"/>
    <w:rsid w:val="00900116"/>
    <w:rsid w:val="009055EE"/>
    <w:rsid w:val="00905A28"/>
    <w:rsid w:val="00910B36"/>
    <w:rsid w:val="00910FF9"/>
    <w:rsid w:val="00913858"/>
    <w:rsid w:val="00914849"/>
    <w:rsid w:val="009166AD"/>
    <w:rsid w:val="0091776B"/>
    <w:rsid w:val="00917C51"/>
    <w:rsid w:val="009209E8"/>
    <w:rsid w:val="009211B4"/>
    <w:rsid w:val="00922373"/>
    <w:rsid w:val="00922592"/>
    <w:rsid w:val="00923C4A"/>
    <w:rsid w:val="009259D5"/>
    <w:rsid w:val="00925B9C"/>
    <w:rsid w:val="00926CDD"/>
    <w:rsid w:val="00926EE7"/>
    <w:rsid w:val="009278C5"/>
    <w:rsid w:val="0093107D"/>
    <w:rsid w:val="009324FE"/>
    <w:rsid w:val="00933150"/>
    <w:rsid w:val="00933165"/>
    <w:rsid w:val="0093334D"/>
    <w:rsid w:val="00934B57"/>
    <w:rsid w:val="00935307"/>
    <w:rsid w:val="0094041C"/>
    <w:rsid w:val="0094055B"/>
    <w:rsid w:val="00941545"/>
    <w:rsid w:val="009435A6"/>
    <w:rsid w:val="009437A7"/>
    <w:rsid w:val="00946789"/>
    <w:rsid w:val="00950163"/>
    <w:rsid w:val="0095139A"/>
    <w:rsid w:val="009546B7"/>
    <w:rsid w:val="00955047"/>
    <w:rsid w:val="00955238"/>
    <w:rsid w:val="009558DD"/>
    <w:rsid w:val="009613A3"/>
    <w:rsid w:val="0096147D"/>
    <w:rsid w:val="0096479F"/>
    <w:rsid w:val="00965552"/>
    <w:rsid w:val="0096574A"/>
    <w:rsid w:val="0096617A"/>
    <w:rsid w:val="00967429"/>
    <w:rsid w:val="009700E7"/>
    <w:rsid w:val="009701A2"/>
    <w:rsid w:val="00971FF1"/>
    <w:rsid w:val="00975775"/>
    <w:rsid w:val="00977D99"/>
    <w:rsid w:val="0098099B"/>
    <w:rsid w:val="00981749"/>
    <w:rsid w:val="00983E4E"/>
    <w:rsid w:val="009840B0"/>
    <w:rsid w:val="00984531"/>
    <w:rsid w:val="0098659E"/>
    <w:rsid w:val="009869E5"/>
    <w:rsid w:val="00991F92"/>
    <w:rsid w:val="0099239A"/>
    <w:rsid w:val="00992683"/>
    <w:rsid w:val="009930AE"/>
    <w:rsid w:val="00994368"/>
    <w:rsid w:val="009960AD"/>
    <w:rsid w:val="00997017"/>
    <w:rsid w:val="009A089A"/>
    <w:rsid w:val="009A1ABA"/>
    <w:rsid w:val="009A456E"/>
    <w:rsid w:val="009A6799"/>
    <w:rsid w:val="009A693B"/>
    <w:rsid w:val="009A7284"/>
    <w:rsid w:val="009A75CB"/>
    <w:rsid w:val="009B074B"/>
    <w:rsid w:val="009B0A3E"/>
    <w:rsid w:val="009B72EB"/>
    <w:rsid w:val="009B792F"/>
    <w:rsid w:val="009C4BB9"/>
    <w:rsid w:val="009C4C50"/>
    <w:rsid w:val="009C7D0A"/>
    <w:rsid w:val="009C7FD8"/>
    <w:rsid w:val="009D05BF"/>
    <w:rsid w:val="009D2432"/>
    <w:rsid w:val="009D245C"/>
    <w:rsid w:val="009D6AFE"/>
    <w:rsid w:val="009E0EA7"/>
    <w:rsid w:val="009E36F0"/>
    <w:rsid w:val="009F064F"/>
    <w:rsid w:val="009F11C8"/>
    <w:rsid w:val="009F15EF"/>
    <w:rsid w:val="009F24D1"/>
    <w:rsid w:val="009F3D47"/>
    <w:rsid w:val="009F4563"/>
    <w:rsid w:val="009F487E"/>
    <w:rsid w:val="009F6C40"/>
    <w:rsid w:val="00A01EFD"/>
    <w:rsid w:val="00A039D2"/>
    <w:rsid w:val="00A04B51"/>
    <w:rsid w:val="00A05781"/>
    <w:rsid w:val="00A068B7"/>
    <w:rsid w:val="00A069FC"/>
    <w:rsid w:val="00A0749F"/>
    <w:rsid w:val="00A17158"/>
    <w:rsid w:val="00A2031C"/>
    <w:rsid w:val="00A20856"/>
    <w:rsid w:val="00A2140F"/>
    <w:rsid w:val="00A24145"/>
    <w:rsid w:val="00A24411"/>
    <w:rsid w:val="00A252A2"/>
    <w:rsid w:val="00A25ADF"/>
    <w:rsid w:val="00A319A4"/>
    <w:rsid w:val="00A320D2"/>
    <w:rsid w:val="00A32455"/>
    <w:rsid w:val="00A32D75"/>
    <w:rsid w:val="00A33EC9"/>
    <w:rsid w:val="00A377F1"/>
    <w:rsid w:val="00A40087"/>
    <w:rsid w:val="00A41CA5"/>
    <w:rsid w:val="00A426D2"/>
    <w:rsid w:val="00A46BC3"/>
    <w:rsid w:val="00A50182"/>
    <w:rsid w:val="00A51A47"/>
    <w:rsid w:val="00A5296E"/>
    <w:rsid w:val="00A5323E"/>
    <w:rsid w:val="00A552B4"/>
    <w:rsid w:val="00A5538A"/>
    <w:rsid w:val="00A5692F"/>
    <w:rsid w:val="00A57C84"/>
    <w:rsid w:val="00A6358C"/>
    <w:rsid w:val="00A63DE3"/>
    <w:rsid w:val="00A648D2"/>
    <w:rsid w:val="00A648FB"/>
    <w:rsid w:val="00A665B8"/>
    <w:rsid w:val="00A67621"/>
    <w:rsid w:val="00A70DE0"/>
    <w:rsid w:val="00A81B56"/>
    <w:rsid w:val="00A82E49"/>
    <w:rsid w:val="00A83F70"/>
    <w:rsid w:val="00A841E3"/>
    <w:rsid w:val="00A86E53"/>
    <w:rsid w:val="00A920ED"/>
    <w:rsid w:val="00A92497"/>
    <w:rsid w:val="00A94B95"/>
    <w:rsid w:val="00A95164"/>
    <w:rsid w:val="00A96056"/>
    <w:rsid w:val="00A969C3"/>
    <w:rsid w:val="00A97447"/>
    <w:rsid w:val="00AA0C7F"/>
    <w:rsid w:val="00AA1E25"/>
    <w:rsid w:val="00AA65EF"/>
    <w:rsid w:val="00AA6837"/>
    <w:rsid w:val="00AB07FC"/>
    <w:rsid w:val="00AB0BCB"/>
    <w:rsid w:val="00AB1B7A"/>
    <w:rsid w:val="00AB234F"/>
    <w:rsid w:val="00AB490B"/>
    <w:rsid w:val="00AB50A1"/>
    <w:rsid w:val="00AB63EC"/>
    <w:rsid w:val="00AB706C"/>
    <w:rsid w:val="00AB7635"/>
    <w:rsid w:val="00AB7D40"/>
    <w:rsid w:val="00AC0195"/>
    <w:rsid w:val="00AC169A"/>
    <w:rsid w:val="00AC17BD"/>
    <w:rsid w:val="00AC627A"/>
    <w:rsid w:val="00AC7076"/>
    <w:rsid w:val="00AD0219"/>
    <w:rsid w:val="00AD0858"/>
    <w:rsid w:val="00AD159E"/>
    <w:rsid w:val="00AD25AF"/>
    <w:rsid w:val="00AD3FA3"/>
    <w:rsid w:val="00AD5B00"/>
    <w:rsid w:val="00AE0905"/>
    <w:rsid w:val="00AE2F7F"/>
    <w:rsid w:val="00AF35AE"/>
    <w:rsid w:val="00AF394B"/>
    <w:rsid w:val="00AF6C87"/>
    <w:rsid w:val="00AF7196"/>
    <w:rsid w:val="00B001EA"/>
    <w:rsid w:val="00B006E0"/>
    <w:rsid w:val="00B0365E"/>
    <w:rsid w:val="00B03D5C"/>
    <w:rsid w:val="00B11E1C"/>
    <w:rsid w:val="00B12CAE"/>
    <w:rsid w:val="00B12DA9"/>
    <w:rsid w:val="00B132F0"/>
    <w:rsid w:val="00B1771E"/>
    <w:rsid w:val="00B20979"/>
    <w:rsid w:val="00B20B9D"/>
    <w:rsid w:val="00B20CA6"/>
    <w:rsid w:val="00B2179E"/>
    <w:rsid w:val="00B21830"/>
    <w:rsid w:val="00B24130"/>
    <w:rsid w:val="00B24BED"/>
    <w:rsid w:val="00B259B3"/>
    <w:rsid w:val="00B263B2"/>
    <w:rsid w:val="00B3066F"/>
    <w:rsid w:val="00B31572"/>
    <w:rsid w:val="00B32FDE"/>
    <w:rsid w:val="00B3485C"/>
    <w:rsid w:val="00B3551C"/>
    <w:rsid w:val="00B41CC5"/>
    <w:rsid w:val="00B4456E"/>
    <w:rsid w:val="00B455A2"/>
    <w:rsid w:val="00B5121C"/>
    <w:rsid w:val="00B55DD4"/>
    <w:rsid w:val="00B601DE"/>
    <w:rsid w:val="00B60D21"/>
    <w:rsid w:val="00B61DB0"/>
    <w:rsid w:val="00B628A3"/>
    <w:rsid w:val="00B635C3"/>
    <w:rsid w:val="00B64059"/>
    <w:rsid w:val="00B64E0D"/>
    <w:rsid w:val="00B65DD7"/>
    <w:rsid w:val="00B66B82"/>
    <w:rsid w:val="00B67C8D"/>
    <w:rsid w:val="00B71A77"/>
    <w:rsid w:val="00B746DE"/>
    <w:rsid w:val="00B761D0"/>
    <w:rsid w:val="00B76B5B"/>
    <w:rsid w:val="00B76E0A"/>
    <w:rsid w:val="00B770A1"/>
    <w:rsid w:val="00B826E5"/>
    <w:rsid w:val="00B836E8"/>
    <w:rsid w:val="00B83FBC"/>
    <w:rsid w:val="00B841A4"/>
    <w:rsid w:val="00B871DD"/>
    <w:rsid w:val="00B87B57"/>
    <w:rsid w:val="00B93135"/>
    <w:rsid w:val="00B9774B"/>
    <w:rsid w:val="00BA1954"/>
    <w:rsid w:val="00BA376F"/>
    <w:rsid w:val="00BA5F64"/>
    <w:rsid w:val="00BA61A9"/>
    <w:rsid w:val="00BB0A71"/>
    <w:rsid w:val="00BB11E2"/>
    <w:rsid w:val="00BB33FD"/>
    <w:rsid w:val="00BB33FE"/>
    <w:rsid w:val="00BB5C5F"/>
    <w:rsid w:val="00BB612A"/>
    <w:rsid w:val="00BB627A"/>
    <w:rsid w:val="00BC193E"/>
    <w:rsid w:val="00BC4F1B"/>
    <w:rsid w:val="00BC6F1B"/>
    <w:rsid w:val="00BC753E"/>
    <w:rsid w:val="00BC7668"/>
    <w:rsid w:val="00BC7E29"/>
    <w:rsid w:val="00BD1D60"/>
    <w:rsid w:val="00BD1FA5"/>
    <w:rsid w:val="00BD2812"/>
    <w:rsid w:val="00BD3A3F"/>
    <w:rsid w:val="00BD6949"/>
    <w:rsid w:val="00BE4B8D"/>
    <w:rsid w:val="00BE5EB9"/>
    <w:rsid w:val="00BE73E9"/>
    <w:rsid w:val="00BF0B2C"/>
    <w:rsid w:val="00BF0C97"/>
    <w:rsid w:val="00BF28EC"/>
    <w:rsid w:val="00BF51F6"/>
    <w:rsid w:val="00BF682C"/>
    <w:rsid w:val="00BF7476"/>
    <w:rsid w:val="00C02D9A"/>
    <w:rsid w:val="00C06808"/>
    <w:rsid w:val="00C10DEC"/>
    <w:rsid w:val="00C10EEC"/>
    <w:rsid w:val="00C12240"/>
    <w:rsid w:val="00C138B2"/>
    <w:rsid w:val="00C13F57"/>
    <w:rsid w:val="00C17074"/>
    <w:rsid w:val="00C1758E"/>
    <w:rsid w:val="00C21672"/>
    <w:rsid w:val="00C21ACC"/>
    <w:rsid w:val="00C22755"/>
    <w:rsid w:val="00C31F14"/>
    <w:rsid w:val="00C34E9B"/>
    <w:rsid w:val="00C34FE2"/>
    <w:rsid w:val="00C36041"/>
    <w:rsid w:val="00C36B8D"/>
    <w:rsid w:val="00C402C9"/>
    <w:rsid w:val="00C406A0"/>
    <w:rsid w:val="00C41C1D"/>
    <w:rsid w:val="00C421A0"/>
    <w:rsid w:val="00C439B2"/>
    <w:rsid w:val="00C44001"/>
    <w:rsid w:val="00C4439D"/>
    <w:rsid w:val="00C45F5C"/>
    <w:rsid w:val="00C466A2"/>
    <w:rsid w:val="00C46AF0"/>
    <w:rsid w:val="00C479FE"/>
    <w:rsid w:val="00C47EB3"/>
    <w:rsid w:val="00C50B1D"/>
    <w:rsid w:val="00C53ADD"/>
    <w:rsid w:val="00C56178"/>
    <w:rsid w:val="00C562B0"/>
    <w:rsid w:val="00C56DD1"/>
    <w:rsid w:val="00C57D52"/>
    <w:rsid w:val="00C603C1"/>
    <w:rsid w:val="00C6061D"/>
    <w:rsid w:val="00C62E07"/>
    <w:rsid w:val="00C63302"/>
    <w:rsid w:val="00C63C53"/>
    <w:rsid w:val="00C70B15"/>
    <w:rsid w:val="00C70F4F"/>
    <w:rsid w:val="00C7603F"/>
    <w:rsid w:val="00C77955"/>
    <w:rsid w:val="00C80ECD"/>
    <w:rsid w:val="00C8206E"/>
    <w:rsid w:val="00C82962"/>
    <w:rsid w:val="00C83BA2"/>
    <w:rsid w:val="00C840F2"/>
    <w:rsid w:val="00C8538F"/>
    <w:rsid w:val="00C9122B"/>
    <w:rsid w:val="00C93D82"/>
    <w:rsid w:val="00C94904"/>
    <w:rsid w:val="00C9540E"/>
    <w:rsid w:val="00C9683B"/>
    <w:rsid w:val="00CA0EF6"/>
    <w:rsid w:val="00CA31DB"/>
    <w:rsid w:val="00CA4361"/>
    <w:rsid w:val="00CB21A0"/>
    <w:rsid w:val="00CB26B0"/>
    <w:rsid w:val="00CB2ACC"/>
    <w:rsid w:val="00CC0A81"/>
    <w:rsid w:val="00CC2EA3"/>
    <w:rsid w:val="00CC41D4"/>
    <w:rsid w:val="00CD2724"/>
    <w:rsid w:val="00CD33AB"/>
    <w:rsid w:val="00CD4A09"/>
    <w:rsid w:val="00CD5E6F"/>
    <w:rsid w:val="00CD5E71"/>
    <w:rsid w:val="00CD6B61"/>
    <w:rsid w:val="00CF08A4"/>
    <w:rsid w:val="00CF0C7B"/>
    <w:rsid w:val="00CF1C70"/>
    <w:rsid w:val="00CF291C"/>
    <w:rsid w:val="00CF4B54"/>
    <w:rsid w:val="00D02613"/>
    <w:rsid w:val="00D060F5"/>
    <w:rsid w:val="00D06613"/>
    <w:rsid w:val="00D114B4"/>
    <w:rsid w:val="00D119E0"/>
    <w:rsid w:val="00D1210A"/>
    <w:rsid w:val="00D12679"/>
    <w:rsid w:val="00D13574"/>
    <w:rsid w:val="00D13FCC"/>
    <w:rsid w:val="00D149B3"/>
    <w:rsid w:val="00D14E0D"/>
    <w:rsid w:val="00D15B9A"/>
    <w:rsid w:val="00D15D80"/>
    <w:rsid w:val="00D1666A"/>
    <w:rsid w:val="00D17D8C"/>
    <w:rsid w:val="00D21BE7"/>
    <w:rsid w:val="00D26793"/>
    <w:rsid w:val="00D27953"/>
    <w:rsid w:val="00D33441"/>
    <w:rsid w:val="00D334C0"/>
    <w:rsid w:val="00D36619"/>
    <w:rsid w:val="00D3707C"/>
    <w:rsid w:val="00D450F4"/>
    <w:rsid w:val="00D45431"/>
    <w:rsid w:val="00D505AC"/>
    <w:rsid w:val="00D50730"/>
    <w:rsid w:val="00D50E55"/>
    <w:rsid w:val="00D50E97"/>
    <w:rsid w:val="00D539DF"/>
    <w:rsid w:val="00D53B3B"/>
    <w:rsid w:val="00D542EE"/>
    <w:rsid w:val="00D545D3"/>
    <w:rsid w:val="00D54F3E"/>
    <w:rsid w:val="00D577AF"/>
    <w:rsid w:val="00D57932"/>
    <w:rsid w:val="00D65F39"/>
    <w:rsid w:val="00D664CF"/>
    <w:rsid w:val="00D67757"/>
    <w:rsid w:val="00D72D71"/>
    <w:rsid w:val="00D7654E"/>
    <w:rsid w:val="00D76D8D"/>
    <w:rsid w:val="00D83166"/>
    <w:rsid w:val="00D8329A"/>
    <w:rsid w:val="00D85475"/>
    <w:rsid w:val="00D86304"/>
    <w:rsid w:val="00D87DC8"/>
    <w:rsid w:val="00D9044D"/>
    <w:rsid w:val="00D90F3B"/>
    <w:rsid w:val="00D94EB2"/>
    <w:rsid w:val="00D96521"/>
    <w:rsid w:val="00DA2563"/>
    <w:rsid w:val="00DA318F"/>
    <w:rsid w:val="00DA380B"/>
    <w:rsid w:val="00DA5364"/>
    <w:rsid w:val="00DB160F"/>
    <w:rsid w:val="00DB2F65"/>
    <w:rsid w:val="00DB4270"/>
    <w:rsid w:val="00DB50E6"/>
    <w:rsid w:val="00DB5B28"/>
    <w:rsid w:val="00DB7459"/>
    <w:rsid w:val="00DC18AB"/>
    <w:rsid w:val="00DC2BD1"/>
    <w:rsid w:val="00DC32BC"/>
    <w:rsid w:val="00DC3C54"/>
    <w:rsid w:val="00DC499D"/>
    <w:rsid w:val="00DC7034"/>
    <w:rsid w:val="00DC770C"/>
    <w:rsid w:val="00DD3685"/>
    <w:rsid w:val="00DD5A57"/>
    <w:rsid w:val="00DD5B1D"/>
    <w:rsid w:val="00DE664E"/>
    <w:rsid w:val="00DE6FEA"/>
    <w:rsid w:val="00DF29E0"/>
    <w:rsid w:val="00E00DF4"/>
    <w:rsid w:val="00E0178C"/>
    <w:rsid w:val="00E0297A"/>
    <w:rsid w:val="00E0354C"/>
    <w:rsid w:val="00E05CD7"/>
    <w:rsid w:val="00E121FC"/>
    <w:rsid w:val="00E14149"/>
    <w:rsid w:val="00E155EB"/>
    <w:rsid w:val="00E17B8A"/>
    <w:rsid w:val="00E23EEA"/>
    <w:rsid w:val="00E27F9E"/>
    <w:rsid w:val="00E311A1"/>
    <w:rsid w:val="00E34833"/>
    <w:rsid w:val="00E34FF9"/>
    <w:rsid w:val="00E3576F"/>
    <w:rsid w:val="00E36033"/>
    <w:rsid w:val="00E36E35"/>
    <w:rsid w:val="00E40272"/>
    <w:rsid w:val="00E413FB"/>
    <w:rsid w:val="00E41690"/>
    <w:rsid w:val="00E41A56"/>
    <w:rsid w:val="00E41F24"/>
    <w:rsid w:val="00E4229F"/>
    <w:rsid w:val="00E42A20"/>
    <w:rsid w:val="00E4570B"/>
    <w:rsid w:val="00E45AB6"/>
    <w:rsid w:val="00E50150"/>
    <w:rsid w:val="00E501D3"/>
    <w:rsid w:val="00E53FDA"/>
    <w:rsid w:val="00E56EAE"/>
    <w:rsid w:val="00E62EE1"/>
    <w:rsid w:val="00E656AA"/>
    <w:rsid w:val="00E6785B"/>
    <w:rsid w:val="00E67BB4"/>
    <w:rsid w:val="00E702E4"/>
    <w:rsid w:val="00E705A5"/>
    <w:rsid w:val="00E71356"/>
    <w:rsid w:val="00E713BE"/>
    <w:rsid w:val="00E715AA"/>
    <w:rsid w:val="00E718FA"/>
    <w:rsid w:val="00E73C64"/>
    <w:rsid w:val="00E761CC"/>
    <w:rsid w:val="00E76A25"/>
    <w:rsid w:val="00E82AFE"/>
    <w:rsid w:val="00E8351B"/>
    <w:rsid w:val="00E8434D"/>
    <w:rsid w:val="00E847F7"/>
    <w:rsid w:val="00E84BDF"/>
    <w:rsid w:val="00E86E6A"/>
    <w:rsid w:val="00E87230"/>
    <w:rsid w:val="00E872AD"/>
    <w:rsid w:val="00E87666"/>
    <w:rsid w:val="00E9078D"/>
    <w:rsid w:val="00E90F88"/>
    <w:rsid w:val="00E912E2"/>
    <w:rsid w:val="00E92B97"/>
    <w:rsid w:val="00E92E6C"/>
    <w:rsid w:val="00E94407"/>
    <w:rsid w:val="00E964E5"/>
    <w:rsid w:val="00E96D5C"/>
    <w:rsid w:val="00EA076E"/>
    <w:rsid w:val="00EA75E3"/>
    <w:rsid w:val="00EB19B3"/>
    <w:rsid w:val="00EB312C"/>
    <w:rsid w:val="00EC012F"/>
    <w:rsid w:val="00EC22AB"/>
    <w:rsid w:val="00EC767D"/>
    <w:rsid w:val="00ED4D77"/>
    <w:rsid w:val="00ED7DB6"/>
    <w:rsid w:val="00EE1040"/>
    <w:rsid w:val="00EE2F7B"/>
    <w:rsid w:val="00EE35B9"/>
    <w:rsid w:val="00EE4888"/>
    <w:rsid w:val="00EE7991"/>
    <w:rsid w:val="00EF0DD2"/>
    <w:rsid w:val="00EF3196"/>
    <w:rsid w:val="00EF3352"/>
    <w:rsid w:val="00EF4BD4"/>
    <w:rsid w:val="00F00A1D"/>
    <w:rsid w:val="00F00D73"/>
    <w:rsid w:val="00F011EE"/>
    <w:rsid w:val="00F0325A"/>
    <w:rsid w:val="00F07737"/>
    <w:rsid w:val="00F077F5"/>
    <w:rsid w:val="00F078E8"/>
    <w:rsid w:val="00F101CF"/>
    <w:rsid w:val="00F10359"/>
    <w:rsid w:val="00F11AEB"/>
    <w:rsid w:val="00F141A0"/>
    <w:rsid w:val="00F1438C"/>
    <w:rsid w:val="00F15026"/>
    <w:rsid w:val="00F21F0C"/>
    <w:rsid w:val="00F22CC8"/>
    <w:rsid w:val="00F2452B"/>
    <w:rsid w:val="00F27F0C"/>
    <w:rsid w:val="00F31749"/>
    <w:rsid w:val="00F3403B"/>
    <w:rsid w:val="00F360D6"/>
    <w:rsid w:val="00F37DC2"/>
    <w:rsid w:val="00F41097"/>
    <w:rsid w:val="00F4197F"/>
    <w:rsid w:val="00F41E27"/>
    <w:rsid w:val="00F42929"/>
    <w:rsid w:val="00F42B8A"/>
    <w:rsid w:val="00F44D8C"/>
    <w:rsid w:val="00F45130"/>
    <w:rsid w:val="00F47920"/>
    <w:rsid w:val="00F518BA"/>
    <w:rsid w:val="00F52661"/>
    <w:rsid w:val="00F5283D"/>
    <w:rsid w:val="00F52D03"/>
    <w:rsid w:val="00F536DA"/>
    <w:rsid w:val="00F555A6"/>
    <w:rsid w:val="00F57796"/>
    <w:rsid w:val="00F61283"/>
    <w:rsid w:val="00F63A6B"/>
    <w:rsid w:val="00F65CFD"/>
    <w:rsid w:val="00F6738F"/>
    <w:rsid w:val="00F72E4D"/>
    <w:rsid w:val="00F73D80"/>
    <w:rsid w:val="00F7596E"/>
    <w:rsid w:val="00F81D99"/>
    <w:rsid w:val="00F85A84"/>
    <w:rsid w:val="00F93AC6"/>
    <w:rsid w:val="00F94DA0"/>
    <w:rsid w:val="00F95020"/>
    <w:rsid w:val="00F95580"/>
    <w:rsid w:val="00FA6BE0"/>
    <w:rsid w:val="00FA72A6"/>
    <w:rsid w:val="00FB1EB5"/>
    <w:rsid w:val="00FB2B09"/>
    <w:rsid w:val="00FB3DE9"/>
    <w:rsid w:val="00FB5939"/>
    <w:rsid w:val="00FB5C0D"/>
    <w:rsid w:val="00FB5EA4"/>
    <w:rsid w:val="00FC3E48"/>
    <w:rsid w:val="00FC44AA"/>
    <w:rsid w:val="00FC6F7D"/>
    <w:rsid w:val="00FD026D"/>
    <w:rsid w:val="00FD0E95"/>
    <w:rsid w:val="00FD28D5"/>
    <w:rsid w:val="00FD2BC5"/>
    <w:rsid w:val="00FD3D53"/>
    <w:rsid w:val="00FE0791"/>
    <w:rsid w:val="00FE2F34"/>
    <w:rsid w:val="00FE3038"/>
    <w:rsid w:val="00FE3D42"/>
    <w:rsid w:val="00FE5094"/>
    <w:rsid w:val="00FF2520"/>
    <w:rsid w:val="00FF2E08"/>
    <w:rsid w:val="00FF4215"/>
    <w:rsid w:val="00FF4B81"/>
    <w:rsid w:val="00FF4C85"/>
    <w:rsid w:val="00FF63F7"/>
    <w:rsid w:val="00FF7BA0"/>
    <w:rsid w:val="019239B4"/>
    <w:rsid w:val="01C401C9"/>
    <w:rsid w:val="03EC32E0"/>
    <w:rsid w:val="05A218FD"/>
    <w:rsid w:val="06C00186"/>
    <w:rsid w:val="09197B3E"/>
    <w:rsid w:val="0B3A5CA3"/>
    <w:rsid w:val="0D415C54"/>
    <w:rsid w:val="0E347BBB"/>
    <w:rsid w:val="0E9272B5"/>
    <w:rsid w:val="0F4E7C06"/>
    <w:rsid w:val="0F5576A6"/>
    <w:rsid w:val="0F75161B"/>
    <w:rsid w:val="11F70C71"/>
    <w:rsid w:val="128F3808"/>
    <w:rsid w:val="131462C7"/>
    <w:rsid w:val="14642A47"/>
    <w:rsid w:val="14E47444"/>
    <w:rsid w:val="151948F4"/>
    <w:rsid w:val="15FD6214"/>
    <w:rsid w:val="160A7825"/>
    <w:rsid w:val="168510F5"/>
    <w:rsid w:val="19043F59"/>
    <w:rsid w:val="19351120"/>
    <w:rsid w:val="1B8F0552"/>
    <w:rsid w:val="1BD10986"/>
    <w:rsid w:val="1BD664C1"/>
    <w:rsid w:val="1D2027D7"/>
    <w:rsid w:val="1F0C54A8"/>
    <w:rsid w:val="20646A1B"/>
    <w:rsid w:val="211704C9"/>
    <w:rsid w:val="21E9221E"/>
    <w:rsid w:val="238F6834"/>
    <w:rsid w:val="23FC43CB"/>
    <w:rsid w:val="24BD7779"/>
    <w:rsid w:val="252E6649"/>
    <w:rsid w:val="27535154"/>
    <w:rsid w:val="27541D8F"/>
    <w:rsid w:val="28092E82"/>
    <w:rsid w:val="285831A2"/>
    <w:rsid w:val="28D771B3"/>
    <w:rsid w:val="28F22610"/>
    <w:rsid w:val="2927066E"/>
    <w:rsid w:val="2BDB76C2"/>
    <w:rsid w:val="2D5B1AF1"/>
    <w:rsid w:val="2DB61DC2"/>
    <w:rsid w:val="2F8A68E0"/>
    <w:rsid w:val="2FC46C7B"/>
    <w:rsid w:val="30D36097"/>
    <w:rsid w:val="32916000"/>
    <w:rsid w:val="331F51D7"/>
    <w:rsid w:val="332561EC"/>
    <w:rsid w:val="34C1517C"/>
    <w:rsid w:val="351E0F07"/>
    <w:rsid w:val="3599165E"/>
    <w:rsid w:val="386901D1"/>
    <w:rsid w:val="39206C68"/>
    <w:rsid w:val="393A4CCB"/>
    <w:rsid w:val="394A04AD"/>
    <w:rsid w:val="3A7E0A06"/>
    <w:rsid w:val="3A942F44"/>
    <w:rsid w:val="3A972710"/>
    <w:rsid w:val="3CDE6407"/>
    <w:rsid w:val="3DF82424"/>
    <w:rsid w:val="3F543E53"/>
    <w:rsid w:val="423F17DF"/>
    <w:rsid w:val="43986FBC"/>
    <w:rsid w:val="441B2477"/>
    <w:rsid w:val="44CC6850"/>
    <w:rsid w:val="44D90D2D"/>
    <w:rsid w:val="4656787E"/>
    <w:rsid w:val="4740699E"/>
    <w:rsid w:val="490364C8"/>
    <w:rsid w:val="498F50D9"/>
    <w:rsid w:val="49FF361D"/>
    <w:rsid w:val="4BE84ADE"/>
    <w:rsid w:val="4BEA35E2"/>
    <w:rsid w:val="4E121B55"/>
    <w:rsid w:val="4E6F2738"/>
    <w:rsid w:val="4E822DD2"/>
    <w:rsid w:val="4EF574D2"/>
    <w:rsid w:val="50783615"/>
    <w:rsid w:val="531E4716"/>
    <w:rsid w:val="53B355D7"/>
    <w:rsid w:val="53F33750"/>
    <w:rsid w:val="541E31C1"/>
    <w:rsid w:val="55860692"/>
    <w:rsid w:val="5586121C"/>
    <w:rsid w:val="561C4D71"/>
    <w:rsid w:val="56C87B9D"/>
    <w:rsid w:val="5723144D"/>
    <w:rsid w:val="58AA13B5"/>
    <w:rsid w:val="5A443ABB"/>
    <w:rsid w:val="5C0A188B"/>
    <w:rsid w:val="5C8C10C0"/>
    <w:rsid w:val="5D2C38E4"/>
    <w:rsid w:val="5DFB2D6D"/>
    <w:rsid w:val="5E4F72F6"/>
    <w:rsid w:val="5F833826"/>
    <w:rsid w:val="60B85762"/>
    <w:rsid w:val="628F56D7"/>
    <w:rsid w:val="62C52D1E"/>
    <w:rsid w:val="63586D06"/>
    <w:rsid w:val="65CD26B4"/>
    <w:rsid w:val="677D30E0"/>
    <w:rsid w:val="694420CC"/>
    <w:rsid w:val="696E1C4C"/>
    <w:rsid w:val="6A31115D"/>
    <w:rsid w:val="6B7B77ED"/>
    <w:rsid w:val="6DD01ED5"/>
    <w:rsid w:val="6E916298"/>
    <w:rsid w:val="6EA84809"/>
    <w:rsid w:val="6EF041DC"/>
    <w:rsid w:val="6FF75479"/>
    <w:rsid w:val="72BA11D4"/>
    <w:rsid w:val="74DE2D28"/>
    <w:rsid w:val="75317F36"/>
    <w:rsid w:val="794A3E9B"/>
    <w:rsid w:val="79D96301"/>
    <w:rsid w:val="7A336EC9"/>
    <w:rsid w:val="7BD754B6"/>
    <w:rsid w:val="7BE36163"/>
    <w:rsid w:val="7E4253D3"/>
    <w:rsid w:val="7EC30AC6"/>
    <w:rsid w:val="7EFB13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9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99" w:semiHidden="0" w:name="Normal Indent"/>
    <w:lsdException w:qFormat="1" w:unhideWhenUsed="0" w:uiPriority="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qFormat="1" w:unhideWhenUsed="0" w:uiPriority="0" w:semiHidden="0" w:name="table of figures"/>
    <w:lsdException w:uiPriority="99" w:name="envelope address"/>
    <w:lsdException w:uiPriority="99" w:name="envelope return"/>
    <w:lsdException w:qFormat="1" w:unhideWhenUsed="0" w:uiPriority="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uiPriority="99" w:name="List Bullet"/>
    <w:lsdException w:qFormat="1" w:unhideWhenUsed="0" w:uiPriority="99"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nhideWhenUsed="0" w:uiPriority="99" w:semiHidden="0" w:name="Body Text"/>
    <w:lsdException w:qFormat="1" w:unhideWhenUsed="0" w:uiPriority="0" w:semiHidden="0" w:name="Body Text Indent"/>
    <w:lsdException w:uiPriority="99" w:name="List Continue"/>
    <w:lsdException w:qFormat="1" w:unhideWhenUsed="0" w:uiPriority="99" w:semiHidden="0"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semiHidden="0" w:name="Body Text First Indent"/>
    <w:lsdException w:uiPriority="99" w:name="Body Text First Indent 2"/>
    <w:lsdException w:uiPriority="99" w:name="Note Heading"/>
    <w:lsdException w:uiPriority="99" w:name="Body Text 2"/>
    <w:lsdException w:uiPriority="99" w:name="Body Text 3"/>
    <w:lsdException w:qFormat="1" w:unhideWhenUsed="0" w:uiPriority="99" w:semiHidden="0" w:name="Body Text Indent 2"/>
    <w:lsdException w:qFormat="1" w:unhideWhenUsed="0" w:uiPriority="99"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qFormat="1" w:unhideWhenUsed="0" w:uiPriority="99" w:semiHidden="0" w:name="HTML Acronym"/>
    <w:lsdException w:uiPriority="99" w:name="HTML Address"/>
    <w:lsdException w:qFormat="1" w:unhideWhenUsed="0" w:uiPriority="99"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uiPriority="99" w:name="HTML Preformatted"/>
    <w:lsdException w:qFormat="1" w:unhideWhenUsed="0" w:uiPriority="99" w:semiHidden="0" w:name="HTML Sample"/>
    <w:lsdException w:uiPriority="99" w:name="HTML Typewriter"/>
    <w:lsdException w:qFormat="1" w:unhideWhenUsed="0" w:uiPriority="99"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1"/>
    <w:basedOn w:val="1"/>
    <w:next w:val="1"/>
    <w:link w:val="54"/>
    <w:qFormat/>
    <w:uiPriority w:val="9"/>
    <w:pPr>
      <w:keepNext/>
      <w:widowControl/>
      <w:spacing w:before="340" w:after="330" w:line="576" w:lineRule="auto"/>
      <w:jc w:val="center"/>
      <w:outlineLvl w:val="0"/>
    </w:pPr>
    <w:rPr>
      <w:rFonts w:ascii="???" w:hAnsi="???" w:eastAsia="宋体" w:cs="Arial"/>
      <w:b/>
      <w:bCs/>
      <w:color w:val="020000"/>
      <w:kern w:val="36"/>
      <w:sz w:val="44"/>
      <w:szCs w:val="44"/>
    </w:rPr>
  </w:style>
  <w:style w:type="paragraph" w:styleId="5">
    <w:name w:val="heading 2"/>
    <w:basedOn w:val="1"/>
    <w:next w:val="1"/>
    <w:link w:val="56"/>
    <w:qFormat/>
    <w:uiPriority w:val="0"/>
    <w:pPr>
      <w:keepNext/>
      <w:widowControl/>
      <w:spacing w:before="260" w:after="260" w:line="412" w:lineRule="auto"/>
      <w:outlineLvl w:val="1"/>
    </w:pPr>
    <w:rPr>
      <w:rFonts w:ascii="???" w:hAnsi="???" w:eastAsia="宋体" w:cs="Arial"/>
      <w:b/>
      <w:bCs/>
      <w:color w:val="020000"/>
      <w:kern w:val="0"/>
      <w:sz w:val="32"/>
      <w:szCs w:val="32"/>
    </w:rPr>
  </w:style>
  <w:style w:type="paragraph" w:styleId="6">
    <w:name w:val="heading 3"/>
    <w:basedOn w:val="1"/>
    <w:next w:val="7"/>
    <w:link w:val="55"/>
    <w:qFormat/>
    <w:uiPriority w:val="99"/>
    <w:pPr>
      <w:keepNext/>
      <w:widowControl/>
      <w:spacing w:before="260" w:after="260" w:line="412" w:lineRule="auto"/>
      <w:outlineLvl w:val="2"/>
    </w:pPr>
    <w:rPr>
      <w:rFonts w:ascii="??" w:hAnsi="??" w:eastAsia="宋体" w:cs="Arial"/>
      <w:b/>
      <w:bCs/>
      <w:color w:val="000000"/>
      <w:kern w:val="0"/>
      <w:sz w:val="32"/>
      <w:szCs w:val="32"/>
    </w:rPr>
  </w:style>
  <w:style w:type="character" w:default="1" w:styleId="39">
    <w:name w:val="Default Paragraph Font"/>
    <w:unhideWhenUsed/>
    <w:qFormat/>
    <w:uiPriority w:val="1"/>
  </w:style>
  <w:style w:type="table" w:default="1" w:styleId="37">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link w:val="199"/>
    <w:unhideWhenUsed/>
    <w:qFormat/>
    <w:uiPriority w:val="99"/>
    <w:pPr>
      <w:ind w:firstLine="420" w:firstLineChars="100"/>
    </w:pPr>
    <w:rPr>
      <w:rFonts w:asciiTheme="minorHAnsi" w:hAnsiTheme="minorHAnsi" w:eastAsiaTheme="minorEastAsia" w:cstheme="minorBidi"/>
      <w:kern w:val="2"/>
      <w:sz w:val="21"/>
      <w:szCs w:val="22"/>
    </w:rPr>
  </w:style>
  <w:style w:type="paragraph" w:styleId="3">
    <w:name w:val="Body Text"/>
    <w:basedOn w:val="1"/>
    <w:next w:val="1"/>
    <w:link w:val="128"/>
    <w:qFormat/>
    <w:uiPriority w:val="99"/>
    <w:pPr>
      <w:spacing w:after="120"/>
    </w:pPr>
    <w:rPr>
      <w:rFonts w:ascii="Calibri" w:hAnsi="Calibri" w:eastAsia="宋体" w:cs="Times New Roman"/>
      <w:kern w:val="0"/>
      <w:sz w:val="24"/>
      <w:szCs w:val="20"/>
    </w:rPr>
  </w:style>
  <w:style w:type="paragraph" w:customStyle="1" w:styleId="7">
    <w:name w:val="方案正文"/>
    <w:basedOn w:val="3"/>
    <w:qFormat/>
    <w:uiPriority w:val="0"/>
    <w:pPr>
      <w:spacing w:after="0"/>
      <w:ind w:firstLine="560" w:firstLineChars="200"/>
      <w:jc w:val="left"/>
    </w:pPr>
    <w:rPr>
      <w:rFonts w:ascii="Arial" w:hAnsi="Arial" w:eastAsia="仿宋" w:cs="宋体"/>
      <w:sz w:val="28"/>
      <w:szCs w:val="21"/>
    </w:rPr>
  </w:style>
  <w:style w:type="paragraph" w:styleId="8">
    <w:name w:val="toc 7"/>
    <w:basedOn w:val="1"/>
    <w:next w:val="1"/>
    <w:qFormat/>
    <w:uiPriority w:val="0"/>
    <w:pPr>
      <w:ind w:left="2520" w:leftChars="1200"/>
    </w:pPr>
    <w:rPr>
      <w:rFonts w:ascii="Times New Roman" w:hAnsi="Times New Roman" w:eastAsia="宋体" w:cs="Times New Roman"/>
      <w:szCs w:val="24"/>
    </w:rPr>
  </w:style>
  <w:style w:type="paragraph" w:styleId="9">
    <w:name w:val="List Number"/>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styleId="10">
    <w:name w:val="Normal Indent"/>
    <w:basedOn w:val="1"/>
    <w:link w:val="107"/>
    <w:qFormat/>
    <w:uiPriority w:val="99"/>
    <w:pPr>
      <w:ind w:firstLine="420" w:firstLineChars="200"/>
    </w:pPr>
    <w:rPr>
      <w:rFonts w:ascii="Times New Roman" w:hAnsi="Times New Roman" w:eastAsia="宋体" w:cs="Times New Roman"/>
      <w:kern w:val="0"/>
      <w:sz w:val="24"/>
      <w:szCs w:val="20"/>
    </w:rPr>
  </w:style>
  <w:style w:type="paragraph" w:styleId="11">
    <w:name w:val="Document Map"/>
    <w:basedOn w:val="1"/>
    <w:link w:val="125"/>
    <w:qFormat/>
    <w:uiPriority w:val="0"/>
    <w:rPr>
      <w:rFonts w:ascii="宋体" w:hAnsi="Calibri" w:eastAsia="宋体" w:cs="Times New Roman"/>
      <w:kern w:val="0"/>
      <w:sz w:val="18"/>
      <w:szCs w:val="20"/>
    </w:rPr>
  </w:style>
  <w:style w:type="paragraph" w:styleId="12">
    <w:name w:val="toa heading"/>
    <w:basedOn w:val="1"/>
    <w:next w:val="1"/>
    <w:qFormat/>
    <w:uiPriority w:val="0"/>
    <w:pPr>
      <w:spacing w:before="120"/>
    </w:pPr>
    <w:rPr>
      <w:rFonts w:ascii="Cambria" w:hAnsi="Cambria"/>
      <w:sz w:val="24"/>
      <w:szCs w:val="24"/>
    </w:rPr>
  </w:style>
  <w:style w:type="paragraph" w:styleId="13">
    <w:name w:val="annotation text"/>
    <w:basedOn w:val="1"/>
    <w:link w:val="153"/>
    <w:qFormat/>
    <w:uiPriority w:val="0"/>
    <w:pPr>
      <w:jc w:val="left"/>
    </w:pPr>
  </w:style>
  <w:style w:type="paragraph" w:styleId="14">
    <w:name w:val="Body Text Indent"/>
    <w:basedOn w:val="1"/>
    <w:link w:val="59"/>
    <w:qFormat/>
    <w:uiPriority w:val="0"/>
    <w:pPr>
      <w:widowControl/>
      <w:spacing w:after="120"/>
      <w:ind w:left="420"/>
    </w:pPr>
    <w:rPr>
      <w:rFonts w:ascii="??" w:hAnsi="??" w:eastAsia="宋体" w:cs="Arial"/>
      <w:kern w:val="0"/>
      <w:sz w:val="24"/>
      <w:szCs w:val="24"/>
    </w:rPr>
  </w:style>
  <w:style w:type="paragraph" w:styleId="15">
    <w:name w:val="toc 5"/>
    <w:basedOn w:val="1"/>
    <w:next w:val="1"/>
    <w:qFormat/>
    <w:uiPriority w:val="0"/>
    <w:pPr>
      <w:ind w:left="1680" w:leftChars="800"/>
    </w:pPr>
    <w:rPr>
      <w:rFonts w:ascii="Times New Roman" w:hAnsi="Times New Roman" w:eastAsia="宋体" w:cs="Times New Roman"/>
      <w:szCs w:val="24"/>
    </w:rPr>
  </w:style>
  <w:style w:type="paragraph" w:styleId="16">
    <w:name w:val="toc 3"/>
    <w:basedOn w:val="1"/>
    <w:next w:val="1"/>
    <w:qFormat/>
    <w:uiPriority w:val="39"/>
    <w:pPr>
      <w:ind w:left="840" w:leftChars="400"/>
    </w:pPr>
    <w:rPr>
      <w:rFonts w:ascii="Times New Roman" w:hAnsi="Times New Roman" w:eastAsia="宋体" w:cs="Times New Roman"/>
      <w:szCs w:val="24"/>
    </w:rPr>
  </w:style>
  <w:style w:type="paragraph" w:styleId="17">
    <w:name w:val="Plain Text"/>
    <w:basedOn w:val="1"/>
    <w:link w:val="189"/>
    <w:qFormat/>
    <w:uiPriority w:val="0"/>
    <w:rPr>
      <w:rFonts w:ascii="宋体" w:hAnsi="Courier New" w:eastAsia="宋体"/>
      <w:szCs w:val="21"/>
    </w:rPr>
  </w:style>
  <w:style w:type="paragraph" w:styleId="18">
    <w:name w:val="toc 8"/>
    <w:basedOn w:val="1"/>
    <w:next w:val="1"/>
    <w:qFormat/>
    <w:uiPriority w:val="0"/>
    <w:pPr>
      <w:ind w:left="2940" w:leftChars="1400"/>
    </w:pPr>
    <w:rPr>
      <w:rFonts w:ascii="Times New Roman" w:hAnsi="Times New Roman" w:eastAsia="宋体" w:cs="Times New Roman"/>
      <w:szCs w:val="24"/>
    </w:rPr>
  </w:style>
  <w:style w:type="paragraph" w:styleId="19">
    <w:name w:val="Date"/>
    <w:basedOn w:val="1"/>
    <w:next w:val="1"/>
    <w:link w:val="148"/>
    <w:qFormat/>
    <w:uiPriority w:val="0"/>
    <w:rPr>
      <w:szCs w:val="21"/>
    </w:rPr>
  </w:style>
  <w:style w:type="paragraph" w:styleId="20">
    <w:name w:val="Body Text Indent 2"/>
    <w:basedOn w:val="1"/>
    <w:link w:val="121"/>
    <w:qFormat/>
    <w:uiPriority w:val="99"/>
    <w:pPr>
      <w:spacing w:before="100" w:beforeAutospacing="1" w:after="100" w:afterAutospacing="1" w:line="360" w:lineRule="auto"/>
      <w:ind w:firstLine="420"/>
    </w:pPr>
    <w:rPr>
      <w:rFonts w:ascii="宋体" w:hAnsi="Calibri" w:eastAsia="宋体" w:cs="Times New Roman"/>
      <w:kern w:val="0"/>
      <w:sz w:val="24"/>
      <w:szCs w:val="20"/>
    </w:rPr>
  </w:style>
  <w:style w:type="paragraph" w:styleId="21">
    <w:name w:val="Balloon Text"/>
    <w:basedOn w:val="1"/>
    <w:link w:val="71"/>
    <w:qFormat/>
    <w:uiPriority w:val="99"/>
    <w:rPr>
      <w:rFonts w:ascii="Calibri" w:hAnsi="Calibri" w:eastAsia="宋体" w:cs="Times New Roman"/>
      <w:sz w:val="18"/>
      <w:szCs w:val="18"/>
    </w:rPr>
  </w:style>
  <w:style w:type="paragraph" w:styleId="22">
    <w:name w:val="footer"/>
    <w:basedOn w:val="1"/>
    <w:link w:val="58"/>
    <w:qFormat/>
    <w:uiPriority w:val="99"/>
    <w:pPr>
      <w:tabs>
        <w:tab w:val="center" w:pos="4153"/>
        <w:tab w:val="right" w:pos="8306"/>
      </w:tabs>
      <w:snapToGrid w:val="0"/>
      <w:jc w:val="left"/>
    </w:pPr>
    <w:rPr>
      <w:rFonts w:ascii="Calibri" w:hAnsi="Calibri" w:eastAsia="宋体" w:cs="Times New Roman"/>
      <w:sz w:val="18"/>
      <w:szCs w:val="18"/>
    </w:rPr>
  </w:style>
  <w:style w:type="paragraph" w:styleId="23">
    <w:name w:val="header"/>
    <w:basedOn w:val="1"/>
    <w:link w:val="57"/>
    <w:qFormat/>
    <w:uiPriority w:val="0"/>
    <w:pPr>
      <w:pBdr>
        <w:bottom w:val="single" w:color="auto" w:sz="6" w:space="1"/>
      </w:pBdr>
      <w:tabs>
        <w:tab w:val="center" w:pos="4153"/>
        <w:tab w:val="right" w:pos="8306"/>
      </w:tabs>
      <w:snapToGrid w:val="0"/>
      <w:jc w:val="center"/>
    </w:pPr>
    <w:rPr>
      <w:rFonts w:ascii="Calibri" w:hAnsi="Calibri" w:eastAsia="宋体" w:cs="Times New Roman"/>
      <w:sz w:val="18"/>
      <w:szCs w:val="18"/>
    </w:rPr>
  </w:style>
  <w:style w:type="paragraph" w:styleId="24">
    <w:name w:val="toc 1"/>
    <w:basedOn w:val="1"/>
    <w:next w:val="1"/>
    <w:qFormat/>
    <w:uiPriority w:val="39"/>
    <w:rPr>
      <w:rFonts w:ascii="Times New Roman" w:hAnsi="Times New Roman" w:eastAsia="宋体" w:cs="Times New Roman"/>
      <w:szCs w:val="24"/>
    </w:rPr>
  </w:style>
  <w:style w:type="paragraph" w:styleId="25">
    <w:name w:val="toc 4"/>
    <w:basedOn w:val="1"/>
    <w:next w:val="1"/>
    <w:qFormat/>
    <w:uiPriority w:val="0"/>
    <w:pPr>
      <w:ind w:left="1260" w:leftChars="600"/>
    </w:pPr>
    <w:rPr>
      <w:rFonts w:ascii="Times New Roman" w:hAnsi="Times New Roman" w:eastAsia="宋体" w:cs="Times New Roman"/>
      <w:szCs w:val="24"/>
    </w:rPr>
  </w:style>
  <w:style w:type="paragraph" w:styleId="26">
    <w:name w:val="footnote text"/>
    <w:basedOn w:val="1"/>
    <w:link w:val="165"/>
    <w:semiHidden/>
    <w:qFormat/>
    <w:uiPriority w:val="0"/>
    <w:pPr>
      <w:snapToGrid w:val="0"/>
      <w:jc w:val="left"/>
    </w:pPr>
    <w:rPr>
      <w:rFonts w:ascii="Times New Roman" w:hAnsi="Times New Roman" w:eastAsia="宋体" w:cs="Times New Roman"/>
      <w:sz w:val="18"/>
      <w:szCs w:val="18"/>
    </w:rPr>
  </w:style>
  <w:style w:type="paragraph" w:styleId="27">
    <w:name w:val="toc 6"/>
    <w:basedOn w:val="1"/>
    <w:next w:val="1"/>
    <w:qFormat/>
    <w:uiPriority w:val="0"/>
    <w:pPr>
      <w:ind w:left="2100" w:leftChars="1000"/>
    </w:pPr>
    <w:rPr>
      <w:rFonts w:ascii="Times New Roman" w:hAnsi="Times New Roman" w:eastAsia="宋体" w:cs="Times New Roman"/>
      <w:szCs w:val="24"/>
    </w:rPr>
  </w:style>
  <w:style w:type="paragraph" w:styleId="28">
    <w:name w:val="Body Text Indent 3"/>
    <w:basedOn w:val="1"/>
    <w:link w:val="123"/>
    <w:qFormat/>
    <w:uiPriority w:val="99"/>
    <w:pPr>
      <w:spacing w:line="440" w:lineRule="exact"/>
      <w:ind w:firstLine="412" w:firstLineChars="200"/>
    </w:pPr>
    <w:rPr>
      <w:rFonts w:ascii="宋体" w:hAnsi="Calibri" w:eastAsia="宋体" w:cs="Times New Roman"/>
      <w:kern w:val="0"/>
      <w:sz w:val="20"/>
      <w:szCs w:val="20"/>
    </w:rPr>
  </w:style>
  <w:style w:type="paragraph" w:styleId="29">
    <w:name w:val="table of figures"/>
    <w:basedOn w:val="1"/>
    <w:next w:val="1"/>
    <w:qFormat/>
    <w:uiPriority w:val="0"/>
    <w:pPr>
      <w:ind w:left="200" w:leftChars="200" w:hanging="200" w:hangingChars="200"/>
    </w:pPr>
    <w:rPr>
      <w:rFonts w:ascii="Times New Roman" w:hAnsi="Times New Roman" w:eastAsia="宋体" w:cs="Times New Roman"/>
      <w:szCs w:val="20"/>
    </w:rPr>
  </w:style>
  <w:style w:type="paragraph" w:styleId="30">
    <w:name w:val="toc 2"/>
    <w:basedOn w:val="1"/>
    <w:next w:val="1"/>
    <w:qFormat/>
    <w:uiPriority w:val="39"/>
    <w:pPr>
      <w:ind w:left="420" w:leftChars="200"/>
    </w:pPr>
    <w:rPr>
      <w:rFonts w:ascii="Times New Roman" w:hAnsi="Times New Roman" w:eastAsia="宋体" w:cs="Times New Roman"/>
      <w:szCs w:val="24"/>
    </w:rPr>
  </w:style>
  <w:style w:type="paragraph" w:styleId="31">
    <w:name w:val="toc 9"/>
    <w:basedOn w:val="1"/>
    <w:next w:val="1"/>
    <w:qFormat/>
    <w:uiPriority w:val="0"/>
    <w:pPr>
      <w:ind w:left="3360" w:leftChars="1600"/>
    </w:pPr>
    <w:rPr>
      <w:rFonts w:ascii="Times New Roman" w:hAnsi="Times New Roman" w:eastAsia="宋体" w:cs="Times New Roman"/>
      <w:szCs w:val="24"/>
    </w:rPr>
  </w:style>
  <w:style w:type="paragraph" w:styleId="32">
    <w:name w:val="List Continue 2"/>
    <w:basedOn w:val="1"/>
    <w:qFormat/>
    <w:uiPriority w:val="99"/>
    <w:pPr>
      <w:spacing w:after="120"/>
      <w:ind w:left="840" w:leftChars="400"/>
    </w:pPr>
    <w:rPr>
      <w:rFonts w:ascii="Times New Roman" w:hAnsi="Times New Roman" w:eastAsia="宋体" w:cs="Times New Roman"/>
      <w:szCs w:val="24"/>
    </w:rPr>
  </w:style>
  <w:style w:type="paragraph" w:styleId="33">
    <w:name w:val="Normal (Web)"/>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styleId="34">
    <w:name w:val="index 1"/>
    <w:basedOn w:val="1"/>
    <w:next w:val="1"/>
    <w:qFormat/>
    <w:uiPriority w:val="0"/>
    <w:pPr>
      <w:adjustRightInd w:val="0"/>
      <w:snapToGrid w:val="0"/>
      <w:spacing w:line="300" w:lineRule="exact"/>
    </w:pPr>
    <w:rPr>
      <w:rFonts w:ascii="宋体" w:hAnsi="宋体" w:eastAsia="宋体" w:cs="Times New Roman"/>
      <w:bCs/>
      <w:sz w:val="20"/>
      <w:szCs w:val="21"/>
    </w:rPr>
  </w:style>
  <w:style w:type="paragraph" w:styleId="35">
    <w:name w:val="Title"/>
    <w:basedOn w:val="1"/>
    <w:next w:val="1"/>
    <w:link w:val="151"/>
    <w:qFormat/>
    <w:uiPriority w:val="0"/>
    <w:pPr>
      <w:spacing w:before="240" w:after="60"/>
      <w:jc w:val="center"/>
      <w:outlineLvl w:val="0"/>
    </w:pPr>
    <w:rPr>
      <w:rFonts w:ascii="Cambria" w:hAnsi="Cambria" w:cs="Times New Roman"/>
      <w:b/>
      <w:bCs/>
      <w:sz w:val="32"/>
      <w:szCs w:val="32"/>
    </w:rPr>
  </w:style>
  <w:style w:type="paragraph" w:styleId="36">
    <w:name w:val="annotation subject"/>
    <w:basedOn w:val="13"/>
    <w:next w:val="13"/>
    <w:link w:val="158"/>
    <w:qFormat/>
    <w:uiPriority w:val="0"/>
    <w:rPr>
      <w:b/>
      <w:bCs/>
    </w:rPr>
  </w:style>
  <w:style w:type="table" w:styleId="38">
    <w:name w:val="Table Grid"/>
    <w:basedOn w:val="37"/>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40">
    <w:name w:val="Strong"/>
    <w:basedOn w:val="39"/>
    <w:qFormat/>
    <w:uiPriority w:val="22"/>
    <w:rPr>
      <w:rFonts w:cs="Times New Roman"/>
      <w:b/>
    </w:rPr>
  </w:style>
  <w:style w:type="character" w:styleId="41">
    <w:name w:val="page number"/>
    <w:basedOn w:val="39"/>
    <w:qFormat/>
    <w:uiPriority w:val="0"/>
    <w:rPr>
      <w:rFonts w:cs="Times New Roman"/>
    </w:rPr>
  </w:style>
  <w:style w:type="character" w:styleId="42">
    <w:name w:val="FollowedHyperlink"/>
    <w:basedOn w:val="39"/>
    <w:qFormat/>
    <w:uiPriority w:val="99"/>
    <w:rPr>
      <w:rFonts w:cs="Times New Roman"/>
      <w:color w:val="555555"/>
      <w:u w:val="none"/>
    </w:rPr>
  </w:style>
  <w:style w:type="character" w:styleId="43">
    <w:name w:val="Emphasis"/>
    <w:basedOn w:val="39"/>
    <w:qFormat/>
    <w:uiPriority w:val="0"/>
    <w:rPr>
      <w:rFonts w:cs="Times New Roman"/>
      <w:i/>
    </w:rPr>
  </w:style>
  <w:style w:type="character" w:styleId="44">
    <w:name w:val="HTML Definition"/>
    <w:basedOn w:val="39"/>
    <w:qFormat/>
    <w:uiPriority w:val="99"/>
    <w:rPr>
      <w:rFonts w:cs="Times New Roman"/>
    </w:rPr>
  </w:style>
  <w:style w:type="character" w:styleId="45">
    <w:name w:val="HTML Acronym"/>
    <w:basedOn w:val="39"/>
    <w:qFormat/>
    <w:uiPriority w:val="99"/>
    <w:rPr>
      <w:rFonts w:cs="Times New Roman"/>
    </w:rPr>
  </w:style>
  <w:style w:type="character" w:styleId="46">
    <w:name w:val="HTML Variable"/>
    <w:basedOn w:val="39"/>
    <w:qFormat/>
    <w:uiPriority w:val="99"/>
    <w:rPr>
      <w:rFonts w:cs="Times New Roman"/>
    </w:rPr>
  </w:style>
  <w:style w:type="character" w:styleId="47">
    <w:name w:val="Hyperlink"/>
    <w:basedOn w:val="39"/>
    <w:qFormat/>
    <w:uiPriority w:val="99"/>
    <w:rPr>
      <w:rFonts w:cs="Times New Roman"/>
      <w:color w:val="555555"/>
      <w:u w:val="none"/>
    </w:rPr>
  </w:style>
  <w:style w:type="character" w:styleId="48">
    <w:name w:val="HTML Code"/>
    <w:basedOn w:val="39"/>
    <w:qFormat/>
    <w:uiPriority w:val="99"/>
    <w:rPr>
      <w:rFonts w:ascii="monospace" w:hAnsi="monospace" w:cs="Times New Roman"/>
      <w:sz w:val="24"/>
    </w:rPr>
  </w:style>
  <w:style w:type="character" w:styleId="49">
    <w:name w:val="annotation reference"/>
    <w:qFormat/>
    <w:uiPriority w:val="0"/>
    <w:rPr>
      <w:sz w:val="21"/>
      <w:szCs w:val="21"/>
    </w:rPr>
  </w:style>
  <w:style w:type="character" w:styleId="50">
    <w:name w:val="HTML Cite"/>
    <w:basedOn w:val="39"/>
    <w:qFormat/>
    <w:uiPriority w:val="99"/>
    <w:rPr>
      <w:rFonts w:cs="Times New Roman"/>
    </w:rPr>
  </w:style>
  <w:style w:type="character" w:styleId="51">
    <w:name w:val="footnote reference"/>
    <w:semiHidden/>
    <w:qFormat/>
    <w:uiPriority w:val="0"/>
    <w:rPr>
      <w:vertAlign w:val="superscript"/>
    </w:rPr>
  </w:style>
  <w:style w:type="character" w:styleId="52">
    <w:name w:val="HTML Keyboard"/>
    <w:basedOn w:val="39"/>
    <w:qFormat/>
    <w:uiPriority w:val="99"/>
    <w:rPr>
      <w:rFonts w:ascii="monospace" w:hAnsi="monospace" w:cs="Times New Roman"/>
      <w:sz w:val="24"/>
    </w:rPr>
  </w:style>
  <w:style w:type="character" w:styleId="53">
    <w:name w:val="HTML Sample"/>
    <w:basedOn w:val="39"/>
    <w:qFormat/>
    <w:uiPriority w:val="99"/>
    <w:rPr>
      <w:rFonts w:ascii="monospace" w:hAnsi="monospace" w:cs="Times New Roman"/>
      <w:sz w:val="24"/>
    </w:rPr>
  </w:style>
  <w:style w:type="character" w:customStyle="1" w:styleId="54">
    <w:name w:val="标题 1 字符"/>
    <w:basedOn w:val="39"/>
    <w:link w:val="4"/>
    <w:qFormat/>
    <w:uiPriority w:val="9"/>
    <w:rPr>
      <w:rFonts w:ascii="???" w:hAnsi="???" w:eastAsia="宋体" w:cs="Arial"/>
      <w:b/>
      <w:bCs/>
      <w:color w:val="020000"/>
      <w:kern w:val="36"/>
      <w:sz w:val="44"/>
      <w:szCs w:val="44"/>
    </w:rPr>
  </w:style>
  <w:style w:type="character" w:customStyle="1" w:styleId="55">
    <w:name w:val="标题 3 字符"/>
    <w:basedOn w:val="39"/>
    <w:link w:val="6"/>
    <w:qFormat/>
    <w:uiPriority w:val="0"/>
    <w:rPr>
      <w:rFonts w:ascii="??" w:hAnsi="??" w:eastAsia="宋体" w:cs="Arial"/>
      <w:b/>
      <w:bCs/>
      <w:color w:val="000000"/>
      <w:kern w:val="0"/>
      <w:sz w:val="32"/>
      <w:szCs w:val="32"/>
    </w:rPr>
  </w:style>
  <w:style w:type="character" w:customStyle="1" w:styleId="56">
    <w:name w:val="标题 2 字符"/>
    <w:basedOn w:val="39"/>
    <w:link w:val="5"/>
    <w:qFormat/>
    <w:uiPriority w:val="99"/>
    <w:rPr>
      <w:rFonts w:ascii="???" w:hAnsi="???" w:eastAsia="宋体" w:cs="Arial"/>
      <w:b/>
      <w:bCs/>
      <w:color w:val="020000"/>
      <w:kern w:val="0"/>
      <w:sz w:val="32"/>
      <w:szCs w:val="32"/>
    </w:rPr>
  </w:style>
  <w:style w:type="character" w:customStyle="1" w:styleId="57">
    <w:name w:val="页眉 字符"/>
    <w:basedOn w:val="39"/>
    <w:link w:val="23"/>
    <w:qFormat/>
    <w:uiPriority w:val="99"/>
    <w:rPr>
      <w:rFonts w:ascii="Calibri" w:hAnsi="Calibri" w:eastAsia="宋体" w:cs="Times New Roman"/>
      <w:sz w:val="18"/>
      <w:szCs w:val="18"/>
    </w:rPr>
  </w:style>
  <w:style w:type="character" w:customStyle="1" w:styleId="58">
    <w:name w:val="页脚 字符"/>
    <w:basedOn w:val="39"/>
    <w:link w:val="22"/>
    <w:qFormat/>
    <w:uiPriority w:val="99"/>
    <w:rPr>
      <w:rFonts w:ascii="Calibri" w:hAnsi="Calibri" w:eastAsia="宋体" w:cs="Times New Roman"/>
      <w:sz w:val="18"/>
      <w:szCs w:val="18"/>
    </w:rPr>
  </w:style>
  <w:style w:type="character" w:customStyle="1" w:styleId="59">
    <w:name w:val="正文文本缩进 字符"/>
    <w:basedOn w:val="39"/>
    <w:link w:val="14"/>
    <w:qFormat/>
    <w:uiPriority w:val="0"/>
    <w:rPr>
      <w:rFonts w:ascii="??" w:hAnsi="??" w:eastAsia="宋体" w:cs="Arial"/>
      <w:kern w:val="0"/>
      <w:sz w:val="24"/>
      <w:szCs w:val="24"/>
    </w:rPr>
  </w:style>
  <w:style w:type="paragraph" w:customStyle="1" w:styleId="60">
    <w:name w:val="列出段落1"/>
    <w:basedOn w:val="1"/>
    <w:qFormat/>
    <w:uiPriority w:val="34"/>
    <w:pPr>
      <w:ind w:firstLine="420" w:firstLineChars="200"/>
    </w:pPr>
    <w:rPr>
      <w:rFonts w:ascii="Calibri" w:hAnsi="Calibri" w:eastAsia="宋体" w:cs="Times New Roman"/>
    </w:rPr>
  </w:style>
  <w:style w:type="character" w:customStyle="1" w:styleId="61">
    <w:name w:val="标题 2 Char Char"/>
    <w:qFormat/>
    <w:uiPriority w:val="99"/>
    <w:rPr>
      <w:rFonts w:ascii="Arial" w:hAnsi="Arial" w:eastAsia="黑体"/>
      <w:b/>
      <w:kern w:val="2"/>
      <w:sz w:val="32"/>
      <w:lang w:val="en-US" w:eastAsia="zh-CN"/>
    </w:rPr>
  </w:style>
  <w:style w:type="character" w:customStyle="1" w:styleId="62">
    <w:name w:val="2charchar"/>
    <w:basedOn w:val="39"/>
    <w:qFormat/>
    <w:uiPriority w:val="99"/>
    <w:rPr>
      <w:rFonts w:cs="Times New Roman"/>
    </w:rPr>
  </w:style>
  <w:style w:type="paragraph" w:customStyle="1" w:styleId="63">
    <w:name w:val="表格文字"/>
    <w:basedOn w:val="1"/>
    <w:qFormat/>
    <w:uiPriority w:val="99"/>
    <w:pPr>
      <w:adjustRightInd w:val="0"/>
      <w:spacing w:line="420" w:lineRule="atLeast"/>
      <w:jc w:val="left"/>
    </w:pPr>
    <w:rPr>
      <w:rFonts w:ascii="Times New Roman" w:hAnsi="Times New Roman" w:eastAsia="宋体" w:cs="Times New Roman"/>
      <w:kern w:val="0"/>
      <w:szCs w:val="20"/>
    </w:rPr>
  </w:style>
  <w:style w:type="paragraph" w:customStyle="1" w:styleId="64">
    <w:name w:val="z-窗体顶端1"/>
    <w:basedOn w:val="1"/>
    <w:next w:val="1"/>
    <w:link w:val="65"/>
    <w:semiHidden/>
    <w:qFormat/>
    <w:uiPriority w:val="99"/>
    <w:pPr>
      <w:widowControl/>
      <w:pBdr>
        <w:bottom w:val="single" w:color="auto" w:sz="6" w:space="1"/>
      </w:pBdr>
      <w:jc w:val="center"/>
    </w:pPr>
    <w:rPr>
      <w:rFonts w:ascii="Arial" w:hAnsi="Arial" w:eastAsia="宋体" w:cs="Arial"/>
      <w:vanish/>
      <w:kern w:val="0"/>
      <w:sz w:val="16"/>
      <w:szCs w:val="16"/>
    </w:rPr>
  </w:style>
  <w:style w:type="character" w:customStyle="1" w:styleId="65">
    <w:name w:val="z-窗体顶端 Char"/>
    <w:basedOn w:val="39"/>
    <w:link w:val="64"/>
    <w:semiHidden/>
    <w:qFormat/>
    <w:uiPriority w:val="99"/>
    <w:rPr>
      <w:rFonts w:ascii="Arial" w:hAnsi="Arial" w:eastAsia="宋体" w:cs="Arial"/>
      <w:vanish/>
      <w:kern w:val="0"/>
      <w:sz w:val="16"/>
      <w:szCs w:val="16"/>
    </w:rPr>
  </w:style>
  <w:style w:type="paragraph" w:customStyle="1" w:styleId="66">
    <w:name w:val="z-窗体底端1"/>
    <w:basedOn w:val="1"/>
    <w:next w:val="1"/>
    <w:link w:val="67"/>
    <w:semiHidden/>
    <w:qFormat/>
    <w:uiPriority w:val="99"/>
    <w:pPr>
      <w:widowControl/>
      <w:pBdr>
        <w:top w:val="single" w:color="auto" w:sz="6" w:space="1"/>
      </w:pBdr>
      <w:jc w:val="center"/>
    </w:pPr>
    <w:rPr>
      <w:rFonts w:ascii="Arial" w:hAnsi="Arial" w:eastAsia="宋体" w:cs="Arial"/>
      <w:vanish/>
      <w:kern w:val="0"/>
      <w:sz w:val="16"/>
      <w:szCs w:val="16"/>
    </w:rPr>
  </w:style>
  <w:style w:type="character" w:customStyle="1" w:styleId="67">
    <w:name w:val="z-窗体底端 Char"/>
    <w:basedOn w:val="39"/>
    <w:link w:val="66"/>
    <w:semiHidden/>
    <w:qFormat/>
    <w:uiPriority w:val="99"/>
    <w:rPr>
      <w:rFonts w:ascii="Arial" w:hAnsi="Arial" w:eastAsia="宋体" w:cs="Arial"/>
      <w:vanish/>
      <w:kern w:val="0"/>
      <w:sz w:val="16"/>
      <w:szCs w:val="16"/>
    </w:rPr>
  </w:style>
  <w:style w:type="paragraph" w:customStyle="1" w:styleId="68">
    <w:name w:val="hu正文"/>
    <w:basedOn w:val="1"/>
    <w:link w:val="69"/>
    <w:qFormat/>
    <w:uiPriority w:val="99"/>
    <w:pPr>
      <w:spacing w:before="156" w:after="156" w:line="300" w:lineRule="auto"/>
      <w:ind w:firstLine="480" w:firstLineChars="200"/>
    </w:pPr>
    <w:rPr>
      <w:rFonts w:ascii="Times New Roman" w:hAnsi="Times New Roman" w:eastAsia="宋体" w:cs="Times New Roman"/>
      <w:kern w:val="0"/>
      <w:sz w:val="24"/>
      <w:szCs w:val="20"/>
    </w:rPr>
  </w:style>
  <w:style w:type="character" w:customStyle="1" w:styleId="69">
    <w:name w:val="hu正文 Char"/>
    <w:link w:val="68"/>
    <w:qFormat/>
    <w:locked/>
    <w:uiPriority w:val="99"/>
    <w:rPr>
      <w:rFonts w:ascii="Times New Roman" w:hAnsi="Times New Roman" w:eastAsia="宋体" w:cs="Times New Roman"/>
      <w:kern w:val="0"/>
      <w:sz w:val="24"/>
      <w:szCs w:val="20"/>
    </w:rPr>
  </w:style>
  <w:style w:type="paragraph" w:customStyle="1" w:styleId="70">
    <w:name w:val="无间隔1"/>
    <w:qFormat/>
    <w:uiPriority w:val="99"/>
    <w:pPr>
      <w:widowControl w:val="0"/>
      <w:jc w:val="both"/>
    </w:pPr>
    <w:rPr>
      <w:rFonts w:ascii="Calibri" w:hAnsi="Calibri" w:eastAsia="宋体" w:cs="Times New Roman"/>
      <w:kern w:val="2"/>
      <w:sz w:val="21"/>
      <w:szCs w:val="22"/>
      <w:lang w:val="en-US" w:eastAsia="zh-CN" w:bidi="ar-SA"/>
    </w:rPr>
  </w:style>
  <w:style w:type="character" w:customStyle="1" w:styleId="71">
    <w:name w:val="批注框文本 字符"/>
    <w:basedOn w:val="39"/>
    <w:link w:val="21"/>
    <w:qFormat/>
    <w:uiPriority w:val="99"/>
    <w:rPr>
      <w:rFonts w:ascii="Calibri" w:hAnsi="Calibri" w:eastAsia="宋体" w:cs="Times New Roman"/>
      <w:sz w:val="18"/>
      <w:szCs w:val="18"/>
    </w:rPr>
  </w:style>
  <w:style w:type="character" w:customStyle="1" w:styleId="72">
    <w:name w:val="ui-bz-bg-hover1"/>
    <w:basedOn w:val="39"/>
    <w:qFormat/>
    <w:uiPriority w:val="99"/>
    <w:rPr>
      <w:rFonts w:cs="Times New Roman"/>
    </w:rPr>
  </w:style>
  <w:style w:type="character" w:customStyle="1" w:styleId="73">
    <w:name w:val="批注框文本 Char1"/>
    <w:qFormat/>
    <w:uiPriority w:val="99"/>
    <w:rPr>
      <w:rFonts w:ascii="Times New Roman" w:hAnsi="Times New Roman" w:eastAsia="宋体"/>
      <w:sz w:val="18"/>
    </w:rPr>
  </w:style>
  <w:style w:type="character" w:customStyle="1" w:styleId="74">
    <w:name w:val="bds_nopic"/>
    <w:basedOn w:val="39"/>
    <w:qFormat/>
    <w:uiPriority w:val="99"/>
    <w:rPr>
      <w:rFonts w:cs="Times New Roman"/>
    </w:rPr>
  </w:style>
  <w:style w:type="character" w:customStyle="1" w:styleId="75">
    <w:name w:val="tip12"/>
    <w:qFormat/>
    <w:uiPriority w:val="99"/>
    <w:rPr>
      <w:vanish/>
      <w:color w:val="FF0000"/>
      <w:sz w:val="18"/>
    </w:rPr>
  </w:style>
  <w:style w:type="character" w:customStyle="1" w:styleId="76">
    <w:name w:val="Body Text Indent 3 Char"/>
    <w:qFormat/>
    <w:locked/>
    <w:uiPriority w:val="99"/>
    <w:rPr>
      <w:rFonts w:ascii="宋体" w:eastAsia="宋体"/>
    </w:rPr>
  </w:style>
  <w:style w:type="character" w:customStyle="1" w:styleId="77">
    <w:name w:val="HTML Markup"/>
    <w:qFormat/>
    <w:uiPriority w:val="99"/>
    <w:rPr>
      <w:vanish/>
      <w:color w:val="FF0000"/>
    </w:rPr>
  </w:style>
  <w:style w:type="character" w:customStyle="1" w:styleId="78">
    <w:name w:val="tip7"/>
    <w:qFormat/>
    <w:uiPriority w:val="99"/>
    <w:rPr>
      <w:vanish/>
      <w:color w:val="FF0000"/>
      <w:sz w:val="18"/>
    </w:rPr>
  </w:style>
  <w:style w:type="character" w:customStyle="1" w:styleId="79">
    <w:name w:val="f-star"/>
    <w:qFormat/>
    <w:uiPriority w:val="99"/>
    <w:rPr>
      <w:color w:val="999999"/>
      <w:sz w:val="21"/>
    </w:rPr>
  </w:style>
  <w:style w:type="character" w:customStyle="1" w:styleId="80">
    <w:name w:val="Document Map Char1"/>
    <w:qFormat/>
    <w:uiPriority w:val="99"/>
    <w:rPr>
      <w:rFonts w:ascii="Times New Roman" w:hAnsi="Times New Roman"/>
      <w:kern w:val="2"/>
      <w:sz w:val="2"/>
    </w:rPr>
  </w:style>
  <w:style w:type="character" w:customStyle="1" w:styleId="81">
    <w:name w:val="my-class2"/>
    <w:basedOn w:val="39"/>
    <w:qFormat/>
    <w:uiPriority w:val="99"/>
    <w:rPr>
      <w:rFonts w:cs="Times New Roman"/>
    </w:rPr>
  </w:style>
  <w:style w:type="character" w:customStyle="1" w:styleId="82">
    <w:name w:val="no52"/>
    <w:basedOn w:val="39"/>
    <w:qFormat/>
    <w:uiPriority w:val="99"/>
    <w:rPr>
      <w:rFonts w:cs="Times New Roman"/>
    </w:rPr>
  </w:style>
  <w:style w:type="character" w:customStyle="1" w:styleId="83">
    <w:name w:val="no4"/>
    <w:basedOn w:val="39"/>
    <w:qFormat/>
    <w:uiPriority w:val="99"/>
    <w:rPr>
      <w:rFonts w:cs="Times New Roman"/>
    </w:rPr>
  </w:style>
  <w:style w:type="character" w:customStyle="1" w:styleId="84">
    <w:name w:val="my-notice"/>
    <w:basedOn w:val="39"/>
    <w:qFormat/>
    <w:uiPriority w:val="99"/>
    <w:rPr>
      <w:rFonts w:cs="Times New Roman"/>
    </w:rPr>
  </w:style>
  <w:style w:type="character" w:customStyle="1" w:styleId="85">
    <w:name w:val="ico-jiang"/>
    <w:basedOn w:val="39"/>
    <w:qFormat/>
    <w:uiPriority w:val="99"/>
    <w:rPr>
      <w:rFonts w:cs="Times New Roman"/>
    </w:rPr>
  </w:style>
  <w:style w:type="character" w:customStyle="1" w:styleId="86">
    <w:name w:val="ico-jiang2"/>
    <w:basedOn w:val="39"/>
    <w:qFormat/>
    <w:uiPriority w:val="99"/>
    <w:rPr>
      <w:rFonts w:cs="Times New Roman"/>
    </w:rPr>
  </w:style>
  <w:style w:type="character" w:customStyle="1" w:styleId="87">
    <w:name w:val="bds_more1"/>
    <w:qFormat/>
    <w:uiPriority w:val="99"/>
    <w:rPr>
      <w:rFonts w:ascii="宋体" w:hAnsi="宋体" w:eastAsia="宋体"/>
    </w:rPr>
  </w:style>
  <w:style w:type="character" w:customStyle="1" w:styleId="88">
    <w:name w:val="Body Text Indent 2 Char"/>
    <w:qFormat/>
    <w:locked/>
    <w:uiPriority w:val="99"/>
    <w:rPr>
      <w:rFonts w:ascii="宋体" w:eastAsia="宋体"/>
      <w:sz w:val="24"/>
    </w:rPr>
  </w:style>
  <w:style w:type="character" w:customStyle="1" w:styleId="89">
    <w:name w:val="org_name"/>
    <w:basedOn w:val="39"/>
    <w:qFormat/>
    <w:uiPriority w:val="99"/>
    <w:rPr>
      <w:rFonts w:cs="Times New Roman"/>
    </w:rPr>
  </w:style>
  <w:style w:type="character" w:customStyle="1" w:styleId="90">
    <w:name w:val="org_name2"/>
    <w:basedOn w:val="39"/>
    <w:qFormat/>
    <w:uiPriority w:val="99"/>
    <w:rPr>
      <w:rFonts w:cs="Times New Roman"/>
    </w:rPr>
  </w:style>
  <w:style w:type="character" w:customStyle="1" w:styleId="91">
    <w:name w:val="tip10"/>
    <w:qFormat/>
    <w:uiPriority w:val="99"/>
    <w:rPr>
      <w:vanish/>
      <w:color w:val="FF0000"/>
      <w:sz w:val="18"/>
    </w:rPr>
  </w:style>
  <w:style w:type="character" w:customStyle="1" w:styleId="92">
    <w:name w:val="orange"/>
    <w:qFormat/>
    <w:uiPriority w:val="99"/>
    <w:rPr>
      <w:color w:val="3FB58F"/>
    </w:rPr>
  </w:style>
  <w:style w:type="character" w:customStyle="1" w:styleId="93">
    <w:name w:val="bds_more"/>
    <w:basedOn w:val="39"/>
    <w:qFormat/>
    <w:uiPriority w:val="99"/>
    <w:rPr>
      <w:rFonts w:cs="Times New Roman"/>
    </w:rPr>
  </w:style>
  <w:style w:type="character" w:customStyle="1" w:styleId="94">
    <w:name w:val="t-tag"/>
    <w:qFormat/>
    <w:uiPriority w:val="99"/>
    <w:rPr>
      <w:color w:val="FFFFFF"/>
      <w:sz w:val="18"/>
      <w:shd w:val="clear" w:color="auto" w:fill="FE8833"/>
    </w:rPr>
  </w:style>
  <w:style w:type="character" w:customStyle="1" w:styleId="95">
    <w:name w:val="top-icon"/>
    <w:basedOn w:val="39"/>
    <w:qFormat/>
    <w:uiPriority w:val="99"/>
    <w:rPr>
      <w:rFonts w:cs="Times New Roman"/>
    </w:rPr>
  </w:style>
  <w:style w:type="character" w:customStyle="1" w:styleId="96">
    <w:name w:val="Body Text Char"/>
    <w:qFormat/>
    <w:locked/>
    <w:uiPriority w:val="99"/>
    <w:rPr>
      <w:sz w:val="24"/>
    </w:rPr>
  </w:style>
  <w:style w:type="character" w:customStyle="1" w:styleId="97">
    <w:name w:val="no72"/>
    <w:basedOn w:val="39"/>
    <w:qFormat/>
    <w:uiPriority w:val="99"/>
    <w:rPr>
      <w:rFonts w:cs="Times New Roman"/>
    </w:rPr>
  </w:style>
  <w:style w:type="character" w:customStyle="1" w:styleId="98">
    <w:name w:val="bds_nopic2"/>
    <w:basedOn w:val="39"/>
    <w:qFormat/>
    <w:uiPriority w:val="99"/>
    <w:rPr>
      <w:rFonts w:cs="Times New Roman"/>
    </w:rPr>
  </w:style>
  <w:style w:type="character" w:customStyle="1" w:styleId="99">
    <w:name w:val="Document Map Char"/>
    <w:qFormat/>
    <w:uiPriority w:val="99"/>
    <w:rPr>
      <w:rFonts w:ascii="宋体"/>
      <w:sz w:val="18"/>
    </w:rPr>
  </w:style>
  <w:style w:type="character" w:customStyle="1" w:styleId="100">
    <w:name w:val="no6"/>
    <w:basedOn w:val="39"/>
    <w:qFormat/>
    <w:uiPriority w:val="99"/>
    <w:rPr>
      <w:rFonts w:cs="Times New Roman"/>
    </w:rPr>
  </w:style>
  <w:style w:type="character" w:customStyle="1" w:styleId="101">
    <w:name w:val="tip"/>
    <w:qFormat/>
    <w:uiPriority w:val="99"/>
    <w:rPr>
      <w:vanish/>
      <w:color w:val="FF0000"/>
      <w:sz w:val="18"/>
    </w:rPr>
  </w:style>
  <w:style w:type="character" w:customStyle="1" w:styleId="102">
    <w:name w:val="apple-converted-space"/>
    <w:basedOn w:val="39"/>
    <w:qFormat/>
    <w:uiPriority w:val="99"/>
    <w:rPr>
      <w:rFonts w:cs="Times New Roman"/>
    </w:rPr>
  </w:style>
  <w:style w:type="character" w:customStyle="1" w:styleId="103">
    <w:name w:val="bds_more2"/>
    <w:basedOn w:val="39"/>
    <w:qFormat/>
    <w:uiPriority w:val="99"/>
    <w:rPr>
      <w:rFonts w:cs="Times New Roman"/>
    </w:rPr>
  </w:style>
  <w:style w:type="character" w:customStyle="1" w:styleId="104">
    <w:name w:val="my-class"/>
    <w:basedOn w:val="39"/>
    <w:qFormat/>
    <w:uiPriority w:val="99"/>
    <w:rPr>
      <w:rFonts w:cs="Times New Roman"/>
    </w:rPr>
  </w:style>
  <w:style w:type="character" w:customStyle="1" w:styleId="105">
    <w:name w:val="ui-bz-bg-hover"/>
    <w:qFormat/>
    <w:uiPriority w:val="99"/>
    <w:rPr>
      <w:shd w:val="clear" w:color="auto" w:fill="000000"/>
    </w:rPr>
  </w:style>
  <w:style w:type="character" w:customStyle="1" w:styleId="106">
    <w:name w:val="no7"/>
    <w:basedOn w:val="39"/>
    <w:qFormat/>
    <w:uiPriority w:val="99"/>
    <w:rPr>
      <w:rFonts w:cs="Times New Roman"/>
    </w:rPr>
  </w:style>
  <w:style w:type="character" w:customStyle="1" w:styleId="107">
    <w:name w:val="正文缩进 字符"/>
    <w:link w:val="10"/>
    <w:qFormat/>
    <w:locked/>
    <w:uiPriority w:val="99"/>
    <w:rPr>
      <w:rFonts w:ascii="Times New Roman" w:hAnsi="Times New Roman" w:eastAsia="宋体" w:cs="Times New Roman"/>
      <w:kern w:val="0"/>
      <w:sz w:val="24"/>
      <w:szCs w:val="20"/>
    </w:rPr>
  </w:style>
  <w:style w:type="character" w:customStyle="1" w:styleId="108">
    <w:name w:val="ico-jiang1"/>
    <w:basedOn w:val="39"/>
    <w:qFormat/>
    <w:uiPriority w:val="99"/>
    <w:rPr>
      <w:rFonts w:cs="Times New Roman"/>
    </w:rPr>
  </w:style>
  <w:style w:type="character" w:customStyle="1" w:styleId="109">
    <w:name w:val="no62"/>
    <w:basedOn w:val="39"/>
    <w:qFormat/>
    <w:uiPriority w:val="99"/>
    <w:rPr>
      <w:rFonts w:cs="Times New Roman"/>
    </w:rPr>
  </w:style>
  <w:style w:type="character" w:customStyle="1" w:styleId="110">
    <w:name w:val="orange5"/>
    <w:qFormat/>
    <w:uiPriority w:val="99"/>
    <w:rPr>
      <w:color w:val="3FB58F"/>
    </w:rPr>
  </w:style>
  <w:style w:type="character" w:customStyle="1" w:styleId="111">
    <w:name w:val="bds_more4"/>
    <w:basedOn w:val="39"/>
    <w:qFormat/>
    <w:uiPriority w:val="99"/>
    <w:rPr>
      <w:rFonts w:cs="Times New Roman"/>
    </w:rPr>
  </w:style>
  <w:style w:type="character" w:customStyle="1" w:styleId="112">
    <w:name w:val="no5"/>
    <w:basedOn w:val="39"/>
    <w:qFormat/>
    <w:uiPriority w:val="99"/>
    <w:rPr>
      <w:rFonts w:cs="Times New Roman"/>
    </w:rPr>
  </w:style>
  <w:style w:type="character" w:customStyle="1" w:styleId="113">
    <w:name w:val="bds_more3"/>
    <w:basedOn w:val="39"/>
    <w:qFormat/>
    <w:uiPriority w:val="99"/>
    <w:rPr>
      <w:rFonts w:cs="Times New Roman"/>
    </w:rPr>
  </w:style>
  <w:style w:type="character" w:customStyle="1" w:styleId="114">
    <w:name w:val="no42"/>
    <w:basedOn w:val="39"/>
    <w:qFormat/>
    <w:uiPriority w:val="99"/>
    <w:rPr>
      <w:rFonts w:cs="Times New Roman"/>
    </w:rPr>
  </w:style>
  <w:style w:type="character" w:customStyle="1" w:styleId="115">
    <w:name w:val="bds_nopic1"/>
    <w:basedOn w:val="39"/>
    <w:qFormat/>
    <w:uiPriority w:val="99"/>
    <w:rPr>
      <w:rFonts w:cs="Times New Roman"/>
    </w:rPr>
  </w:style>
  <w:style w:type="character" w:customStyle="1" w:styleId="116">
    <w:name w:val="my-notice1"/>
    <w:basedOn w:val="39"/>
    <w:qFormat/>
    <w:uiPriority w:val="99"/>
    <w:rPr>
      <w:rFonts w:cs="Times New Roman"/>
    </w:rPr>
  </w:style>
  <w:style w:type="character" w:customStyle="1" w:styleId="117">
    <w:name w:val="orange6"/>
    <w:qFormat/>
    <w:uiPriority w:val="99"/>
    <w:rPr>
      <w:color w:val="3FB58F"/>
    </w:rPr>
  </w:style>
  <w:style w:type="character" w:customStyle="1" w:styleId="118">
    <w:name w:val="Document Map Char2"/>
    <w:qFormat/>
    <w:locked/>
    <w:uiPriority w:val="99"/>
    <w:rPr>
      <w:rFonts w:ascii="宋体"/>
      <w:sz w:val="18"/>
    </w:rPr>
  </w:style>
  <w:style w:type="character" w:customStyle="1" w:styleId="119">
    <w:name w:val="ico-jiang3"/>
    <w:basedOn w:val="39"/>
    <w:qFormat/>
    <w:uiPriority w:val="99"/>
    <w:rPr>
      <w:rFonts w:cs="Times New Roman"/>
    </w:rPr>
  </w:style>
  <w:style w:type="character" w:customStyle="1" w:styleId="120">
    <w:name w:val="tip13"/>
    <w:qFormat/>
    <w:uiPriority w:val="99"/>
    <w:rPr>
      <w:vanish/>
      <w:color w:val="FF0000"/>
      <w:sz w:val="18"/>
    </w:rPr>
  </w:style>
  <w:style w:type="character" w:customStyle="1" w:styleId="121">
    <w:name w:val="正文文本缩进 2 字符"/>
    <w:basedOn w:val="39"/>
    <w:link w:val="20"/>
    <w:qFormat/>
    <w:uiPriority w:val="99"/>
    <w:rPr>
      <w:rFonts w:ascii="宋体" w:hAnsi="Calibri" w:eastAsia="宋体" w:cs="Times New Roman"/>
      <w:kern w:val="0"/>
      <w:sz w:val="24"/>
      <w:szCs w:val="20"/>
    </w:rPr>
  </w:style>
  <w:style w:type="character" w:customStyle="1" w:styleId="122">
    <w:name w:val="Body Text Indent 2 Char1"/>
    <w:basedOn w:val="39"/>
    <w:semiHidden/>
    <w:qFormat/>
    <w:locked/>
    <w:uiPriority w:val="99"/>
    <w:rPr>
      <w:rFonts w:cs="Times New Roman"/>
    </w:rPr>
  </w:style>
  <w:style w:type="character" w:customStyle="1" w:styleId="123">
    <w:name w:val="正文文本缩进 3 字符"/>
    <w:basedOn w:val="39"/>
    <w:link w:val="28"/>
    <w:qFormat/>
    <w:uiPriority w:val="99"/>
    <w:rPr>
      <w:rFonts w:ascii="宋体" w:hAnsi="Calibri" w:eastAsia="宋体" w:cs="Times New Roman"/>
      <w:kern w:val="0"/>
      <w:sz w:val="20"/>
      <w:szCs w:val="20"/>
    </w:rPr>
  </w:style>
  <w:style w:type="character" w:customStyle="1" w:styleId="124">
    <w:name w:val="Body Text Indent 3 Char1"/>
    <w:basedOn w:val="39"/>
    <w:semiHidden/>
    <w:qFormat/>
    <w:locked/>
    <w:uiPriority w:val="99"/>
    <w:rPr>
      <w:rFonts w:cs="Times New Roman"/>
      <w:sz w:val="16"/>
      <w:szCs w:val="16"/>
    </w:rPr>
  </w:style>
  <w:style w:type="character" w:customStyle="1" w:styleId="125">
    <w:name w:val="文档结构图 字符"/>
    <w:basedOn w:val="39"/>
    <w:link w:val="11"/>
    <w:qFormat/>
    <w:uiPriority w:val="99"/>
    <w:rPr>
      <w:rFonts w:ascii="宋体" w:hAnsi="Calibri" w:eastAsia="宋体" w:cs="Times New Roman"/>
      <w:kern w:val="0"/>
      <w:sz w:val="18"/>
      <w:szCs w:val="20"/>
    </w:rPr>
  </w:style>
  <w:style w:type="character" w:customStyle="1" w:styleId="126">
    <w:name w:val="Document Map Char3"/>
    <w:basedOn w:val="39"/>
    <w:semiHidden/>
    <w:qFormat/>
    <w:locked/>
    <w:uiPriority w:val="99"/>
    <w:rPr>
      <w:rFonts w:ascii="Times New Roman" w:hAnsi="Times New Roman" w:cs="Times New Roman"/>
      <w:sz w:val="2"/>
    </w:rPr>
  </w:style>
  <w:style w:type="paragraph" w:customStyle="1" w:styleId="127">
    <w:name w:val="_Style 1"/>
    <w:basedOn w:val="1"/>
    <w:qFormat/>
    <w:uiPriority w:val="99"/>
    <w:pPr>
      <w:ind w:firstLine="420" w:firstLineChars="200"/>
    </w:pPr>
    <w:rPr>
      <w:rFonts w:ascii="Times New Roman" w:hAnsi="Times New Roman" w:eastAsia="宋体" w:cs="Times New Roman"/>
      <w:szCs w:val="24"/>
    </w:rPr>
  </w:style>
  <w:style w:type="character" w:customStyle="1" w:styleId="128">
    <w:name w:val="正文文本 字符"/>
    <w:basedOn w:val="39"/>
    <w:link w:val="3"/>
    <w:qFormat/>
    <w:uiPriority w:val="99"/>
    <w:rPr>
      <w:rFonts w:ascii="Calibri" w:hAnsi="Calibri" w:eastAsia="宋体" w:cs="Times New Roman"/>
      <w:kern w:val="0"/>
      <w:sz w:val="24"/>
      <w:szCs w:val="20"/>
    </w:rPr>
  </w:style>
  <w:style w:type="character" w:customStyle="1" w:styleId="129">
    <w:name w:val="Body Text Char1"/>
    <w:basedOn w:val="39"/>
    <w:semiHidden/>
    <w:qFormat/>
    <w:locked/>
    <w:uiPriority w:val="99"/>
    <w:rPr>
      <w:rFonts w:cs="Times New Roman"/>
    </w:rPr>
  </w:style>
  <w:style w:type="paragraph" w:customStyle="1" w:styleId="130">
    <w:name w:val="_Style 21"/>
    <w:basedOn w:val="1"/>
    <w:qFormat/>
    <w:uiPriority w:val="99"/>
    <w:rPr>
      <w:rFonts w:ascii="Times New Roman" w:hAnsi="Times New Roman" w:eastAsia="宋体" w:cs="Times New Roman"/>
      <w:szCs w:val="20"/>
    </w:rPr>
  </w:style>
  <w:style w:type="paragraph" w:customStyle="1" w:styleId="131">
    <w:name w:val="p0"/>
    <w:basedOn w:val="1"/>
    <w:qFormat/>
    <w:uiPriority w:val="99"/>
    <w:pPr>
      <w:widowControl/>
    </w:pPr>
    <w:rPr>
      <w:rFonts w:ascii="Times New Roman" w:hAnsi="Times New Roman" w:eastAsia="宋体" w:cs="Times New Roman"/>
      <w:kern w:val="0"/>
      <w:szCs w:val="21"/>
    </w:rPr>
  </w:style>
  <w:style w:type="paragraph" w:customStyle="1" w:styleId="132">
    <w:name w:val="xl37"/>
    <w:basedOn w:val="1"/>
    <w:qFormat/>
    <w:uiPriority w:val="0"/>
    <w:pPr>
      <w:widowControl/>
      <w:pBdr>
        <w:left w:val="single" w:color="auto" w:sz="8" w:space="0"/>
        <w:right w:val="single" w:color="auto" w:sz="4" w:space="0"/>
      </w:pBdr>
      <w:spacing w:before="100" w:beforeAutospacing="1" w:after="100" w:afterAutospacing="1"/>
      <w:jc w:val="center"/>
      <w:textAlignment w:val="center"/>
    </w:pPr>
    <w:rPr>
      <w:rFonts w:ascii="宋体" w:hAnsi="宋体" w:eastAsia="宋体" w:cs="Times New Roman"/>
      <w:kern w:val="0"/>
      <w:sz w:val="18"/>
      <w:szCs w:val="18"/>
    </w:rPr>
  </w:style>
  <w:style w:type="paragraph" w:customStyle="1" w:styleId="133">
    <w:name w:val="xl25"/>
    <w:basedOn w:val="1"/>
    <w:qFormat/>
    <w:uiPriority w:val="99"/>
    <w:pPr>
      <w:widowControl/>
      <w:spacing w:before="100" w:beforeAutospacing="1" w:after="100" w:afterAutospacing="1"/>
      <w:textAlignment w:val="center"/>
    </w:pPr>
    <w:rPr>
      <w:rFonts w:ascii="宋体" w:hAnsi="宋体" w:eastAsia="宋体" w:cs="Times New Roman"/>
      <w:kern w:val="0"/>
      <w:sz w:val="18"/>
      <w:szCs w:val="18"/>
    </w:rPr>
  </w:style>
  <w:style w:type="paragraph" w:customStyle="1" w:styleId="134">
    <w:name w:val="样式 样式 样式 样式 内容 + 首行缩进:  2 字符18 + 首行缩进:  5.71 厘米 + 首行缩进:  8.04 厘米..."/>
    <w:basedOn w:val="1"/>
    <w:qFormat/>
    <w:uiPriority w:val="99"/>
    <w:pPr>
      <w:widowControl/>
      <w:spacing w:line="360" w:lineRule="auto"/>
      <w:ind w:firstLine="425" w:firstLineChars="177"/>
      <w:jc w:val="left"/>
    </w:pPr>
    <w:rPr>
      <w:rFonts w:ascii="Trebuchet MS" w:hAnsi="Trebuchet MS" w:eastAsia="宋体" w:cs="Times New Roman"/>
      <w:color w:val="404040"/>
      <w:kern w:val="0"/>
      <w:sz w:val="24"/>
      <w:szCs w:val="20"/>
      <w:lang w:eastAsia="en-US"/>
    </w:rPr>
  </w:style>
  <w:style w:type="paragraph" w:customStyle="1" w:styleId="135">
    <w:name w:val="无间隔11"/>
    <w:qFormat/>
    <w:uiPriority w:val="99"/>
    <w:pPr>
      <w:widowControl w:val="0"/>
      <w:spacing w:line="360" w:lineRule="auto"/>
      <w:jc w:val="center"/>
    </w:pPr>
    <w:rPr>
      <w:rFonts w:ascii="Times New Roman" w:hAnsi="Times New Roman" w:eastAsia="宋体" w:cs="Times New Roman"/>
      <w:b/>
      <w:color w:val="000000"/>
      <w:kern w:val="2"/>
      <w:sz w:val="21"/>
      <w:szCs w:val="21"/>
      <w:lang w:val="zh-CN" w:eastAsia="zh-CN" w:bidi="ar-SA"/>
    </w:rPr>
  </w:style>
  <w:style w:type="paragraph" w:customStyle="1" w:styleId="136">
    <w:name w:val="列出段落11"/>
    <w:basedOn w:val="1"/>
    <w:qFormat/>
    <w:uiPriority w:val="99"/>
    <w:pPr>
      <w:ind w:firstLine="420" w:firstLineChars="200"/>
    </w:pPr>
    <w:rPr>
      <w:rFonts w:ascii="Times New Roman" w:hAnsi="Times New Roman" w:eastAsia="宋体" w:cs="Times New Roman"/>
      <w:szCs w:val="24"/>
    </w:rPr>
  </w:style>
  <w:style w:type="paragraph" w:customStyle="1" w:styleId="137">
    <w:name w:val="_Style 2"/>
    <w:basedOn w:val="1"/>
    <w:qFormat/>
    <w:uiPriority w:val="99"/>
    <w:pPr>
      <w:ind w:firstLine="420" w:firstLineChars="200"/>
    </w:pPr>
    <w:rPr>
      <w:rFonts w:ascii="Calibri" w:hAnsi="Calibri" w:eastAsia="宋体" w:cs="Times New Roman"/>
    </w:rPr>
  </w:style>
  <w:style w:type="paragraph" w:customStyle="1" w:styleId="138">
    <w:name w:val="txt14"/>
    <w:basedOn w:val="1"/>
    <w:qFormat/>
    <w:uiPriority w:val="99"/>
    <w:pPr>
      <w:widowControl/>
      <w:spacing w:before="100" w:beforeAutospacing="1" w:after="100" w:afterAutospacing="1"/>
      <w:jc w:val="left"/>
    </w:pPr>
    <w:rPr>
      <w:rFonts w:ascii="宋体" w:hAnsi="宋体" w:eastAsia="宋体" w:cs="Times New Roman"/>
      <w:color w:val="000000"/>
      <w:kern w:val="0"/>
      <w:szCs w:val="21"/>
    </w:rPr>
  </w:style>
  <w:style w:type="paragraph" w:customStyle="1" w:styleId="139">
    <w:name w:val="_Style 11"/>
    <w:basedOn w:val="1"/>
    <w:qFormat/>
    <w:uiPriority w:val="99"/>
    <w:rPr>
      <w:rFonts w:ascii="Times New Roman" w:hAnsi="Times New Roman" w:eastAsia="宋体" w:cs="Times New Roman"/>
      <w:szCs w:val="24"/>
    </w:rPr>
  </w:style>
  <w:style w:type="paragraph" w:customStyle="1" w:styleId="140">
    <w:name w:val="Char"/>
    <w:basedOn w:val="1"/>
    <w:qFormat/>
    <w:uiPriority w:val="99"/>
    <w:rPr>
      <w:rFonts w:ascii="Times New Roman" w:hAnsi="Times New Roman" w:eastAsia="宋体" w:cs="Times New Roman"/>
      <w:szCs w:val="21"/>
    </w:rPr>
  </w:style>
  <w:style w:type="paragraph" w:customStyle="1" w:styleId="141">
    <w:name w:val="列出段落12"/>
    <w:basedOn w:val="1"/>
    <w:qFormat/>
    <w:uiPriority w:val="99"/>
    <w:pPr>
      <w:ind w:firstLine="420" w:firstLineChars="200"/>
    </w:pPr>
    <w:rPr>
      <w:rFonts w:ascii="Times New Roman" w:hAnsi="Times New Roman" w:eastAsia="宋体" w:cs="Times New Roman"/>
      <w:szCs w:val="24"/>
    </w:rPr>
  </w:style>
  <w:style w:type="paragraph" w:customStyle="1" w:styleId="142">
    <w:name w:val="列出段落2"/>
    <w:basedOn w:val="1"/>
    <w:qFormat/>
    <w:uiPriority w:val="99"/>
    <w:pPr>
      <w:ind w:firstLine="420" w:firstLineChars="200"/>
    </w:pPr>
    <w:rPr>
      <w:rFonts w:ascii="Times New Roman" w:hAnsi="Times New Roman" w:eastAsia="宋体" w:cs="Times New Roman"/>
      <w:szCs w:val="24"/>
    </w:rPr>
  </w:style>
  <w:style w:type="paragraph" w:customStyle="1" w:styleId="143">
    <w:name w:val="TOC 标题1"/>
    <w:basedOn w:val="4"/>
    <w:next w:val="1"/>
    <w:qFormat/>
    <w:uiPriority w:val="39"/>
    <w:pPr>
      <w:keepLines/>
      <w:spacing w:before="480" w:after="0" w:line="276" w:lineRule="auto"/>
      <w:jc w:val="left"/>
      <w:outlineLvl w:val="9"/>
    </w:pPr>
    <w:rPr>
      <w:rFonts w:ascii="Cambria" w:hAnsi="Cambria" w:cs="Times New Roman"/>
      <w:color w:val="365F91"/>
      <w:kern w:val="0"/>
      <w:sz w:val="28"/>
      <w:szCs w:val="28"/>
    </w:rPr>
  </w:style>
  <w:style w:type="paragraph" w:customStyle="1" w:styleId="144">
    <w:name w:val="正文文本缩进 31"/>
    <w:basedOn w:val="1"/>
    <w:qFormat/>
    <w:uiPriority w:val="99"/>
    <w:pPr>
      <w:spacing w:line="440" w:lineRule="exact"/>
      <w:ind w:firstLine="412" w:firstLineChars="200"/>
    </w:pPr>
    <w:rPr>
      <w:rFonts w:ascii="宋体" w:hAnsi="宋体" w:eastAsia="宋体" w:cs="Times New Roman"/>
      <w:kern w:val="0"/>
      <w:sz w:val="20"/>
      <w:szCs w:val="20"/>
    </w:rPr>
  </w:style>
  <w:style w:type="character" w:customStyle="1" w:styleId="145">
    <w:name w:val="font41"/>
    <w:qFormat/>
    <w:uiPriority w:val="99"/>
    <w:rPr>
      <w:rFonts w:hint="eastAsia" w:ascii="宋体" w:hAnsi="宋体" w:eastAsia="宋体" w:cs="宋体"/>
      <w:b/>
      <w:color w:val="000000"/>
      <w:sz w:val="22"/>
      <w:szCs w:val="22"/>
      <w:u w:val="none"/>
    </w:rPr>
  </w:style>
  <w:style w:type="character" w:customStyle="1" w:styleId="146">
    <w:name w:val="font81"/>
    <w:qFormat/>
    <w:uiPriority w:val="99"/>
    <w:rPr>
      <w:rFonts w:hint="eastAsia" w:ascii="宋体" w:hAnsi="宋体" w:eastAsia="宋体" w:cs="宋体"/>
      <w:b/>
      <w:color w:val="000000"/>
      <w:sz w:val="22"/>
      <w:szCs w:val="22"/>
      <w:u w:val="none"/>
    </w:rPr>
  </w:style>
  <w:style w:type="character" w:customStyle="1" w:styleId="147">
    <w:name w:val="font21"/>
    <w:qFormat/>
    <w:uiPriority w:val="0"/>
    <w:rPr>
      <w:rFonts w:hint="eastAsia" w:ascii="宋体" w:hAnsi="宋体" w:eastAsia="宋体" w:cs="宋体"/>
      <w:color w:val="000000"/>
      <w:sz w:val="18"/>
      <w:szCs w:val="18"/>
      <w:u w:val="none"/>
    </w:rPr>
  </w:style>
  <w:style w:type="character" w:customStyle="1" w:styleId="148">
    <w:name w:val="日期 字符"/>
    <w:link w:val="19"/>
    <w:qFormat/>
    <w:uiPriority w:val="0"/>
    <w:rPr>
      <w:szCs w:val="21"/>
    </w:rPr>
  </w:style>
  <w:style w:type="character" w:customStyle="1" w:styleId="149">
    <w:name w:val="font01"/>
    <w:qFormat/>
    <w:uiPriority w:val="99"/>
    <w:rPr>
      <w:rFonts w:hint="eastAsia" w:ascii="宋体" w:hAnsi="宋体" w:eastAsia="宋体" w:cs="宋体"/>
      <w:color w:val="000000"/>
      <w:sz w:val="22"/>
      <w:szCs w:val="22"/>
      <w:u w:val="none"/>
    </w:rPr>
  </w:style>
  <w:style w:type="character" w:customStyle="1" w:styleId="150">
    <w:name w:val="Char Char1"/>
    <w:qFormat/>
    <w:uiPriority w:val="0"/>
    <w:rPr>
      <w:rFonts w:eastAsia="宋体"/>
      <w:kern w:val="2"/>
      <w:sz w:val="18"/>
      <w:szCs w:val="18"/>
      <w:lang w:val="en-US" w:eastAsia="zh-CN" w:bidi="ar-SA"/>
    </w:rPr>
  </w:style>
  <w:style w:type="character" w:customStyle="1" w:styleId="151">
    <w:name w:val="标题 字符"/>
    <w:link w:val="35"/>
    <w:qFormat/>
    <w:uiPriority w:val="0"/>
    <w:rPr>
      <w:rFonts w:ascii="Cambria" w:hAnsi="Cambria" w:cs="Times New Roman"/>
      <w:b/>
      <w:bCs/>
      <w:sz w:val="32"/>
      <w:szCs w:val="32"/>
    </w:rPr>
  </w:style>
  <w:style w:type="character" w:customStyle="1" w:styleId="152">
    <w:name w:val="hei141"/>
    <w:qFormat/>
    <w:uiPriority w:val="0"/>
    <w:rPr>
      <w:rFonts w:hint="eastAsia" w:ascii="宋体" w:hAnsi="宋体" w:eastAsia="宋体"/>
      <w:color w:val="000000"/>
      <w:sz w:val="19"/>
      <w:szCs w:val="19"/>
      <w:u w:val="none"/>
    </w:rPr>
  </w:style>
  <w:style w:type="character" w:customStyle="1" w:styleId="153">
    <w:name w:val="批注文字 字符"/>
    <w:link w:val="13"/>
    <w:qFormat/>
    <w:uiPriority w:val="0"/>
  </w:style>
  <w:style w:type="character" w:customStyle="1" w:styleId="154">
    <w:name w:val="apple-style-span"/>
    <w:basedOn w:val="39"/>
    <w:qFormat/>
    <w:uiPriority w:val="0"/>
  </w:style>
  <w:style w:type="character" w:customStyle="1" w:styleId="155">
    <w:name w:val="param-value"/>
    <w:qFormat/>
    <w:uiPriority w:val="99"/>
    <w:rPr>
      <w:rFonts w:cs="Times New Roman"/>
    </w:rPr>
  </w:style>
  <w:style w:type="character" w:customStyle="1" w:styleId="156">
    <w:name w:val="font61"/>
    <w:qFormat/>
    <w:uiPriority w:val="0"/>
    <w:rPr>
      <w:rFonts w:hint="eastAsia" w:ascii="宋体" w:hAnsi="宋体" w:eastAsia="宋体" w:cs="宋体"/>
      <w:color w:val="000000"/>
      <w:sz w:val="22"/>
      <w:szCs w:val="22"/>
      <w:u w:val="none"/>
    </w:rPr>
  </w:style>
  <w:style w:type="character" w:customStyle="1" w:styleId="157">
    <w:name w:val="font11"/>
    <w:qFormat/>
    <w:uiPriority w:val="0"/>
    <w:rPr>
      <w:rFonts w:hint="eastAsia" w:ascii="宋体" w:hAnsi="宋体" w:eastAsia="宋体" w:cs="宋体"/>
      <w:color w:val="FF0000"/>
      <w:sz w:val="22"/>
      <w:szCs w:val="22"/>
      <w:u w:val="none"/>
    </w:rPr>
  </w:style>
  <w:style w:type="character" w:customStyle="1" w:styleId="158">
    <w:name w:val="批注主题 字符"/>
    <w:link w:val="36"/>
    <w:qFormat/>
    <w:uiPriority w:val="0"/>
    <w:rPr>
      <w:b/>
      <w:bCs/>
    </w:rPr>
  </w:style>
  <w:style w:type="character" w:customStyle="1" w:styleId="159">
    <w:name w:val="批注文字 Char1"/>
    <w:basedOn w:val="39"/>
    <w:semiHidden/>
    <w:qFormat/>
    <w:uiPriority w:val="99"/>
  </w:style>
  <w:style w:type="paragraph" w:customStyle="1" w:styleId="160">
    <w:name w:val="内文"/>
    <w:basedOn w:val="1"/>
    <w:qFormat/>
    <w:uiPriority w:val="0"/>
    <w:pPr>
      <w:spacing w:line="500" w:lineRule="exact"/>
      <w:ind w:firstLine="560" w:firstLineChars="200"/>
    </w:pPr>
    <w:rPr>
      <w:rFonts w:ascii="方正仿宋简体" w:hAnsi="宋体" w:eastAsia="方正仿宋简体" w:cs="Times New Roman"/>
      <w:sz w:val="28"/>
      <w:szCs w:val="28"/>
    </w:rPr>
  </w:style>
  <w:style w:type="character" w:customStyle="1" w:styleId="161">
    <w:name w:val="批注主题 Char1"/>
    <w:basedOn w:val="159"/>
    <w:semiHidden/>
    <w:qFormat/>
    <w:uiPriority w:val="99"/>
    <w:rPr>
      <w:b/>
      <w:bCs/>
    </w:rPr>
  </w:style>
  <w:style w:type="paragraph" w:customStyle="1" w:styleId="162">
    <w:name w:val="reader-word-layer reader-word-s1-17"/>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63">
    <w:name w:val="日期 Char1"/>
    <w:basedOn w:val="39"/>
    <w:semiHidden/>
    <w:qFormat/>
    <w:uiPriority w:val="99"/>
  </w:style>
  <w:style w:type="paragraph" w:customStyle="1" w:styleId="164">
    <w:name w:val="reader-word-layer reader-word-s1-14"/>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65">
    <w:name w:val="脚注文本 字符"/>
    <w:basedOn w:val="39"/>
    <w:link w:val="26"/>
    <w:semiHidden/>
    <w:qFormat/>
    <w:uiPriority w:val="0"/>
    <w:rPr>
      <w:rFonts w:ascii="Times New Roman" w:hAnsi="Times New Roman" w:eastAsia="宋体" w:cs="Times New Roman"/>
      <w:sz w:val="18"/>
      <w:szCs w:val="18"/>
    </w:rPr>
  </w:style>
  <w:style w:type="paragraph" w:customStyle="1" w:styleId="166">
    <w:name w:val="reader-word-layer reader-word-s1-1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67">
    <w:name w:val="reader-word-layer reader-word-s1-15"/>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68">
    <w:name w:val="标题 Char1"/>
    <w:basedOn w:val="39"/>
    <w:qFormat/>
    <w:uiPriority w:val="10"/>
    <w:rPr>
      <w:rFonts w:eastAsia="宋体" w:asciiTheme="majorHAnsi" w:hAnsiTheme="majorHAnsi" w:cstheme="majorBidi"/>
      <w:b/>
      <w:bCs/>
      <w:sz w:val="32"/>
      <w:szCs w:val="32"/>
    </w:rPr>
  </w:style>
  <w:style w:type="paragraph" w:customStyle="1" w:styleId="169">
    <w:name w:val="本文正文"/>
    <w:basedOn w:val="1"/>
    <w:qFormat/>
    <w:uiPriority w:val="0"/>
    <w:pPr>
      <w:widowControl/>
      <w:spacing w:line="480" w:lineRule="exact"/>
      <w:ind w:firstLine="200" w:firstLineChars="200"/>
      <w:jc w:val="left"/>
    </w:pPr>
    <w:rPr>
      <w:rFonts w:ascii="宋体" w:hAnsi="宋体" w:eastAsia="宋体" w:cs="Times New Roman"/>
      <w:kern w:val="0"/>
      <w:sz w:val="24"/>
      <w:szCs w:val="24"/>
    </w:rPr>
  </w:style>
  <w:style w:type="paragraph" w:customStyle="1" w:styleId="170">
    <w:name w:val="reader-word-layer reader-word-s1-1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1">
    <w:name w:val="Char Char Char1 Char Char Char Char"/>
    <w:basedOn w:val="1"/>
    <w:qFormat/>
    <w:uiPriority w:val="99"/>
    <w:pPr>
      <w:spacing w:line="300" w:lineRule="auto"/>
    </w:pPr>
    <w:rPr>
      <w:rFonts w:ascii="Tahoma" w:hAnsi="Tahoma" w:eastAsia="宋体" w:cs="Times New Roman"/>
      <w:sz w:val="24"/>
      <w:szCs w:val="24"/>
    </w:rPr>
  </w:style>
  <w:style w:type="paragraph" w:customStyle="1" w:styleId="172">
    <w:name w:val="Default"/>
    <w:qFormat/>
    <w:uiPriority w:val="0"/>
    <w:pPr>
      <w:widowControl w:val="0"/>
      <w:autoSpaceDE w:val="0"/>
      <w:autoSpaceDN w:val="0"/>
      <w:adjustRightInd w:val="0"/>
      <w:jc w:val="both"/>
    </w:pPr>
    <w:rPr>
      <w:rFonts w:ascii="黑体" w:hAnsi="黑体" w:eastAsia="宋体" w:cs="黑体"/>
      <w:color w:val="000000"/>
      <w:sz w:val="24"/>
      <w:szCs w:val="24"/>
      <w:lang w:val="en-US" w:eastAsia="zh-CN" w:bidi="ar-SA"/>
    </w:rPr>
  </w:style>
  <w:style w:type="paragraph" w:customStyle="1" w:styleId="173">
    <w:name w:val="List Paragraph1"/>
    <w:basedOn w:val="1"/>
    <w:qFormat/>
    <w:uiPriority w:val="0"/>
    <w:pPr>
      <w:ind w:firstLine="420" w:firstLineChars="200"/>
    </w:pPr>
    <w:rPr>
      <w:rFonts w:ascii="Times New Roman" w:hAnsi="Times New Roman" w:eastAsia="宋体" w:cs="Times New Roman"/>
      <w:szCs w:val="24"/>
    </w:rPr>
  </w:style>
  <w:style w:type="paragraph" w:customStyle="1" w:styleId="174">
    <w:name w:val="reader-word-layer reader-word-s1-1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5">
    <w:name w:val="reader-word-layer reader-word-s1-19"/>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6">
    <w:name w:val="reader-word-layer reader-word-s1-1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7">
    <w:name w:val="Char Char4"/>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78">
    <w:name w:val="reader-word-layer"/>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9">
    <w:name w:val="Char Char4 Char Char"/>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0">
    <w:name w:val="列出段落3"/>
    <w:basedOn w:val="1"/>
    <w:qFormat/>
    <w:uiPriority w:val="0"/>
    <w:pPr>
      <w:ind w:firstLine="420" w:firstLineChars="200"/>
    </w:pPr>
    <w:rPr>
      <w:rFonts w:ascii="Times New Roman" w:hAnsi="Times New Roman" w:eastAsia="宋体" w:cs="Times New Roman"/>
      <w:szCs w:val="24"/>
    </w:rPr>
  </w:style>
  <w:style w:type="character" w:customStyle="1" w:styleId="181">
    <w:name w:val="Char Char12"/>
    <w:qFormat/>
    <w:uiPriority w:val="0"/>
    <w:rPr>
      <w:rFonts w:eastAsia="宋体"/>
      <w:kern w:val="2"/>
      <w:sz w:val="18"/>
      <w:szCs w:val="18"/>
      <w:lang w:val="en-US" w:eastAsia="zh-CN" w:bidi="ar-SA"/>
    </w:rPr>
  </w:style>
  <w:style w:type="paragraph" w:customStyle="1" w:styleId="182">
    <w:name w:val="Char Char42"/>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3">
    <w:name w:val="Char Char4 Char Char2"/>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4">
    <w:name w:val="列出段落4"/>
    <w:basedOn w:val="1"/>
    <w:qFormat/>
    <w:uiPriority w:val="0"/>
    <w:pPr>
      <w:ind w:firstLine="420" w:firstLineChars="200"/>
    </w:pPr>
    <w:rPr>
      <w:rFonts w:ascii="Times New Roman" w:hAnsi="Times New Roman" w:eastAsia="宋体" w:cs="Times New Roman"/>
      <w:szCs w:val="24"/>
    </w:rPr>
  </w:style>
  <w:style w:type="character" w:customStyle="1" w:styleId="185">
    <w:name w:val="Char Char11"/>
    <w:qFormat/>
    <w:uiPriority w:val="0"/>
    <w:rPr>
      <w:rFonts w:eastAsia="宋体"/>
      <w:kern w:val="2"/>
      <w:sz w:val="18"/>
      <w:szCs w:val="18"/>
      <w:lang w:val="en-US" w:eastAsia="zh-CN" w:bidi="ar-SA"/>
    </w:rPr>
  </w:style>
  <w:style w:type="paragraph" w:customStyle="1" w:styleId="186">
    <w:name w:val="Char Char41"/>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7">
    <w:name w:val="Char Char4 Char Char1"/>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8">
    <w:name w:val="列出段落5"/>
    <w:basedOn w:val="1"/>
    <w:qFormat/>
    <w:uiPriority w:val="0"/>
    <w:pPr>
      <w:ind w:firstLine="420" w:firstLineChars="200"/>
    </w:pPr>
    <w:rPr>
      <w:rFonts w:ascii="Times New Roman" w:hAnsi="Times New Roman" w:eastAsia="宋体" w:cs="Times New Roman"/>
      <w:szCs w:val="24"/>
    </w:rPr>
  </w:style>
  <w:style w:type="character" w:customStyle="1" w:styleId="189">
    <w:name w:val="纯文本 字符"/>
    <w:link w:val="17"/>
    <w:qFormat/>
    <w:uiPriority w:val="0"/>
    <w:rPr>
      <w:rFonts w:ascii="宋体" w:hAnsi="Courier New" w:eastAsia="宋体"/>
      <w:szCs w:val="21"/>
    </w:rPr>
  </w:style>
  <w:style w:type="character" w:customStyle="1" w:styleId="190">
    <w:name w:val="纯文本 Char1"/>
    <w:basedOn w:val="39"/>
    <w:semiHidden/>
    <w:qFormat/>
    <w:uiPriority w:val="99"/>
    <w:rPr>
      <w:rFonts w:ascii="宋体" w:hAnsi="Courier New" w:eastAsia="宋体" w:cs="Courier New"/>
      <w:szCs w:val="21"/>
    </w:rPr>
  </w:style>
  <w:style w:type="paragraph" w:customStyle="1" w:styleId="191">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192">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93">
    <w:name w:val="样式4"/>
    <w:basedOn w:val="1"/>
    <w:qFormat/>
    <w:uiPriority w:val="0"/>
    <w:pPr>
      <w:adjustRightInd w:val="0"/>
      <w:spacing w:line="480" w:lineRule="auto"/>
      <w:textAlignment w:val="baseline"/>
    </w:pPr>
    <w:rPr>
      <w:rFonts w:ascii="Times New Roman" w:hAnsi="Times New Roman" w:eastAsia="黑体" w:cs="Times New Roman"/>
      <w:spacing w:val="10"/>
      <w:kern w:val="28"/>
      <w:sz w:val="48"/>
      <w:szCs w:val="20"/>
    </w:rPr>
  </w:style>
  <w:style w:type="paragraph" w:customStyle="1" w:styleId="194">
    <w:name w:val="正文缩进2格"/>
    <w:basedOn w:val="1"/>
    <w:link w:val="195"/>
    <w:qFormat/>
    <w:uiPriority w:val="0"/>
    <w:pPr>
      <w:spacing w:line="600" w:lineRule="exact"/>
      <w:ind w:firstLine="639" w:firstLineChars="206"/>
    </w:pPr>
    <w:rPr>
      <w:rFonts w:ascii="仿宋_GB2312" w:hAnsi="宋体" w:eastAsia="仿宋_GB2312" w:cs="Times New Roman"/>
      <w:sz w:val="31"/>
      <w:szCs w:val="28"/>
    </w:rPr>
  </w:style>
  <w:style w:type="character" w:customStyle="1" w:styleId="195">
    <w:name w:val="正文缩进2格 Char"/>
    <w:link w:val="194"/>
    <w:qFormat/>
    <w:uiPriority w:val="0"/>
    <w:rPr>
      <w:rFonts w:ascii="仿宋_GB2312" w:hAnsi="宋体" w:eastAsia="仿宋_GB2312" w:cs="Times New Roman"/>
      <w:sz w:val="31"/>
      <w:szCs w:val="28"/>
    </w:rPr>
  </w:style>
  <w:style w:type="paragraph" w:customStyle="1" w:styleId="196">
    <w:name w:val="文件抬头"/>
    <w:qFormat/>
    <w:uiPriority w:val="0"/>
    <w:pPr>
      <w:widowControl w:val="0"/>
      <w:jc w:val="both"/>
    </w:pPr>
    <w:rPr>
      <w:rFonts w:ascii="Calibri" w:hAnsi="Calibri" w:eastAsia="仿宋_GB2312" w:cs="Times New Roman"/>
      <w:kern w:val="2"/>
      <w:sz w:val="32"/>
      <w:szCs w:val="21"/>
      <w:lang w:val="en-US" w:eastAsia="zh-CN" w:bidi="ar-SA"/>
    </w:rPr>
  </w:style>
  <w:style w:type="paragraph" w:customStyle="1" w:styleId="197">
    <w:name w:val="列表段落1"/>
    <w:basedOn w:val="1"/>
    <w:qFormat/>
    <w:uiPriority w:val="34"/>
    <w:pPr>
      <w:ind w:firstLine="420" w:firstLineChars="200"/>
    </w:pPr>
  </w:style>
  <w:style w:type="paragraph" w:customStyle="1" w:styleId="198">
    <w:name w:val="普通正文"/>
    <w:basedOn w:val="1"/>
    <w:qFormat/>
    <w:uiPriority w:val="0"/>
    <w:pPr>
      <w:adjustRightInd w:val="0"/>
      <w:spacing w:before="120" w:after="120" w:line="360" w:lineRule="auto"/>
      <w:ind w:left="50" w:leftChars="50" w:right="50" w:rightChars="50" w:firstLine="480" w:firstLineChars="200"/>
      <w:jc w:val="left"/>
      <w:textAlignment w:val="baseline"/>
    </w:pPr>
    <w:rPr>
      <w:rFonts w:ascii="Arial" w:hAnsi="Arial" w:eastAsia="宋体" w:cs="Times New Roman"/>
      <w:kern w:val="0"/>
      <w:sz w:val="24"/>
      <w:szCs w:val="24"/>
    </w:rPr>
  </w:style>
  <w:style w:type="character" w:customStyle="1" w:styleId="199">
    <w:name w:val="正文文本首行缩进 字符"/>
    <w:basedOn w:val="128"/>
    <w:link w:val="2"/>
    <w:semiHidden/>
    <w:qFormat/>
    <w:uiPriority w:val="99"/>
    <w:rPr>
      <w:rFonts w:asciiTheme="minorHAnsi" w:hAnsiTheme="minorHAnsi" w:eastAsiaTheme="minorEastAsia" w:cstheme="minorBidi"/>
      <w:kern w:val="2"/>
      <w:sz w:val="21"/>
      <w:szCs w:val="22"/>
    </w:rPr>
  </w:style>
  <w:style w:type="paragraph" w:customStyle="1" w:styleId="200">
    <w:name w:val="Table Paragraph"/>
    <w:basedOn w:val="1"/>
    <w:qFormat/>
    <w:uiPriority w:val="1"/>
    <w:pPr>
      <w:autoSpaceDE w:val="0"/>
      <w:autoSpaceDN w:val="0"/>
      <w:jc w:val="left"/>
    </w:pPr>
    <w:rPr>
      <w:rFonts w:ascii="宋体" w:hAnsi="宋体" w:eastAsia="宋体" w:cs="宋体"/>
      <w:kern w:val="0"/>
      <w:sz w:val="22"/>
    </w:rPr>
  </w:style>
  <w:style w:type="paragraph" w:customStyle="1" w:styleId="201">
    <w:name w:val="标书正文"/>
    <w:basedOn w:val="1"/>
    <w:qFormat/>
    <w:uiPriority w:val="0"/>
    <w:pPr>
      <w:spacing w:line="560" w:lineRule="exact"/>
      <w:ind w:firstLine="723" w:firstLineChars="200"/>
      <w:jc w:val="center"/>
    </w:pPr>
    <w:rPr>
      <w:rFonts w:ascii="仿宋_GB2312" w:hAnsi="Times New Roman" w:eastAsia="仿宋_GB2312" w:cs="Times New Roman"/>
      <w:b/>
      <w:sz w:val="36"/>
      <w:szCs w:val="20"/>
    </w:rPr>
  </w:style>
  <w:style w:type="paragraph" w:customStyle="1" w:styleId="202">
    <w:name w:val="表格"/>
    <w:qFormat/>
    <w:uiPriority w:val="0"/>
    <w:pPr>
      <w:adjustRightInd w:val="0"/>
      <w:snapToGrid w:val="0"/>
      <w:spacing w:before="20" w:after="20"/>
      <w:jc w:val="center"/>
      <w:textAlignment w:val="baseline"/>
    </w:pPr>
    <w:rPr>
      <w:rFonts w:ascii="Arial" w:hAnsi="Arial" w:eastAsia="宋体" w:cs="Times New Roman"/>
      <w:snapToGrid w:val="0"/>
      <w:sz w:val="21"/>
      <w:lang w:val="en-US" w:eastAsia="zh-CN" w:bidi="ar-SA"/>
    </w:rPr>
  </w:style>
  <w:style w:type="character" w:customStyle="1" w:styleId="203">
    <w:name w:val="font31"/>
    <w:qFormat/>
    <w:uiPriority w:val="0"/>
    <w:rPr>
      <w:rFonts w:hint="default" w:ascii="Times New Roman" w:hAnsi="Times New Roman" w:cs="Times New Roman"/>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CEDB3E-86FE-4466-A1E3-527B06F21D65}">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56</Pages>
  <Words>5984</Words>
  <Characters>34113</Characters>
  <Lines>284</Lines>
  <Paragraphs>80</Paragraphs>
  <TotalTime>1</TotalTime>
  <ScaleCrop>false</ScaleCrop>
  <LinksUpToDate>false</LinksUpToDate>
  <CharactersWithSpaces>40017</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2022-03-22T02:27:00Z</dcterms:created>
  <dc:creator>Administrator</dc:creator>
  <cp:lastModifiedBy>.</cp:lastModifiedBy>
  <cp:lastPrinted>2022-04-09T04:00:00Z</cp:lastPrinted>
  <dcterms:modified xsi:type="dcterms:W3CDTF">2023-09-04T09:00:38Z</dcterms:modified>
  <cp:revision>59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7FC72B864DEF4D3FB3723CEEC9A84172_13</vt:lpwstr>
  </property>
</Properties>
</file>