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8955">
      <w:pPr>
        <w:spacing w:before="169" w:line="713" w:lineRule="exact"/>
        <w:ind w:left="1964"/>
        <w:rPr>
          <w:rFonts w:ascii="宋体" w:hAnsi="宋体" w:eastAsia="宋体" w:cs="宋体"/>
          <w:sz w:val="52"/>
          <w:szCs w:val="52"/>
        </w:rPr>
      </w:pPr>
    </w:p>
    <w:p w14:paraId="5AD9679B">
      <w:pPr>
        <w:spacing w:before="169" w:line="713" w:lineRule="exact"/>
        <w:ind w:left="1964"/>
        <w:rPr>
          <w:rFonts w:ascii="宋体" w:hAnsi="宋体" w:eastAsia="宋体" w:cs="宋体"/>
          <w:sz w:val="52"/>
          <w:szCs w:val="52"/>
        </w:rPr>
      </w:pPr>
    </w:p>
    <w:p w14:paraId="23ACD7A5">
      <w:pPr>
        <w:spacing w:before="169" w:line="713" w:lineRule="exact"/>
        <w:ind w:left="1964"/>
        <w:rPr>
          <w:rFonts w:ascii="宋体" w:hAnsi="宋体" w:eastAsia="宋体" w:cs="宋体"/>
          <w:sz w:val="52"/>
          <w:szCs w:val="52"/>
        </w:rPr>
      </w:pPr>
    </w:p>
    <w:p w14:paraId="7BC99B05">
      <w:pPr>
        <w:spacing w:before="2" w:line="218" w:lineRule="auto"/>
        <w:jc w:val="center"/>
        <w:outlineLvl w:val="0"/>
        <w:rPr>
          <w:rFonts w:ascii="黑体" w:hAnsi="黑体" w:eastAsia="黑体" w:cs="黑体"/>
          <w:b/>
          <w:bCs/>
          <w:sz w:val="84"/>
          <w:szCs w:val="84"/>
        </w:rPr>
      </w:pPr>
      <w:bookmarkStart w:id="0" w:name="_Toc6031"/>
      <w:r>
        <w:rPr>
          <w:rFonts w:hint="eastAsia" w:ascii="黑体" w:hAnsi="黑体" w:eastAsia="黑体" w:cs="黑体"/>
          <w:b/>
          <w:bCs/>
          <w:spacing w:val="1"/>
          <w:sz w:val="84"/>
          <w:szCs w:val="84"/>
        </w:rPr>
        <w:t>封闭式框</w:t>
      </w:r>
      <w:r>
        <w:rPr>
          <w:rFonts w:hint="eastAsia" w:ascii="黑体" w:hAnsi="黑体" w:eastAsia="黑体" w:cs="黑体"/>
          <w:b/>
          <w:bCs/>
          <w:sz w:val="84"/>
          <w:szCs w:val="84"/>
        </w:rPr>
        <w:t>架协议采购</w:t>
      </w:r>
      <w:bookmarkEnd w:id="0"/>
    </w:p>
    <w:p w14:paraId="2C13EC73">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14:paraId="29707119">
      <w:pPr>
        <w:spacing w:line="253" w:lineRule="auto"/>
      </w:pPr>
    </w:p>
    <w:p w14:paraId="2D6E9F85">
      <w:pPr>
        <w:spacing w:line="253" w:lineRule="auto"/>
      </w:pPr>
    </w:p>
    <w:p w14:paraId="029EF798">
      <w:pPr>
        <w:pStyle w:val="4"/>
      </w:pPr>
    </w:p>
    <w:p w14:paraId="7E7A4F40">
      <w:pPr>
        <w:spacing w:before="101" w:line="254" w:lineRule="auto"/>
        <w:ind w:left="1928" w:right="52" w:hanging="1928" w:hangingChars="600"/>
        <w:rPr>
          <w:rFonts w:hint="default" w:ascii="黑体" w:hAnsi="黑体" w:eastAsia="黑体" w:cs="黑体"/>
          <w:b/>
          <w:bCs/>
          <w:sz w:val="32"/>
          <w:lang w:val="en-US" w:eastAsia="zh-CN"/>
        </w:rPr>
      </w:pPr>
      <w:r>
        <w:rPr>
          <w:rFonts w:hint="eastAsia" w:ascii="黑体" w:hAnsi="黑体" w:eastAsia="黑体" w:cs="黑体"/>
          <w:b/>
          <w:bCs/>
          <w:sz w:val="32"/>
        </w:rPr>
        <w:t>项目编号：</w:t>
      </w:r>
      <w:r>
        <w:rPr>
          <w:rFonts w:hint="eastAsia" w:ascii="黑体" w:hAnsi="黑体" w:eastAsia="黑体" w:cs="黑体"/>
          <w:b/>
          <w:bCs/>
          <w:sz w:val="32"/>
          <w:lang w:val="en-US" w:eastAsia="zh-CN"/>
        </w:rPr>
        <w:t>ADCG-XY20</w:t>
      </w:r>
      <w:r>
        <w:rPr>
          <w:rFonts w:hint="eastAsia" w:ascii="黑体" w:hAnsi="黑体" w:eastAsia="黑体" w:cs="黑体"/>
          <w:b/>
          <w:bCs/>
          <w:sz w:val="32"/>
          <w:highlight w:val="none"/>
          <w:lang w:val="en-US" w:eastAsia="zh-CN"/>
        </w:rPr>
        <w:t>25-002号-2</w:t>
      </w:r>
    </w:p>
    <w:p w14:paraId="6EA463BD">
      <w:pPr>
        <w:spacing w:line="253" w:lineRule="auto"/>
        <w:rPr>
          <w:rFonts w:ascii="黑体" w:hAnsi="黑体" w:eastAsia="黑体" w:cs="黑体"/>
        </w:rPr>
      </w:pPr>
    </w:p>
    <w:p w14:paraId="3057298D">
      <w:pPr>
        <w:spacing w:line="253" w:lineRule="auto"/>
        <w:rPr>
          <w:rFonts w:ascii="黑体" w:hAnsi="黑体" w:eastAsia="黑体" w:cs="黑体"/>
        </w:rPr>
      </w:pPr>
    </w:p>
    <w:p w14:paraId="7EA0C61B">
      <w:pPr>
        <w:spacing w:before="101" w:line="254" w:lineRule="auto"/>
        <w:ind w:left="1928" w:right="52" w:hanging="1928" w:hangingChars="600"/>
        <w:rPr>
          <w:rFonts w:hint="eastAsia" w:ascii="黑体" w:hAnsi="黑体" w:eastAsia="黑体" w:cs="黑体"/>
          <w:b/>
          <w:bCs/>
          <w:sz w:val="32"/>
          <w:u w:val="single"/>
        </w:rPr>
      </w:pPr>
      <w:r>
        <w:rPr>
          <w:rFonts w:hint="eastAsia" w:ascii="黑体" w:hAnsi="黑体" w:eastAsia="黑体" w:cs="黑体"/>
          <w:b/>
          <w:bCs/>
          <w:sz w:val="32"/>
        </w:rPr>
        <w:t>项目名称：</w:t>
      </w:r>
      <w:r>
        <w:rPr>
          <w:rFonts w:hint="eastAsia" w:ascii="黑体" w:hAnsi="黑体" w:eastAsia="黑体" w:cs="黑体"/>
          <w:b/>
          <w:bCs/>
          <w:sz w:val="32"/>
          <w:szCs w:val="32"/>
          <w:u w:val="single"/>
          <w:lang w:val="en-US" w:eastAsia="zh-CN"/>
        </w:rPr>
        <w:t>阿勒泰地区本</w:t>
      </w:r>
      <w:r>
        <w:rPr>
          <w:rFonts w:hint="eastAsia" w:ascii="黑体" w:hAnsi="黑体" w:eastAsia="黑体" w:cs="黑体"/>
          <w:b/>
          <w:bCs/>
          <w:sz w:val="32"/>
          <w:szCs w:val="32"/>
          <w:highlight w:val="none"/>
          <w:u w:val="single"/>
          <w:lang w:val="en-US" w:eastAsia="zh-CN"/>
        </w:rPr>
        <w:t>级2025-2027年度</w:t>
      </w:r>
      <w:r>
        <w:rPr>
          <w:rFonts w:hint="eastAsia" w:ascii="黑体" w:hAnsi="黑体" w:eastAsia="黑体" w:cs="黑体"/>
          <w:b/>
          <w:bCs/>
          <w:sz w:val="32"/>
          <w:szCs w:val="32"/>
          <w:u w:val="single"/>
          <w:lang w:val="en-US" w:eastAsia="zh-CN"/>
        </w:rPr>
        <w:t xml:space="preserve">政府投资项目竣工财务决算审核服务框架协议采购 </w:t>
      </w:r>
      <w:r>
        <w:rPr>
          <w:rFonts w:hint="eastAsia" w:ascii="黑体" w:hAnsi="黑体" w:eastAsia="黑体" w:cs="黑体"/>
          <w:b/>
          <w:bCs/>
          <w:sz w:val="32"/>
          <w:szCs w:val="32"/>
          <w:u w:val="single"/>
        </w:rPr>
        <w:t xml:space="preserve">   </w:t>
      </w:r>
    </w:p>
    <w:p w14:paraId="6524B247">
      <w:pPr>
        <w:pStyle w:val="34"/>
        <w:ind w:firstLine="0"/>
        <w:jc w:val="center"/>
        <w:rPr>
          <w:b/>
          <w:bCs/>
          <w:sz w:val="32"/>
        </w:rPr>
      </w:pPr>
    </w:p>
    <w:p w14:paraId="1284152A">
      <w:pPr>
        <w:pStyle w:val="34"/>
        <w:ind w:firstLine="0"/>
        <w:jc w:val="center"/>
        <w:rPr>
          <w:b/>
          <w:bCs/>
          <w:sz w:val="32"/>
        </w:rPr>
      </w:pPr>
    </w:p>
    <w:p w14:paraId="78B962F9">
      <w:pPr>
        <w:pStyle w:val="34"/>
        <w:ind w:firstLine="0"/>
        <w:jc w:val="center"/>
        <w:outlineLvl w:val="0"/>
        <w:rPr>
          <w:b/>
          <w:bCs/>
          <w:sz w:val="32"/>
        </w:rPr>
      </w:pPr>
      <w:bookmarkStart w:id="1" w:name="_Toc13978"/>
      <w:r>
        <w:rPr>
          <w:rFonts w:hint="eastAsia" w:eastAsia="宋体"/>
          <w:b/>
          <w:bCs/>
          <w:sz w:val="32"/>
          <w:lang w:eastAsia="zh-CN"/>
        </w:rPr>
        <w:t>阿勒泰地区</w:t>
      </w:r>
      <w:r>
        <w:rPr>
          <w:rFonts w:hint="eastAsia"/>
          <w:b/>
          <w:bCs/>
          <w:sz w:val="32"/>
        </w:rPr>
        <w:t>公共资源交易中心</w:t>
      </w:r>
      <w:bookmarkEnd w:id="1"/>
    </w:p>
    <w:p w14:paraId="24520478">
      <w:pPr>
        <w:pStyle w:val="34"/>
        <w:ind w:firstLine="0"/>
        <w:jc w:val="center"/>
        <w:rPr>
          <w:highlight w:val="none"/>
        </w:rPr>
      </w:pPr>
      <w:r>
        <w:rPr>
          <w:rFonts w:hint="eastAsia"/>
          <w:b/>
          <w:bCs/>
          <w:sz w:val="32"/>
          <w:highlight w:val="none"/>
        </w:rPr>
        <w:t>202</w:t>
      </w:r>
      <w:r>
        <w:rPr>
          <w:rFonts w:hint="eastAsia" w:eastAsia="宋体"/>
          <w:b/>
          <w:bCs/>
          <w:sz w:val="32"/>
          <w:highlight w:val="none"/>
          <w:lang w:val="en-US" w:eastAsia="zh-CN"/>
        </w:rPr>
        <w:t>5</w:t>
      </w:r>
      <w:r>
        <w:rPr>
          <w:rFonts w:hint="eastAsia"/>
          <w:b/>
          <w:bCs/>
          <w:sz w:val="32"/>
          <w:highlight w:val="none"/>
        </w:rPr>
        <w:t>年</w:t>
      </w:r>
      <w:r>
        <w:rPr>
          <w:rFonts w:hint="eastAsia" w:eastAsia="宋体"/>
          <w:b/>
          <w:bCs/>
          <w:sz w:val="32"/>
          <w:highlight w:val="none"/>
          <w:lang w:val="en-US" w:eastAsia="zh-CN"/>
        </w:rPr>
        <w:t>6</w:t>
      </w:r>
      <w:r>
        <w:rPr>
          <w:rFonts w:hint="eastAsia"/>
          <w:b/>
          <w:bCs/>
          <w:sz w:val="32"/>
          <w:highlight w:val="none"/>
        </w:rPr>
        <w:t xml:space="preserve">月 </w:t>
      </w:r>
      <w:r>
        <w:rPr>
          <w:rFonts w:hint="eastAsia" w:eastAsia="宋体"/>
          <w:b/>
          <w:bCs/>
          <w:sz w:val="32"/>
          <w:highlight w:val="none"/>
          <w:lang w:val="en-US" w:eastAsia="zh-CN"/>
        </w:rPr>
        <w:t>30</w:t>
      </w:r>
      <w:r>
        <w:rPr>
          <w:rFonts w:hint="eastAsia"/>
          <w:b/>
          <w:bCs/>
          <w:sz w:val="32"/>
          <w:highlight w:val="none"/>
        </w:rPr>
        <w:t xml:space="preserve"> </w:t>
      </w:r>
      <w:r>
        <w:rPr>
          <w:b/>
          <w:bCs/>
          <w:sz w:val="32"/>
          <w:highlight w:val="none"/>
        </w:rPr>
        <w:t>日</w:t>
      </w:r>
    </w:p>
    <w:p w14:paraId="3820BE17">
      <w:pPr>
        <w:spacing w:line="254" w:lineRule="auto"/>
      </w:pPr>
    </w:p>
    <w:p w14:paraId="143A5C4B">
      <w:pPr>
        <w:spacing w:line="254" w:lineRule="auto"/>
      </w:pPr>
    </w:p>
    <w:p w14:paraId="3F7E6CBC">
      <w:pPr>
        <w:spacing w:line="254" w:lineRule="auto"/>
      </w:pPr>
    </w:p>
    <w:p w14:paraId="7A2A24E2">
      <w:pPr>
        <w:spacing w:line="254" w:lineRule="auto"/>
      </w:pPr>
    </w:p>
    <w:p w14:paraId="6F47EEF5">
      <w:pPr>
        <w:spacing w:line="254" w:lineRule="auto"/>
      </w:pPr>
    </w:p>
    <w:p w14:paraId="7377F04C">
      <w:pPr>
        <w:sectPr>
          <w:headerReference r:id="rId3" w:type="default"/>
          <w:pgSz w:w="11906" w:h="16839"/>
          <w:pgMar w:top="1136" w:right="1785" w:bottom="0" w:left="1785" w:header="898" w:footer="5620" w:gutter="0"/>
          <w:cols w:space="720" w:num="1"/>
        </w:sectPr>
      </w:pPr>
      <w:r>
        <w:br w:type="page"/>
      </w:r>
    </w:p>
    <w:p w14:paraId="37D11EBC">
      <w:pPr>
        <w:spacing w:line="289" w:lineRule="auto"/>
      </w:pPr>
    </w:p>
    <w:sdt>
      <w:sdtPr>
        <w:rPr>
          <w:rFonts w:hint="eastAsia" w:ascii="黑体" w:hAnsi="黑体" w:eastAsia="黑体" w:cs="黑体"/>
          <w:sz w:val="32"/>
          <w:szCs w:val="32"/>
        </w:rPr>
        <w:id w:val="147454459"/>
        <w15:color w:val="DBDBDB"/>
        <w:docPartObj>
          <w:docPartGallery w:val="Table of Contents"/>
          <w:docPartUnique/>
        </w:docPartObj>
      </w:sdtPr>
      <w:sdtEndPr>
        <w:rPr>
          <w:rFonts w:hint="eastAsia" w:ascii="Arial" w:hAnsi="Arial" w:eastAsia="Arial" w:cs="Arial"/>
          <w:b/>
          <w:sz w:val="21"/>
          <w:szCs w:val="21"/>
        </w:rPr>
      </w:sdtEndPr>
      <w:sdtContent>
        <w:p w14:paraId="31B71FE9">
          <w:pPr>
            <w:jc w:val="center"/>
          </w:pPr>
          <w:r>
            <w:rPr>
              <w:rFonts w:hint="eastAsia" w:ascii="黑体" w:hAnsi="黑体" w:eastAsia="黑体" w:cs="黑体"/>
              <w:sz w:val="32"/>
              <w:szCs w:val="32"/>
            </w:rPr>
            <w:t>目  录</w:t>
          </w:r>
        </w:p>
        <w:p w14:paraId="25A86C19">
          <w:pPr>
            <w:pStyle w:val="16"/>
            <w:tabs>
              <w:tab w:val="right" w:leader="dot" w:pos="9880"/>
            </w:tabs>
            <w:rPr>
              <w:sz w:val="24"/>
              <w:szCs w:val="24"/>
            </w:rPr>
          </w:pPr>
          <w:r>
            <w:fldChar w:fldCharType="begin"/>
          </w:r>
          <w:r>
            <w:instrText xml:space="preserve">TOC \o "1-2" \h \u </w:instrText>
          </w:r>
          <w:r>
            <w:fldChar w:fldCharType="separate"/>
          </w:r>
        </w:p>
        <w:p w14:paraId="6C5D85D1">
          <w:pPr>
            <w:pStyle w:val="16"/>
            <w:tabs>
              <w:tab w:val="right" w:leader="dot" w:pos="9880"/>
            </w:tabs>
            <w:rPr>
              <w:rFonts w:ascii="黑体" w:hAnsi="黑体" w:eastAsia="黑体" w:cs="黑体"/>
              <w:b/>
              <w:bCs/>
              <w:sz w:val="22"/>
              <w:szCs w:val="22"/>
            </w:rPr>
          </w:pPr>
          <w:r>
            <w:fldChar w:fldCharType="begin"/>
          </w:r>
          <w:r>
            <w:instrText xml:space="preserve"> HYPERLINK \l "_Toc27009" </w:instrText>
          </w:r>
          <w:r>
            <w:fldChar w:fldCharType="separate"/>
          </w:r>
          <w:r>
            <w:rPr>
              <w:rFonts w:hint="eastAsia" w:ascii="黑体" w:hAnsi="黑体" w:eastAsia="黑体" w:cs="黑体"/>
              <w:b/>
              <w:bCs/>
              <w:sz w:val="24"/>
              <w:szCs w:val="24"/>
            </w:rPr>
            <w:t>第一章 征集邀请</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_Toc27009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14:paraId="73C95051">
          <w:pPr>
            <w:pStyle w:val="20"/>
            <w:tabs>
              <w:tab w:val="right" w:leader="dot" w:pos="9880"/>
            </w:tabs>
            <w:rPr>
              <w:rFonts w:ascii="黑体" w:hAnsi="黑体" w:eastAsia="黑体" w:cs="黑体"/>
              <w:sz w:val="22"/>
              <w:szCs w:val="22"/>
            </w:rPr>
          </w:pPr>
          <w:r>
            <w:fldChar w:fldCharType="begin"/>
          </w:r>
          <w:r>
            <w:instrText xml:space="preserve"> HYPERLINK \l "_Toc29282" </w:instrText>
          </w:r>
          <w:r>
            <w:fldChar w:fldCharType="separate"/>
          </w:r>
          <w:r>
            <w:rPr>
              <w:rFonts w:hint="eastAsia" w:ascii="黑体" w:hAnsi="黑体" w:eastAsia="黑体" w:cs="黑体"/>
              <w:sz w:val="22"/>
              <w:szCs w:val="22"/>
            </w:rPr>
            <w:t>一、项目基本情况：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_Toc29282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C347176">
          <w:pPr>
            <w:pStyle w:val="20"/>
            <w:tabs>
              <w:tab w:val="right" w:leader="dot" w:pos="9880"/>
            </w:tabs>
            <w:rPr>
              <w:rFonts w:ascii="黑体" w:hAnsi="黑体" w:eastAsia="黑体" w:cs="黑体"/>
              <w:sz w:val="22"/>
              <w:szCs w:val="22"/>
            </w:rPr>
          </w:pPr>
          <w:r>
            <w:fldChar w:fldCharType="begin"/>
          </w:r>
          <w:r>
            <w:instrText xml:space="preserve"> HYPERLINK \l "_Toc15854" </w:instrText>
          </w:r>
          <w:r>
            <w:fldChar w:fldCharType="separate"/>
          </w:r>
          <w:r>
            <w:rPr>
              <w:rFonts w:hint="eastAsia" w:ascii="黑体" w:hAnsi="黑体" w:eastAsia="黑体" w:cs="黑体"/>
              <w:sz w:val="22"/>
              <w:szCs w:val="22"/>
            </w:rPr>
            <w:t>二、供应商资格要求：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_Toc15854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92CA597">
          <w:pPr>
            <w:pStyle w:val="20"/>
            <w:tabs>
              <w:tab w:val="right" w:leader="dot" w:pos="9880"/>
            </w:tabs>
            <w:rPr>
              <w:rFonts w:ascii="黑体" w:hAnsi="黑体" w:eastAsia="黑体" w:cs="黑体"/>
              <w:sz w:val="22"/>
              <w:szCs w:val="22"/>
            </w:rPr>
          </w:pPr>
          <w:r>
            <w:fldChar w:fldCharType="begin"/>
          </w:r>
          <w:r>
            <w:instrText xml:space="preserve"> HYPERLINK \l "_Toc2032" </w:instrText>
          </w:r>
          <w:r>
            <w:fldChar w:fldCharType="separate"/>
          </w:r>
          <w:r>
            <w:rPr>
              <w:rFonts w:hint="eastAsia" w:ascii="黑体" w:hAnsi="黑体" w:eastAsia="黑体" w:cs="黑体"/>
              <w:sz w:val="22"/>
              <w:szCs w:val="22"/>
            </w:rPr>
            <w:t>三、征集文件的获取：</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_Toc2032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1D4D658F">
          <w:pPr>
            <w:pStyle w:val="20"/>
            <w:tabs>
              <w:tab w:val="right" w:leader="dot" w:pos="9880"/>
            </w:tabs>
            <w:rPr>
              <w:rFonts w:ascii="黑体" w:hAnsi="黑体" w:eastAsia="黑体" w:cs="黑体"/>
              <w:sz w:val="22"/>
              <w:szCs w:val="22"/>
            </w:rPr>
          </w:pPr>
          <w:r>
            <w:fldChar w:fldCharType="begin"/>
          </w:r>
          <w:r>
            <w:instrText xml:space="preserve"> HYPERLINK \l "_Toc18024" </w:instrText>
          </w:r>
          <w:r>
            <w:fldChar w:fldCharType="separate"/>
          </w:r>
          <w:r>
            <w:rPr>
              <w:rFonts w:hint="eastAsia" w:ascii="黑体" w:hAnsi="黑体" w:eastAsia="黑体" w:cs="黑体"/>
              <w:sz w:val="22"/>
              <w:szCs w:val="22"/>
            </w:rPr>
            <w:t>四、开启时间及地点：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_Toc18024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5C53502">
          <w:pPr>
            <w:pStyle w:val="20"/>
            <w:tabs>
              <w:tab w:val="right" w:leader="dot" w:pos="9880"/>
            </w:tabs>
            <w:rPr>
              <w:rFonts w:ascii="黑体" w:hAnsi="黑体" w:eastAsia="黑体" w:cs="黑体"/>
              <w:sz w:val="22"/>
              <w:szCs w:val="22"/>
            </w:rPr>
          </w:pPr>
          <w:r>
            <w:fldChar w:fldCharType="begin"/>
          </w:r>
          <w:r>
            <w:instrText xml:space="preserve"> HYPERLINK \l "_Toc3638" </w:instrText>
          </w:r>
          <w:r>
            <w:fldChar w:fldCharType="separate"/>
          </w:r>
          <w:r>
            <w:rPr>
              <w:rFonts w:hint="eastAsia" w:ascii="黑体" w:hAnsi="黑体" w:eastAsia="黑体" w:cs="黑体"/>
              <w:sz w:val="22"/>
              <w:szCs w:val="22"/>
            </w:rPr>
            <w:t>五、响应文件提交截止时间：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_Toc3638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3743B27">
          <w:pPr>
            <w:pStyle w:val="20"/>
            <w:tabs>
              <w:tab w:val="right" w:leader="dot" w:pos="9880"/>
            </w:tabs>
            <w:rPr>
              <w:rFonts w:ascii="黑体" w:hAnsi="黑体" w:eastAsia="黑体" w:cs="黑体"/>
              <w:sz w:val="22"/>
              <w:szCs w:val="22"/>
            </w:rPr>
          </w:pPr>
          <w:r>
            <w:fldChar w:fldCharType="begin"/>
          </w:r>
          <w:r>
            <w:instrText xml:space="preserve"> HYPERLINK \l "_Toc25373" </w:instrText>
          </w:r>
          <w:r>
            <w:fldChar w:fldCharType="separate"/>
          </w:r>
          <w:r>
            <w:rPr>
              <w:rFonts w:hint="eastAsia" w:ascii="黑体" w:hAnsi="黑体" w:eastAsia="黑体" w:cs="黑体"/>
              <w:sz w:val="22"/>
              <w:szCs w:val="22"/>
            </w:rPr>
            <w:t>六、公告期限：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_Toc25373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6D45FDE">
          <w:pPr>
            <w:pStyle w:val="20"/>
            <w:tabs>
              <w:tab w:val="right" w:leader="dot" w:pos="9880"/>
            </w:tabs>
            <w:rPr>
              <w:rFonts w:ascii="黑体" w:hAnsi="黑体" w:eastAsia="黑体" w:cs="黑体"/>
              <w:sz w:val="22"/>
              <w:szCs w:val="22"/>
            </w:rPr>
          </w:pPr>
          <w:r>
            <w:fldChar w:fldCharType="begin"/>
          </w:r>
          <w:r>
            <w:instrText xml:space="preserve"> HYPERLINK \l "_Toc32164" </w:instrText>
          </w:r>
          <w:r>
            <w:fldChar w:fldCharType="separate"/>
          </w:r>
          <w:r>
            <w:rPr>
              <w:rFonts w:hint="eastAsia" w:ascii="黑体" w:hAnsi="黑体" w:eastAsia="黑体" w:cs="黑体"/>
              <w:sz w:val="22"/>
              <w:szCs w:val="22"/>
            </w:rPr>
            <w:t>七、其他事项说明：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_Toc32164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0EC7F72">
          <w:pPr>
            <w:pStyle w:val="20"/>
            <w:tabs>
              <w:tab w:val="right" w:leader="dot" w:pos="9880"/>
            </w:tabs>
            <w:rPr>
              <w:rFonts w:ascii="黑体" w:hAnsi="黑体" w:eastAsia="黑体" w:cs="黑体"/>
              <w:sz w:val="22"/>
              <w:szCs w:val="22"/>
            </w:rPr>
          </w:pPr>
          <w:r>
            <w:fldChar w:fldCharType="begin"/>
          </w:r>
          <w:r>
            <w:instrText xml:space="preserve"> HYPERLINK \l "_Toc18382" </w:instrText>
          </w:r>
          <w:r>
            <w:fldChar w:fldCharType="separate"/>
          </w:r>
          <w:r>
            <w:rPr>
              <w:rFonts w:hint="eastAsia" w:ascii="黑体" w:hAnsi="黑体" w:eastAsia="黑体" w:cs="黑体"/>
              <w:sz w:val="22"/>
              <w:szCs w:val="22"/>
            </w:rPr>
            <w:t>八、联系方式：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_Toc18382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38BF6F3">
          <w:pPr>
            <w:pStyle w:val="16"/>
            <w:tabs>
              <w:tab w:val="right" w:leader="dot" w:pos="9880"/>
            </w:tabs>
            <w:rPr>
              <w:rFonts w:ascii="黑体" w:hAnsi="黑体" w:eastAsia="黑体" w:cs="黑体"/>
              <w:b/>
              <w:bCs/>
              <w:sz w:val="22"/>
              <w:szCs w:val="22"/>
            </w:rPr>
          </w:pPr>
          <w:r>
            <w:fldChar w:fldCharType="begin"/>
          </w:r>
          <w:r>
            <w:instrText xml:space="preserve"> HYPERLINK \l "_Toc11198" </w:instrText>
          </w:r>
          <w:r>
            <w:fldChar w:fldCharType="separate"/>
          </w:r>
          <w:r>
            <w:rPr>
              <w:rFonts w:hint="eastAsia" w:ascii="黑体" w:hAnsi="黑体" w:eastAsia="黑体" w:cs="黑体"/>
              <w:b/>
              <w:bCs/>
              <w:sz w:val="24"/>
              <w:szCs w:val="24"/>
            </w:rPr>
            <w:t>第二章  供应商须知</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_Toc11198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52158739">
          <w:pPr>
            <w:pStyle w:val="20"/>
            <w:tabs>
              <w:tab w:val="right" w:leader="dot" w:pos="9880"/>
            </w:tabs>
            <w:rPr>
              <w:rFonts w:ascii="黑体" w:hAnsi="黑体" w:eastAsia="黑体" w:cs="黑体"/>
              <w:sz w:val="22"/>
              <w:szCs w:val="22"/>
            </w:rPr>
          </w:pPr>
          <w:r>
            <w:fldChar w:fldCharType="begin"/>
          </w:r>
          <w:r>
            <w:instrText xml:space="preserve"> HYPERLINK \l "_Toc18832" </w:instrText>
          </w:r>
          <w:r>
            <w:fldChar w:fldCharType="separate"/>
          </w:r>
          <w:r>
            <w:rPr>
              <w:rFonts w:hint="eastAsia" w:ascii="黑体" w:hAnsi="黑体" w:eastAsia="黑体" w:cs="黑体"/>
              <w:spacing w:val="15"/>
              <w:position w:val="2"/>
              <w:sz w:val="22"/>
              <w:szCs w:val="22"/>
            </w:rPr>
            <w:t>一</w:t>
          </w:r>
          <w:r>
            <w:rPr>
              <w:rFonts w:hint="eastAsia" w:ascii="黑体" w:hAnsi="黑体" w:eastAsia="黑体" w:cs="黑体"/>
              <w:spacing w:val="9"/>
              <w:position w:val="2"/>
              <w:sz w:val="22"/>
              <w:szCs w:val="22"/>
            </w:rPr>
            <w:t>、供应商须知前附表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_Toc18832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B2B19C8">
          <w:pPr>
            <w:pStyle w:val="20"/>
            <w:tabs>
              <w:tab w:val="right" w:leader="dot" w:pos="9880"/>
            </w:tabs>
            <w:rPr>
              <w:rFonts w:ascii="黑体" w:hAnsi="黑体" w:eastAsia="黑体" w:cs="黑体"/>
              <w:sz w:val="22"/>
              <w:szCs w:val="22"/>
            </w:rPr>
          </w:pPr>
          <w:r>
            <w:fldChar w:fldCharType="begin"/>
          </w:r>
          <w:r>
            <w:instrText xml:space="preserve"> HYPERLINK \l "_Toc8295"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9"/>
              <w:position w:val="1"/>
              <w:sz w:val="22"/>
              <w:szCs w:val="22"/>
            </w:rPr>
            <w:t>、供应商须知正文</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_Toc8295 \h </w:instrText>
          </w:r>
          <w:r>
            <w:rPr>
              <w:rFonts w:hint="eastAsia" w:ascii="黑体" w:hAnsi="黑体" w:eastAsia="黑体" w:cs="黑体"/>
              <w:sz w:val="22"/>
              <w:szCs w:val="22"/>
            </w:rPr>
            <w:fldChar w:fldCharType="separate"/>
          </w:r>
          <w:r>
            <w:rPr>
              <w:rFonts w:hint="eastAsia" w:ascii="黑体" w:hAnsi="黑体" w:eastAsia="黑体" w:cs="黑体"/>
              <w:sz w:val="22"/>
              <w:szCs w:val="22"/>
            </w:rPr>
            <w:t>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EBC21F9">
          <w:pPr>
            <w:pStyle w:val="16"/>
            <w:tabs>
              <w:tab w:val="right" w:leader="dot" w:pos="9880"/>
            </w:tabs>
            <w:rPr>
              <w:rFonts w:ascii="黑体" w:hAnsi="黑体" w:eastAsia="黑体" w:cs="黑体"/>
              <w:b/>
              <w:bCs/>
              <w:sz w:val="22"/>
              <w:szCs w:val="22"/>
            </w:rPr>
          </w:pPr>
          <w:r>
            <w:fldChar w:fldCharType="begin"/>
          </w:r>
          <w:r>
            <w:instrText xml:space="preserve"> HYPERLINK \l "_Toc9072" </w:instrText>
          </w:r>
          <w:r>
            <w:fldChar w:fldCharType="separate"/>
          </w:r>
          <w:r>
            <w:rPr>
              <w:rFonts w:hint="eastAsia" w:ascii="黑体" w:hAnsi="黑体" w:eastAsia="黑体" w:cs="黑体"/>
              <w:b/>
              <w:bCs/>
              <w:sz w:val="24"/>
              <w:szCs w:val="24"/>
            </w:rPr>
            <w:t>第三章  采购需求</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_Toc9072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19</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41ABC4D1">
          <w:pPr>
            <w:pStyle w:val="20"/>
            <w:tabs>
              <w:tab w:val="right" w:leader="dot" w:pos="9880"/>
            </w:tabs>
            <w:rPr>
              <w:rFonts w:ascii="黑体" w:hAnsi="黑体" w:eastAsia="黑体" w:cs="黑体"/>
              <w:sz w:val="22"/>
              <w:szCs w:val="22"/>
            </w:rPr>
          </w:pPr>
          <w:r>
            <w:fldChar w:fldCharType="begin"/>
          </w:r>
          <w:r>
            <w:instrText xml:space="preserve"> HYPERLINK \l "_Toc31322" </w:instrText>
          </w:r>
          <w:r>
            <w:fldChar w:fldCharType="separate"/>
          </w:r>
          <w:r>
            <w:rPr>
              <w:rFonts w:hint="eastAsia" w:ascii="黑体" w:hAnsi="黑体" w:eastAsia="黑体" w:cs="黑体"/>
              <w:spacing w:val="11"/>
              <w:position w:val="2"/>
              <w:sz w:val="22"/>
              <w:szCs w:val="22"/>
            </w:rPr>
            <w:t>一</w:t>
          </w:r>
          <w:r>
            <w:rPr>
              <w:rFonts w:hint="eastAsia" w:ascii="黑体" w:hAnsi="黑体" w:eastAsia="黑体" w:cs="黑体"/>
              <w:spacing w:val="9"/>
              <w:position w:val="2"/>
              <w:sz w:val="22"/>
              <w:szCs w:val="22"/>
            </w:rPr>
            <w:t>、采购需求前附表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_Toc31322 \h </w:instrText>
          </w:r>
          <w:r>
            <w:rPr>
              <w:rFonts w:hint="eastAsia" w:ascii="黑体" w:hAnsi="黑体" w:eastAsia="黑体" w:cs="黑体"/>
              <w:sz w:val="22"/>
              <w:szCs w:val="22"/>
            </w:rPr>
            <w:fldChar w:fldCharType="separate"/>
          </w:r>
          <w:r>
            <w:rPr>
              <w:b/>
            </w:rPr>
            <w:t>错误！未定义书签。</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5B4ADBE">
          <w:pPr>
            <w:pStyle w:val="20"/>
            <w:tabs>
              <w:tab w:val="right" w:leader="dot" w:pos="9880"/>
            </w:tabs>
            <w:rPr>
              <w:rFonts w:ascii="黑体" w:hAnsi="黑体" w:eastAsia="黑体" w:cs="黑体"/>
              <w:sz w:val="22"/>
              <w:szCs w:val="22"/>
            </w:rPr>
          </w:pPr>
          <w:r>
            <w:fldChar w:fldCharType="begin"/>
          </w:r>
          <w:r>
            <w:instrText xml:space="preserve"> HYPERLINK \l "_Toc12666" </w:instrText>
          </w:r>
          <w: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8"/>
              <w:position w:val="1"/>
              <w:sz w:val="22"/>
              <w:szCs w:val="22"/>
            </w:rPr>
            <w:t>、采购需求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_Toc12666 \h </w:instrText>
          </w:r>
          <w:r>
            <w:rPr>
              <w:rFonts w:hint="eastAsia" w:ascii="黑体" w:hAnsi="黑体" w:eastAsia="黑体" w:cs="黑体"/>
              <w:sz w:val="22"/>
              <w:szCs w:val="22"/>
            </w:rPr>
            <w:fldChar w:fldCharType="separate"/>
          </w:r>
          <w:r>
            <w:rPr>
              <w:rFonts w:hint="eastAsia" w:ascii="黑体" w:hAnsi="黑体" w:eastAsia="黑体" w:cs="黑体"/>
              <w:sz w:val="22"/>
              <w:szCs w:val="22"/>
            </w:rPr>
            <w:t>19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5D21A474">
          <w:pPr>
            <w:pStyle w:val="20"/>
            <w:tabs>
              <w:tab w:val="right" w:leader="dot" w:pos="9880"/>
            </w:tabs>
            <w:rPr>
              <w:rFonts w:ascii="黑体" w:hAnsi="黑体" w:eastAsia="黑体" w:cs="黑体"/>
              <w:sz w:val="22"/>
              <w:szCs w:val="22"/>
            </w:rPr>
          </w:pPr>
          <w:r>
            <w:fldChar w:fldCharType="begin"/>
          </w:r>
          <w:r>
            <w:instrText xml:space="preserve"> HYPERLINK \l "_Toc1203" </w:instrText>
          </w:r>
          <w:r>
            <w:fldChar w:fldCharType="separate"/>
          </w:r>
          <w:r>
            <w:rPr>
              <w:rFonts w:hint="eastAsia" w:ascii="黑体" w:hAnsi="黑体" w:eastAsia="黑体" w:cs="黑体"/>
              <w:spacing w:val="9"/>
              <w:position w:val="1"/>
              <w:sz w:val="22"/>
              <w:szCs w:val="22"/>
            </w:rPr>
            <w:t>三、报价要求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_Toc1203 \h </w:instrText>
          </w:r>
          <w:r>
            <w:rPr>
              <w:rFonts w:hint="eastAsia" w:ascii="黑体" w:hAnsi="黑体" w:eastAsia="黑体" w:cs="黑体"/>
              <w:sz w:val="22"/>
              <w:szCs w:val="22"/>
            </w:rPr>
            <w:fldChar w:fldCharType="separate"/>
          </w:r>
          <w:r>
            <w:rPr>
              <w:rFonts w:hint="eastAsia" w:ascii="黑体" w:hAnsi="黑体" w:eastAsia="黑体" w:cs="黑体"/>
              <w:sz w:val="22"/>
              <w:szCs w:val="22"/>
            </w:rPr>
            <w:t>22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AE32499">
          <w:pPr>
            <w:pStyle w:val="20"/>
            <w:tabs>
              <w:tab w:val="right" w:leader="dot" w:pos="9880"/>
            </w:tabs>
            <w:rPr>
              <w:rFonts w:ascii="黑体" w:hAnsi="黑体" w:eastAsia="黑体" w:cs="黑体"/>
              <w:sz w:val="22"/>
              <w:szCs w:val="22"/>
            </w:rPr>
          </w:pPr>
          <w:r>
            <w:fldChar w:fldCharType="begin"/>
          </w:r>
          <w:r>
            <w:instrText xml:space="preserve"> HYPERLINK \l "_Toc23727" </w:instrText>
          </w:r>
          <w:r>
            <w:fldChar w:fldCharType="separate"/>
          </w:r>
          <w:r>
            <w:rPr>
              <w:rFonts w:hint="eastAsia" w:ascii="黑体" w:hAnsi="黑体" w:eastAsia="黑体" w:cs="黑体"/>
              <w:spacing w:val="7"/>
              <w:sz w:val="22"/>
              <w:szCs w:val="22"/>
            </w:rPr>
            <w:t>四</w:t>
          </w:r>
          <w:r>
            <w:rPr>
              <w:rFonts w:hint="eastAsia" w:ascii="黑体" w:hAnsi="黑体" w:eastAsia="黑体" w:cs="黑体"/>
              <w:spacing w:val="5"/>
              <w:sz w:val="22"/>
              <w:szCs w:val="22"/>
            </w:rPr>
            <w:t>、</w:t>
          </w:r>
          <w:r>
            <w:rPr>
              <w:rFonts w:hint="eastAsia" w:ascii="黑体" w:hAnsi="黑体" w:eastAsia="黑体" w:cs="黑体"/>
              <w:sz w:val="22"/>
              <w:szCs w:val="22"/>
            </w:rPr>
            <w:t>技术要求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_Toc23727 \h </w:instrText>
          </w:r>
          <w:r>
            <w:rPr>
              <w:rFonts w:hint="eastAsia" w:ascii="黑体" w:hAnsi="黑体" w:eastAsia="黑体" w:cs="黑体"/>
              <w:sz w:val="22"/>
              <w:szCs w:val="22"/>
            </w:rPr>
            <w:fldChar w:fldCharType="separate"/>
          </w:r>
          <w:r>
            <w:rPr>
              <w:b/>
            </w:rPr>
            <w:t>错误！未定义书签。</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46D2E4F">
          <w:pPr>
            <w:pStyle w:val="16"/>
            <w:tabs>
              <w:tab w:val="right" w:leader="dot" w:pos="9880"/>
            </w:tabs>
            <w:rPr>
              <w:rFonts w:ascii="黑体" w:hAnsi="黑体" w:eastAsia="黑体" w:cs="黑体"/>
              <w:b/>
              <w:bCs/>
              <w:sz w:val="22"/>
              <w:szCs w:val="22"/>
            </w:rPr>
          </w:pPr>
          <w:r>
            <w:fldChar w:fldCharType="begin"/>
          </w:r>
          <w:r>
            <w:instrText xml:space="preserve"> HYPERLINK \l "_Toc28019" </w:instrText>
          </w:r>
          <w:r>
            <w:fldChar w:fldCharType="separate"/>
          </w:r>
          <w:r>
            <w:rPr>
              <w:rFonts w:hint="eastAsia" w:ascii="黑体" w:hAnsi="黑体" w:eastAsia="黑体" w:cs="黑体"/>
              <w:b/>
              <w:bCs/>
              <w:sz w:val="24"/>
              <w:szCs w:val="24"/>
            </w:rPr>
            <w:t>第四章  评审方法和标准 (</w:t>
          </w:r>
          <w:r>
            <w:rPr>
              <w:rFonts w:hint="eastAsia" w:ascii="黑体" w:hAnsi="黑体" w:eastAsia="黑体" w:cs="黑体"/>
              <w:b/>
              <w:bCs/>
              <w:sz w:val="24"/>
              <w:szCs w:val="24"/>
              <w:lang w:val="en-US" w:eastAsia="zh-CN"/>
            </w:rPr>
            <w:t>质量</w:t>
          </w:r>
          <w:r>
            <w:rPr>
              <w:rFonts w:hint="eastAsia" w:ascii="黑体" w:hAnsi="黑体" w:eastAsia="黑体" w:cs="黑体"/>
              <w:b/>
              <w:bCs/>
              <w:sz w:val="24"/>
              <w:szCs w:val="24"/>
            </w:rPr>
            <w:t>优先法)</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_Toc28019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22</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4E3E90D0">
          <w:pPr>
            <w:pStyle w:val="20"/>
            <w:tabs>
              <w:tab w:val="right" w:leader="dot" w:pos="9880"/>
            </w:tabs>
            <w:rPr>
              <w:rFonts w:ascii="黑体" w:hAnsi="黑体" w:eastAsia="黑体" w:cs="黑体"/>
              <w:sz w:val="22"/>
              <w:szCs w:val="22"/>
            </w:rPr>
          </w:pPr>
          <w:r>
            <w:fldChar w:fldCharType="begin"/>
          </w:r>
          <w:r>
            <w:instrText xml:space="preserve"> HYPERLINK \l "_Toc2029" </w:instrText>
          </w:r>
          <w:r>
            <w:fldChar w:fldCharType="separate"/>
          </w:r>
          <w:r>
            <w:rPr>
              <w:rFonts w:hint="eastAsia" w:ascii="黑体" w:hAnsi="黑体" w:eastAsia="黑体" w:cs="黑体"/>
              <w:spacing w:val="8"/>
              <w:position w:val="2"/>
              <w:sz w:val="22"/>
              <w:szCs w:val="22"/>
            </w:rPr>
            <w:t>一</w:t>
          </w:r>
          <w:r>
            <w:rPr>
              <w:rFonts w:hint="eastAsia" w:ascii="黑体" w:hAnsi="黑体" w:eastAsia="黑体" w:cs="黑体"/>
              <w:spacing w:val="7"/>
              <w:position w:val="2"/>
              <w:sz w:val="22"/>
              <w:szCs w:val="22"/>
            </w:rPr>
            <w:t>、总则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_Toc2029 \h </w:instrText>
          </w:r>
          <w:r>
            <w:rPr>
              <w:rFonts w:hint="eastAsia" w:ascii="黑体" w:hAnsi="黑体" w:eastAsia="黑体" w:cs="黑体"/>
              <w:sz w:val="22"/>
              <w:szCs w:val="22"/>
            </w:rPr>
            <w:fldChar w:fldCharType="separate"/>
          </w:r>
          <w:r>
            <w:rPr>
              <w:rFonts w:hint="eastAsia" w:ascii="黑体" w:hAnsi="黑体" w:eastAsia="黑体" w:cs="黑体"/>
              <w:sz w:val="22"/>
              <w:szCs w:val="22"/>
            </w:rPr>
            <w:t>23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C78D677">
          <w:pPr>
            <w:pStyle w:val="20"/>
            <w:tabs>
              <w:tab w:val="right" w:leader="dot" w:pos="9880"/>
            </w:tabs>
            <w:rPr>
              <w:rFonts w:ascii="黑体" w:hAnsi="黑体" w:eastAsia="黑体" w:cs="黑体"/>
              <w:sz w:val="22"/>
              <w:szCs w:val="22"/>
            </w:rPr>
          </w:pPr>
          <w:r>
            <w:fldChar w:fldCharType="begin"/>
          </w:r>
          <w:r>
            <w:instrText xml:space="preserve"> HYPERLINK \l "_Toc19806" </w:instrText>
          </w:r>
          <w:r>
            <w:fldChar w:fldCharType="separate"/>
          </w:r>
          <w:r>
            <w:rPr>
              <w:rFonts w:hint="eastAsia" w:ascii="黑体" w:hAnsi="黑体" w:eastAsia="黑体" w:cs="黑体"/>
              <w:spacing w:val="7"/>
              <w:position w:val="2"/>
              <w:sz w:val="22"/>
              <w:szCs w:val="22"/>
            </w:rPr>
            <w:t>二、评审方法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_Toc19806 \h </w:instrText>
          </w:r>
          <w:r>
            <w:rPr>
              <w:rFonts w:hint="eastAsia" w:ascii="黑体" w:hAnsi="黑体" w:eastAsia="黑体" w:cs="黑体"/>
              <w:sz w:val="22"/>
              <w:szCs w:val="22"/>
            </w:rPr>
            <w:fldChar w:fldCharType="separate"/>
          </w:r>
          <w:r>
            <w:rPr>
              <w:rFonts w:hint="eastAsia" w:ascii="黑体" w:hAnsi="黑体" w:eastAsia="黑体" w:cs="黑体"/>
              <w:sz w:val="22"/>
              <w:szCs w:val="22"/>
            </w:rPr>
            <w:t>23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49B70C1">
          <w:pPr>
            <w:pStyle w:val="20"/>
            <w:tabs>
              <w:tab w:val="right" w:leader="dot" w:pos="9880"/>
            </w:tabs>
            <w:rPr>
              <w:rFonts w:ascii="黑体" w:hAnsi="黑体" w:eastAsia="黑体" w:cs="黑体"/>
              <w:sz w:val="22"/>
              <w:szCs w:val="22"/>
            </w:rPr>
          </w:pPr>
          <w:r>
            <w:fldChar w:fldCharType="begin"/>
          </w:r>
          <w:r>
            <w:instrText xml:space="preserve"> HYPERLINK \l "_Toc3289" </w:instrText>
          </w:r>
          <w:r>
            <w:fldChar w:fldCharType="separate"/>
          </w:r>
          <w:r>
            <w:rPr>
              <w:rFonts w:hint="eastAsia" w:ascii="黑体" w:hAnsi="黑体" w:eastAsia="黑体" w:cs="黑体"/>
              <w:spacing w:val="7"/>
              <w:position w:val="2"/>
              <w:sz w:val="22"/>
              <w:szCs w:val="22"/>
            </w:rPr>
            <w:t>三、入围供应商约定</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_Toc3289 \h </w:instrText>
          </w:r>
          <w:r>
            <w:rPr>
              <w:rFonts w:hint="eastAsia" w:ascii="黑体" w:hAnsi="黑体" w:eastAsia="黑体" w:cs="黑体"/>
              <w:sz w:val="22"/>
              <w:szCs w:val="22"/>
            </w:rPr>
            <w:fldChar w:fldCharType="separate"/>
          </w:r>
          <w:r>
            <w:rPr>
              <w:rFonts w:hint="eastAsia" w:ascii="黑体" w:hAnsi="黑体" w:eastAsia="黑体" w:cs="黑体"/>
              <w:sz w:val="22"/>
              <w:szCs w:val="22"/>
            </w:rPr>
            <w:t>26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AD67214">
          <w:pPr>
            <w:pStyle w:val="16"/>
            <w:tabs>
              <w:tab w:val="right" w:leader="dot" w:pos="9880"/>
            </w:tabs>
            <w:rPr>
              <w:rFonts w:ascii="黑体" w:hAnsi="黑体" w:eastAsia="黑体" w:cs="黑体"/>
              <w:sz w:val="22"/>
              <w:szCs w:val="22"/>
            </w:rPr>
          </w:pPr>
          <w:r>
            <w:fldChar w:fldCharType="begin"/>
          </w:r>
          <w:r>
            <w:instrText xml:space="preserve"> HYPERLINK \l "_Toc29616" </w:instrText>
          </w:r>
          <w:r>
            <w:fldChar w:fldCharType="separate"/>
          </w:r>
          <w:r>
            <w:rPr>
              <w:rFonts w:hint="eastAsia" w:ascii="黑体" w:hAnsi="黑体" w:eastAsia="黑体" w:cs="黑体"/>
              <w:b/>
              <w:bCs/>
              <w:sz w:val="24"/>
              <w:szCs w:val="24"/>
            </w:rPr>
            <w:t>第五章  框架协议和采购合同文本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_Toc29616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27</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2366B19F">
          <w:pPr>
            <w:pStyle w:val="16"/>
            <w:tabs>
              <w:tab w:val="right" w:leader="dot" w:pos="9880"/>
            </w:tabs>
            <w:rPr>
              <w:rFonts w:ascii="黑体" w:hAnsi="黑体" w:eastAsia="黑体" w:cs="黑体"/>
              <w:b/>
              <w:bCs/>
              <w:sz w:val="22"/>
              <w:szCs w:val="22"/>
            </w:rPr>
          </w:pPr>
          <w:r>
            <w:fldChar w:fldCharType="begin"/>
          </w:r>
          <w:r>
            <w:instrText xml:space="preserve"> HYPERLINK \l "_Toc17970" </w:instrText>
          </w:r>
          <w:r>
            <w:fldChar w:fldCharType="separate"/>
          </w:r>
          <w:r>
            <w:rPr>
              <w:rFonts w:hint="eastAsia" w:ascii="黑体" w:hAnsi="黑体" w:eastAsia="黑体" w:cs="黑体"/>
              <w:b/>
              <w:bCs/>
              <w:sz w:val="24"/>
              <w:szCs w:val="24"/>
            </w:rPr>
            <w:t>第六章  响应文件格式</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_Toc17970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45</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350CE724">
          <w:pPr>
            <w:pStyle w:val="20"/>
            <w:tabs>
              <w:tab w:val="right" w:leader="dot" w:pos="9880"/>
            </w:tabs>
            <w:rPr>
              <w:rFonts w:ascii="黑体" w:hAnsi="黑体" w:eastAsia="黑体" w:cs="黑体"/>
              <w:sz w:val="22"/>
              <w:szCs w:val="22"/>
            </w:rPr>
          </w:pPr>
          <w:r>
            <w:fldChar w:fldCharType="begin"/>
          </w:r>
          <w:r>
            <w:instrText xml:space="preserve"> HYPERLINK \l "_Toc15721" </w:instrText>
          </w:r>
          <w:r>
            <w:fldChar w:fldCharType="separate"/>
          </w:r>
          <w:r>
            <w:rPr>
              <w:rFonts w:hint="eastAsia" w:ascii="黑体" w:hAnsi="黑体" w:eastAsia="黑体" w:cs="黑体"/>
              <w:bCs/>
              <w:spacing w:val="9"/>
              <w:position w:val="2"/>
              <w:sz w:val="22"/>
              <w:szCs w:val="22"/>
            </w:rPr>
            <w:t>一</w:t>
          </w:r>
          <w:r>
            <w:rPr>
              <w:rFonts w:hint="eastAsia" w:ascii="黑体" w:hAnsi="黑体" w:eastAsia="黑体" w:cs="黑体"/>
              <w:bCs/>
              <w:spacing w:val="8"/>
              <w:position w:val="2"/>
              <w:sz w:val="22"/>
              <w:szCs w:val="22"/>
            </w:rPr>
            <w:t>、报价表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_Toc15721 \h </w:instrText>
          </w:r>
          <w:r>
            <w:rPr>
              <w:rFonts w:hint="eastAsia" w:ascii="黑体" w:hAnsi="黑体" w:eastAsia="黑体" w:cs="黑体"/>
              <w:sz w:val="22"/>
              <w:szCs w:val="22"/>
            </w:rPr>
            <w:fldChar w:fldCharType="separate"/>
          </w:r>
          <w:r>
            <w:rPr>
              <w:rFonts w:hint="eastAsia" w:ascii="黑体" w:hAnsi="黑体" w:eastAsia="黑体" w:cs="黑体"/>
              <w:sz w:val="22"/>
              <w:szCs w:val="22"/>
            </w:rPr>
            <w:t>46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7B83651">
          <w:pPr>
            <w:pStyle w:val="20"/>
            <w:tabs>
              <w:tab w:val="right" w:leader="dot" w:pos="9880"/>
            </w:tabs>
            <w:rPr>
              <w:rFonts w:ascii="黑体" w:hAnsi="黑体" w:eastAsia="黑体" w:cs="黑体"/>
              <w:sz w:val="22"/>
              <w:szCs w:val="22"/>
            </w:rPr>
          </w:pPr>
          <w:r>
            <w:fldChar w:fldCharType="begin"/>
          </w:r>
          <w:r>
            <w:instrText xml:space="preserve"> HYPERLINK \l "_Toc16235" </w:instrText>
          </w:r>
          <w:r>
            <w:fldChar w:fldCharType="separate"/>
          </w:r>
          <w:r>
            <w:rPr>
              <w:rFonts w:hint="eastAsia" w:ascii="黑体" w:hAnsi="黑体" w:eastAsia="黑体" w:cs="黑体"/>
              <w:bCs/>
              <w:spacing w:val="9"/>
              <w:position w:val="1"/>
              <w:sz w:val="22"/>
              <w:szCs w:val="22"/>
            </w:rPr>
            <w:t>二</w:t>
          </w:r>
          <w:r>
            <w:rPr>
              <w:rFonts w:hint="eastAsia" w:ascii="黑体" w:hAnsi="黑体" w:eastAsia="黑体" w:cs="黑体"/>
              <w:bCs/>
              <w:spacing w:val="8"/>
              <w:position w:val="1"/>
              <w:sz w:val="22"/>
              <w:szCs w:val="22"/>
            </w:rPr>
            <w:t>、响应函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_Toc16235 \h </w:instrText>
          </w:r>
          <w:r>
            <w:rPr>
              <w:rFonts w:hint="eastAsia" w:ascii="黑体" w:hAnsi="黑体" w:eastAsia="黑体" w:cs="黑体"/>
              <w:sz w:val="22"/>
              <w:szCs w:val="22"/>
            </w:rPr>
            <w:fldChar w:fldCharType="separate"/>
          </w:r>
          <w:r>
            <w:rPr>
              <w:rFonts w:hint="eastAsia" w:ascii="黑体" w:hAnsi="黑体" w:eastAsia="黑体" w:cs="黑体"/>
              <w:sz w:val="22"/>
              <w:szCs w:val="22"/>
            </w:rPr>
            <w:t>47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22B4483">
          <w:pPr>
            <w:pStyle w:val="20"/>
            <w:tabs>
              <w:tab w:val="right" w:leader="dot" w:pos="9880"/>
            </w:tabs>
            <w:rPr>
              <w:rFonts w:ascii="黑体" w:hAnsi="黑体" w:eastAsia="黑体" w:cs="黑体"/>
              <w:sz w:val="22"/>
              <w:szCs w:val="22"/>
            </w:rPr>
          </w:pPr>
          <w:r>
            <w:fldChar w:fldCharType="begin"/>
          </w:r>
          <w:r>
            <w:instrText xml:space="preserve"> HYPERLINK \l "_Toc23175" </w:instrText>
          </w:r>
          <w:r>
            <w:fldChar w:fldCharType="separate"/>
          </w:r>
          <w:r>
            <w:rPr>
              <w:rFonts w:hint="eastAsia" w:ascii="黑体" w:hAnsi="黑体" w:eastAsia="黑体" w:cs="黑体"/>
              <w:bCs/>
              <w:spacing w:val="20"/>
              <w:position w:val="1"/>
              <w:sz w:val="22"/>
              <w:szCs w:val="22"/>
            </w:rPr>
            <w:t>三</w:t>
          </w:r>
          <w:r>
            <w:rPr>
              <w:rFonts w:hint="eastAsia" w:ascii="黑体" w:hAnsi="黑体" w:eastAsia="黑体" w:cs="黑体"/>
              <w:bCs/>
              <w:spacing w:val="12"/>
              <w:position w:val="1"/>
              <w:sz w:val="22"/>
              <w:szCs w:val="22"/>
            </w:rPr>
            <w:t>、</w:t>
          </w:r>
          <w:r>
            <w:rPr>
              <w:rFonts w:hint="eastAsia" w:ascii="黑体" w:hAnsi="黑体" w:eastAsia="黑体" w:cs="黑体"/>
              <w:bCs/>
              <w:spacing w:val="10"/>
              <w:position w:val="1"/>
              <w:sz w:val="22"/>
              <w:szCs w:val="22"/>
            </w:rPr>
            <w:t>无重大违法记录声明函、无不良信用记录声明函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_Toc23175 \h </w:instrText>
          </w:r>
          <w:r>
            <w:rPr>
              <w:rFonts w:hint="eastAsia" w:ascii="黑体" w:hAnsi="黑体" w:eastAsia="黑体" w:cs="黑体"/>
              <w:sz w:val="22"/>
              <w:szCs w:val="22"/>
            </w:rPr>
            <w:fldChar w:fldCharType="separate"/>
          </w:r>
          <w:r>
            <w:rPr>
              <w:rFonts w:hint="eastAsia" w:ascii="黑体" w:hAnsi="黑体" w:eastAsia="黑体" w:cs="黑体"/>
              <w:sz w:val="22"/>
              <w:szCs w:val="22"/>
            </w:rPr>
            <w:t>48</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A905BFA">
          <w:pPr>
            <w:pStyle w:val="20"/>
            <w:tabs>
              <w:tab w:val="right" w:leader="dot" w:pos="9880"/>
            </w:tabs>
            <w:rPr>
              <w:rFonts w:ascii="黑体" w:hAnsi="黑体" w:eastAsia="黑体" w:cs="黑体"/>
              <w:sz w:val="22"/>
              <w:szCs w:val="22"/>
            </w:rPr>
          </w:pPr>
          <w:r>
            <w:fldChar w:fldCharType="begin"/>
          </w:r>
          <w:r>
            <w:instrText xml:space="preserve"> HYPERLINK \l "_Toc19769" </w:instrText>
          </w:r>
          <w:r>
            <w:fldChar w:fldCharType="separate"/>
          </w:r>
          <w:r>
            <w:rPr>
              <w:rFonts w:hint="eastAsia" w:ascii="黑体" w:hAnsi="黑体" w:eastAsia="黑体" w:cs="黑体"/>
              <w:bCs/>
              <w:spacing w:val="6"/>
              <w:sz w:val="22"/>
              <w:szCs w:val="22"/>
            </w:rPr>
            <w:t>四</w:t>
          </w:r>
          <w:r>
            <w:rPr>
              <w:rFonts w:hint="eastAsia" w:ascii="黑体" w:hAnsi="黑体" w:eastAsia="黑体" w:cs="黑体"/>
              <w:bCs/>
              <w:spacing w:val="4"/>
              <w:sz w:val="22"/>
              <w:szCs w:val="22"/>
            </w:rPr>
            <w:t>、授权书</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_Toc19769 \h </w:instrText>
          </w:r>
          <w:r>
            <w:rPr>
              <w:rFonts w:hint="eastAsia" w:ascii="黑体" w:hAnsi="黑体" w:eastAsia="黑体" w:cs="黑体"/>
              <w:sz w:val="22"/>
              <w:szCs w:val="22"/>
            </w:rPr>
            <w:fldChar w:fldCharType="separate"/>
          </w:r>
          <w:r>
            <w:rPr>
              <w:rFonts w:hint="eastAsia" w:ascii="黑体" w:hAnsi="黑体" w:eastAsia="黑体" w:cs="黑体"/>
              <w:sz w:val="22"/>
              <w:szCs w:val="22"/>
            </w:rPr>
            <w:t>49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B05605A">
          <w:pPr>
            <w:pStyle w:val="20"/>
            <w:tabs>
              <w:tab w:val="right" w:leader="dot" w:pos="9880"/>
            </w:tabs>
            <w:rPr>
              <w:rFonts w:ascii="黑体" w:hAnsi="黑体" w:eastAsia="黑体" w:cs="黑体"/>
              <w:sz w:val="22"/>
              <w:szCs w:val="22"/>
            </w:rPr>
          </w:pPr>
          <w:r>
            <w:fldChar w:fldCharType="begin"/>
          </w:r>
          <w:r>
            <w:instrText xml:space="preserve"> HYPERLINK \l "_Toc29374" </w:instrText>
          </w:r>
          <w:r>
            <w:fldChar w:fldCharType="separate"/>
          </w:r>
          <w:r>
            <w:rPr>
              <w:rFonts w:hint="eastAsia" w:ascii="黑体" w:hAnsi="黑体" w:eastAsia="黑体" w:cs="黑体"/>
              <w:bCs/>
              <w:spacing w:val="8"/>
              <w:sz w:val="22"/>
              <w:szCs w:val="22"/>
            </w:rPr>
            <w:t>五、响应表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_Toc29374 \h </w:instrText>
          </w:r>
          <w:r>
            <w:rPr>
              <w:rFonts w:hint="eastAsia" w:ascii="黑体" w:hAnsi="黑体" w:eastAsia="黑体" w:cs="黑体"/>
              <w:sz w:val="22"/>
              <w:szCs w:val="22"/>
            </w:rPr>
            <w:fldChar w:fldCharType="separate"/>
          </w:r>
          <w:r>
            <w:rPr>
              <w:rFonts w:hint="eastAsia" w:ascii="黑体" w:hAnsi="黑体" w:eastAsia="黑体" w:cs="黑体"/>
              <w:sz w:val="22"/>
              <w:szCs w:val="22"/>
            </w:rPr>
            <w:t>50</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7FB212C">
          <w:pPr>
            <w:pStyle w:val="20"/>
            <w:tabs>
              <w:tab w:val="right" w:leader="dot" w:pos="9880"/>
            </w:tabs>
            <w:rPr>
              <w:rFonts w:ascii="黑体" w:hAnsi="黑体" w:eastAsia="黑体" w:cs="黑体"/>
              <w:sz w:val="22"/>
              <w:szCs w:val="22"/>
            </w:rPr>
          </w:pPr>
          <w:r>
            <w:fldChar w:fldCharType="begin"/>
          </w:r>
          <w:r>
            <w:instrText xml:space="preserve"> HYPERLINK \l "_Toc27724" </w:instrText>
          </w:r>
          <w:r>
            <w:fldChar w:fldCharType="separate"/>
          </w:r>
          <w:r>
            <w:rPr>
              <w:rFonts w:hint="eastAsia" w:ascii="黑体" w:hAnsi="黑体" w:eastAsia="黑体" w:cs="黑体"/>
              <w:bCs/>
              <w:spacing w:val="14"/>
              <w:sz w:val="22"/>
              <w:szCs w:val="22"/>
            </w:rPr>
            <w:t>六</w:t>
          </w:r>
          <w:r>
            <w:rPr>
              <w:rFonts w:hint="eastAsia" w:ascii="黑体" w:hAnsi="黑体" w:eastAsia="黑体" w:cs="黑体"/>
              <w:bCs/>
              <w:spacing w:val="8"/>
              <w:sz w:val="22"/>
              <w:szCs w:val="22"/>
            </w:rPr>
            <w:t>、服务方案</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_Toc27724 \h </w:instrText>
          </w:r>
          <w:r>
            <w:rPr>
              <w:rFonts w:hint="eastAsia" w:ascii="黑体" w:hAnsi="黑体" w:eastAsia="黑体" w:cs="黑体"/>
              <w:sz w:val="22"/>
              <w:szCs w:val="22"/>
            </w:rPr>
            <w:fldChar w:fldCharType="separate"/>
          </w:r>
          <w:r>
            <w:rPr>
              <w:rFonts w:hint="eastAsia" w:ascii="黑体" w:hAnsi="黑体" w:eastAsia="黑体" w:cs="黑体"/>
              <w:sz w:val="22"/>
              <w:szCs w:val="22"/>
            </w:rPr>
            <w:t>51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5B0EC09">
          <w:pPr>
            <w:pStyle w:val="20"/>
            <w:tabs>
              <w:tab w:val="right" w:leader="dot" w:pos="9880"/>
            </w:tabs>
            <w:rPr>
              <w:rFonts w:ascii="黑体" w:hAnsi="黑体" w:eastAsia="黑体" w:cs="黑体"/>
              <w:sz w:val="22"/>
              <w:szCs w:val="22"/>
            </w:rPr>
          </w:pPr>
          <w:r>
            <w:fldChar w:fldCharType="begin"/>
          </w:r>
          <w:r>
            <w:instrText xml:space="preserve"> HYPERLINK \l "_Toc22655" </w:instrText>
          </w:r>
          <w:r>
            <w:fldChar w:fldCharType="separate"/>
          </w:r>
          <w:r>
            <w:rPr>
              <w:rFonts w:hint="eastAsia" w:ascii="黑体" w:hAnsi="黑体" w:eastAsia="黑体" w:cs="黑体"/>
              <w:bCs/>
              <w:spacing w:val="10"/>
              <w:sz w:val="22"/>
              <w:szCs w:val="22"/>
            </w:rPr>
            <w:t>七</w:t>
          </w:r>
          <w:r>
            <w:rPr>
              <w:rFonts w:hint="eastAsia" w:ascii="黑体" w:hAnsi="黑体" w:eastAsia="黑体" w:cs="黑体"/>
              <w:bCs/>
              <w:spacing w:val="9"/>
              <w:sz w:val="22"/>
              <w:szCs w:val="22"/>
            </w:rPr>
            <w:t>、中小企业声明函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_Toc22655 \h </w:instrText>
          </w:r>
          <w:r>
            <w:rPr>
              <w:rFonts w:hint="eastAsia" w:ascii="黑体" w:hAnsi="黑体" w:eastAsia="黑体" w:cs="黑体"/>
              <w:sz w:val="22"/>
              <w:szCs w:val="22"/>
            </w:rPr>
            <w:fldChar w:fldCharType="separate"/>
          </w:r>
          <w:r>
            <w:rPr>
              <w:rFonts w:hint="eastAsia" w:ascii="黑体" w:hAnsi="黑体" w:eastAsia="黑体" w:cs="黑体"/>
              <w:sz w:val="22"/>
              <w:szCs w:val="22"/>
            </w:rPr>
            <w:t>52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613A552">
          <w:pPr>
            <w:pStyle w:val="20"/>
            <w:tabs>
              <w:tab w:val="right" w:leader="dot" w:pos="9880"/>
            </w:tabs>
            <w:rPr>
              <w:rFonts w:ascii="黑体" w:hAnsi="黑体" w:eastAsia="黑体" w:cs="黑体"/>
              <w:sz w:val="22"/>
              <w:szCs w:val="22"/>
            </w:rPr>
          </w:pPr>
          <w:r>
            <w:fldChar w:fldCharType="begin"/>
          </w:r>
          <w:r>
            <w:instrText xml:space="preserve"> HYPERLINK \l "_Toc961" </w:instrText>
          </w:r>
          <w:r>
            <w:fldChar w:fldCharType="separate"/>
          </w:r>
          <w:r>
            <w:rPr>
              <w:rFonts w:hint="eastAsia" w:ascii="黑体" w:hAnsi="黑体" w:eastAsia="黑体" w:cs="黑体"/>
              <w:bCs/>
              <w:spacing w:val="11"/>
              <w:sz w:val="22"/>
              <w:szCs w:val="22"/>
            </w:rPr>
            <w:t>八</w:t>
          </w:r>
          <w:r>
            <w:rPr>
              <w:rFonts w:hint="eastAsia" w:ascii="黑体" w:hAnsi="黑体" w:eastAsia="黑体" w:cs="黑体"/>
              <w:bCs/>
              <w:spacing w:val="10"/>
              <w:sz w:val="22"/>
              <w:szCs w:val="22"/>
            </w:rPr>
            <w:t>、残疾人福利性单位声明函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_Toc961 \h </w:instrText>
          </w:r>
          <w:r>
            <w:rPr>
              <w:rFonts w:hint="eastAsia" w:ascii="黑体" w:hAnsi="黑体" w:eastAsia="黑体" w:cs="黑体"/>
              <w:sz w:val="22"/>
              <w:szCs w:val="22"/>
            </w:rPr>
            <w:fldChar w:fldCharType="separate"/>
          </w:r>
          <w:r>
            <w:rPr>
              <w:rFonts w:hint="eastAsia" w:ascii="黑体" w:hAnsi="黑体" w:eastAsia="黑体" w:cs="黑体"/>
              <w:sz w:val="22"/>
              <w:szCs w:val="22"/>
            </w:rPr>
            <w:t>53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B3D8021">
          <w:pPr>
            <w:pStyle w:val="20"/>
            <w:tabs>
              <w:tab w:val="right" w:leader="dot" w:pos="9880"/>
            </w:tabs>
            <w:rPr>
              <w:rFonts w:ascii="黑体" w:hAnsi="黑体" w:eastAsia="黑体" w:cs="黑体"/>
              <w:sz w:val="22"/>
              <w:szCs w:val="22"/>
            </w:rPr>
          </w:pPr>
          <w:r>
            <w:fldChar w:fldCharType="begin"/>
          </w:r>
          <w:r>
            <w:instrText xml:space="preserve"> HYPERLINK \l "_Toc791" </w:instrText>
          </w:r>
          <w:r>
            <w:fldChar w:fldCharType="separate"/>
          </w:r>
          <w:r>
            <w:rPr>
              <w:rFonts w:hint="eastAsia" w:ascii="黑体" w:hAnsi="黑体" w:eastAsia="黑体" w:cs="黑体"/>
              <w:bCs/>
              <w:spacing w:val="10"/>
              <w:sz w:val="22"/>
              <w:szCs w:val="22"/>
            </w:rPr>
            <w:t>九、诚信履约承诺</w:t>
          </w:r>
          <w:r>
            <w:rPr>
              <w:rFonts w:hint="eastAsia" w:ascii="黑体" w:hAnsi="黑体" w:eastAsia="黑体" w:cs="黑体"/>
              <w:bCs/>
              <w:spacing w:val="9"/>
              <w:sz w:val="22"/>
              <w:szCs w:val="22"/>
            </w:rPr>
            <w:t>函</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_Toc791 \h </w:instrText>
          </w:r>
          <w:r>
            <w:rPr>
              <w:rFonts w:hint="eastAsia" w:ascii="黑体" w:hAnsi="黑体" w:eastAsia="黑体" w:cs="黑体"/>
              <w:sz w:val="22"/>
              <w:szCs w:val="22"/>
            </w:rPr>
            <w:fldChar w:fldCharType="separate"/>
          </w:r>
          <w:r>
            <w:rPr>
              <w:rFonts w:hint="eastAsia" w:ascii="黑体" w:hAnsi="黑体" w:eastAsia="黑体" w:cs="黑体"/>
              <w:sz w:val="22"/>
              <w:szCs w:val="22"/>
            </w:rPr>
            <w:t>54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4096A1FB">
          <w:pPr>
            <w:pStyle w:val="20"/>
            <w:tabs>
              <w:tab w:val="right" w:leader="dot" w:pos="9880"/>
            </w:tabs>
            <w:rPr>
              <w:rFonts w:ascii="黑体" w:hAnsi="黑体" w:eastAsia="黑体" w:cs="黑体"/>
              <w:sz w:val="22"/>
              <w:szCs w:val="22"/>
            </w:rPr>
          </w:pPr>
          <w:r>
            <w:fldChar w:fldCharType="begin"/>
          </w:r>
          <w:r>
            <w:instrText xml:space="preserve"> HYPERLINK \l "_Toc20405" </w:instrText>
          </w:r>
          <w:r>
            <w:fldChar w:fldCharType="separate"/>
          </w:r>
          <w:r>
            <w:rPr>
              <w:rFonts w:hint="eastAsia" w:ascii="黑体" w:hAnsi="黑体" w:eastAsia="黑体" w:cs="黑体"/>
              <w:bCs/>
              <w:spacing w:val="10"/>
              <w:sz w:val="22"/>
              <w:szCs w:val="22"/>
            </w:rPr>
            <w:t>十、其他相关证明材</w:t>
          </w:r>
          <w:r>
            <w:rPr>
              <w:rFonts w:hint="eastAsia" w:ascii="黑体" w:hAnsi="黑体" w:eastAsia="黑体" w:cs="黑体"/>
              <w:bCs/>
              <w:spacing w:val="9"/>
              <w:sz w:val="22"/>
              <w:szCs w:val="22"/>
            </w:rPr>
            <w:t>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_Toc20405 \h </w:instrText>
          </w:r>
          <w:r>
            <w:rPr>
              <w:rFonts w:hint="eastAsia" w:ascii="黑体" w:hAnsi="黑体" w:eastAsia="黑体" w:cs="黑体"/>
              <w:sz w:val="22"/>
              <w:szCs w:val="22"/>
            </w:rPr>
            <w:fldChar w:fldCharType="separate"/>
          </w:r>
          <w:r>
            <w:rPr>
              <w:rFonts w:hint="eastAsia" w:ascii="黑体" w:hAnsi="黑体" w:eastAsia="黑体" w:cs="黑体"/>
              <w:sz w:val="22"/>
              <w:szCs w:val="22"/>
            </w:rPr>
            <w:t>55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D556697">
          <w:pPr>
            <w:pStyle w:val="16"/>
            <w:tabs>
              <w:tab w:val="right" w:leader="dot" w:pos="9880"/>
            </w:tabs>
            <w:rPr>
              <w:b/>
              <w:bCs/>
            </w:rPr>
          </w:pPr>
          <w:r>
            <w:fldChar w:fldCharType="begin"/>
          </w:r>
          <w:r>
            <w:instrText xml:space="preserve"> HYPERLINK \l "_Toc24618" </w:instrText>
          </w:r>
          <w:r>
            <w:fldChar w:fldCharType="separate"/>
          </w:r>
          <w:r>
            <w:rPr>
              <w:rFonts w:hint="eastAsia" w:ascii="黑体" w:hAnsi="黑体" w:eastAsia="黑体" w:cs="黑体"/>
              <w:b/>
              <w:bCs/>
              <w:sz w:val="24"/>
              <w:szCs w:val="24"/>
            </w:rPr>
            <w:t>第七章  政府采购供应商质疑函范本</w:t>
          </w:r>
          <w:r>
            <w:rPr>
              <w:rFonts w:hint="eastAsia" w:ascii="黑体" w:hAnsi="黑体" w:eastAsia="黑体" w:cs="黑体"/>
              <w:b/>
              <w:bCs/>
              <w:sz w:val="22"/>
              <w:szCs w:val="22"/>
            </w:rPr>
            <w:tab/>
          </w:r>
          <w:r>
            <w:rPr>
              <w:rFonts w:hint="eastAsia" w:ascii="黑体" w:hAnsi="黑体" w:eastAsia="黑体" w:cs="黑体"/>
              <w:b/>
              <w:bCs/>
              <w:sz w:val="22"/>
              <w:szCs w:val="22"/>
            </w:rPr>
            <w:fldChar w:fldCharType="begin"/>
          </w:r>
          <w:r>
            <w:rPr>
              <w:rFonts w:hint="eastAsia" w:ascii="黑体" w:hAnsi="黑体" w:eastAsia="黑体" w:cs="黑体"/>
              <w:b/>
              <w:bCs/>
              <w:sz w:val="22"/>
              <w:szCs w:val="22"/>
            </w:rPr>
            <w:instrText xml:space="preserve"> PAGEREF _Toc24618 \h </w:instrText>
          </w:r>
          <w:r>
            <w:rPr>
              <w:rFonts w:hint="eastAsia" w:ascii="黑体" w:hAnsi="黑体" w:eastAsia="黑体" w:cs="黑体"/>
              <w:b/>
              <w:bCs/>
              <w:sz w:val="22"/>
              <w:szCs w:val="22"/>
            </w:rPr>
            <w:fldChar w:fldCharType="separate"/>
          </w:r>
          <w:r>
            <w:rPr>
              <w:rFonts w:hint="eastAsia" w:ascii="黑体" w:hAnsi="黑体" w:eastAsia="黑体" w:cs="黑体"/>
              <w:b/>
              <w:bCs/>
              <w:sz w:val="22"/>
              <w:szCs w:val="22"/>
            </w:rPr>
            <w:t>56</w:t>
          </w:r>
          <w:r>
            <w:rPr>
              <w:rFonts w:hint="eastAsia" w:ascii="黑体" w:hAnsi="黑体" w:eastAsia="黑体" w:cs="黑体"/>
              <w:b/>
              <w:bCs/>
              <w:sz w:val="22"/>
              <w:szCs w:val="22"/>
            </w:rPr>
            <w:fldChar w:fldCharType="end"/>
          </w:r>
          <w:r>
            <w:rPr>
              <w:rFonts w:hint="eastAsia" w:ascii="黑体" w:hAnsi="黑体" w:eastAsia="黑体" w:cs="黑体"/>
              <w:b/>
              <w:bCs/>
              <w:sz w:val="22"/>
              <w:szCs w:val="22"/>
            </w:rPr>
            <w:fldChar w:fldCharType="end"/>
          </w:r>
        </w:p>
        <w:p w14:paraId="67C2E175">
          <w:pPr>
            <w:pStyle w:val="20"/>
            <w:tabs>
              <w:tab w:val="right" w:leader="dot" w:pos="9880"/>
            </w:tabs>
            <w:rPr>
              <w:b/>
              <w:bCs/>
            </w:rPr>
          </w:pPr>
        </w:p>
        <w:p w14:paraId="657FDCEC">
          <w:pPr>
            <w:sectPr>
              <w:footerReference r:id="rId4" w:type="default"/>
              <w:pgSz w:w="11906" w:h="16839"/>
              <w:pgMar w:top="1136" w:right="861" w:bottom="0" w:left="1165" w:header="878" w:footer="0" w:gutter="0"/>
              <w:pgNumType w:start="1"/>
              <w:cols w:space="720" w:num="1"/>
            </w:sectPr>
          </w:pPr>
          <w:r>
            <w:fldChar w:fldCharType="end"/>
          </w:r>
        </w:p>
      </w:sdtContent>
    </w:sdt>
    <w:p w14:paraId="66091EBF">
      <w:pPr>
        <w:spacing w:line="289" w:lineRule="auto"/>
      </w:pPr>
    </w:p>
    <w:p w14:paraId="74028DA6">
      <w:pPr>
        <w:spacing w:before="91" w:line="220" w:lineRule="auto"/>
        <w:jc w:val="center"/>
        <w:outlineLvl w:val="0"/>
        <w:rPr>
          <w:rFonts w:ascii="宋体" w:hAnsi="宋体" w:eastAsia="宋体" w:cs="宋体"/>
          <w:b/>
          <w:bCs/>
          <w:sz w:val="32"/>
          <w:szCs w:val="32"/>
        </w:rPr>
      </w:pPr>
      <w:bookmarkStart w:id="2" w:name="_bookmark1"/>
      <w:bookmarkEnd w:id="2"/>
      <w:bookmarkStart w:id="3" w:name="_Toc27009"/>
      <w:r>
        <w:rPr>
          <w:rFonts w:hint="eastAsia" w:ascii="宋体" w:hAnsi="宋体" w:eastAsia="宋体" w:cs="宋体"/>
          <w:b/>
          <w:bCs/>
          <w:sz w:val="32"/>
          <w:szCs w:val="32"/>
        </w:rPr>
        <w:t xml:space="preserve">第一章 </w:t>
      </w:r>
      <w:r>
        <w:rPr>
          <w:rFonts w:ascii="宋体" w:hAnsi="宋体" w:eastAsia="宋体" w:cs="宋体"/>
          <w:b/>
          <w:bCs/>
          <w:sz w:val="32"/>
          <w:szCs w:val="32"/>
        </w:rPr>
        <w:t>征集邀请</w:t>
      </w:r>
      <w:bookmarkEnd w:id="3"/>
    </w:p>
    <w:tbl>
      <w:tblPr>
        <w:tblStyle w:val="30"/>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14:paraId="6ED2C21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9522" w:type="dxa"/>
          </w:tcPr>
          <w:p w14:paraId="19F9E717">
            <w:pPr>
              <w:spacing w:before="185" w:line="218" w:lineRule="auto"/>
              <w:ind w:left="98"/>
              <w:rPr>
                <w:rFonts w:ascii="仿宋" w:hAnsi="仿宋" w:eastAsia="仿宋" w:cs="仿宋"/>
                <w:sz w:val="28"/>
                <w:szCs w:val="28"/>
              </w:rPr>
            </w:pPr>
            <w:r>
              <w:rPr>
                <w:rFonts w:ascii="仿宋" w:hAnsi="仿宋" w:eastAsia="仿宋" w:cs="仿宋"/>
                <w:spacing w:val="-9"/>
                <w:sz w:val="28"/>
                <w:szCs w:val="28"/>
                <w14:textOutline w14:w="5105" w14:cap="sq" w14:cmpd="sng" w14:algn="ctr">
                  <w14:solidFill>
                    <w14:srgbClr w14:val="000000"/>
                  </w14:solidFill>
                  <w14:prstDash w14:val="solid"/>
                  <w14:bevel/>
                </w14:textOutline>
              </w:rPr>
              <w:t>项目概况</w:t>
            </w:r>
          </w:p>
          <w:p w14:paraId="19862B6D">
            <w:pPr>
              <w:spacing w:before="167" w:line="330" w:lineRule="auto"/>
              <w:ind w:left="145" w:right="70" w:firstLine="755"/>
              <w:rPr>
                <w:rFonts w:ascii="仿宋" w:hAnsi="仿宋" w:eastAsia="仿宋" w:cs="仿宋"/>
                <w:sz w:val="28"/>
                <w:szCs w:val="28"/>
              </w:rPr>
            </w:pPr>
            <w:r>
              <w:rPr>
                <w:rFonts w:ascii="仿宋" w:hAnsi="仿宋" w:eastAsia="仿宋" w:cs="仿宋"/>
                <w:spacing w:val="-8"/>
                <w:sz w:val="28"/>
                <w:szCs w:val="28"/>
                <w:u w:val="single"/>
              </w:rPr>
              <w:t xml:space="preserve"> </w:t>
            </w:r>
            <w:r>
              <w:rPr>
                <w:rFonts w:hint="eastAsia" w:ascii="仿宋" w:hAnsi="仿宋" w:eastAsia="仿宋" w:cs="仿宋"/>
                <w:spacing w:val="-8"/>
                <w:sz w:val="28"/>
                <w:szCs w:val="28"/>
                <w:u w:val="single"/>
                <w:lang w:val="en-US" w:eastAsia="zh-CN"/>
              </w:rPr>
              <w:t>阿勒泰地区本级</w:t>
            </w:r>
            <w:r>
              <w:rPr>
                <w:rFonts w:hint="eastAsia" w:ascii="仿宋" w:hAnsi="仿宋" w:eastAsia="仿宋" w:cs="仿宋"/>
                <w:spacing w:val="-8"/>
                <w:sz w:val="28"/>
                <w:szCs w:val="28"/>
                <w:highlight w:val="none"/>
                <w:u w:val="single"/>
                <w:lang w:val="en-US" w:eastAsia="zh-CN"/>
              </w:rPr>
              <w:t>2025-2027年度</w:t>
            </w:r>
            <w:r>
              <w:rPr>
                <w:rFonts w:hint="eastAsia" w:ascii="仿宋" w:hAnsi="仿宋" w:eastAsia="仿宋" w:cs="仿宋"/>
                <w:spacing w:val="-8"/>
                <w:sz w:val="28"/>
                <w:szCs w:val="28"/>
                <w:u w:val="single"/>
                <w:lang w:val="en-US" w:eastAsia="zh-CN"/>
              </w:rPr>
              <w:t>政府投资项目竣工财务决算审核服务框架协议采购</w:t>
            </w:r>
            <w:r>
              <w:rPr>
                <w:rFonts w:ascii="仿宋" w:hAnsi="仿宋" w:eastAsia="仿宋" w:cs="仿宋"/>
                <w:spacing w:val="-8"/>
                <w:sz w:val="28"/>
                <w:szCs w:val="28"/>
                <w:u w:val="none"/>
              </w:rPr>
              <w:t>征集项</w:t>
            </w:r>
            <w:r>
              <w:rPr>
                <w:rFonts w:ascii="仿宋" w:hAnsi="仿宋" w:eastAsia="仿宋" w:cs="仿宋"/>
                <w:spacing w:val="-19"/>
                <w:sz w:val="28"/>
                <w:szCs w:val="28"/>
                <w:u w:val="none"/>
              </w:rPr>
              <w:t>目</w:t>
            </w:r>
            <w:r>
              <w:rPr>
                <w:rFonts w:ascii="仿宋" w:hAnsi="仿宋" w:eastAsia="仿宋" w:cs="仿宋"/>
                <w:spacing w:val="-10"/>
                <w:sz w:val="28"/>
                <w:szCs w:val="28"/>
                <w:u w:val="none"/>
              </w:rPr>
              <w:t>的</w:t>
            </w:r>
            <w:r>
              <w:rPr>
                <w:rFonts w:ascii="仿宋" w:hAnsi="仿宋" w:eastAsia="仿宋" w:cs="仿宋"/>
                <w:spacing w:val="-10"/>
                <w:sz w:val="28"/>
                <w:szCs w:val="28"/>
              </w:rPr>
              <w:t>潜在供应商应在</w:t>
            </w:r>
            <w:r>
              <w:rPr>
                <w:rFonts w:hint="eastAsia" w:ascii="仿宋" w:hAnsi="仿宋" w:eastAsia="仿宋" w:cs="仿宋"/>
                <w:spacing w:val="-10"/>
                <w:sz w:val="28"/>
                <w:szCs w:val="28"/>
              </w:rPr>
              <w:t>“</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政府采购网</w:t>
            </w:r>
            <w:r>
              <w:rPr>
                <w:rFonts w:hint="eastAsia" w:ascii="仿宋" w:hAnsi="仿宋" w:eastAsia="仿宋" w:cs="仿宋"/>
                <w:spacing w:val="-10"/>
                <w:sz w:val="28"/>
                <w:szCs w:val="28"/>
                <w:u w:val="single"/>
              </w:rPr>
              <w:t>”</w:t>
            </w:r>
            <w:r>
              <w:rPr>
                <w:rFonts w:hint="eastAsia" w:ascii="仿宋" w:hAnsi="仿宋" w:eastAsia="仿宋" w:cs="仿宋"/>
                <w:spacing w:val="-10"/>
                <w:sz w:val="28"/>
                <w:szCs w:val="28"/>
              </w:rPr>
              <w:t>自行免费下载</w:t>
            </w:r>
            <w:r>
              <w:rPr>
                <w:rFonts w:ascii="仿宋" w:hAnsi="仿宋" w:eastAsia="仿宋" w:cs="仿宋"/>
                <w:spacing w:val="-10"/>
                <w:sz w:val="28"/>
                <w:szCs w:val="28"/>
              </w:rPr>
              <w:t>获取征集</w:t>
            </w:r>
            <w:r>
              <w:rPr>
                <w:rFonts w:ascii="仿宋" w:hAnsi="仿宋" w:eastAsia="仿宋" w:cs="仿宋"/>
                <w:spacing w:val="-18"/>
                <w:sz w:val="28"/>
                <w:szCs w:val="28"/>
              </w:rPr>
              <w:t>文件，</w:t>
            </w:r>
            <w:r>
              <w:rPr>
                <w:rFonts w:ascii="仿宋" w:hAnsi="仿宋" w:eastAsia="仿宋" w:cs="仿宋"/>
                <w:spacing w:val="-18"/>
                <w:sz w:val="28"/>
                <w:szCs w:val="28"/>
                <w:highlight w:val="none"/>
              </w:rPr>
              <w:t>并于</w:t>
            </w:r>
            <w:r>
              <w:rPr>
                <w:rFonts w:ascii="宋体" w:hAnsi="宋体" w:eastAsia="宋体" w:cs="宋体"/>
                <w:spacing w:val="-18"/>
                <w:sz w:val="28"/>
                <w:szCs w:val="28"/>
                <w:highlight w:val="none"/>
                <w:u w:val="single"/>
              </w:rPr>
              <w:t xml:space="preserve"> 202</w:t>
            </w:r>
            <w:r>
              <w:rPr>
                <w:rFonts w:hint="eastAsia" w:ascii="宋体" w:hAnsi="宋体" w:eastAsia="宋体" w:cs="宋体"/>
                <w:spacing w:val="-18"/>
                <w:sz w:val="28"/>
                <w:szCs w:val="28"/>
                <w:highlight w:val="none"/>
                <w:u w:val="single"/>
                <w:lang w:val="en-US" w:eastAsia="zh-CN"/>
              </w:rPr>
              <w:t>5</w:t>
            </w:r>
            <w:r>
              <w:rPr>
                <w:rFonts w:ascii="仿宋" w:hAnsi="仿宋" w:eastAsia="仿宋" w:cs="仿宋"/>
                <w:spacing w:val="-18"/>
                <w:sz w:val="28"/>
                <w:szCs w:val="28"/>
                <w:highlight w:val="none"/>
                <w:u w:val="single"/>
              </w:rPr>
              <w:t>年</w:t>
            </w:r>
            <w:r>
              <w:rPr>
                <w:rFonts w:hint="eastAsia" w:ascii="仿宋" w:hAnsi="仿宋" w:eastAsia="仿宋" w:cs="仿宋"/>
                <w:spacing w:val="-18"/>
                <w:sz w:val="28"/>
                <w:szCs w:val="28"/>
                <w:highlight w:val="none"/>
                <w:u w:val="single"/>
                <w:lang w:val="en-US" w:eastAsia="zh-CN"/>
              </w:rPr>
              <w:t>7</w:t>
            </w:r>
            <w:r>
              <w:rPr>
                <w:rFonts w:ascii="仿宋" w:hAnsi="仿宋" w:eastAsia="仿宋" w:cs="仿宋"/>
                <w:spacing w:val="-18"/>
                <w:sz w:val="28"/>
                <w:szCs w:val="28"/>
                <w:highlight w:val="none"/>
                <w:u w:val="single"/>
              </w:rPr>
              <w:t>月</w:t>
            </w:r>
            <w:r>
              <w:rPr>
                <w:rFonts w:hint="eastAsia" w:ascii="仿宋" w:hAnsi="仿宋" w:eastAsia="仿宋" w:cs="仿宋"/>
                <w:spacing w:val="-18"/>
                <w:sz w:val="28"/>
                <w:szCs w:val="28"/>
                <w:highlight w:val="none"/>
                <w:u w:val="single"/>
                <w:lang w:val="en-US" w:eastAsia="zh-CN"/>
              </w:rPr>
              <w:t>24</w:t>
            </w:r>
            <w:r>
              <w:rPr>
                <w:rFonts w:ascii="仿宋" w:hAnsi="仿宋" w:eastAsia="仿宋" w:cs="仿宋"/>
                <w:spacing w:val="-18"/>
                <w:sz w:val="28"/>
                <w:szCs w:val="28"/>
                <w:highlight w:val="none"/>
                <w:u w:val="single"/>
              </w:rPr>
              <w:t xml:space="preserve">日 </w:t>
            </w:r>
            <w:r>
              <w:rPr>
                <w:rFonts w:hint="eastAsia" w:ascii="宋体" w:hAnsi="宋体" w:eastAsia="宋体" w:cs="宋体"/>
                <w:spacing w:val="-18"/>
                <w:sz w:val="28"/>
                <w:szCs w:val="28"/>
                <w:highlight w:val="none"/>
                <w:u w:val="single"/>
              </w:rPr>
              <w:t>1</w:t>
            </w:r>
            <w:r>
              <w:rPr>
                <w:rFonts w:hint="eastAsia" w:ascii="宋体" w:hAnsi="宋体" w:eastAsia="宋体" w:cs="宋体"/>
                <w:spacing w:val="-18"/>
                <w:sz w:val="28"/>
                <w:szCs w:val="28"/>
                <w:highlight w:val="none"/>
                <w:u w:val="single"/>
                <w:lang w:val="en-US" w:eastAsia="zh-CN"/>
              </w:rPr>
              <w:t>0</w:t>
            </w:r>
            <w:r>
              <w:rPr>
                <w:rFonts w:ascii="宋体" w:hAnsi="宋体" w:eastAsia="宋体" w:cs="宋体"/>
                <w:spacing w:val="-18"/>
                <w:sz w:val="28"/>
                <w:szCs w:val="28"/>
                <w:highlight w:val="none"/>
                <w:u w:val="single"/>
              </w:rPr>
              <w:t>:</w:t>
            </w:r>
            <w:r>
              <w:rPr>
                <w:rFonts w:hint="eastAsia" w:ascii="宋体" w:hAnsi="宋体" w:eastAsia="宋体" w:cs="宋体"/>
                <w:spacing w:val="-18"/>
                <w:sz w:val="28"/>
                <w:szCs w:val="28"/>
                <w:highlight w:val="none"/>
                <w:u w:val="single"/>
                <w:lang w:val="en-US" w:eastAsia="zh-CN"/>
              </w:rPr>
              <w:t>3</w:t>
            </w:r>
            <w:r>
              <w:rPr>
                <w:rFonts w:ascii="宋体" w:hAnsi="宋体" w:eastAsia="宋体" w:cs="宋体"/>
                <w:spacing w:val="-18"/>
                <w:sz w:val="28"/>
                <w:szCs w:val="28"/>
                <w:highlight w:val="none"/>
                <w:u w:val="single"/>
              </w:rPr>
              <w:t xml:space="preserve">0 </w:t>
            </w:r>
            <w:r>
              <w:rPr>
                <w:rFonts w:ascii="宋体" w:hAnsi="宋体" w:eastAsia="宋体" w:cs="宋体"/>
                <w:spacing w:val="-18"/>
                <w:sz w:val="28"/>
                <w:szCs w:val="28"/>
                <w:highlight w:val="none"/>
              </w:rPr>
              <w:t xml:space="preserve"> （</w:t>
            </w:r>
            <w:r>
              <w:rPr>
                <w:rFonts w:ascii="仿宋" w:hAnsi="仿宋" w:eastAsia="仿宋" w:cs="仿宋"/>
                <w:spacing w:val="-18"/>
                <w:sz w:val="28"/>
                <w:szCs w:val="28"/>
              </w:rPr>
              <w:t>北京时间，下同）前递交响应文件</w:t>
            </w:r>
            <w:r>
              <w:rPr>
                <w:rFonts w:ascii="仿宋" w:hAnsi="仿宋" w:eastAsia="仿宋" w:cs="仿宋"/>
                <w:spacing w:val="-16"/>
                <w:sz w:val="28"/>
                <w:szCs w:val="28"/>
              </w:rPr>
              <w:t>。</w:t>
            </w:r>
          </w:p>
        </w:tc>
      </w:tr>
    </w:tbl>
    <w:p w14:paraId="00415FB3">
      <w:pPr>
        <w:pStyle w:val="4"/>
        <w:spacing w:line="360" w:lineRule="exact"/>
        <w:ind w:left="0"/>
      </w:pPr>
    </w:p>
    <w:p w14:paraId="0C7FADEE">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highlight w:val="none"/>
        </w:rPr>
      </w:pPr>
      <w:bookmarkStart w:id="4" w:name="_Toc29282"/>
      <w:r>
        <w:rPr>
          <w:rFonts w:hint="eastAsia" w:ascii="黑体" w:hAnsi="黑体" w:eastAsia="黑体" w:cs="黑体"/>
          <w:color w:val="auto"/>
          <w:sz w:val="28"/>
          <w:szCs w:val="28"/>
        </w:rPr>
        <w:t>一、项目基本情</w:t>
      </w:r>
      <w:r>
        <w:rPr>
          <w:rFonts w:hint="eastAsia" w:ascii="黑体" w:hAnsi="黑体" w:eastAsia="黑体" w:cs="黑体"/>
          <w:color w:val="auto"/>
          <w:sz w:val="28"/>
          <w:szCs w:val="28"/>
          <w:highlight w:val="none"/>
        </w:rPr>
        <w:t>况：</w:t>
      </w:r>
      <w:bookmarkEnd w:id="4"/>
    </w:p>
    <w:p w14:paraId="12D77AAF">
      <w:pPr>
        <w:numPr>
          <w:ilvl w:val="0"/>
          <w:numId w:val="3"/>
        </w:num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ADCG-XY2025-002号-2</w:t>
      </w:r>
      <w:r>
        <w:rPr>
          <w:rFonts w:hint="eastAsia" w:ascii="宋体" w:hAnsi="宋体" w:eastAsia="宋体" w:cs="宋体"/>
          <w:color w:val="auto"/>
          <w:sz w:val="24"/>
          <w:szCs w:val="24"/>
          <w:highlight w:val="none"/>
          <w:u w:val="none"/>
        </w:rPr>
        <w:t xml:space="preserve">                            </w:t>
      </w:r>
    </w:p>
    <w:p w14:paraId="023F542A">
      <w:pPr>
        <w:numPr>
          <w:ilvl w:val="0"/>
          <w:numId w:val="3"/>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阿勒泰地区本级</w:t>
      </w:r>
      <w:r>
        <w:rPr>
          <w:rFonts w:hint="eastAsia" w:ascii="仿宋" w:hAnsi="仿宋" w:eastAsia="仿宋" w:cs="仿宋"/>
          <w:spacing w:val="-8"/>
          <w:sz w:val="28"/>
          <w:szCs w:val="28"/>
          <w:highlight w:val="none"/>
          <w:u w:val="single"/>
          <w:lang w:val="en-US" w:eastAsia="zh-CN"/>
        </w:rPr>
        <w:t>2025-2027年</w:t>
      </w:r>
      <w:r>
        <w:rPr>
          <w:rFonts w:hint="eastAsia" w:ascii="宋体" w:hAnsi="宋体" w:eastAsia="宋体" w:cs="宋体"/>
          <w:color w:val="auto"/>
          <w:sz w:val="24"/>
          <w:szCs w:val="24"/>
          <w:highlight w:val="none"/>
          <w:lang w:val="en-US" w:eastAsia="zh-CN"/>
        </w:rPr>
        <w:t>度政府投资项目竣工财务决算审核服务框架协议采购</w:t>
      </w:r>
    </w:p>
    <w:p w14:paraId="50FDE873">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（详见招标文件）</w:t>
      </w:r>
    </w:p>
    <w:p w14:paraId="7DB297DF">
      <w:pPr>
        <w:numPr>
          <w:ilvl w:val="0"/>
          <w:numId w:val="0"/>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.采购需求：</w:t>
      </w:r>
      <w:r>
        <w:rPr>
          <w:rFonts w:hint="eastAsia" w:ascii="宋体" w:hAnsi="宋体" w:eastAsia="宋体" w:cs="宋体"/>
          <w:color w:val="auto"/>
          <w:sz w:val="24"/>
          <w:szCs w:val="24"/>
          <w:highlight w:val="none"/>
          <w:lang w:val="en-US" w:eastAsia="zh-CN"/>
        </w:rPr>
        <w:t>阿勒泰地区本级行政事业单位、国有企业建设项目竣工财务决算审核定点服务。</w:t>
      </w:r>
      <w:r>
        <w:rPr>
          <w:rFonts w:hint="eastAsia" w:ascii="宋体" w:hAnsi="宋体" w:eastAsia="宋体" w:cs="宋体"/>
          <w:color w:val="auto"/>
          <w:sz w:val="24"/>
          <w:szCs w:val="24"/>
        </w:rPr>
        <w:t>具体内容详见征集文件；</w:t>
      </w:r>
    </w:p>
    <w:p w14:paraId="2676F520">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.合同履行期限：</w:t>
      </w:r>
      <w:r>
        <w:rPr>
          <w:rFonts w:hint="eastAsia" w:ascii="宋体" w:hAnsi="宋体" w:eastAsia="宋体" w:cs="宋体"/>
          <w:color w:val="auto"/>
          <w:sz w:val="24"/>
          <w:szCs w:val="24"/>
          <w:highlight w:val="none"/>
        </w:rPr>
        <w:t>自封闭式框架协议签订之日起至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日。根据定点服务商的履约情况，有权对构成严重违约的定点服务商取消其服务资格，中止服务合同，违约服务商同时还应当承担违约及赔偿责任；</w:t>
      </w:r>
    </w:p>
    <w:p w14:paraId="55F7A20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.本项目不接受联合体投标；</w:t>
      </w:r>
    </w:p>
    <w:p w14:paraId="7A53253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.本项目不接受采购进口产品。</w:t>
      </w:r>
    </w:p>
    <w:p w14:paraId="70B59725">
      <w:pPr>
        <w:kinsoku/>
        <w:autoSpaceDE/>
        <w:autoSpaceDN/>
        <w:adjustRightInd/>
        <w:snapToGrid/>
        <w:spacing w:line="360" w:lineRule="auto"/>
        <w:ind w:firstLine="560" w:firstLineChars="200"/>
        <w:textAlignment w:val="auto"/>
        <w:outlineLvl w:val="1"/>
        <w:rPr>
          <w:rFonts w:ascii="黑体" w:hAnsi="黑体" w:eastAsia="黑体" w:cs="黑体"/>
          <w:color w:val="auto"/>
          <w:sz w:val="28"/>
          <w:szCs w:val="28"/>
        </w:rPr>
      </w:pPr>
      <w:bookmarkStart w:id="5" w:name="_Toc15854"/>
      <w:r>
        <w:rPr>
          <w:rFonts w:hint="eastAsia" w:ascii="黑体" w:hAnsi="黑体" w:eastAsia="黑体" w:cs="黑体"/>
          <w:color w:val="auto"/>
          <w:sz w:val="28"/>
          <w:szCs w:val="28"/>
        </w:rPr>
        <w:t>二、供应商资格要求：</w:t>
      </w:r>
      <w:bookmarkEnd w:id="5"/>
    </w:p>
    <w:p w14:paraId="7D428404">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D177AE1">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1.1法人或者其他组织的营业执照等证明文件，自然人的身份证明；</w:t>
      </w:r>
    </w:p>
    <w:p w14:paraId="40C8006B">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1.2最近一个年度的财务状况报告（成立不满一年不需提供）；</w:t>
      </w:r>
    </w:p>
    <w:p w14:paraId="6286F029">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3C365F50">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1.4具备履行合同所必需的设备和专业技术能力的证明材料；</w:t>
      </w:r>
    </w:p>
    <w:p w14:paraId="2FD8B9C1">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1.5参加政府采购活动前3年内在经营活动中没有重大违法记录的书面声明；</w:t>
      </w:r>
    </w:p>
    <w:p w14:paraId="28BF4AFA">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1.6未被“信用中国”网站（www.creditchina.gov.cn）、“中国政府采购网"(www.ccgp.gov.cn)列入失信被执行人、重大税收违法案件当事人名单、政府采购严重失信行为记录名单。（提供网页截图）；</w:t>
      </w:r>
    </w:p>
    <w:p w14:paraId="4CBE6FD4">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6ADCEBBF">
      <w:pPr>
        <w:spacing w:line="360" w:lineRule="auto"/>
        <w:ind w:firstLine="480" w:firstLineChars="200"/>
        <w:rPr>
          <w:rFonts w:hint="default"/>
          <w:lang w:val="en-US" w:eastAsia="zh-CN"/>
        </w:rPr>
      </w:pPr>
      <w:r>
        <w:rPr>
          <w:rFonts w:hint="eastAsia" w:ascii="宋体" w:hAnsi="宋体" w:eastAsia="宋体" w:cs="宋体"/>
          <w:color w:val="auto"/>
          <w:sz w:val="24"/>
          <w:szCs w:val="24"/>
          <w:highlight w:val="none"/>
          <w:lang w:val="en-US" w:eastAsia="zh-CN"/>
        </w:rPr>
        <w:t>3.本项目资格审查方式：资格后审</w:t>
      </w:r>
    </w:p>
    <w:p w14:paraId="008E1FBF">
      <w:pPr>
        <w:spacing w:line="48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入围供应商</w:t>
      </w:r>
      <w:bookmarkStart w:id="6" w:name="_Toc2032"/>
      <w:r>
        <w:rPr>
          <w:rFonts w:hint="eastAsia" w:ascii="宋体" w:hAnsi="宋体" w:eastAsia="宋体" w:cs="宋体"/>
          <w:color w:val="auto"/>
          <w:sz w:val="24"/>
          <w:szCs w:val="24"/>
          <w:highlight w:val="none"/>
          <w:lang w:val="en-US" w:eastAsia="zh-CN"/>
        </w:rPr>
        <w:t>营业执照包含会计或审计服务范围，项目负责人需持有注册会计师证书。</w:t>
      </w:r>
    </w:p>
    <w:p w14:paraId="31FD47DD">
      <w:pPr>
        <w:kinsoku/>
        <w:autoSpaceDE/>
        <w:autoSpaceDN/>
        <w:adjustRightInd/>
        <w:snapToGrid/>
        <w:spacing w:line="360" w:lineRule="auto"/>
        <w:ind w:firstLine="560" w:firstLineChars="200"/>
        <w:textAlignment w:val="auto"/>
        <w:rPr>
          <w:rFonts w:ascii="宋体" w:hAnsi="宋体" w:eastAsia="宋体" w:cs="宋体"/>
          <w:color w:val="auto"/>
          <w:sz w:val="24"/>
          <w:szCs w:val="24"/>
        </w:rPr>
      </w:pPr>
      <w:r>
        <w:rPr>
          <w:rFonts w:hint="eastAsia" w:ascii="黑体" w:hAnsi="黑体" w:eastAsia="黑体" w:cs="黑体"/>
          <w:color w:val="auto"/>
          <w:sz w:val="28"/>
          <w:szCs w:val="28"/>
        </w:rPr>
        <w:t>三、征集文件的获取：</w:t>
      </w:r>
      <w:bookmarkEnd w:id="6"/>
    </w:p>
    <w:p w14:paraId="795F98A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w:t>
      </w:r>
      <w:bookmarkStart w:id="49" w:name="_GoBack"/>
      <w:bookmarkEnd w:id="49"/>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w:t>
      </w:r>
    </w:p>
    <w:p w14:paraId="7ACBF9E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2.获取方式：供应商登陆政采云平台http://www.zcygov.cn</w:t>
      </w:r>
      <w:r>
        <w:rPr>
          <w:rFonts w:hint="default" w:ascii="宋体" w:hAnsi="宋体" w:eastAsia="宋体" w:cs="宋体"/>
          <w:color w:val="auto"/>
          <w:sz w:val="24"/>
          <w:szCs w:val="24"/>
        </w:rPr>
        <w:t>/</w:t>
      </w:r>
      <w:r>
        <w:rPr>
          <w:rFonts w:hint="eastAsia" w:ascii="宋体" w:hAnsi="宋体" w:eastAsia="宋体" w:cs="宋体"/>
          <w:color w:val="auto"/>
          <w:sz w:val="24"/>
          <w:szCs w:val="24"/>
        </w:rPr>
        <w:t>在线申请获取招标文件（登录政府采购云平台→项目采购→获取招标文件→申请，审核通过后可下载招标文件，如有操作性问题，可与政采云在线客服进行咨询，咨询电话：</w:t>
      </w:r>
      <w:r>
        <w:rPr>
          <w:rFonts w:hint="eastAsia" w:ascii="宋体" w:hAnsi="宋体" w:eastAsia="宋体" w:cs="宋体"/>
          <w:color w:val="auto"/>
          <w:sz w:val="24"/>
          <w:szCs w:val="24"/>
          <w:lang w:val="en-US" w:eastAsia="zh-CN"/>
        </w:rPr>
        <w:t>95673</w:t>
      </w:r>
      <w:r>
        <w:rPr>
          <w:rFonts w:hint="eastAsia" w:ascii="宋体" w:hAnsi="宋体" w:eastAsia="宋体" w:cs="宋体"/>
          <w:color w:val="auto"/>
          <w:sz w:val="24"/>
          <w:szCs w:val="24"/>
        </w:rPr>
        <w:t>）</w:t>
      </w:r>
    </w:p>
    <w:p w14:paraId="74A18AD9">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7" w:name="_Toc18024"/>
      <w:r>
        <w:rPr>
          <w:rFonts w:hint="eastAsia" w:ascii="黑体" w:hAnsi="黑体" w:eastAsia="黑体" w:cs="黑体"/>
          <w:color w:val="auto"/>
          <w:sz w:val="28"/>
          <w:szCs w:val="28"/>
        </w:rPr>
        <w:t>四、开启时间及地点：</w:t>
      </w:r>
      <w:bookmarkEnd w:id="7"/>
    </w:p>
    <w:p w14:paraId="6473251A">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1.开标时间：详见征集公告</w:t>
      </w:r>
    </w:p>
    <w:p w14:paraId="31FB471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2.开标地点：供应商在政采云平台https://www.zcygov.cn/不见面开标大厅远程参加开标活动</w:t>
      </w:r>
    </w:p>
    <w:p w14:paraId="26916A7C">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8" w:name="_Toc3638"/>
      <w:r>
        <w:rPr>
          <w:rFonts w:hint="eastAsia" w:ascii="黑体" w:hAnsi="黑体" w:eastAsia="黑体" w:cs="黑体"/>
          <w:color w:val="auto"/>
          <w:sz w:val="28"/>
          <w:szCs w:val="28"/>
        </w:rPr>
        <w:t>五、响应文件提交截止时间：</w:t>
      </w:r>
      <w:bookmarkEnd w:id="8"/>
    </w:p>
    <w:p w14:paraId="56DDEDC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同开启时间</w:t>
      </w:r>
    </w:p>
    <w:p w14:paraId="37CF6947">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9" w:name="_Toc25373"/>
      <w:r>
        <w:rPr>
          <w:rFonts w:hint="eastAsia" w:ascii="黑体" w:hAnsi="黑体" w:eastAsia="黑体" w:cs="黑体"/>
          <w:color w:val="auto"/>
          <w:sz w:val="28"/>
          <w:szCs w:val="28"/>
        </w:rPr>
        <w:t>六、公告期限：</w:t>
      </w:r>
      <w:bookmarkEnd w:id="9"/>
    </w:p>
    <w:p w14:paraId="7631ADF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41C82A6F">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10" w:name="_Toc32164"/>
      <w:r>
        <w:rPr>
          <w:rFonts w:hint="eastAsia" w:ascii="黑体" w:hAnsi="黑体" w:eastAsia="黑体" w:cs="黑体"/>
          <w:color w:val="auto"/>
          <w:sz w:val="28"/>
          <w:szCs w:val="28"/>
        </w:rPr>
        <w:t>七、其他事项说明：</w:t>
      </w:r>
      <w:bookmarkEnd w:id="10"/>
    </w:p>
    <w:p w14:paraId="530F700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1、本公告在新疆政府采购网</w:t>
      </w:r>
      <w:r>
        <w:rPr>
          <w:rFonts w:hint="eastAsia" w:ascii="宋体" w:hAnsi="宋体" w:eastAsia="宋体" w:cs="宋体"/>
          <w:color w:val="auto"/>
          <w:sz w:val="24"/>
          <w:szCs w:val="24"/>
          <w:lang w:eastAsia="zh-CN"/>
        </w:rPr>
        <w:t>（http://www.ccgp-xinjiang.gov.cn）</w:t>
      </w:r>
      <w:r>
        <w:rPr>
          <w:rFonts w:hint="eastAsia" w:ascii="宋体" w:hAnsi="宋体" w:eastAsia="宋体" w:cs="宋体"/>
          <w:color w:val="auto"/>
          <w:sz w:val="24"/>
          <w:szCs w:val="24"/>
        </w:rPr>
        <w:t xml:space="preserve">发布。 </w:t>
      </w:r>
    </w:p>
    <w:p w14:paraId="7348E8E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2、请各供应商随时关注本项目的变更、答疑、澄清文件。</w:t>
      </w:r>
    </w:p>
    <w:p w14:paraId="4F5A75E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3、本项目实行电子招投标，供应商须登录政采云平台申请获取</w:t>
      </w:r>
      <w:r>
        <w:rPr>
          <w:rFonts w:hint="eastAsia" w:ascii="宋体" w:hAnsi="宋体" w:eastAsia="宋体" w:cs="宋体"/>
          <w:color w:val="auto"/>
          <w:sz w:val="24"/>
          <w:szCs w:val="24"/>
          <w:lang w:val="en-US" w:eastAsia="zh-CN"/>
        </w:rPr>
        <w:t>征集</w:t>
      </w:r>
      <w:r>
        <w:rPr>
          <w:rFonts w:hint="eastAsia" w:ascii="宋体" w:hAnsi="宋体" w:eastAsia="宋体" w:cs="宋体"/>
          <w:color w:val="auto"/>
          <w:sz w:val="24"/>
          <w:szCs w:val="24"/>
        </w:rPr>
        <w:t>文件，并通过政采云电子投标客户端制作响应文件，同时自行承担与投标有关的一切费用。</w:t>
      </w:r>
    </w:p>
    <w:p w14:paraId="6EB9177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0DCD1D6">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0166171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6、本项目采用不见面开标，供应商须在投标截止时间前通过CA在政采云平台上传加密的电子响应文件。</w:t>
      </w:r>
    </w:p>
    <w:p w14:paraId="4D7D675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4CC78339">
      <w:pPr>
        <w:kinsoku/>
        <w:autoSpaceDE/>
        <w:autoSpaceDN/>
        <w:adjustRightInd/>
        <w:snapToGrid/>
        <w:spacing w:line="360" w:lineRule="auto"/>
        <w:ind w:firstLine="560" w:firstLineChars="200"/>
        <w:textAlignment w:val="auto"/>
        <w:outlineLvl w:val="1"/>
        <w:rPr>
          <w:rFonts w:ascii="宋体" w:hAnsi="宋体" w:eastAsia="宋体" w:cs="宋体"/>
          <w:color w:val="auto"/>
          <w:sz w:val="24"/>
          <w:szCs w:val="24"/>
        </w:rPr>
      </w:pPr>
      <w:bookmarkStart w:id="11" w:name="_Toc18382"/>
      <w:r>
        <w:rPr>
          <w:rFonts w:hint="eastAsia" w:ascii="黑体" w:hAnsi="黑体" w:eastAsia="黑体" w:cs="黑体"/>
          <w:color w:val="auto"/>
          <w:sz w:val="28"/>
          <w:szCs w:val="28"/>
        </w:rPr>
        <w:t>八、联系方式：</w:t>
      </w:r>
      <w:bookmarkEnd w:id="11"/>
    </w:p>
    <w:p w14:paraId="727506B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w:t>
      </w:r>
    </w:p>
    <w:p w14:paraId="322A0AB3">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征集人：阿勒泰地区财政局</w:t>
      </w:r>
    </w:p>
    <w:p w14:paraId="7EB1A95B">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址：阿勒泰市建业街86号</w:t>
      </w:r>
    </w:p>
    <w:p w14:paraId="3DA51DA0">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王海波                      </w:t>
      </w:r>
    </w:p>
    <w:p w14:paraId="2BFA3109">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0906-2165173                </w:t>
      </w:r>
    </w:p>
    <w:p w14:paraId="21FB6694">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：阿勒泰地区公共资源交易中心</w:t>
      </w:r>
    </w:p>
    <w:p w14:paraId="49E2149F">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址：阿勒泰市团结南路211号</w:t>
      </w:r>
    </w:p>
    <w:p w14:paraId="2B9A4936">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田老师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02FFEF6A">
      <w:pPr>
        <w:kinsoku/>
        <w:autoSpaceDE/>
        <w:autoSpaceDN/>
        <w:adjustRightInd/>
        <w:snapToGrid/>
        <w:spacing w:line="360" w:lineRule="auto"/>
        <w:ind w:firstLine="480" w:firstLineChars="200"/>
        <w:textAlignment w:val="auto"/>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0906-2195313</w:t>
      </w:r>
      <w:r>
        <w:rPr>
          <w:rFonts w:hint="eastAsia" w:ascii="宋体" w:hAnsi="宋体" w:eastAsia="宋体" w:cs="宋体"/>
          <w:color w:val="auto"/>
          <w:sz w:val="24"/>
          <w:szCs w:val="24"/>
          <w:u w:val="single"/>
        </w:rPr>
        <w:t xml:space="preserve">                 </w:t>
      </w:r>
    </w:p>
    <w:p w14:paraId="1B2C8FB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.政府采购监督管理部门</w:t>
      </w:r>
    </w:p>
    <w:p w14:paraId="4C40C877">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政府采购监督管理部门：</w:t>
      </w:r>
      <w:r>
        <w:rPr>
          <w:rFonts w:hint="eastAsia" w:ascii="宋体" w:hAnsi="宋体" w:eastAsia="宋体" w:cs="宋体"/>
          <w:color w:val="auto"/>
          <w:sz w:val="24"/>
          <w:szCs w:val="24"/>
          <w:lang w:eastAsia="zh-CN"/>
        </w:rPr>
        <w:t>阿勒泰地区财政局政府采购科</w:t>
      </w:r>
    </w:p>
    <w:p w14:paraId="4C81522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阿勒泰市建业街86号          </w:t>
      </w:r>
      <w:r>
        <w:rPr>
          <w:rFonts w:hint="eastAsia" w:ascii="宋体" w:hAnsi="宋体" w:eastAsia="宋体" w:cs="宋体"/>
          <w:color w:val="auto"/>
          <w:sz w:val="24"/>
          <w:szCs w:val="24"/>
        </w:rPr>
        <w:t xml:space="preserve">         </w:t>
      </w:r>
    </w:p>
    <w:p w14:paraId="3C1A4629">
      <w:pPr>
        <w:ind w:firstLine="480" w:firstLineChars="200"/>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0906-2165170</w:t>
      </w:r>
      <w:r>
        <w:rPr>
          <w:rFonts w:hint="eastAsia" w:ascii="宋体" w:hAnsi="宋体" w:eastAsia="宋体" w:cs="宋体"/>
          <w:color w:val="auto"/>
          <w:sz w:val="24"/>
          <w:szCs w:val="24"/>
          <w:u w:val="single"/>
        </w:rPr>
        <w:t xml:space="preserve">              </w:t>
      </w:r>
      <w:r>
        <w:br w:type="page"/>
      </w:r>
    </w:p>
    <w:p w14:paraId="32836DF0">
      <w:pPr>
        <w:spacing w:line="290" w:lineRule="auto"/>
      </w:pPr>
    </w:p>
    <w:p w14:paraId="4AFF6D1E">
      <w:pPr>
        <w:spacing w:before="91" w:line="220" w:lineRule="auto"/>
        <w:jc w:val="center"/>
        <w:outlineLvl w:val="0"/>
        <w:rPr>
          <w:rFonts w:ascii="宋体" w:hAnsi="宋体" w:eastAsia="宋体" w:cs="宋体"/>
          <w:b/>
          <w:bCs/>
          <w:sz w:val="32"/>
          <w:szCs w:val="32"/>
        </w:rPr>
      </w:pPr>
      <w:bookmarkStart w:id="12" w:name="_bookmark2"/>
      <w:bookmarkEnd w:id="12"/>
      <w:bookmarkStart w:id="13" w:name="_Toc11198"/>
      <w:r>
        <w:rPr>
          <w:rFonts w:ascii="宋体" w:hAnsi="宋体" w:eastAsia="宋体" w:cs="宋体"/>
          <w:b/>
          <w:bCs/>
          <w:sz w:val="32"/>
          <w:szCs w:val="32"/>
        </w:rPr>
        <w:t>第二章  供应商须知</w:t>
      </w:r>
      <w:bookmarkEnd w:id="13"/>
    </w:p>
    <w:p w14:paraId="79CD09B1">
      <w:pPr>
        <w:spacing w:before="264" w:line="394" w:lineRule="exact"/>
        <w:jc w:val="center"/>
        <w:outlineLvl w:val="1"/>
        <w:rPr>
          <w:rFonts w:ascii="宋体" w:hAnsi="宋体" w:eastAsia="宋体" w:cs="宋体"/>
          <w:sz w:val="23"/>
          <w:szCs w:val="23"/>
        </w:rPr>
      </w:pPr>
      <w:bookmarkStart w:id="14" w:name="_Toc18832"/>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4"/>
    </w:p>
    <w:tbl>
      <w:tblPr>
        <w:tblStyle w:val="30"/>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14:paraId="0881E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95" w:type="dxa"/>
          </w:tcPr>
          <w:p w14:paraId="1F3F4DBF">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14:paraId="2D03318B">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14:paraId="7B3DD580">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14:paraId="64352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16051B8C">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14:paraId="0C30DC3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14:paraId="39065D59">
            <w:pPr>
              <w:spacing w:before="196" w:line="227" w:lineRule="auto"/>
              <w:rPr>
                <w:rFonts w:ascii="宋体" w:hAnsi="宋体" w:eastAsia="宋体" w:cs="宋体"/>
                <w:sz w:val="24"/>
                <w:szCs w:val="24"/>
                <w:highlight w:val="none"/>
                <w:u w:val="single"/>
              </w:rPr>
            </w:pPr>
            <w:r>
              <w:rPr>
                <w:rFonts w:hint="eastAsia" w:ascii="宋体" w:hAnsi="宋体" w:eastAsia="宋体" w:cs="宋体"/>
                <w:color w:val="auto"/>
                <w:sz w:val="24"/>
                <w:szCs w:val="24"/>
                <w:highlight w:val="none"/>
                <w:u w:val="none"/>
                <w:lang w:val="en-US" w:eastAsia="zh-CN"/>
              </w:rPr>
              <w:t>ADCG-XY2025-002号-2</w:t>
            </w:r>
            <w:r>
              <w:rPr>
                <w:rFonts w:hint="eastAsia" w:ascii="宋体" w:hAnsi="宋体" w:eastAsia="宋体" w:cs="宋体"/>
                <w:color w:val="auto"/>
                <w:sz w:val="24"/>
                <w:szCs w:val="24"/>
                <w:highlight w:val="none"/>
                <w:u w:val="none"/>
              </w:rPr>
              <w:t xml:space="preserve">   </w:t>
            </w:r>
          </w:p>
        </w:tc>
      </w:tr>
      <w:tr w14:paraId="4396A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95" w:type="dxa"/>
            <w:vAlign w:val="center"/>
          </w:tcPr>
          <w:p w14:paraId="347394CC">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14:paraId="7A3E737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14:paraId="7C9BADA2">
            <w:pPr>
              <w:numPr>
                <w:ilvl w:val="0"/>
                <w:numId w:val="0"/>
              </w:numPr>
              <w:kinsoku/>
              <w:autoSpaceDE/>
              <w:autoSpaceDN/>
              <w:adjustRightInd/>
              <w:snapToGrid/>
              <w:spacing w:line="360" w:lineRule="auto"/>
              <w:textAlignment w:val="auto"/>
              <w:rPr>
                <w:rFonts w:ascii="宋体" w:hAnsi="宋体" w:eastAsia="宋体" w:cs="宋体"/>
                <w:sz w:val="23"/>
                <w:szCs w:val="23"/>
                <w:highlight w:val="none"/>
              </w:rPr>
            </w:pPr>
            <w:r>
              <w:rPr>
                <w:rFonts w:hint="eastAsia" w:ascii="宋体" w:hAnsi="宋体" w:eastAsia="宋体" w:cs="宋体"/>
                <w:sz w:val="23"/>
                <w:szCs w:val="23"/>
                <w:lang w:val="en-US" w:eastAsia="zh-CN"/>
              </w:rPr>
              <w:t>阿勒泰地区本级2025-2027年度政府投资项目竣工财务决算审核服务框架协议采购</w:t>
            </w:r>
          </w:p>
        </w:tc>
      </w:tr>
      <w:tr w14:paraId="52754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895" w:type="dxa"/>
            <w:vAlign w:val="center"/>
          </w:tcPr>
          <w:p w14:paraId="098E62C5">
            <w:pPr>
              <w:spacing w:before="196" w:line="227" w:lineRule="auto"/>
              <w:ind w:left="116"/>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14:paraId="3E2CD55B">
            <w:pPr>
              <w:spacing w:before="196" w:line="227" w:lineRule="auto"/>
              <w:ind w:left="116"/>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征集人</w:t>
            </w:r>
          </w:p>
        </w:tc>
        <w:tc>
          <w:tcPr>
            <w:tcW w:w="6794" w:type="dxa"/>
          </w:tcPr>
          <w:p w14:paraId="4D030922">
            <w:pPr>
              <w:spacing w:before="196" w:line="227" w:lineRule="auto"/>
              <w:ind w:left="116"/>
              <w:jc w:val="both"/>
              <w:rPr>
                <w:rFonts w:hint="eastAsia" w:ascii="宋体" w:hAnsi="宋体" w:eastAsia="宋体" w:cs="宋体"/>
                <w:b/>
                <w:bCs/>
                <w:spacing w:val="6"/>
                <w:sz w:val="24"/>
                <w:szCs w:val="24"/>
                <w:lang w:val="en-US" w:eastAsia="zh-CN"/>
              </w:rPr>
            </w:pPr>
            <w:r>
              <w:rPr>
                <w:rFonts w:hint="eastAsia" w:ascii="宋体" w:hAnsi="宋体" w:eastAsia="宋体" w:cs="宋体"/>
                <w:sz w:val="23"/>
                <w:szCs w:val="23"/>
                <w:lang w:val="en-US" w:eastAsia="zh-CN"/>
              </w:rPr>
              <w:t>阿勒泰地区财政局</w:t>
            </w:r>
          </w:p>
        </w:tc>
      </w:tr>
      <w:tr w14:paraId="4F08C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51F771F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14:paraId="5A897BF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采购方式</w:t>
            </w:r>
          </w:p>
        </w:tc>
        <w:tc>
          <w:tcPr>
            <w:tcW w:w="6794" w:type="dxa"/>
          </w:tcPr>
          <w:p w14:paraId="4500137A">
            <w:pPr>
              <w:spacing w:before="194" w:line="227" w:lineRule="auto"/>
              <w:ind w:left="118"/>
              <w:rPr>
                <w:rFonts w:ascii="宋体" w:hAnsi="宋体" w:eastAsia="宋体" w:cs="宋体"/>
                <w:sz w:val="23"/>
                <w:szCs w:val="23"/>
              </w:rPr>
            </w:pPr>
            <w:r>
              <w:rPr>
                <w:rFonts w:hint="eastAsia" w:ascii="宋体" w:hAnsi="宋体" w:eastAsia="宋体" w:cs="宋体"/>
                <w:sz w:val="23"/>
                <w:szCs w:val="23"/>
              </w:rPr>
              <w:t>封闭式框架协议采购</w:t>
            </w:r>
          </w:p>
        </w:tc>
      </w:tr>
      <w:tr w14:paraId="296DE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14:paraId="57FBCC5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14:paraId="33FEC866">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政府采购监督管理</w:t>
            </w:r>
          </w:p>
          <w:p w14:paraId="04D7A99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部门</w:t>
            </w:r>
          </w:p>
        </w:tc>
        <w:tc>
          <w:tcPr>
            <w:tcW w:w="6794" w:type="dxa"/>
          </w:tcPr>
          <w:p w14:paraId="4A150933">
            <w:pPr>
              <w:rPr>
                <w:rFonts w:ascii="宋体" w:hAnsi="宋体" w:eastAsia="宋体" w:cs="宋体"/>
                <w:sz w:val="23"/>
                <w:szCs w:val="23"/>
              </w:rPr>
            </w:pPr>
          </w:p>
          <w:p w14:paraId="476B9749">
            <w:pPr>
              <w:spacing w:before="75" w:line="227" w:lineRule="auto"/>
              <w:ind w:left="118"/>
              <w:rPr>
                <w:rFonts w:hint="eastAsia" w:ascii="宋体" w:hAnsi="宋体" w:eastAsia="宋体" w:cs="宋体"/>
                <w:sz w:val="23"/>
                <w:szCs w:val="23"/>
                <w:lang w:eastAsia="zh-CN"/>
              </w:rPr>
            </w:pPr>
            <w:r>
              <w:rPr>
                <w:rFonts w:hint="eastAsia" w:ascii="宋体" w:hAnsi="宋体" w:eastAsia="宋体" w:cs="宋体"/>
                <w:spacing w:val="9"/>
                <w:sz w:val="23"/>
                <w:szCs w:val="23"/>
                <w:lang w:eastAsia="zh-CN"/>
              </w:rPr>
              <w:t>阿勒泰地区财政局政府采购科</w:t>
            </w:r>
          </w:p>
        </w:tc>
      </w:tr>
      <w:tr w14:paraId="49A3E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95" w:type="dxa"/>
            <w:vAlign w:val="center"/>
          </w:tcPr>
          <w:p w14:paraId="6889B33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14:paraId="761295C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操作模式</w:t>
            </w:r>
          </w:p>
        </w:tc>
        <w:tc>
          <w:tcPr>
            <w:tcW w:w="6794" w:type="dxa"/>
          </w:tcPr>
          <w:p w14:paraId="32302C20">
            <w:pPr>
              <w:spacing w:before="196" w:line="227" w:lineRule="auto"/>
              <w:ind w:left="118"/>
              <w:rPr>
                <w:rFonts w:ascii="宋体" w:hAnsi="宋体" w:eastAsia="宋体" w:cs="宋体"/>
                <w:sz w:val="23"/>
                <w:szCs w:val="23"/>
              </w:rPr>
            </w:pPr>
            <w:r>
              <w:rPr>
                <w:rFonts w:hint="eastAsia" w:ascii="宋体" w:hAnsi="宋体" w:eastAsia="宋体" w:cs="宋体"/>
                <w:sz w:val="23"/>
                <w:szCs w:val="23"/>
              </w:rPr>
              <w:t>本项目实行全流程电子化操作，供应商应按照平台要求，熟悉并完成网上所有操作流程。</w:t>
            </w:r>
          </w:p>
        </w:tc>
      </w:tr>
      <w:tr w14:paraId="29E2B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95" w:type="dxa"/>
            <w:vAlign w:val="center"/>
          </w:tcPr>
          <w:p w14:paraId="444F526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14:paraId="6A1D679C">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响应截止时间</w:t>
            </w:r>
          </w:p>
        </w:tc>
        <w:tc>
          <w:tcPr>
            <w:tcW w:w="6794" w:type="dxa"/>
          </w:tcPr>
          <w:p w14:paraId="15086BCD">
            <w:pPr>
              <w:tabs>
                <w:tab w:val="left" w:pos="236"/>
              </w:tabs>
              <w:spacing w:before="197" w:line="227" w:lineRule="auto"/>
              <w:ind w:left="103"/>
              <w:rPr>
                <w:rFonts w:ascii="宋体" w:hAnsi="宋体" w:eastAsia="宋体" w:cs="宋体"/>
                <w:sz w:val="23"/>
                <w:szCs w:val="23"/>
              </w:rPr>
            </w:pPr>
            <w:r>
              <w:rPr>
                <w:rFonts w:ascii="宋体" w:hAnsi="宋体" w:eastAsia="宋体" w:cs="宋体"/>
                <w:spacing w:val="-22"/>
                <w:sz w:val="23"/>
                <w:szCs w:val="23"/>
                <w:highlight w:val="none"/>
                <w:u w:val="single"/>
              </w:rPr>
              <w:t>2</w:t>
            </w:r>
            <w:r>
              <w:rPr>
                <w:rFonts w:ascii="宋体" w:hAnsi="宋体" w:eastAsia="宋体" w:cs="宋体"/>
                <w:spacing w:val="-17"/>
                <w:sz w:val="23"/>
                <w:szCs w:val="23"/>
                <w:highlight w:val="none"/>
                <w:u w:val="single"/>
              </w:rPr>
              <w:t>0</w:t>
            </w:r>
            <w:r>
              <w:rPr>
                <w:rFonts w:ascii="宋体" w:hAnsi="宋体" w:eastAsia="宋体" w:cs="宋体"/>
                <w:spacing w:val="-11"/>
                <w:sz w:val="23"/>
                <w:szCs w:val="23"/>
                <w:highlight w:val="none"/>
                <w:u w:val="single"/>
              </w:rPr>
              <w:t>2</w:t>
            </w:r>
            <w:r>
              <w:rPr>
                <w:rFonts w:hint="eastAsia" w:ascii="宋体" w:hAnsi="宋体" w:eastAsia="宋体" w:cs="宋体"/>
                <w:spacing w:val="-11"/>
                <w:sz w:val="23"/>
                <w:szCs w:val="23"/>
                <w:highlight w:val="none"/>
                <w:u w:val="single"/>
                <w:lang w:val="en-US" w:eastAsia="zh-CN"/>
              </w:rPr>
              <w:t>5</w:t>
            </w:r>
            <w:r>
              <w:rPr>
                <w:rFonts w:ascii="宋体" w:hAnsi="宋体" w:eastAsia="宋体" w:cs="宋体"/>
                <w:spacing w:val="-11"/>
                <w:sz w:val="23"/>
                <w:szCs w:val="23"/>
                <w:highlight w:val="none"/>
                <w:u w:val="single"/>
              </w:rPr>
              <w:t xml:space="preserve"> </w:t>
            </w:r>
            <w:r>
              <w:rPr>
                <w:rFonts w:ascii="宋体" w:hAnsi="宋体" w:eastAsia="宋体" w:cs="宋体"/>
                <w:spacing w:val="-11"/>
                <w:sz w:val="23"/>
                <w:szCs w:val="23"/>
                <w:highlight w:val="none"/>
              </w:rPr>
              <w:t xml:space="preserve">年 </w:t>
            </w:r>
            <w:r>
              <w:rPr>
                <w:rFonts w:ascii="宋体" w:hAnsi="宋体" w:eastAsia="宋体" w:cs="宋体"/>
                <w:spacing w:val="-11"/>
                <w:sz w:val="23"/>
                <w:szCs w:val="23"/>
                <w:highlight w:val="none"/>
                <w:u w:val="single"/>
              </w:rPr>
              <w:t xml:space="preserve"> </w:t>
            </w:r>
            <w:r>
              <w:rPr>
                <w:rFonts w:hint="eastAsia" w:ascii="宋体" w:hAnsi="宋体" w:eastAsia="宋体" w:cs="宋体"/>
                <w:spacing w:val="-11"/>
                <w:sz w:val="23"/>
                <w:szCs w:val="23"/>
                <w:highlight w:val="none"/>
                <w:u w:val="single"/>
                <w:lang w:val="en-US" w:eastAsia="zh-CN"/>
              </w:rPr>
              <w:t>7</w:t>
            </w:r>
            <w:r>
              <w:rPr>
                <w:rFonts w:ascii="宋体" w:hAnsi="宋体" w:eastAsia="宋体" w:cs="宋体"/>
                <w:spacing w:val="-11"/>
                <w:sz w:val="23"/>
                <w:szCs w:val="23"/>
                <w:highlight w:val="none"/>
                <w:u w:val="single"/>
              </w:rPr>
              <w:t xml:space="preserve"> </w:t>
            </w:r>
            <w:r>
              <w:rPr>
                <w:rFonts w:ascii="宋体" w:hAnsi="宋体" w:eastAsia="宋体" w:cs="宋体"/>
                <w:spacing w:val="-11"/>
                <w:sz w:val="23"/>
                <w:szCs w:val="23"/>
              </w:rPr>
              <w:t xml:space="preserve">月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24</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 xml:space="preserve"> 日</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10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时</w:t>
            </w:r>
            <w:r>
              <w:rPr>
                <w:rFonts w:ascii="宋体" w:hAnsi="宋体" w:eastAsia="宋体" w:cs="宋体"/>
                <w:spacing w:val="-11"/>
                <w:sz w:val="23"/>
                <w:szCs w:val="23"/>
                <w:u w:val="single"/>
              </w:rPr>
              <w:t xml:space="preserve"> </w:t>
            </w:r>
            <w:r>
              <w:rPr>
                <w:rFonts w:hint="eastAsia" w:ascii="宋体" w:hAnsi="宋体" w:eastAsia="宋体" w:cs="宋体"/>
                <w:spacing w:val="-11"/>
                <w:sz w:val="23"/>
                <w:szCs w:val="23"/>
                <w:u w:val="single"/>
                <w:lang w:val="en-US" w:eastAsia="zh-CN"/>
              </w:rPr>
              <w:t>30</w:t>
            </w:r>
            <w:r>
              <w:rPr>
                <w:rFonts w:hint="eastAsia" w:ascii="宋体" w:hAnsi="宋体" w:eastAsia="宋体" w:cs="宋体"/>
                <w:spacing w:val="-11"/>
                <w:sz w:val="23"/>
                <w:szCs w:val="23"/>
                <w:u w:val="single"/>
              </w:rPr>
              <w:t xml:space="preserve"> </w:t>
            </w:r>
            <w:r>
              <w:rPr>
                <w:rFonts w:ascii="宋体" w:hAnsi="宋体" w:eastAsia="宋体" w:cs="宋体"/>
                <w:spacing w:val="-11"/>
                <w:sz w:val="23"/>
                <w:szCs w:val="23"/>
                <w:u w:val="single"/>
              </w:rPr>
              <w:t xml:space="preserve"> </w:t>
            </w:r>
            <w:r>
              <w:rPr>
                <w:rFonts w:ascii="宋体" w:hAnsi="宋体" w:eastAsia="宋体" w:cs="宋体"/>
                <w:spacing w:val="-11"/>
                <w:sz w:val="23"/>
                <w:szCs w:val="23"/>
              </w:rPr>
              <w:t>分</w:t>
            </w:r>
          </w:p>
        </w:tc>
      </w:tr>
      <w:tr w14:paraId="368A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773DFE4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14:paraId="56EB3AF7">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服务期限</w:t>
            </w:r>
          </w:p>
        </w:tc>
        <w:tc>
          <w:tcPr>
            <w:tcW w:w="6794" w:type="dxa"/>
          </w:tcPr>
          <w:p w14:paraId="3BCE4A17">
            <w:pPr>
              <w:spacing w:before="196" w:line="227" w:lineRule="auto"/>
              <w:ind w:left="118"/>
              <w:rPr>
                <w:rFonts w:ascii="宋体" w:hAnsi="宋体" w:eastAsia="宋体" w:cs="宋体"/>
                <w:sz w:val="23"/>
                <w:szCs w:val="23"/>
              </w:rPr>
            </w:pPr>
            <w:r>
              <w:rPr>
                <w:rFonts w:hint="eastAsia" w:ascii="宋体" w:hAnsi="宋体" w:eastAsia="宋体" w:cs="宋体"/>
                <w:sz w:val="23"/>
                <w:szCs w:val="23"/>
              </w:rPr>
              <w:t>自封闭式框架协议签订之日起至</w:t>
            </w:r>
            <w:r>
              <w:rPr>
                <w:rFonts w:hint="eastAsia" w:ascii="宋体" w:hAnsi="宋体" w:eastAsia="宋体" w:cs="宋体"/>
                <w:sz w:val="23"/>
                <w:szCs w:val="23"/>
                <w:highlight w:val="none"/>
              </w:rPr>
              <w:t xml:space="preserve"> </w:t>
            </w:r>
            <w:r>
              <w:rPr>
                <w:rFonts w:hint="eastAsia" w:ascii="宋体" w:hAnsi="宋体" w:eastAsia="宋体" w:cs="宋体"/>
                <w:sz w:val="23"/>
                <w:szCs w:val="23"/>
                <w:highlight w:val="none"/>
                <w:u w:val="single"/>
              </w:rPr>
              <w:t>202</w:t>
            </w:r>
            <w:r>
              <w:rPr>
                <w:rFonts w:hint="eastAsia" w:ascii="宋体" w:hAnsi="宋体" w:eastAsia="宋体" w:cs="宋体"/>
                <w:sz w:val="23"/>
                <w:szCs w:val="23"/>
                <w:highlight w:val="none"/>
                <w:u w:val="single"/>
                <w:lang w:val="en-US" w:eastAsia="zh-CN"/>
              </w:rPr>
              <w:t>7</w:t>
            </w:r>
            <w:r>
              <w:rPr>
                <w:rFonts w:hint="eastAsia" w:ascii="宋体" w:hAnsi="宋体" w:eastAsia="宋体" w:cs="宋体"/>
                <w:sz w:val="23"/>
                <w:szCs w:val="23"/>
                <w:highlight w:val="none"/>
              </w:rPr>
              <w:t xml:space="preserve"> 年</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u w:val="single"/>
                <w:lang w:val="en-US" w:eastAsia="zh-CN"/>
              </w:rPr>
              <w:t>7</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rPr>
              <w:t>月</w:t>
            </w:r>
            <w:r>
              <w:rPr>
                <w:rFonts w:hint="eastAsia" w:ascii="宋体" w:hAnsi="宋体" w:eastAsia="宋体" w:cs="宋体"/>
                <w:sz w:val="23"/>
                <w:szCs w:val="23"/>
                <w:highlight w:val="none"/>
                <w:u w:val="single"/>
              </w:rPr>
              <w:t xml:space="preserve"> 3</w:t>
            </w:r>
            <w:r>
              <w:rPr>
                <w:rFonts w:hint="eastAsia" w:ascii="宋体" w:hAnsi="宋体" w:eastAsia="宋体" w:cs="宋体"/>
                <w:sz w:val="23"/>
                <w:szCs w:val="23"/>
                <w:highlight w:val="none"/>
                <w:u w:val="single"/>
                <w:lang w:val="en-US" w:eastAsia="zh-CN"/>
              </w:rPr>
              <w:t>1</w:t>
            </w:r>
            <w:r>
              <w:rPr>
                <w:rFonts w:hint="eastAsia" w:ascii="宋体" w:hAnsi="宋体" w:eastAsia="宋体" w:cs="宋体"/>
                <w:sz w:val="23"/>
                <w:szCs w:val="23"/>
                <w:highlight w:val="none"/>
                <w:u w:val="single"/>
              </w:rPr>
              <w:t xml:space="preserve"> </w:t>
            </w:r>
            <w:r>
              <w:rPr>
                <w:rFonts w:hint="eastAsia" w:ascii="宋体" w:hAnsi="宋体" w:eastAsia="宋体" w:cs="宋体"/>
                <w:sz w:val="23"/>
                <w:szCs w:val="23"/>
                <w:highlight w:val="none"/>
              </w:rPr>
              <w:t>日。</w:t>
            </w:r>
            <w:r>
              <w:rPr>
                <w:rFonts w:hint="eastAsia" w:ascii="宋体" w:hAnsi="宋体" w:eastAsia="宋体" w:cs="宋体"/>
                <w:sz w:val="23"/>
                <w:szCs w:val="23"/>
              </w:rPr>
              <w:t>根据定点服务商的履约情况，有权对构成严重违约的定点服务商取消其服务资格，</w:t>
            </w:r>
            <w:r>
              <w:rPr>
                <w:rFonts w:hint="default" w:ascii="宋体" w:hAnsi="宋体" w:eastAsia="宋体" w:cs="宋体"/>
                <w:sz w:val="23"/>
                <w:szCs w:val="23"/>
              </w:rPr>
              <w:t>终止</w:t>
            </w:r>
            <w:r>
              <w:rPr>
                <w:rFonts w:hint="eastAsia" w:ascii="宋体" w:hAnsi="宋体" w:eastAsia="宋体" w:cs="宋体"/>
                <w:sz w:val="23"/>
                <w:szCs w:val="23"/>
              </w:rPr>
              <w:t>服务合同，违约服务商同时还应当承担违约及赔偿责任；</w:t>
            </w:r>
          </w:p>
        </w:tc>
      </w:tr>
      <w:tr w14:paraId="4626F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0BF6FB5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14:paraId="79E734CB">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响应文件有效期</w:t>
            </w:r>
          </w:p>
        </w:tc>
        <w:tc>
          <w:tcPr>
            <w:tcW w:w="6794" w:type="dxa"/>
          </w:tcPr>
          <w:p w14:paraId="60147CE5">
            <w:pPr>
              <w:tabs>
                <w:tab w:val="left" w:pos="370"/>
              </w:tabs>
              <w:spacing w:before="197" w:line="230" w:lineRule="auto"/>
              <w:ind w:left="103"/>
              <w:rPr>
                <w:rFonts w:ascii="宋体" w:hAnsi="宋体" w:eastAsia="宋体" w:cs="宋体"/>
                <w:sz w:val="23"/>
                <w:szCs w:val="23"/>
              </w:rPr>
            </w:pPr>
            <w:r>
              <w:rPr>
                <w:rFonts w:hint="eastAsia" w:ascii="宋体" w:hAnsi="宋体" w:eastAsia="宋体" w:cs="宋体"/>
                <w:spacing w:val="-16"/>
                <w:sz w:val="23"/>
                <w:szCs w:val="23"/>
                <w:u w:val="single"/>
                <w:lang w:val="en-US" w:eastAsia="zh-CN"/>
              </w:rPr>
              <w:t>90</w:t>
            </w:r>
            <w:r>
              <w:rPr>
                <w:rFonts w:ascii="宋体" w:hAnsi="宋体" w:eastAsia="宋体" w:cs="宋体"/>
                <w:spacing w:val="-9"/>
                <w:sz w:val="23"/>
                <w:szCs w:val="23"/>
                <w:u w:val="single"/>
              </w:rPr>
              <w:t xml:space="preserve"> </w:t>
            </w:r>
            <w:r>
              <w:rPr>
                <w:rFonts w:ascii="宋体" w:hAnsi="宋体" w:eastAsia="宋体" w:cs="宋体"/>
                <w:spacing w:val="-9"/>
                <w:sz w:val="23"/>
                <w:szCs w:val="23"/>
              </w:rPr>
              <w:t xml:space="preserve"> 日历日</w:t>
            </w:r>
          </w:p>
        </w:tc>
      </w:tr>
      <w:tr w14:paraId="68FC9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2AFC911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74" w:type="dxa"/>
            <w:vAlign w:val="center"/>
          </w:tcPr>
          <w:p w14:paraId="06E31F0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响应文件要求</w:t>
            </w:r>
          </w:p>
        </w:tc>
        <w:tc>
          <w:tcPr>
            <w:tcW w:w="6794" w:type="dxa"/>
          </w:tcPr>
          <w:p w14:paraId="47F8B84A">
            <w:pPr>
              <w:spacing w:before="196" w:line="227" w:lineRule="auto"/>
              <w:ind w:left="113"/>
              <w:rPr>
                <w:rFonts w:ascii="宋体" w:hAnsi="宋体" w:eastAsia="宋体" w:cs="宋体"/>
                <w:sz w:val="23"/>
                <w:szCs w:val="23"/>
              </w:rPr>
            </w:pPr>
            <w:r>
              <w:rPr>
                <w:rFonts w:ascii="宋体" w:hAnsi="宋体" w:eastAsia="宋体" w:cs="宋体"/>
                <w:spacing w:val="9"/>
                <w:sz w:val="23"/>
                <w:szCs w:val="23"/>
                <w:u w:val="single"/>
              </w:rPr>
              <w:t>加密电子响应文</w:t>
            </w:r>
            <w:r>
              <w:rPr>
                <w:rFonts w:ascii="宋体" w:hAnsi="宋体" w:eastAsia="宋体" w:cs="宋体"/>
                <w:spacing w:val="7"/>
                <w:sz w:val="23"/>
                <w:szCs w:val="23"/>
                <w:u w:val="single"/>
              </w:rPr>
              <w:t>件</w:t>
            </w:r>
          </w:p>
        </w:tc>
      </w:tr>
      <w:tr w14:paraId="16A14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14:paraId="41E1F32E">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74" w:type="dxa"/>
            <w:vAlign w:val="center"/>
          </w:tcPr>
          <w:p w14:paraId="3DF1F07C">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响应文件解密时间</w:t>
            </w:r>
          </w:p>
        </w:tc>
        <w:tc>
          <w:tcPr>
            <w:tcW w:w="6794" w:type="dxa"/>
          </w:tcPr>
          <w:p w14:paraId="0D9AE981">
            <w:pPr>
              <w:spacing w:before="115" w:line="322" w:lineRule="auto"/>
              <w:ind w:left="125"/>
              <w:rPr>
                <w:rFonts w:ascii="宋体" w:hAnsi="宋体" w:eastAsia="宋体" w:cs="宋体"/>
                <w:sz w:val="23"/>
                <w:szCs w:val="23"/>
              </w:rPr>
            </w:pPr>
            <w:r>
              <w:rPr>
                <w:rFonts w:ascii="宋体" w:hAnsi="宋体" w:eastAsia="宋体" w:cs="宋体"/>
                <w:spacing w:val="8"/>
                <w:sz w:val="23"/>
                <w:szCs w:val="23"/>
                <w:u w:val="single"/>
              </w:rPr>
              <w:t>响应文件提交截止时间后</w:t>
            </w:r>
            <w:r>
              <w:rPr>
                <w:rFonts w:hint="eastAsia" w:ascii="宋体" w:hAnsi="宋体" w:eastAsia="宋体" w:cs="宋体"/>
                <w:spacing w:val="8"/>
                <w:sz w:val="23"/>
                <w:szCs w:val="23"/>
                <w:u w:val="single"/>
              </w:rPr>
              <w:t>30</w:t>
            </w:r>
            <w:r>
              <w:rPr>
                <w:rFonts w:ascii="宋体" w:hAnsi="宋体" w:eastAsia="宋体" w:cs="宋体"/>
                <w:spacing w:val="8"/>
                <w:sz w:val="23"/>
                <w:szCs w:val="23"/>
                <w:u w:val="single"/>
              </w:rPr>
              <w:t>分钟内（以电子交易系统解密</w:t>
            </w:r>
            <w:r>
              <w:rPr>
                <w:rFonts w:ascii="宋体" w:hAnsi="宋体" w:eastAsia="宋体" w:cs="宋体"/>
                <w:spacing w:val="4"/>
                <w:sz w:val="23"/>
                <w:szCs w:val="23"/>
                <w:u w:val="single"/>
              </w:rPr>
              <w:t>倒计时为准）</w:t>
            </w:r>
          </w:p>
        </w:tc>
      </w:tr>
      <w:tr w14:paraId="38A15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407DBE0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12</w:t>
            </w:r>
          </w:p>
        </w:tc>
        <w:tc>
          <w:tcPr>
            <w:tcW w:w="2374" w:type="dxa"/>
            <w:vAlign w:val="center"/>
          </w:tcPr>
          <w:p w14:paraId="67CE9541">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资格审查</w:t>
            </w:r>
          </w:p>
        </w:tc>
        <w:tc>
          <w:tcPr>
            <w:tcW w:w="6794" w:type="dxa"/>
          </w:tcPr>
          <w:p w14:paraId="42D889AE">
            <w:pPr>
              <w:spacing w:before="197" w:line="227" w:lineRule="auto"/>
              <w:ind w:left="116"/>
              <w:rPr>
                <w:rFonts w:ascii="宋体" w:hAnsi="宋体" w:eastAsia="宋体" w:cs="宋体"/>
                <w:sz w:val="23"/>
                <w:szCs w:val="23"/>
              </w:rPr>
            </w:pPr>
            <w:r>
              <w:rPr>
                <w:rFonts w:ascii="宋体" w:hAnsi="宋体" w:eastAsia="宋体" w:cs="宋体"/>
                <w:spacing w:val="6"/>
                <w:sz w:val="23"/>
                <w:szCs w:val="23"/>
              </w:rPr>
              <w:t>征集</w:t>
            </w:r>
            <w:r>
              <w:rPr>
                <w:rFonts w:ascii="宋体" w:hAnsi="宋体" w:eastAsia="宋体" w:cs="宋体"/>
                <w:spacing w:val="5"/>
                <w:sz w:val="23"/>
                <w:szCs w:val="23"/>
              </w:rPr>
              <w:t>人</w:t>
            </w:r>
            <w:r>
              <w:rPr>
                <w:rFonts w:hint="eastAsia" w:ascii="宋体" w:hAnsi="宋体" w:eastAsia="宋体" w:cs="宋体"/>
                <w:spacing w:val="5"/>
                <w:sz w:val="23"/>
                <w:szCs w:val="23"/>
              </w:rPr>
              <w:t>，具体详见第四章</w:t>
            </w:r>
            <w:r>
              <w:rPr>
                <w:rFonts w:ascii="宋体" w:hAnsi="宋体" w:eastAsia="宋体" w:cs="宋体"/>
                <w:spacing w:val="-2"/>
                <w:sz w:val="23"/>
                <w:szCs w:val="23"/>
              </w:rPr>
              <w:t>2.1资</w:t>
            </w:r>
            <w:r>
              <w:rPr>
                <w:rFonts w:ascii="宋体" w:hAnsi="宋体" w:eastAsia="宋体" w:cs="宋体"/>
                <w:spacing w:val="-1"/>
                <w:sz w:val="23"/>
                <w:szCs w:val="23"/>
              </w:rPr>
              <w:t>格审查</w:t>
            </w:r>
          </w:p>
        </w:tc>
      </w:tr>
      <w:tr w14:paraId="4BC84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5" w:type="dxa"/>
            <w:vAlign w:val="center"/>
          </w:tcPr>
          <w:p w14:paraId="4A37246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74" w:type="dxa"/>
            <w:vAlign w:val="center"/>
          </w:tcPr>
          <w:p w14:paraId="6EF8443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评标委员会</w:t>
            </w:r>
          </w:p>
        </w:tc>
        <w:tc>
          <w:tcPr>
            <w:tcW w:w="6794" w:type="dxa"/>
          </w:tcPr>
          <w:p w14:paraId="3EFC5494">
            <w:pPr>
              <w:spacing w:before="116" w:line="244" w:lineRule="auto"/>
              <w:ind w:left="124"/>
              <w:rPr>
                <w:rFonts w:ascii="宋体" w:hAnsi="宋体" w:eastAsia="宋体" w:cs="宋体"/>
                <w:spacing w:val="2"/>
                <w:sz w:val="23"/>
                <w:szCs w:val="23"/>
              </w:rPr>
            </w:pPr>
            <w:r>
              <w:rPr>
                <w:rFonts w:ascii="宋体" w:hAnsi="宋体" w:eastAsia="宋体" w:cs="宋体"/>
                <w:spacing w:val="2"/>
                <w:sz w:val="23"/>
                <w:szCs w:val="23"/>
              </w:rPr>
              <w:t>评标委员会的组建：</w:t>
            </w:r>
          </w:p>
          <w:p w14:paraId="6AB876DE">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（1）</w:t>
            </w:r>
            <w:r>
              <w:rPr>
                <w:rFonts w:ascii="宋体" w:hAnsi="宋体" w:eastAsia="宋体" w:cs="宋体"/>
                <w:spacing w:val="2"/>
                <w:sz w:val="23"/>
                <w:szCs w:val="23"/>
              </w:rPr>
              <w:t>评标委员会构成：相关专业专家不少于5人以上单数；</w:t>
            </w:r>
          </w:p>
          <w:p w14:paraId="52BEFA53">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（2）</w:t>
            </w:r>
            <w:r>
              <w:rPr>
                <w:rFonts w:ascii="宋体" w:hAnsi="宋体" w:eastAsia="宋体" w:cs="宋体"/>
                <w:spacing w:val="2"/>
                <w:sz w:val="23"/>
                <w:szCs w:val="23"/>
              </w:rPr>
              <w:t>评标专家确定方式：从</w:t>
            </w:r>
            <w:r>
              <w:rPr>
                <w:rFonts w:hint="eastAsia" w:ascii="宋体" w:hAnsi="宋体" w:eastAsia="宋体" w:cs="宋体"/>
                <w:spacing w:val="2"/>
                <w:sz w:val="23"/>
                <w:szCs w:val="23"/>
                <w:lang w:eastAsia="zh-CN"/>
              </w:rPr>
              <w:t>地区</w:t>
            </w:r>
            <w:r>
              <w:rPr>
                <w:rFonts w:ascii="宋体" w:hAnsi="宋体" w:eastAsia="宋体" w:cs="宋体"/>
                <w:spacing w:val="2"/>
                <w:sz w:val="23"/>
                <w:szCs w:val="23"/>
              </w:rPr>
              <w:t>政府采购评审专家库中随机抽取产生。</w:t>
            </w:r>
          </w:p>
        </w:tc>
      </w:tr>
      <w:tr w14:paraId="2A39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95" w:type="dxa"/>
            <w:vAlign w:val="center"/>
          </w:tcPr>
          <w:p w14:paraId="59FF370B">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74" w:type="dxa"/>
            <w:vAlign w:val="center"/>
          </w:tcPr>
          <w:p w14:paraId="334ECAB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评审方法</w:t>
            </w:r>
          </w:p>
        </w:tc>
        <w:tc>
          <w:tcPr>
            <w:tcW w:w="6794" w:type="dxa"/>
          </w:tcPr>
          <w:p w14:paraId="1DED7A90">
            <w:pPr>
              <w:spacing w:before="116" w:line="244" w:lineRule="auto"/>
              <w:ind w:left="124"/>
              <w:rPr>
                <w:rFonts w:ascii="宋体" w:hAnsi="宋体" w:eastAsia="宋体" w:cs="宋体"/>
                <w:spacing w:val="13"/>
                <w:sz w:val="23"/>
                <w:szCs w:val="23"/>
              </w:rPr>
            </w:pPr>
            <w:r>
              <w:rPr>
                <w:rFonts w:ascii="宋体" w:hAnsi="宋体" w:eastAsia="宋体" w:cs="宋体"/>
                <w:spacing w:val="2"/>
                <w:sz w:val="23"/>
                <w:szCs w:val="23"/>
              </w:rPr>
              <w:t>质量优先法：质量优先法是指对满足采购需求且响应报价不超过最高限制单价的货物、服务进行质量综合评分，按照质量评分从高到低排序，根据征集文件规定的淘汰率或者入围供应商数量上限，确定入围供应商的评审方法。 </w:t>
            </w:r>
          </w:p>
        </w:tc>
      </w:tr>
      <w:tr w14:paraId="0CDF1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5" w:type="dxa"/>
            <w:vAlign w:val="center"/>
          </w:tcPr>
          <w:p w14:paraId="6F36BED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74" w:type="dxa"/>
            <w:vAlign w:val="center"/>
          </w:tcPr>
          <w:p w14:paraId="4965E18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14:paraId="0556B806">
            <w:pPr>
              <w:spacing w:before="116" w:line="244" w:lineRule="auto"/>
              <w:ind w:left="124"/>
              <w:rPr>
                <w:rFonts w:ascii="宋体" w:hAnsi="宋体" w:eastAsia="宋体" w:cs="宋体"/>
                <w:spacing w:val="13"/>
                <w:sz w:val="23"/>
                <w:szCs w:val="23"/>
                <w:highlight w:val="none"/>
              </w:rPr>
            </w:pPr>
            <w:r>
              <w:rPr>
                <w:rFonts w:hint="eastAsia" w:ascii="宋体" w:hAnsi="宋体" w:eastAsia="宋体" w:cs="宋体"/>
                <w:spacing w:val="13"/>
                <w:sz w:val="23"/>
                <w:szCs w:val="23"/>
                <w:highlight w:val="none"/>
              </w:rPr>
              <w:t>（1）是否专门面向中小微企业：</w:t>
            </w:r>
            <w:r>
              <w:rPr>
                <w:rFonts w:hint="eastAsia" w:ascii="宋体" w:hAnsi="宋体" w:eastAsia="宋体" w:cs="宋体"/>
                <w:spacing w:val="13"/>
                <w:sz w:val="23"/>
                <w:szCs w:val="23"/>
                <w:highlight w:val="none"/>
                <w:u w:val="single"/>
              </w:rPr>
              <w:t xml:space="preserve">    </w:t>
            </w:r>
            <w:r>
              <w:rPr>
                <w:rFonts w:hint="eastAsia" w:ascii="宋体" w:hAnsi="宋体" w:eastAsia="宋体" w:cs="宋体"/>
                <w:spacing w:val="13"/>
                <w:sz w:val="23"/>
                <w:szCs w:val="23"/>
                <w:highlight w:val="none"/>
                <w:u w:val="single"/>
                <w:lang w:val="en-US" w:eastAsia="zh-CN"/>
              </w:rPr>
              <w:t>/</w:t>
            </w:r>
            <w:r>
              <w:rPr>
                <w:rFonts w:hint="eastAsia" w:ascii="宋体" w:hAnsi="宋体" w:eastAsia="宋体" w:cs="宋体"/>
                <w:spacing w:val="13"/>
                <w:sz w:val="23"/>
                <w:szCs w:val="23"/>
                <w:highlight w:val="none"/>
                <w:u w:val="single"/>
              </w:rPr>
              <w:t xml:space="preserve">     </w:t>
            </w:r>
            <w:r>
              <w:rPr>
                <w:rFonts w:hint="eastAsia" w:ascii="宋体" w:hAnsi="宋体" w:eastAsia="宋体" w:cs="宋体"/>
                <w:spacing w:val="13"/>
                <w:sz w:val="23"/>
                <w:szCs w:val="23"/>
                <w:highlight w:val="none"/>
              </w:rPr>
              <w:t>。</w:t>
            </w:r>
          </w:p>
          <w:p w14:paraId="0D71FA04">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w:t>
            </w:r>
            <w:r>
              <w:rPr>
                <w:rFonts w:hint="eastAsia" w:ascii="宋体" w:hAnsi="宋体" w:eastAsia="宋体" w:cs="宋体"/>
                <w:spacing w:val="13"/>
                <w:sz w:val="23"/>
                <w:szCs w:val="23"/>
                <w:lang w:val="en-US" w:eastAsia="zh-CN"/>
              </w:rPr>
              <w:t>2</w:t>
            </w:r>
            <w:r>
              <w:rPr>
                <w:rFonts w:hint="eastAsia" w:ascii="宋体" w:hAnsi="宋体" w:eastAsia="宋体" w:cs="宋体"/>
                <w:spacing w:val="13"/>
                <w:sz w:val="23"/>
                <w:szCs w:val="23"/>
              </w:rPr>
              <w:t>）①根据《政府采购促进中小企业发展管理办法》</w:t>
            </w:r>
            <w:r>
              <w:rPr>
                <w:rFonts w:hint="default" w:ascii="宋体" w:hAnsi="宋体" w:eastAsia="宋体" w:cs="宋体"/>
                <w:spacing w:val="13"/>
                <w:sz w:val="23"/>
                <w:szCs w:val="23"/>
              </w:rPr>
              <w:t>（</w:t>
            </w:r>
            <w:r>
              <w:rPr>
                <w:rFonts w:hint="eastAsia" w:ascii="宋体" w:hAnsi="宋体" w:eastAsia="宋体" w:cs="宋体"/>
                <w:spacing w:val="13"/>
                <w:sz w:val="23"/>
                <w:szCs w:val="23"/>
              </w:rPr>
              <w:t>财库〔2020〕46号</w:t>
            </w:r>
            <w:r>
              <w:rPr>
                <w:rFonts w:hint="default" w:ascii="宋体" w:hAnsi="宋体" w:eastAsia="宋体" w:cs="宋体"/>
                <w:spacing w:val="13"/>
                <w:sz w:val="23"/>
                <w:szCs w:val="23"/>
              </w:rPr>
              <w:t>）</w:t>
            </w:r>
            <w:r>
              <w:rPr>
                <w:rFonts w:hint="eastAsia" w:ascii="宋体" w:hAnsi="宋体" w:eastAsia="宋体" w:cs="宋体"/>
                <w:spacing w:val="13"/>
                <w:sz w:val="23"/>
                <w:szCs w:val="23"/>
              </w:rPr>
              <w:t>及</w:t>
            </w:r>
            <w:r>
              <w:rPr>
                <w:rFonts w:hint="default" w:ascii="宋体" w:hAnsi="宋体" w:eastAsia="宋体" w:cs="宋体"/>
                <w:spacing w:val="13"/>
                <w:sz w:val="23"/>
                <w:szCs w:val="23"/>
              </w:rPr>
              <w:t>（</w:t>
            </w:r>
            <w:r>
              <w:rPr>
                <w:rFonts w:hint="eastAsia" w:ascii="宋体" w:hAnsi="宋体" w:eastAsia="宋体" w:cs="宋体"/>
                <w:spacing w:val="13"/>
                <w:sz w:val="23"/>
                <w:szCs w:val="23"/>
              </w:rPr>
              <w:t>财库〔2022〕19号</w:t>
            </w:r>
            <w:r>
              <w:rPr>
                <w:rFonts w:hint="default" w:ascii="宋体" w:hAnsi="宋体" w:eastAsia="宋体" w:cs="宋体"/>
                <w:spacing w:val="13"/>
                <w:sz w:val="23"/>
                <w:szCs w:val="23"/>
              </w:rPr>
              <w:t>）</w:t>
            </w:r>
            <w:r>
              <w:rPr>
                <w:rFonts w:hint="eastAsia" w:ascii="宋体" w:hAnsi="宋体" w:eastAsia="宋体" w:cs="宋体"/>
                <w:spacing w:val="13"/>
                <w:sz w:val="23"/>
                <w:szCs w:val="23"/>
              </w:rPr>
              <w:t>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在本次采购中落实政府采购促进中小企业发展政府采购政策</w:t>
            </w:r>
            <w:r>
              <w:rPr>
                <w:rFonts w:hint="default" w:ascii="宋体" w:hAnsi="宋体" w:eastAsia="宋体" w:cs="宋体"/>
                <w:spacing w:val="13"/>
                <w:sz w:val="23"/>
                <w:szCs w:val="23"/>
              </w:rPr>
              <w:t>：</w:t>
            </w:r>
            <w:r>
              <w:rPr>
                <w:rFonts w:hint="eastAsia" w:ascii="宋体" w:hAnsi="宋体" w:eastAsia="宋体" w:cs="宋体"/>
                <w:spacing w:val="13"/>
                <w:sz w:val="23"/>
                <w:szCs w:val="23"/>
              </w:rPr>
              <w:t>根据工信部等部委发布的《关于印发中小企业划型标准规定的通知》（工信部联企业[2011]300号）规定执行；价格扣除幅度：价格给予</w:t>
            </w:r>
            <w:bookmarkStart w:id="15" w:name="EB7c12aadff6454105884f1e07f5be9b11"/>
            <w:bookmarkEnd w:id="15"/>
            <w:r>
              <w:rPr>
                <w:rFonts w:hint="eastAsia" w:ascii="宋体" w:hAnsi="宋体" w:eastAsia="宋体" w:cs="宋体"/>
                <w:spacing w:val="13"/>
                <w:sz w:val="23"/>
                <w:szCs w:val="23"/>
                <w:lang w:val="en-US" w:eastAsia="zh-CN"/>
              </w:rPr>
              <w:t>10</w:t>
            </w:r>
            <w:r>
              <w:rPr>
                <w:rFonts w:hint="eastAsia" w:ascii="宋体" w:hAnsi="宋体" w:eastAsia="宋体" w:cs="宋体"/>
                <w:spacing w:val="13"/>
                <w:sz w:val="23"/>
                <w:szCs w:val="23"/>
              </w:rPr>
              <w:t>%的扣除。</w:t>
            </w:r>
            <w:r>
              <w:rPr>
                <w:rFonts w:hint="eastAsia" w:ascii="宋体" w:hAnsi="宋体" w:eastAsia="宋体" w:cs="宋体"/>
                <w:spacing w:val="13"/>
                <w:sz w:val="23"/>
                <w:szCs w:val="23"/>
                <w:lang w:val="en-US" w:eastAsia="zh-CN"/>
              </w:rPr>
              <w:t>投标</w:t>
            </w:r>
            <w:r>
              <w:rPr>
                <w:rFonts w:hint="eastAsia" w:ascii="宋体" w:hAnsi="宋体" w:eastAsia="宋体" w:cs="宋体"/>
                <w:spacing w:val="13"/>
                <w:sz w:val="23"/>
                <w:szCs w:val="23"/>
              </w:rPr>
              <w:t>企业标准请参照《关于印发中小企业划型标准规定的通知》（工信部联企业[2011]300号）文件规定自行</w:t>
            </w:r>
            <w:r>
              <w:rPr>
                <w:rFonts w:hint="eastAsia" w:ascii="宋体" w:hAnsi="宋体" w:eastAsia="宋体" w:cs="宋体"/>
                <w:spacing w:val="13"/>
                <w:sz w:val="23"/>
                <w:szCs w:val="23"/>
                <w:lang w:val="en-US" w:eastAsia="zh-CN"/>
              </w:rPr>
              <w:t>确定并</w:t>
            </w:r>
            <w:r>
              <w:rPr>
                <w:rFonts w:hint="eastAsia" w:ascii="宋体" w:hAnsi="宋体" w:eastAsia="宋体" w:cs="宋体"/>
                <w:spacing w:val="13"/>
                <w:sz w:val="23"/>
                <w:szCs w:val="23"/>
              </w:rPr>
              <w:t>填写中、小微企业声明函</w:t>
            </w:r>
            <w:r>
              <w:rPr>
                <w:rFonts w:hint="eastAsia" w:ascii="宋体" w:hAnsi="宋体" w:eastAsia="宋体" w:cs="宋体"/>
                <w:spacing w:val="13"/>
                <w:sz w:val="23"/>
                <w:szCs w:val="23"/>
                <w:lang w:val="en-US" w:eastAsia="zh-CN"/>
              </w:rPr>
              <w:t xml:space="preserve"> 。</w:t>
            </w:r>
            <w:r>
              <w:rPr>
                <w:rFonts w:hint="eastAsia" w:ascii="宋体" w:hAnsi="宋体" w:eastAsia="宋体" w:cs="宋体"/>
                <w:spacing w:val="13"/>
                <w:sz w:val="23"/>
                <w:szCs w:val="23"/>
              </w:rPr>
              <w:t>②根据《关于政府采购支持监狱企业发展有关问题的通知》规定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在本次采购中落实政府采购支持监狱企业发展政府采购政策</w:t>
            </w:r>
            <w:r>
              <w:rPr>
                <w:rFonts w:hint="default" w:ascii="宋体" w:hAnsi="宋体" w:eastAsia="宋体" w:cs="宋体"/>
                <w:spacing w:val="13"/>
                <w:sz w:val="23"/>
                <w:szCs w:val="23"/>
              </w:rPr>
              <w:t>；</w:t>
            </w:r>
            <w:r>
              <w:rPr>
                <w:rFonts w:hint="eastAsia" w:ascii="宋体" w:hAnsi="宋体" w:eastAsia="宋体" w:cs="宋体"/>
                <w:spacing w:val="13"/>
                <w:sz w:val="23"/>
                <w:szCs w:val="23"/>
              </w:rPr>
              <w:t>③根据《关于促进残疾人就业政府采购政策的通知》规定</w:t>
            </w:r>
            <w:r>
              <w:rPr>
                <w:rFonts w:hint="default" w:ascii="宋体" w:hAnsi="宋体" w:eastAsia="宋体" w:cs="宋体"/>
                <w:spacing w:val="13"/>
                <w:sz w:val="23"/>
                <w:szCs w:val="23"/>
              </w:rPr>
              <w:t>，</w:t>
            </w:r>
            <w:r>
              <w:rPr>
                <w:rFonts w:hint="eastAsia" w:ascii="宋体" w:hAnsi="宋体" w:eastAsia="宋体" w:cs="宋体"/>
                <w:spacing w:val="13"/>
                <w:sz w:val="23"/>
                <w:szCs w:val="23"/>
              </w:rPr>
              <w:t>在本次采购中落实政府采购促进残疾人就业政府采购政策。④本项</w:t>
            </w:r>
            <w:r>
              <w:rPr>
                <w:rFonts w:hint="eastAsia" w:ascii="宋体" w:hAnsi="宋体" w:eastAsia="宋体" w:cs="宋体"/>
                <w:spacing w:val="13"/>
                <w:sz w:val="23"/>
                <w:szCs w:val="23"/>
                <w:highlight w:val="none"/>
              </w:rPr>
              <w:t>目采购标的对应的大型企业、中小企业划分标准所属行业为</w:t>
            </w:r>
            <w:r>
              <w:rPr>
                <w:rFonts w:hint="eastAsia" w:ascii="宋体" w:hAnsi="宋体" w:eastAsia="宋体" w:cs="宋体"/>
                <w:color w:val="000000" w:themeColor="text1"/>
                <w:spacing w:val="13"/>
                <w:sz w:val="23"/>
                <w:szCs w:val="23"/>
                <w:highlight w:val="none"/>
                <w14:textFill>
                  <w14:solidFill>
                    <w14:schemeClr w14:val="tx1"/>
                  </w14:solidFill>
                </w14:textFill>
              </w:rPr>
              <w:t>“其他未列明行业”</w:t>
            </w:r>
          </w:p>
        </w:tc>
      </w:tr>
      <w:tr w14:paraId="3144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95" w:type="dxa"/>
            <w:vAlign w:val="center"/>
          </w:tcPr>
          <w:p w14:paraId="766F02F3">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16</w:t>
            </w:r>
          </w:p>
        </w:tc>
        <w:tc>
          <w:tcPr>
            <w:tcW w:w="2374" w:type="dxa"/>
            <w:vAlign w:val="center"/>
          </w:tcPr>
          <w:p w14:paraId="207FF43E">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确定入围供应商</w:t>
            </w:r>
          </w:p>
        </w:tc>
        <w:tc>
          <w:tcPr>
            <w:tcW w:w="6794" w:type="dxa"/>
          </w:tcPr>
          <w:p w14:paraId="1D8E993D">
            <w:pPr>
              <w:pStyle w:val="32"/>
              <w:spacing w:line="240" w:lineRule="auto"/>
              <w:ind w:firstLine="560"/>
              <w:rPr>
                <w:rFonts w:ascii="宋体" w:hAnsi="宋体" w:eastAsia="宋体" w:cs="宋体"/>
                <w:spacing w:val="13"/>
                <w:sz w:val="23"/>
                <w:szCs w:val="23"/>
              </w:rPr>
            </w:pPr>
            <w:r>
              <w:rPr>
                <w:rFonts w:hint="eastAsia" w:ascii="宋体" w:hAnsi="宋体" w:eastAsia="宋体" w:cs="宋体"/>
                <w:snapToGrid w:val="0"/>
                <w:color w:val="000000"/>
                <w:spacing w:val="13"/>
                <w:sz w:val="23"/>
                <w:szCs w:val="23"/>
                <w:lang w:val="en-US" w:eastAsia="zh-CN" w:bidi="ar-SA"/>
              </w:rPr>
              <w:t>第一阶段入围供应商数量上限：5家。确定第一阶段入围供应商时，提交响应文件和符合资格条件、实质性要求的供应商应当均不少于2家，淘汰比例为20%，且至少淘汰一家供应商，如满足淘汰比例后入围家数未达到各标段入围家数上限，则全部入围。（例如：20家供应商通过资格和符合性审查，按20%淘汰比例应该淘汰4家，剩余16家供应商按照得分排序，取前5名为入围供应商；6家供应商通过资格和符合性审查，按20%淘汰比例应该淘汰1.2家，向上取整后淘汰2家，剩余4家则均为入围供应商）。</w:t>
            </w:r>
          </w:p>
        </w:tc>
      </w:tr>
      <w:tr w14:paraId="2BB9A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895" w:type="dxa"/>
            <w:vAlign w:val="center"/>
          </w:tcPr>
          <w:p w14:paraId="2DC605A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17</w:t>
            </w:r>
          </w:p>
        </w:tc>
        <w:tc>
          <w:tcPr>
            <w:tcW w:w="2374" w:type="dxa"/>
            <w:vAlign w:val="center"/>
          </w:tcPr>
          <w:p w14:paraId="49CF7A1D">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随入围结果公告同时公告的入围供应的响应文件内容</w:t>
            </w:r>
          </w:p>
        </w:tc>
        <w:tc>
          <w:tcPr>
            <w:tcW w:w="6794" w:type="dxa"/>
          </w:tcPr>
          <w:p w14:paraId="4ED13AD9">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1</w:t>
            </w:r>
            <w:r>
              <w:rPr>
                <w:rFonts w:hint="default" w:ascii="宋体" w:hAnsi="宋体" w:eastAsia="宋体" w:cs="宋体"/>
                <w:spacing w:val="13"/>
                <w:sz w:val="23"/>
                <w:szCs w:val="23"/>
              </w:rPr>
              <w:t>）</w:t>
            </w:r>
            <w:r>
              <w:rPr>
                <w:rFonts w:hint="eastAsia" w:ascii="宋体" w:hAnsi="宋体" w:eastAsia="宋体" w:cs="宋体"/>
                <w:spacing w:val="13"/>
                <w:sz w:val="23"/>
                <w:szCs w:val="23"/>
              </w:rPr>
              <w:t>无重大违法记录声明函、无不良信用记录声明函；</w:t>
            </w:r>
          </w:p>
          <w:p w14:paraId="5175F173">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2</w:t>
            </w:r>
            <w:r>
              <w:rPr>
                <w:rFonts w:hint="default" w:ascii="宋体" w:hAnsi="宋体" w:eastAsia="宋体" w:cs="宋体"/>
                <w:spacing w:val="13"/>
                <w:sz w:val="23"/>
                <w:szCs w:val="23"/>
              </w:rPr>
              <w:t>）</w:t>
            </w:r>
            <w:r>
              <w:rPr>
                <w:rFonts w:hint="eastAsia" w:ascii="宋体" w:hAnsi="宋体" w:eastAsia="宋体" w:cs="宋体"/>
                <w:spacing w:val="13"/>
                <w:sz w:val="23"/>
                <w:szCs w:val="23"/>
              </w:rPr>
              <w:t>主要入围标的承诺函；</w:t>
            </w:r>
          </w:p>
          <w:p w14:paraId="4EDB9297">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3</w:t>
            </w:r>
            <w:r>
              <w:rPr>
                <w:rFonts w:hint="default" w:ascii="宋体" w:hAnsi="宋体" w:eastAsia="宋体" w:cs="宋体"/>
                <w:spacing w:val="13"/>
                <w:sz w:val="23"/>
                <w:szCs w:val="23"/>
              </w:rPr>
              <w:t>）</w:t>
            </w:r>
            <w:r>
              <w:rPr>
                <w:rFonts w:hint="eastAsia" w:ascii="宋体" w:hAnsi="宋体" w:eastAsia="宋体" w:cs="宋体"/>
                <w:spacing w:val="13"/>
                <w:sz w:val="23"/>
                <w:szCs w:val="23"/>
              </w:rPr>
              <w:t>中小企业声明函；</w:t>
            </w:r>
            <w:r>
              <w:rPr>
                <w:rFonts w:hint="default" w:ascii="宋体" w:hAnsi="宋体" w:eastAsia="宋体" w:cs="宋体"/>
                <w:spacing w:val="13"/>
                <w:sz w:val="23"/>
                <w:szCs w:val="23"/>
              </w:rPr>
              <w:t>（</w:t>
            </w:r>
            <w:r>
              <w:rPr>
                <w:rFonts w:hint="eastAsia" w:ascii="宋体" w:hAnsi="宋体" w:eastAsia="宋体" w:cs="宋体"/>
                <w:spacing w:val="13"/>
                <w:sz w:val="23"/>
                <w:szCs w:val="23"/>
              </w:rPr>
              <w:t>如有</w:t>
            </w:r>
            <w:r>
              <w:rPr>
                <w:rFonts w:hint="default" w:ascii="宋体" w:hAnsi="宋体" w:eastAsia="宋体" w:cs="宋体"/>
                <w:spacing w:val="13"/>
                <w:sz w:val="23"/>
                <w:szCs w:val="23"/>
              </w:rPr>
              <w:t>）</w:t>
            </w:r>
          </w:p>
          <w:p w14:paraId="1DDDD556">
            <w:pPr>
              <w:spacing w:before="116" w:line="244" w:lineRule="auto"/>
              <w:rPr>
                <w:rFonts w:asciiTheme="minorEastAsia" w:hAnsiTheme="minorEastAsia" w:eastAsiaTheme="minorEastAsia" w:cstheme="minorEastAsia"/>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4</w:t>
            </w:r>
            <w:r>
              <w:rPr>
                <w:rFonts w:hint="default" w:ascii="宋体" w:hAnsi="宋体" w:eastAsia="宋体" w:cs="宋体"/>
                <w:spacing w:val="13"/>
                <w:sz w:val="23"/>
                <w:szCs w:val="23"/>
              </w:rPr>
              <w:t>）</w:t>
            </w:r>
            <w:r>
              <w:rPr>
                <w:rFonts w:hint="eastAsia" w:ascii="宋体" w:hAnsi="宋体" w:eastAsia="宋体" w:cs="宋体"/>
                <w:spacing w:val="13"/>
                <w:sz w:val="23"/>
                <w:szCs w:val="23"/>
              </w:rPr>
              <w:t>征集文件中规定进行公示的其他内容。</w:t>
            </w:r>
            <w:r>
              <w:rPr>
                <w:rFonts w:hint="default" w:ascii="宋体" w:hAnsi="宋体" w:eastAsia="宋体" w:cs="宋体"/>
                <w:spacing w:val="13"/>
                <w:sz w:val="23"/>
                <w:szCs w:val="23"/>
              </w:rPr>
              <w:t>（</w:t>
            </w:r>
            <w:r>
              <w:rPr>
                <w:rFonts w:hint="eastAsia" w:ascii="宋体" w:hAnsi="宋体" w:eastAsia="宋体" w:cs="宋体"/>
                <w:spacing w:val="13"/>
                <w:sz w:val="23"/>
                <w:szCs w:val="23"/>
              </w:rPr>
              <w:t>如有</w:t>
            </w:r>
            <w:r>
              <w:rPr>
                <w:rFonts w:hint="default" w:ascii="宋体" w:hAnsi="宋体" w:eastAsia="宋体" w:cs="宋体"/>
                <w:spacing w:val="13"/>
                <w:sz w:val="23"/>
                <w:szCs w:val="23"/>
              </w:rPr>
              <w:t>）</w:t>
            </w:r>
          </w:p>
        </w:tc>
      </w:tr>
    </w:tbl>
    <w:tbl>
      <w:tblPr>
        <w:tblStyle w:val="30"/>
        <w:tblW w:w="1006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372"/>
        <w:gridCol w:w="6797"/>
      </w:tblGrid>
      <w:tr w14:paraId="5181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97" w:type="dxa"/>
            <w:vAlign w:val="center"/>
          </w:tcPr>
          <w:p w14:paraId="336F11B1">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18</w:t>
            </w:r>
          </w:p>
        </w:tc>
        <w:tc>
          <w:tcPr>
            <w:tcW w:w="2372" w:type="dxa"/>
            <w:vAlign w:val="center"/>
          </w:tcPr>
          <w:p w14:paraId="2CEE95F6">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入围供应商公示媒介及期限</w:t>
            </w:r>
          </w:p>
        </w:tc>
        <w:tc>
          <w:tcPr>
            <w:tcW w:w="6797" w:type="dxa"/>
          </w:tcPr>
          <w:p w14:paraId="55EB8B23">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14:paraId="190EAFD0">
            <w:pPr>
              <w:spacing w:before="116" w:line="244" w:lineRule="auto"/>
              <w:ind w:left="124"/>
              <w:rPr>
                <w:rFonts w:asciiTheme="minorEastAsia" w:hAnsiTheme="minorEastAsia" w:eastAsiaTheme="minorEastAsia" w:cstheme="minorEastAsia"/>
                <w:spacing w:val="13"/>
                <w:sz w:val="23"/>
                <w:szCs w:val="23"/>
                <w:highlight w:val="none"/>
              </w:rPr>
            </w:pP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1</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新疆政府采购网</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网址：http://www.ccgp-xinjiang.gov.cn/</w:t>
            </w:r>
            <w:r>
              <w:rPr>
                <w:rFonts w:hint="default" w:asciiTheme="minorEastAsia" w:hAnsiTheme="minorEastAsia" w:eastAsiaTheme="minorEastAsia" w:cstheme="minorEastAsia"/>
                <w:spacing w:val="13"/>
                <w:sz w:val="23"/>
                <w:szCs w:val="23"/>
                <w:highlight w:val="none"/>
              </w:rPr>
              <w:t>）</w:t>
            </w:r>
          </w:p>
          <w:p w14:paraId="67B738B1">
            <w:pPr>
              <w:spacing w:before="116" w:line="244" w:lineRule="auto"/>
              <w:ind w:left="124"/>
              <w:rPr>
                <w:rFonts w:asciiTheme="minorEastAsia" w:hAnsiTheme="minorEastAsia" w:eastAsiaTheme="minorEastAsia" w:cstheme="minorEastAsia"/>
                <w:sz w:val="23"/>
                <w:szCs w:val="23"/>
              </w:rPr>
            </w:pP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lang w:val="en-US" w:eastAsia="zh-CN"/>
              </w:rPr>
              <w:t>2</w:t>
            </w:r>
            <w:r>
              <w:rPr>
                <w:rFonts w:hint="default" w:asciiTheme="minorEastAsia" w:hAnsiTheme="minorEastAsia" w:eastAsiaTheme="minorEastAsia" w:cstheme="minorEastAsia"/>
                <w:spacing w:val="13"/>
                <w:sz w:val="23"/>
                <w:szCs w:val="23"/>
                <w:highlight w:val="none"/>
              </w:rPr>
              <w:t>）</w:t>
            </w:r>
            <w:r>
              <w:rPr>
                <w:rFonts w:hint="eastAsia" w:asciiTheme="minorEastAsia" w:hAnsiTheme="minorEastAsia" w:eastAsiaTheme="minorEastAsia" w:cstheme="minorEastAsia"/>
                <w:spacing w:val="13"/>
                <w:sz w:val="23"/>
                <w:szCs w:val="23"/>
                <w:highlight w:val="none"/>
              </w:rPr>
              <w:t>公示期限：1个工作日</w:t>
            </w:r>
          </w:p>
        </w:tc>
      </w:tr>
      <w:tr w14:paraId="5FA6A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897" w:type="dxa"/>
            <w:vAlign w:val="center"/>
          </w:tcPr>
          <w:p w14:paraId="438B80DE">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19</w:t>
            </w:r>
          </w:p>
        </w:tc>
        <w:tc>
          <w:tcPr>
            <w:tcW w:w="2372" w:type="dxa"/>
            <w:vAlign w:val="center"/>
          </w:tcPr>
          <w:p w14:paraId="2459AEB3">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采购资金的支付方式、时间和条件</w:t>
            </w:r>
          </w:p>
        </w:tc>
        <w:tc>
          <w:tcPr>
            <w:tcW w:w="6797" w:type="dxa"/>
          </w:tcPr>
          <w:p w14:paraId="7F3A45AF">
            <w:pPr>
              <w:spacing w:line="370" w:lineRule="auto"/>
              <w:rPr>
                <w:rFonts w:asciiTheme="minorEastAsia" w:hAnsiTheme="minorEastAsia" w:eastAsiaTheme="minorEastAsia" w:cstheme="minorEastAsia"/>
                <w:sz w:val="23"/>
                <w:szCs w:val="23"/>
              </w:rPr>
            </w:pPr>
          </w:p>
          <w:p w14:paraId="211BB9EE">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14:paraId="27F54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14:paraId="6B60C4E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21</w:t>
            </w:r>
          </w:p>
        </w:tc>
        <w:tc>
          <w:tcPr>
            <w:tcW w:w="2372" w:type="dxa"/>
            <w:vAlign w:val="center"/>
          </w:tcPr>
          <w:p w14:paraId="65BF9045">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履约保证金</w:t>
            </w:r>
          </w:p>
        </w:tc>
        <w:tc>
          <w:tcPr>
            <w:tcW w:w="6797" w:type="dxa"/>
          </w:tcPr>
          <w:p w14:paraId="0B3047FD">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4143F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14:paraId="42844C6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22</w:t>
            </w:r>
          </w:p>
        </w:tc>
        <w:tc>
          <w:tcPr>
            <w:tcW w:w="2372" w:type="dxa"/>
            <w:vAlign w:val="center"/>
          </w:tcPr>
          <w:p w14:paraId="6F90FDDE">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797" w:type="dxa"/>
          </w:tcPr>
          <w:p w14:paraId="7128DEE8">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0FE6E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97" w:type="dxa"/>
            <w:vAlign w:val="center"/>
          </w:tcPr>
          <w:p w14:paraId="1FD02E0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23</w:t>
            </w:r>
          </w:p>
        </w:tc>
        <w:tc>
          <w:tcPr>
            <w:tcW w:w="2372" w:type="dxa"/>
            <w:vAlign w:val="center"/>
          </w:tcPr>
          <w:p w14:paraId="3B523BFA">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 通讯地址</w:t>
            </w:r>
          </w:p>
        </w:tc>
        <w:tc>
          <w:tcPr>
            <w:tcW w:w="6797" w:type="dxa"/>
          </w:tcPr>
          <w:p w14:paraId="12254952">
            <w:pPr>
              <w:spacing w:before="198" w:line="227" w:lineRule="auto"/>
              <w:ind w:left="114"/>
              <w:rPr>
                <w:rFonts w:ascii="宋体" w:hAnsi="宋体" w:eastAsia="宋体" w:cs="宋体"/>
                <w:spacing w:val="9"/>
                <w:sz w:val="23"/>
                <w:szCs w:val="23"/>
              </w:rPr>
            </w:pPr>
            <w:r>
              <w:rPr>
                <w:rFonts w:ascii="宋体" w:hAnsi="宋体" w:eastAsia="宋体" w:cs="宋体"/>
                <w:spacing w:val="9"/>
                <w:sz w:val="23"/>
                <w:szCs w:val="23"/>
              </w:rPr>
              <w:t>递交方式：</w:t>
            </w:r>
            <w:r>
              <w:rPr>
                <w:rFonts w:ascii="宋体" w:hAnsi="宋体" w:eastAsia="宋体" w:cs="宋体"/>
                <w:spacing w:val="9"/>
                <w:sz w:val="23"/>
                <w:szCs w:val="23"/>
                <w:u w:val="single"/>
              </w:rPr>
              <w:t>书面形式递交</w:t>
            </w:r>
          </w:p>
          <w:p w14:paraId="608F0206">
            <w:pPr>
              <w:spacing w:before="119" w:line="227" w:lineRule="auto"/>
              <w:ind w:left="112"/>
              <w:rPr>
                <w:rFonts w:hint="eastAsia" w:ascii="宋体" w:hAnsi="宋体" w:eastAsia="宋体" w:cs="宋体"/>
                <w:sz w:val="23"/>
                <w:szCs w:val="23"/>
                <w:u w:val="single"/>
                <w:lang w:eastAsia="zh-CN"/>
              </w:rPr>
            </w:pPr>
            <w:r>
              <w:rPr>
                <w:rFonts w:ascii="宋体" w:hAnsi="宋体" w:eastAsia="宋体" w:cs="宋体"/>
                <w:spacing w:val="10"/>
                <w:sz w:val="23"/>
                <w:szCs w:val="23"/>
              </w:rPr>
              <w:t>接</w:t>
            </w:r>
            <w:r>
              <w:rPr>
                <w:rFonts w:ascii="宋体" w:hAnsi="宋体" w:eastAsia="宋体" w:cs="宋体"/>
                <w:spacing w:val="9"/>
                <w:sz w:val="23"/>
                <w:szCs w:val="23"/>
              </w:rPr>
              <w:t>收部门：</w:t>
            </w:r>
            <w:r>
              <w:rPr>
                <w:rFonts w:hint="eastAsia" w:ascii="宋体" w:hAnsi="宋体" w:eastAsia="宋体" w:cs="宋体"/>
                <w:spacing w:val="9"/>
                <w:sz w:val="23"/>
                <w:szCs w:val="23"/>
                <w:u w:val="single"/>
                <w:lang w:eastAsia="zh-CN"/>
              </w:rPr>
              <w:t>阿勒泰地区公共资源交易中心政府采购科</w:t>
            </w:r>
          </w:p>
          <w:p w14:paraId="4592A9D3">
            <w:pPr>
              <w:spacing w:before="116" w:line="230" w:lineRule="auto"/>
              <w:ind w:left="114"/>
              <w:rPr>
                <w:rFonts w:hint="eastAsia" w:ascii="宋体" w:hAnsi="宋体" w:eastAsia="宋体" w:cs="宋体"/>
                <w:spacing w:val="6"/>
                <w:sz w:val="23"/>
                <w:szCs w:val="23"/>
                <w:u w:val="single"/>
              </w:rPr>
            </w:pPr>
            <w:r>
              <w:rPr>
                <w:rFonts w:ascii="宋体" w:hAnsi="宋体" w:eastAsia="宋体" w:cs="宋体"/>
                <w:spacing w:val="6"/>
                <w:sz w:val="23"/>
                <w:szCs w:val="23"/>
              </w:rPr>
              <w:t>联系电话：</w:t>
            </w:r>
            <w:r>
              <w:rPr>
                <w:rFonts w:hint="eastAsia" w:ascii="宋体" w:hAnsi="宋体" w:eastAsia="宋体" w:cs="宋体"/>
                <w:spacing w:val="6"/>
                <w:sz w:val="23"/>
                <w:szCs w:val="23"/>
                <w:u w:val="single"/>
                <w:lang w:val="en-US" w:eastAsia="zh-CN"/>
              </w:rPr>
              <w:t>0996-2195313</w:t>
            </w:r>
            <w:r>
              <w:rPr>
                <w:rFonts w:hint="eastAsia" w:ascii="宋体" w:hAnsi="宋体" w:eastAsia="宋体" w:cs="宋体"/>
                <w:spacing w:val="6"/>
                <w:sz w:val="23"/>
                <w:szCs w:val="23"/>
                <w:u w:val="single"/>
              </w:rPr>
              <w:t>。</w:t>
            </w:r>
          </w:p>
          <w:p w14:paraId="4591C4ED">
            <w:pPr>
              <w:spacing w:before="116" w:line="230" w:lineRule="auto"/>
              <w:ind w:left="114"/>
              <w:rPr>
                <w:rFonts w:hint="default" w:ascii="宋体" w:hAnsi="宋体" w:eastAsia="宋体" w:cs="宋体"/>
                <w:snapToGrid w:val="0"/>
                <w:color w:val="000000"/>
                <w:spacing w:val="9"/>
                <w:sz w:val="23"/>
                <w:szCs w:val="23"/>
                <w:lang w:val="en-US" w:eastAsia="zh-CN" w:bidi="ar-SA"/>
              </w:rPr>
            </w:pPr>
            <w:r>
              <w:rPr>
                <w:rFonts w:ascii="宋体" w:hAnsi="宋体" w:eastAsia="宋体" w:cs="宋体"/>
                <w:snapToGrid w:val="0"/>
                <w:color w:val="000000"/>
                <w:spacing w:val="9"/>
                <w:sz w:val="23"/>
                <w:szCs w:val="23"/>
                <w:lang w:val="en-US" w:eastAsia="zh-CN" w:bidi="ar-SA"/>
              </w:rPr>
              <w:t>通讯地址：</w:t>
            </w:r>
            <w:r>
              <w:rPr>
                <w:rFonts w:hint="eastAsia" w:ascii="宋体" w:hAnsi="宋体" w:eastAsia="宋体" w:cs="宋体"/>
                <w:snapToGrid w:val="0"/>
                <w:color w:val="000000"/>
                <w:spacing w:val="9"/>
                <w:sz w:val="23"/>
                <w:szCs w:val="23"/>
                <w:lang w:val="en-US" w:eastAsia="zh-CN" w:bidi="ar-SA"/>
              </w:rPr>
              <w:t>阿勒泰市团结南路211号</w:t>
            </w:r>
          </w:p>
          <w:p w14:paraId="4413601A">
            <w:pPr>
              <w:spacing w:before="113" w:line="274" w:lineRule="auto"/>
              <w:ind w:left="114" w:right="108" w:hanging="1"/>
              <w:rPr>
                <w:rFonts w:ascii="宋体" w:hAnsi="宋体" w:eastAsia="宋体" w:cs="宋体"/>
                <w:sz w:val="23"/>
                <w:szCs w:val="23"/>
              </w:rPr>
            </w:pPr>
          </w:p>
        </w:tc>
      </w:tr>
      <w:tr w14:paraId="6792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7" w:type="dxa"/>
            <w:vAlign w:val="center"/>
          </w:tcPr>
          <w:p w14:paraId="044AF4D1">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24</w:t>
            </w:r>
          </w:p>
        </w:tc>
        <w:tc>
          <w:tcPr>
            <w:tcW w:w="2372" w:type="dxa"/>
            <w:vAlign w:val="center"/>
          </w:tcPr>
          <w:p w14:paraId="59F1B583">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本项目提供除电子版征集文件以外的其他资料</w:t>
            </w:r>
          </w:p>
        </w:tc>
        <w:tc>
          <w:tcPr>
            <w:tcW w:w="6797" w:type="dxa"/>
          </w:tcPr>
          <w:p w14:paraId="0D58F7F8">
            <w:pPr>
              <w:spacing w:line="414" w:lineRule="auto"/>
              <w:rPr>
                <w:sz w:val="23"/>
                <w:szCs w:val="23"/>
              </w:rPr>
            </w:pPr>
          </w:p>
          <w:p w14:paraId="11CFF97E">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14:paraId="662C2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897" w:type="dxa"/>
            <w:vAlign w:val="center"/>
          </w:tcPr>
          <w:p w14:paraId="45307FD6">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25</w:t>
            </w:r>
          </w:p>
        </w:tc>
        <w:tc>
          <w:tcPr>
            <w:tcW w:w="2372" w:type="dxa"/>
            <w:vAlign w:val="center"/>
          </w:tcPr>
          <w:p w14:paraId="540D9D39">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重要提示</w:t>
            </w:r>
          </w:p>
        </w:tc>
        <w:tc>
          <w:tcPr>
            <w:tcW w:w="6797" w:type="dxa"/>
          </w:tcPr>
          <w:p w14:paraId="340D1EA3">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1</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入围供应商应在规定期限内与征集人签订框架协议，若入围供应商未能在规定期限内提交履约担保或签订框架协议，征集人有权取消入围供应商入围资格，并将相关违约行为报送监管部门，实施信用惩戒；</w:t>
            </w:r>
          </w:p>
          <w:p w14:paraId="7AB0F5B5">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2</w:t>
            </w:r>
            <w:r>
              <w:rPr>
                <w:rFonts w:hint="default" w:ascii="宋体" w:hAnsi="宋体" w:eastAsia="宋体" w:cs="宋体"/>
                <w:spacing w:val="13"/>
                <w:sz w:val="23"/>
                <w:szCs w:val="23"/>
              </w:rPr>
              <w:t>）</w:t>
            </w:r>
            <w:r>
              <w:rPr>
                <w:rFonts w:hint="eastAsia" w:ascii="宋体" w:hAnsi="宋体" w:eastAsia="宋体" w:cs="宋体"/>
                <w:spacing w:val="13"/>
                <w:sz w:val="23"/>
                <w:szCs w:val="23"/>
              </w:rPr>
              <w:t>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14:paraId="57C42188">
            <w:pPr>
              <w:spacing w:before="116" w:line="244" w:lineRule="auto"/>
              <w:rPr>
                <w:rFonts w:ascii="宋体" w:hAnsi="宋体" w:eastAsia="宋体" w:cs="宋体"/>
                <w:spacing w:val="13"/>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3</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入围供应商入围后被监管部门查实存在违法行为，不满足入围条件的，由征集人取消入围资格，并做好项目后续工作；</w:t>
            </w:r>
          </w:p>
          <w:p w14:paraId="653858D1">
            <w:pPr>
              <w:spacing w:before="116" w:line="244" w:lineRule="auto"/>
              <w:rPr>
                <w:rFonts w:ascii="宋体" w:hAnsi="宋体" w:eastAsia="宋体" w:cs="宋体"/>
                <w:sz w:val="23"/>
                <w:szCs w:val="23"/>
              </w:rPr>
            </w:pPr>
            <w:r>
              <w:rPr>
                <w:rFonts w:hint="default" w:ascii="宋体" w:hAnsi="宋体" w:eastAsia="宋体" w:cs="宋体"/>
                <w:spacing w:val="13"/>
                <w:sz w:val="23"/>
                <w:szCs w:val="23"/>
              </w:rPr>
              <w:t>（</w:t>
            </w:r>
            <w:r>
              <w:rPr>
                <w:rFonts w:hint="eastAsia" w:ascii="宋体" w:hAnsi="宋体" w:eastAsia="宋体" w:cs="宋体"/>
                <w:spacing w:val="13"/>
                <w:sz w:val="23"/>
                <w:szCs w:val="23"/>
              </w:rPr>
              <w:t>4</w:t>
            </w:r>
            <w:r>
              <w:rPr>
                <w:rFonts w:hint="default" w:ascii="宋体" w:hAnsi="宋体" w:eastAsia="宋体" w:cs="宋体"/>
                <w:spacing w:val="13"/>
                <w:sz w:val="23"/>
                <w:szCs w:val="23"/>
              </w:rPr>
              <w:t>）</w:t>
            </w:r>
            <w:r>
              <w:rPr>
                <w:rFonts w:hint="eastAsia" w:ascii="宋体" w:hAnsi="宋体" w:eastAsia="宋体" w:cs="宋体"/>
                <w:spacing w:val="13"/>
                <w:sz w:val="23"/>
                <w:szCs w:val="23"/>
              </w:rPr>
              <w:t>入围供应商在项目发生投诉、信访举报案件、履约存在争议时，拒绝协助配合执法部门调查案件的，征集人可以取消其入围资格或解除框架协议，并追究其违约责任</w:t>
            </w:r>
            <w:r>
              <w:rPr>
                <w:rFonts w:ascii="宋体" w:hAnsi="宋体" w:eastAsia="宋体" w:cs="宋体"/>
                <w:spacing w:val="9"/>
                <w:sz w:val="23"/>
                <w:szCs w:val="23"/>
              </w:rPr>
              <w:t>。</w:t>
            </w:r>
          </w:p>
        </w:tc>
      </w:tr>
      <w:tr w14:paraId="508B3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897" w:type="dxa"/>
            <w:vAlign w:val="center"/>
          </w:tcPr>
          <w:p w14:paraId="63640924">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26</w:t>
            </w:r>
          </w:p>
        </w:tc>
        <w:tc>
          <w:tcPr>
            <w:tcW w:w="2372" w:type="dxa"/>
            <w:vAlign w:val="center"/>
          </w:tcPr>
          <w:p w14:paraId="58FC3B63">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特别提醒</w:t>
            </w:r>
          </w:p>
        </w:tc>
        <w:tc>
          <w:tcPr>
            <w:tcW w:w="6797" w:type="dxa"/>
          </w:tcPr>
          <w:p w14:paraId="1A9A4633">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因电子服务系统或电子交易系统出现软件设计或功能缺陷、运行异常等情况，影响政府采购活动正常进行的，政府采购各方当事人免责。</w:t>
            </w:r>
          </w:p>
        </w:tc>
      </w:tr>
      <w:tr w14:paraId="3F7FD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97" w:type="dxa"/>
            <w:vAlign w:val="center"/>
          </w:tcPr>
          <w:p w14:paraId="1C1B1E43">
            <w:pPr>
              <w:spacing w:before="75" w:line="190" w:lineRule="auto"/>
              <w:jc w:val="center"/>
              <w:rPr>
                <w:rFonts w:ascii="宋体" w:hAnsi="宋体" w:eastAsia="宋体" w:cs="宋体"/>
                <w:b/>
                <w:bCs/>
                <w:sz w:val="23"/>
                <w:szCs w:val="23"/>
              </w:rPr>
            </w:pPr>
            <w:r>
              <w:rPr>
                <w:rFonts w:hint="eastAsia" w:ascii="宋体" w:hAnsi="宋体" w:eastAsia="宋体" w:cs="宋体"/>
                <w:b/>
                <w:bCs/>
                <w:spacing w:val="-2"/>
                <w:sz w:val="23"/>
                <w:szCs w:val="23"/>
              </w:rPr>
              <w:t>28</w:t>
            </w:r>
          </w:p>
        </w:tc>
        <w:tc>
          <w:tcPr>
            <w:tcW w:w="2372" w:type="dxa"/>
            <w:vAlign w:val="center"/>
          </w:tcPr>
          <w:p w14:paraId="33226A31">
            <w:pPr>
              <w:spacing w:before="75" w:line="227" w:lineRule="auto"/>
              <w:jc w:val="center"/>
              <w:rPr>
                <w:rFonts w:ascii="宋体" w:hAnsi="宋体" w:eastAsia="宋体" w:cs="宋体"/>
                <w:b/>
                <w:bCs/>
                <w:sz w:val="23"/>
                <w:szCs w:val="23"/>
              </w:rPr>
            </w:pPr>
            <w:r>
              <w:rPr>
                <w:rFonts w:ascii="宋体" w:hAnsi="宋体" w:eastAsia="宋体" w:cs="宋体"/>
                <w:b/>
                <w:bCs/>
                <w:spacing w:val="9"/>
                <w:sz w:val="23"/>
                <w:szCs w:val="23"/>
              </w:rPr>
              <w:t>其</w:t>
            </w:r>
            <w:r>
              <w:rPr>
                <w:rFonts w:ascii="宋体" w:hAnsi="宋体" w:eastAsia="宋体" w:cs="宋体"/>
                <w:b/>
                <w:bCs/>
                <w:spacing w:val="8"/>
                <w:sz w:val="23"/>
                <w:szCs w:val="23"/>
              </w:rPr>
              <w:t>他补充说明</w:t>
            </w:r>
          </w:p>
        </w:tc>
        <w:tc>
          <w:tcPr>
            <w:tcW w:w="6797" w:type="dxa"/>
          </w:tcPr>
          <w:p w14:paraId="34996131">
            <w:pPr>
              <w:spacing w:before="116" w:line="244" w:lineRule="auto"/>
              <w:rPr>
                <w:rFonts w:hint="eastAsia" w:ascii="宋体" w:hAnsi="宋体" w:eastAsia="宋体" w:cs="宋体"/>
                <w:spacing w:val="13"/>
                <w:sz w:val="23"/>
                <w:szCs w:val="23"/>
                <w:lang w:eastAsia="zh-CN"/>
              </w:rPr>
            </w:pPr>
            <w:r>
              <w:rPr>
                <w:rFonts w:hint="eastAsia" w:ascii="宋体" w:hAnsi="宋体" w:eastAsia="宋体" w:cs="宋体"/>
                <w:spacing w:val="13"/>
                <w:sz w:val="23"/>
                <w:szCs w:val="23"/>
                <w:lang w:eastAsia="zh-CN"/>
              </w:rPr>
              <w:t>无</w:t>
            </w:r>
          </w:p>
        </w:tc>
      </w:tr>
    </w:tbl>
    <w:p w14:paraId="23D9FA18"/>
    <w:p w14:paraId="001B5BC5">
      <w:pPr>
        <w:spacing w:line="340" w:lineRule="auto"/>
      </w:pPr>
    </w:p>
    <w:p w14:paraId="251FB7A1">
      <w:pPr>
        <w:pStyle w:val="4"/>
      </w:pPr>
    </w:p>
    <w:p w14:paraId="43855621"/>
    <w:p w14:paraId="1FF17AAB">
      <w:pPr>
        <w:pStyle w:val="4"/>
      </w:pPr>
    </w:p>
    <w:p w14:paraId="48269A0F">
      <w:pPr>
        <w:spacing w:before="75" w:line="314" w:lineRule="exact"/>
        <w:ind w:left="3805"/>
        <w:rPr>
          <w:rFonts w:ascii="黑体" w:hAnsi="黑体" w:eastAsia="黑体" w:cs="黑体"/>
          <w:spacing w:val="11"/>
          <w:position w:val="1"/>
          <w:sz w:val="36"/>
          <w:szCs w:val="36"/>
        </w:rPr>
      </w:pPr>
    </w:p>
    <w:p w14:paraId="07E38608">
      <w:pPr>
        <w:pStyle w:val="4"/>
        <w:rPr>
          <w:rFonts w:ascii="黑体" w:hAnsi="黑体" w:eastAsia="黑体" w:cs="黑体"/>
          <w:spacing w:val="11"/>
          <w:position w:val="1"/>
          <w:sz w:val="36"/>
          <w:szCs w:val="36"/>
        </w:rPr>
      </w:pPr>
    </w:p>
    <w:p w14:paraId="1BD47FB4">
      <w:pPr>
        <w:rPr>
          <w:rFonts w:ascii="黑体" w:hAnsi="黑体" w:eastAsia="黑体" w:cs="黑体"/>
          <w:spacing w:val="11"/>
          <w:position w:val="1"/>
          <w:sz w:val="36"/>
          <w:szCs w:val="36"/>
        </w:rPr>
      </w:pPr>
    </w:p>
    <w:p w14:paraId="7A3FDA47">
      <w:pPr>
        <w:pStyle w:val="4"/>
      </w:pPr>
    </w:p>
    <w:p w14:paraId="0695B036"/>
    <w:p w14:paraId="2C771AEB">
      <w:pPr>
        <w:pStyle w:val="2"/>
      </w:pPr>
    </w:p>
    <w:p w14:paraId="444AD525">
      <w:pPr>
        <w:spacing w:before="75" w:line="314" w:lineRule="exact"/>
        <w:ind w:left="3805"/>
        <w:outlineLvl w:val="1"/>
        <w:rPr>
          <w:rFonts w:ascii="黑体" w:hAnsi="黑体" w:eastAsia="黑体" w:cs="黑体"/>
          <w:sz w:val="36"/>
          <w:szCs w:val="36"/>
        </w:rPr>
      </w:pPr>
      <w:bookmarkStart w:id="16" w:name="_Toc8295"/>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6"/>
    </w:p>
    <w:p w14:paraId="3B57FCEF">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14:paraId="415488FE">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14:paraId="2041102D">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14:paraId="5F7F5219">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时限（年份、月份等）计算：系指从开标之日向前追溯X年/月（“X”为“一”及以后整数）起算。</w:t>
      </w:r>
    </w:p>
    <w:p w14:paraId="14587887">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业绩：业绩系指符合本征集文件规定的与最终用户签订的合同或征集文件要求的相关证明。供应商与其关联公司（如母公司、控股公司、分公司、子公司、同一法定代表人的公司）之间签订的合同，均不予认可。</w:t>
      </w:r>
    </w:p>
    <w:p w14:paraId="6DFE8A7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14:paraId="363CA0FF">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14:paraId="48A54CB8">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征集人：是指依法开展政府采购活动的集中采购机构、主管预算单位（或者经其主管预算单位批准的其他预算单位）及其委托的采购代理机构。本项目的征集人见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14B21500">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576D9BA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w:t>
      </w:r>
      <w:r>
        <w:rPr>
          <w:rFonts w:hint="eastAsia" w:ascii="宋体" w:hAnsi="宋体" w:eastAsia="宋体" w:cs="宋体"/>
          <w:spacing w:val="5"/>
          <w:sz w:val="23"/>
          <w:szCs w:val="23"/>
          <w:lang w:val="en-US" w:eastAsia="zh-Hans"/>
        </w:rPr>
        <w:t>见</w:t>
      </w:r>
      <w:r>
        <w:rPr>
          <w:rFonts w:ascii="宋体" w:hAnsi="宋体" w:eastAsia="宋体" w:cs="宋体"/>
          <w:spacing w:val="5"/>
          <w:sz w:val="23"/>
          <w:szCs w:val="23"/>
        </w:rPr>
        <w:t>供应商须知前附表。</w:t>
      </w:r>
    </w:p>
    <w:p w14:paraId="3AFBD774">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14:paraId="558633F3">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3.4.1 在中华人民共和国境内注册，能够独立承担民事责任，有生产或供应能力的本国供应商。</w:t>
      </w:r>
    </w:p>
    <w:p w14:paraId="72AFFADF">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3.4.2 具备《中华人民共和国政府采购法》第二十二条关于供应商条件的规定，遵守本项目征集人本级和上级财政部门政府采购的有关规定。</w:t>
      </w:r>
    </w:p>
    <w:p w14:paraId="4760137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3.4.3 以采购代理机构认可的方式获得了本项目的征集文件。</w:t>
      </w:r>
    </w:p>
    <w:p w14:paraId="0D620AB0">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3.4.4 若供应商须知前附表中写明专门面向中小企业采购的，如供应商提供的服务非中小企业承接或提供的货物非中小企业制造的，其响应文件将被认定为响应无效。</w:t>
      </w:r>
    </w:p>
    <w:p w14:paraId="6D025E4D">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3.5 单位负责人为同一人或者存在直接控股、管理关系的不同供应商，不得参加同一框架协议项下的政府采购活动。否则其响应文件将被认定为响应无效。</w:t>
      </w:r>
    </w:p>
    <w:p w14:paraId="42DDC74D">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14:paraId="7A8DD0B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14:paraId="4833247C">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14:paraId="4673604B">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14:paraId="1B64F50A">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14:paraId="183A4D0A">
      <w:pPr>
        <w:spacing w:before="251" w:line="227" w:lineRule="auto"/>
        <w:ind w:left="445"/>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14:paraId="527241C3">
      <w:pPr>
        <w:spacing w:line="230" w:lineRule="exact"/>
      </w:pPr>
    </w:p>
    <w:p w14:paraId="420926BB">
      <w:pPr>
        <w:sectPr>
          <w:headerReference r:id="rId5" w:type="default"/>
          <w:footerReference r:id="rId6" w:type="default"/>
          <w:pgSz w:w="11906" w:h="16839"/>
          <w:pgMar w:top="1136" w:right="971" w:bottom="1414" w:left="1080" w:header="878" w:footer="1167" w:gutter="0"/>
          <w:pgNumType w:start="1"/>
          <w:cols w:space="720" w:num="1"/>
        </w:sectPr>
      </w:pPr>
    </w:p>
    <w:p w14:paraId="62C2C6B1">
      <w:pPr>
        <w:spacing w:before="49" w:line="227" w:lineRule="auto"/>
        <w:ind w:left="849"/>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14:paraId="4D7935A2">
      <w:pPr>
        <w:spacing w:before="275" w:line="227" w:lineRule="auto"/>
        <w:ind w:left="849"/>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14:paraId="26DE9328">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14:paraId="367EFFDD">
      <w:pPr>
        <w:spacing w:before="278" w:line="227" w:lineRule="auto"/>
        <w:ind w:left="849"/>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14:paraId="4E9B6EFD">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14:paraId="18957D86">
      <w:pPr>
        <w:spacing w:before="276" w:line="227" w:lineRule="auto"/>
        <w:ind w:left="849"/>
        <w:rPr>
          <w:rFonts w:ascii="宋体" w:hAnsi="宋体" w:eastAsia="宋体" w:cs="宋体"/>
          <w:sz w:val="23"/>
          <w:szCs w:val="23"/>
        </w:rPr>
      </w:pPr>
      <w:r>
        <w:rPr>
          <w:rFonts w:ascii="宋体" w:hAnsi="宋体" w:eastAsia="宋体" w:cs="宋体"/>
          <w:spacing w:val="7"/>
          <w:sz w:val="23"/>
          <w:szCs w:val="23"/>
        </w:rPr>
        <w:t>第六</w:t>
      </w:r>
      <w:r>
        <w:rPr>
          <w:rFonts w:ascii="宋体" w:hAnsi="宋体" w:eastAsia="宋体" w:cs="宋体"/>
          <w:spacing w:val="6"/>
          <w:sz w:val="23"/>
          <w:szCs w:val="23"/>
        </w:rPr>
        <w:t>章</w:t>
      </w:r>
    </w:p>
    <w:p w14:paraId="1AC0A0D0">
      <w:pPr>
        <w:spacing w:line="14" w:lineRule="auto"/>
        <w:rPr>
          <w:sz w:val="2"/>
        </w:rPr>
      </w:pPr>
      <w:r>
        <w:rPr>
          <w:sz w:val="2"/>
          <w:szCs w:val="2"/>
        </w:rPr>
        <w:br w:type="column"/>
      </w:r>
    </w:p>
    <w:p w14:paraId="505F8A5C">
      <w:pPr>
        <w:spacing w:before="47" w:line="227" w:lineRule="auto"/>
        <w:ind w:left="128"/>
        <w:rPr>
          <w:rFonts w:ascii="宋体" w:hAnsi="宋体" w:eastAsia="宋体" w:cs="宋体"/>
          <w:sz w:val="23"/>
          <w:szCs w:val="23"/>
        </w:rPr>
      </w:pPr>
      <w:r>
        <w:rPr>
          <w:rFonts w:ascii="宋体" w:hAnsi="宋体" w:eastAsia="宋体" w:cs="宋体"/>
          <w:spacing w:val="7"/>
          <w:sz w:val="23"/>
          <w:szCs w:val="23"/>
        </w:rPr>
        <w:t>征集邀</w:t>
      </w:r>
      <w:r>
        <w:rPr>
          <w:rFonts w:ascii="宋体" w:hAnsi="宋体" w:eastAsia="宋体" w:cs="宋体"/>
          <w:spacing w:val="6"/>
          <w:sz w:val="23"/>
          <w:szCs w:val="23"/>
        </w:rPr>
        <w:t>请</w:t>
      </w:r>
    </w:p>
    <w:p w14:paraId="420D9EA9">
      <w:pPr>
        <w:spacing w:before="276" w:line="227" w:lineRule="auto"/>
        <w:ind w:left="125"/>
        <w:rPr>
          <w:rFonts w:ascii="宋体" w:hAnsi="宋体" w:eastAsia="宋体" w:cs="宋体"/>
          <w:sz w:val="23"/>
          <w:szCs w:val="23"/>
        </w:rPr>
      </w:pPr>
      <w:r>
        <w:rPr>
          <w:rFonts w:ascii="宋体" w:hAnsi="宋体" w:eastAsia="宋体" w:cs="宋体"/>
          <w:spacing w:val="8"/>
          <w:sz w:val="23"/>
          <w:szCs w:val="23"/>
        </w:rPr>
        <w:t>供应商须知</w:t>
      </w:r>
    </w:p>
    <w:p w14:paraId="13493308">
      <w:pPr>
        <w:spacing w:before="276" w:line="227" w:lineRule="auto"/>
        <w:ind w:left="124"/>
        <w:rPr>
          <w:rFonts w:ascii="宋体" w:hAnsi="宋体" w:eastAsia="宋体" w:cs="宋体"/>
          <w:sz w:val="23"/>
          <w:szCs w:val="23"/>
        </w:rPr>
      </w:pPr>
      <w:r>
        <w:rPr>
          <w:rFonts w:ascii="宋体" w:hAnsi="宋体" w:eastAsia="宋体" w:cs="宋体"/>
          <w:spacing w:val="8"/>
          <w:sz w:val="23"/>
          <w:szCs w:val="23"/>
        </w:rPr>
        <w:t>采购需</w:t>
      </w:r>
      <w:r>
        <w:rPr>
          <w:rFonts w:ascii="宋体" w:hAnsi="宋体" w:eastAsia="宋体" w:cs="宋体"/>
          <w:spacing w:val="7"/>
          <w:sz w:val="23"/>
          <w:szCs w:val="23"/>
        </w:rPr>
        <w:t>求</w:t>
      </w:r>
    </w:p>
    <w:p w14:paraId="222BC80A">
      <w:pPr>
        <w:spacing w:before="279" w:line="228" w:lineRule="auto"/>
        <w:ind w:left="124"/>
        <w:rPr>
          <w:rFonts w:ascii="宋体" w:hAnsi="宋体" w:eastAsia="宋体" w:cs="宋体"/>
          <w:sz w:val="23"/>
          <w:szCs w:val="23"/>
        </w:rPr>
      </w:pPr>
      <w:r>
        <w:rPr>
          <w:rFonts w:ascii="宋体" w:hAnsi="宋体" w:eastAsia="宋体" w:cs="宋体"/>
          <w:spacing w:val="9"/>
          <w:sz w:val="23"/>
          <w:szCs w:val="23"/>
        </w:rPr>
        <w:t>评审方法和标</w:t>
      </w:r>
      <w:r>
        <w:rPr>
          <w:rFonts w:ascii="宋体" w:hAnsi="宋体" w:eastAsia="宋体" w:cs="宋体"/>
          <w:spacing w:val="7"/>
          <w:sz w:val="23"/>
          <w:szCs w:val="23"/>
        </w:rPr>
        <w:t>准</w:t>
      </w:r>
    </w:p>
    <w:p w14:paraId="46C57F96">
      <w:pPr>
        <w:spacing w:before="275" w:line="227" w:lineRule="auto"/>
        <w:ind w:left="124"/>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9"/>
          <w:sz w:val="23"/>
          <w:szCs w:val="23"/>
        </w:rPr>
        <w:t>架协议和采购合同文本</w:t>
      </w:r>
    </w:p>
    <w:p w14:paraId="2DCB9A0F">
      <w:pPr>
        <w:spacing w:before="277" w:line="227" w:lineRule="auto"/>
        <w:ind w:left="137"/>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应文件格式</w:t>
      </w:r>
    </w:p>
    <w:p w14:paraId="1126219C">
      <w:pPr>
        <w:sectPr>
          <w:type w:val="continuous"/>
          <w:pgSz w:w="11906" w:h="16839"/>
          <w:pgMar w:top="1136" w:right="971" w:bottom="1414" w:left="1080" w:header="878" w:footer="1167" w:gutter="0"/>
          <w:cols w:equalWidth="0" w:num="2">
            <w:col w:w="1685" w:space="0"/>
            <w:col w:w="8171"/>
          </w:cols>
        </w:sectPr>
      </w:pPr>
    </w:p>
    <w:p w14:paraId="39A26B53">
      <w:pPr>
        <w:spacing w:line="243" w:lineRule="auto"/>
      </w:pPr>
    </w:p>
    <w:p w14:paraId="33E810F0">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14:paraId="0227A676">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587CDB60">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14:paraId="4ED06A9A">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14:paraId="6A620F0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14:paraId="37B6A63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rPr>
        <w:t>新疆维吾尔自治区</w:t>
      </w:r>
      <w:r>
        <w:rPr>
          <w:rFonts w:ascii="宋体" w:hAnsi="宋体" w:eastAsia="宋体" w:cs="宋体"/>
          <w:spacing w:val="9"/>
          <w:sz w:val="23"/>
          <w:szCs w:val="23"/>
        </w:rPr>
        <w:t>政府采购网以发布更正公告的方式，澄清或修改征集文件，更正公告的内容作为征集文件的组成部分，对供应商起约束作用。供应商应主动上网查询。</w:t>
      </w:r>
    </w:p>
    <w:p w14:paraId="2FB15C2C">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36F2EE1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对于没有提出疑问又参与了本项目响应的供应商将被视为完全认同本征集文件（含更正公告的内容）。</w:t>
      </w:r>
    </w:p>
    <w:p w14:paraId="2143074D">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8.响应范围及响应文件中标准和计量单位的使</w:t>
      </w:r>
      <w:r>
        <w:rPr>
          <w:rFonts w:hint="eastAsia" w:ascii="黑体" w:hAnsi="黑体" w:eastAsia="黑体" w:cs="黑体"/>
          <w:spacing w:val="6"/>
          <w:position w:val="1"/>
          <w:sz w:val="28"/>
          <w:szCs w:val="28"/>
        </w:rPr>
        <w:t>用</w:t>
      </w:r>
    </w:p>
    <w:p w14:paraId="3729EA6D">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14:paraId="2C18D057">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供应商应当对所投分包征集文件中“采购需求”所列的所有内容进行响应，如仅响应所投包别中的部分内容，其所投包别的响应文件将被认定为响应无效。</w:t>
      </w:r>
    </w:p>
    <w:p w14:paraId="2FCE5650">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无论征集文件中是否要求，供应商所响应的服务（及伴随的货物）、货物（及伴随的服务）均应符合国家强制性标准。</w:t>
      </w:r>
    </w:p>
    <w:p w14:paraId="78B2EC62">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响应文件均用中文表述。供应商随响应文件提供的证明文件和资料可以为其他语言，但必须附中文译文。翻译的中文资料与外文资料出现差异时，以中文为准。</w:t>
      </w:r>
    </w:p>
    <w:p w14:paraId="3F381A5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8.5 除征集文件中有特殊要求外，响应文件中所使用的计量单位，应采用中华人民共和国法定计量单位。</w:t>
      </w:r>
    </w:p>
    <w:p w14:paraId="365945B1">
      <w:pPr>
        <w:spacing w:before="135" w:line="308" w:lineRule="exact"/>
        <w:ind w:left="447"/>
        <w:rPr>
          <w:rFonts w:ascii="宋体" w:hAnsi="宋体" w:eastAsia="宋体" w:cs="宋体"/>
          <w:sz w:val="23"/>
          <w:szCs w:val="23"/>
        </w:rPr>
      </w:pPr>
      <w:r>
        <w:rPr>
          <w:rFonts w:hint="eastAsia" w:ascii="黑体" w:hAnsi="黑体" w:eastAsia="黑体" w:cs="黑体"/>
          <w:spacing w:val="8"/>
          <w:position w:val="1"/>
          <w:sz w:val="28"/>
          <w:szCs w:val="28"/>
        </w:rPr>
        <w:t>9.响应文件构成</w:t>
      </w:r>
    </w:p>
    <w:p w14:paraId="0DBDEC64">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9.1 供应商应完整地按征集文件提供的响应文件格式及要求编写响应文件，具体内容详见本项目第六章响应文件格式的相关内容。</w:t>
      </w:r>
    </w:p>
    <w:p w14:paraId="53695E92">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9.2 上述文件应按照征集文件规定的格式填写、签署和盖章。</w:t>
      </w:r>
    </w:p>
    <w:p w14:paraId="2B339897">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10.证明响应标的的合格性和符合征集文件规定的响应文件</w:t>
      </w:r>
    </w:p>
    <w:p w14:paraId="7717C0F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10.1 供应商应提交征集文件要求的证明文件，证明其响应内容符合征集文件规定。该证明文件是响应文件的一部分。</w:t>
      </w:r>
    </w:p>
    <w:p w14:paraId="44007CF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10.2 上款所述的证明文件，可以是文字资料、图纸和数据。</w:t>
      </w:r>
    </w:p>
    <w:p w14:paraId="4461E5EC">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10.3 本条所指证明文件不包括对征集文件相关部分的文字、图</w:t>
      </w:r>
      <w:r>
        <w:rPr>
          <w:rFonts w:hint="eastAsia" w:ascii="宋体" w:hAnsi="宋体" w:eastAsia="宋体" w:cs="宋体"/>
          <w:spacing w:val="9"/>
          <w:sz w:val="23"/>
          <w:szCs w:val="23"/>
          <w:lang w:val="en-US" w:eastAsia="zh-Hans"/>
        </w:rPr>
        <w:t>表</w:t>
      </w:r>
      <w:r>
        <w:rPr>
          <w:rFonts w:ascii="宋体" w:hAnsi="宋体" w:eastAsia="宋体" w:cs="宋体"/>
          <w:spacing w:val="9"/>
          <w:sz w:val="23"/>
          <w:szCs w:val="23"/>
        </w:rPr>
        <w:t>的复制。</w:t>
      </w:r>
    </w:p>
    <w:p w14:paraId="2AB6E1EA">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10.4 为保证公平公正，除非另有规定或说明，供应商对同一项目响应时，不得同时提供备选响应方案。</w:t>
      </w:r>
    </w:p>
    <w:p w14:paraId="7FAA1724">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11.响应报价</w:t>
      </w:r>
    </w:p>
    <w:p w14:paraId="77F635FC">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11.1 供应商的报价应当包括满足本次征集全部采购需求所应提供的货物或服务。所有响应均应以人民币报价。供应商的响应报价应遵守《中华人民共和国价格法》。</w:t>
      </w:r>
    </w:p>
    <w:p w14:paraId="2BEF092E">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11.2 供应商报价超过征集文件规定的分项、分包最高限价，其响应文件将被认定为响应无效。</w:t>
      </w:r>
    </w:p>
    <w:p w14:paraId="151DEFC7">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11.3 最高限制单价是供应商第一阶段响应报价的最高限价。入围供应商第一阶段响应报价（有量价关系折扣的，包括量价关系折扣）是采购人确定第二阶段成交供应商的最高限价。</w:t>
      </w:r>
    </w:p>
    <w:p w14:paraId="6C756131">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11.4 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14:paraId="2758291D">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11.5 征集人不接受具有附加条件的报价。</w:t>
      </w:r>
    </w:p>
    <w:p w14:paraId="4688FF7F">
      <w:pPr>
        <w:spacing w:before="278" w:line="310" w:lineRule="exact"/>
        <w:ind w:left="463"/>
        <w:rPr>
          <w:rFonts w:ascii="黑体" w:hAnsi="黑体" w:eastAsia="黑体" w:cs="黑体"/>
          <w:sz w:val="28"/>
          <w:szCs w:val="28"/>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2.响应文件有效期</w:t>
      </w:r>
    </w:p>
    <w:p w14:paraId="68C6D097">
      <w:pPr>
        <w:spacing w:before="250" w:line="332" w:lineRule="auto"/>
        <w:ind w:left="9" w:right="2" w:firstLine="452"/>
        <w:rPr>
          <w:rFonts w:ascii="宋体" w:hAnsi="宋体" w:eastAsia="宋体" w:cs="宋体"/>
          <w:sz w:val="23"/>
          <w:szCs w:val="23"/>
        </w:rPr>
      </w:pPr>
      <w:r>
        <w:rPr>
          <w:rFonts w:ascii="宋体" w:hAnsi="宋体" w:eastAsia="宋体" w:cs="宋体"/>
          <w:spacing w:val="8"/>
          <w:sz w:val="23"/>
          <w:szCs w:val="23"/>
        </w:rPr>
        <w:t>12.1 响应</w:t>
      </w:r>
      <w:r>
        <w:rPr>
          <w:rFonts w:ascii="宋体" w:hAnsi="宋体" w:eastAsia="宋体" w:cs="宋体"/>
          <w:spacing w:val="7"/>
          <w:sz w:val="23"/>
          <w:szCs w:val="23"/>
        </w:rPr>
        <w:t>文</w:t>
      </w:r>
      <w:r>
        <w:rPr>
          <w:rFonts w:ascii="宋体" w:hAnsi="宋体" w:eastAsia="宋体" w:cs="宋体"/>
          <w:spacing w:val="4"/>
          <w:sz w:val="23"/>
          <w:szCs w:val="23"/>
        </w:rPr>
        <w:t>件有效期为从响应文件提交截止之日算起的日历天数，响应文件有效期详见</w:t>
      </w:r>
      <w:r>
        <w:rPr>
          <w:rFonts w:ascii="宋体" w:hAnsi="宋体" w:eastAsia="宋体" w:cs="宋体"/>
          <w:spacing w:val="4"/>
          <w:sz w:val="23"/>
          <w:szCs w:val="23"/>
          <w:u w:val="single"/>
        </w:rPr>
        <w:t>供</w:t>
      </w:r>
      <w:r>
        <w:rPr>
          <w:rFonts w:ascii="宋体" w:hAnsi="宋体" w:eastAsia="宋体" w:cs="宋体"/>
          <w:spacing w:val="11"/>
          <w:sz w:val="23"/>
          <w:szCs w:val="23"/>
          <w:u w:val="single"/>
        </w:rPr>
        <w:t>应</w:t>
      </w:r>
      <w:r>
        <w:rPr>
          <w:rFonts w:ascii="宋体" w:hAnsi="宋体" w:eastAsia="宋体" w:cs="宋体"/>
          <w:spacing w:val="7"/>
          <w:sz w:val="23"/>
          <w:szCs w:val="23"/>
          <w:u w:val="single"/>
        </w:rPr>
        <w:t>商须知前附表</w:t>
      </w:r>
      <w:r>
        <w:rPr>
          <w:rFonts w:ascii="宋体" w:hAnsi="宋体" w:eastAsia="宋体" w:cs="宋体"/>
          <w:spacing w:val="7"/>
          <w:sz w:val="23"/>
          <w:szCs w:val="23"/>
        </w:rPr>
        <w:t>。</w:t>
      </w:r>
    </w:p>
    <w:p w14:paraId="401C28CA">
      <w:pPr>
        <w:spacing w:before="131" w:line="333" w:lineRule="auto"/>
        <w:ind w:left="8" w:right="2" w:firstLine="453"/>
        <w:rPr>
          <w:rFonts w:ascii="宋体" w:hAnsi="宋体" w:eastAsia="宋体" w:cs="宋体"/>
          <w:sz w:val="23"/>
          <w:szCs w:val="23"/>
        </w:rPr>
      </w:pPr>
      <w:r>
        <w:rPr>
          <w:rFonts w:ascii="宋体" w:hAnsi="宋体" w:eastAsia="宋体" w:cs="宋体"/>
          <w:spacing w:val="8"/>
          <w:sz w:val="23"/>
          <w:szCs w:val="23"/>
        </w:rPr>
        <w:t>12.2 在响</w:t>
      </w:r>
      <w:r>
        <w:rPr>
          <w:rFonts w:ascii="宋体" w:hAnsi="宋体" w:eastAsia="宋体" w:cs="宋体"/>
          <w:spacing w:val="7"/>
          <w:sz w:val="23"/>
          <w:szCs w:val="23"/>
        </w:rPr>
        <w:t>应</w:t>
      </w:r>
      <w:r>
        <w:rPr>
          <w:rFonts w:ascii="宋体" w:hAnsi="宋体" w:eastAsia="宋体" w:cs="宋体"/>
          <w:spacing w:val="4"/>
          <w:sz w:val="23"/>
          <w:szCs w:val="23"/>
        </w:rPr>
        <w:t>文件有效期内，供应商的响应保持有效，供应商不得要求撤销或修改其响应文</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响应文件有效期不满足要求的，其响应文件将被认定为响应无效。</w:t>
      </w:r>
    </w:p>
    <w:p w14:paraId="574AD30A">
      <w:pPr>
        <w:spacing w:before="132" w:line="329" w:lineRule="auto"/>
        <w:ind w:left="10" w:right="2" w:firstLine="451"/>
        <w:rPr>
          <w:rFonts w:ascii="宋体" w:hAnsi="宋体" w:eastAsia="宋体" w:cs="宋体"/>
          <w:sz w:val="23"/>
          <w:szCs w:val="23"/>
        </w:rPr>
      </w:pPr>
      <w:r>
        <w:rPr>
          <w:rFonts w:ascii="宋体" w:hAnsi="宋体" w:eastAsia="宋体" w:cs="宋体"/>
          <w:spacing w:val="8"/>
          <w:sz w:val="23"/>
          <w:szCs w:val="23"/>
        </w:rPr>
        <w:t>12.3 因特</w:t>
      </w:r>
      <w:r>
        <w:rPr>
          <w:rFonts w:ascii="宋体" w:hAnsi="宋体" w:eastAsia="宋体" w:cs="宋体"/>
          <w:spacing w:val="7"/>
          <w:sz w:val="23"/>
          <w:szCs w:val="23"/>
        </w:rPr>
        <w:t>殊</w:t>
      </w:r>
      <w:r>
        <w:rPr>
          <w:rFonts w:ascii="宋体" w:hAnsi="宋体" w:eastAsia="宋体" w:cs="宋体"/>
          <w:spacing w:val="4"/>
          <w:sz w:val="23"/>
          <w:szCs w:val="23"/>
        </w:rPr>
        <w:t>原因，征集人可在原响应文件有效期截止之前，要求供应商延长响应文件的有</w:t>
      </w:r>
      <w:r>
        <w:rPr>
          <w:rFonts w:ascii="宋体" w:hAnsi="宋体" w:eastAsia="宋体" w:cs="宋体"/>
          <w:spacing w:val="14"/>
          <w:sz w:val="23"/>
          <w:szCs w:val="23"/>
        </w:rPr>
        <w:t>效期</w:t>
      </w:r>
      <w:r>
        <w:rPr>
          <w:rFonts w:ascii="宋体" w:hAnsi="宋体" w:eastAsia="宋体" w:cs="宋体"/>
          <w:spacing w:val="12"/>
          <w:sz w:val="23"/>
          <w:szCs w:val="23"/>
        </w:rPr>
        <w:t>。</w:t>
      </w:r>
      <w:r>
        <w:rPr>
          <w:rFonts w:ascii="宋体" w:hAnsi="宋体" w:eastAsia="宋体" w:cs="宋体"/>
          <w:spacing w:val="7"/>
          <w:sz w:val="23"/>
          <w:szCs w:val="23"/>
        </w:rPr>
        <w:t>接受该要求的供应商将不会被要求和允许修正其响应。供应商也可以拒绝延长响应文件</w:t>
      </w:r>
      <w:r>
        <w:rPr>
          <w:rFonts w:ascii="宋体" w:hAnsi="宋体" w:eastAsia="宋体" w:cs="宋体"/>
          <w:spacing w:val="18"/>
          <w:sz w:val="23"/>
          <w:szCs w:val="23"/>
        </w:rPr>
        <w:t>有</w:t>
      </w:r>
      <w:r>
        <w:rPr>
          <w:rFonts w:ascii="宋体" w:hAnsi="宋体" w:eastAsia="宋体" w:cs="宋体"/>
          <w:spacing w:val="12"/>
          <w:sz w:val="23"/>
          <w:szCs w:val="23"/>
        </w:rPr>
        <w:t>效</w:t>
      </w:r>
      <w:r>
        <w:rPr>
          <w:rFonts w:ascii="宋体" w:hAnsi="宋体" w:eastAsia="宋体" w:cs="宋体"/>
          <w:spacing w:val="9"/>
          <w:sz w:val="23"/>
          <w:szCs w:val="23"/>
        </w:rPr>
        <w:t>期的要求，且不承担任何责任。上述要求和答复都应以书面形式提交。</w:t>
      </w:r>
    </w:p>
    <w:p w14:paraId="759A0F2E">
      <w:pPr>
        <w:spacing w:before="130" w:line="308" w:lineRule="exact"/>
        <w:ind w:left="463"/>
        <w:rPr>
          <w:rFonts w:ascii="宋体" w:hAnsi="宋体" w:eastAsia="宋体" w:cs="宋体"/>
          <w:sz w:val="23"/>
          <w:szCs w:val="23"/>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3.响应文件的制作</w:t>
      </w:r>
    </w:p>
    <w:p w14:paraId="4E6CC0EE">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13.1 本项目要求提供加密电子响应文件，响应文件的制作应满足以下规定：</w:t>
      </w:r>
    </w:p>
    <w:p w14:paraId="61A4EAC5">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 响应文件由供应商使用电子交易系统提供的“响应文件制作工具”制作生成。“响应文件制作工具”可以通过电子交易系统中下载。供应商应当在互联网络通畅状态下启用最新版响应文件制作工具制作响应文件。</w:t>
      </w:r>
    </w:p>
    <w:p w14:paraId="098F6632">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(2) 在第六章“响应文件格式”中要求盖供应商电子签章处，供应商均应加盖供应商电子签章或公章。</w:t>
      </w:r>
    </w:p>
    <w:p w14:paraId="7F897D3F">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(3)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1ACEBC5F">
      <w:pPr>
        <w:spacing w:before="133" w:line="227" w:lineRule="auto"/>
        <w:ind w:left="45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响应文件制作的具体方法详见“响应文件制作工具”中的帮助文档。</w:t>
      </w:r>
    </w:p>
    <w:p w14:paraId="102EED07">
      <w:pPr>
        <w:spacing w:before="278" w:line="331" w:lineRule="auto"/>
        <w:ind w:left="9" w:right="2" w:firstLine="452"/>
        <w:rPr>
          <w:rFonts w:ascii="宋体" w:hAnsi="宋体" w:eastAsia="宋体" w:cs="宋体"/>
          <w:sz w:val="23"/>
          <w:szCs w:val="23"/>
        </w:rPr>
      </w:pPr>
      <w:r>
        <w:rPr>
          <w:rFonts w:ascii="宋体" w:hAnsi="宋体" w:eastAsia="宋体" w:cs="宋体"/>
          <w:spacing w:val="8"/>
          <w:sz w:val="23"/>
          <w:szCs w:val="23"/>
        </w:rPr>
        <w:t>13.2 因供</w:t>
      </w:r>
      <w:r>
        <w:rPr>
          <w:rFonts w:ascii="宋体" w:hAnsi="宋体" w:eastAsia="宋体" w:cs="宋体"/>
          <w:spacing w:val="7"/>
          <w:sz w:val="23"/>
          <w:szCs w:val="23"/>
        </w:rPr>
        <w:t>应</w:t>
      </w:r>
      <w:r>
        <w:rPr>
          <w:rFonts w:ascii="宋体" w:hAnsi="宋体" w:eastAsia="宋体" w:cs="宋体"/>
          <w:spacing w:val="4"/>
          <w:sz w:val="23"/>
          <w:szCs w:val="23"/>
        </w:rPr>
        <w:t>商自身原因而导致响应文件无法导入电子交易系统电子开标、评标系统，该响</w:t>
      </w:r>
      <w:r>
        <w:rPr>
          <w:rFonts w:ascii="宋体" w:hAnsi="宋体" w:eastAsia="宋体" w:cs="宋体"/>
          <w:spacing w:val="6"/>
          <w:sz w:val="23"/>
          <w:szCs w:val="23"/>
        </w:rPr>
        <w:t>应视为无效响应，供</w:t>
      </w:r>
      <w:r>
        <w:rPr>
          <w:rFonts w:ascii="宋体" w:hAnsi="宋体" w:eastAsia="宋体" w:cs="宋体"/>
          <w:spacing w:val="4"/>
          <w:sz w:val="23"/>
          <w:szCs w:val="23"/>
        </w:rPr>
        <w:t>应</w:t>
      </w:r>
      <w:r>
        <w:rPr>
          <w:rFonts w:ascii="宋体" w:hAnsi="宋体" w:eastAsia="宋体" w:cs="宋体"/>
          <w:spacing w:val="3"/>
          <w:sz w:val="23"/>
          <w:szCs w:val="23"/>
        </w:rPr>
        <w:t>商自行承担由此导致的全部责任。（该响应文件是指解密后的响应文件）。</w:t>
      </w:r>
    </w:p>
    <w:p w14:paraId="69D31DD8">
      <w:pPr>
        <w:spacing w:before="134" w:line="311" w:lineRule="exact"/>
        <w:ind w:left="463"/>
        <w:rPr>
          <w:rFonts w:ascii="黑体" w:hAnsi="黑体" w:eastAsia="黑体" w:cs="黑体"/>
          <w:sz w:val="28"/>
          <w:szCs w:val="28"/>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4.响应文件提交</w:t>
      </w:r>
    </w:p>
    <w:p w14:paraId="554CB387">
      <w:pPr>
        <w:spacing w:before="248" w:line="333" w:lineRule="auto"/>
        <w:ind w:left="10" w:right="82" w:firstLine="451"/>
        <w:rPr>
          <w:rFonts w:ascii="宋体" w:hAnsi="宋体" w:eastAsia="宋体" w:cs="宋体"/>
          <w:sz w:val="23"/>
          <w:szCs w:val="23"/>
        </w:rPr>
      </w:pPr>
      <w:r>
        <w:rPr>
          <w:rFonts w:ascii="宋体" w:hAnsi="宋体" w:eastAsia="宋体" w:cs="宋体"/>
          <w:spacing w:val="8"/>
          <w:sz w:val="23"/>
          <w:szCs w:val="23"/>
        </w:rPr>
        <w:t>14.1 供应</w:t>
      </w:r>
      <w:r>
        <w:rPr>
          <w:rFonts w:ascii="宋体" w:hAnsi="宋体" w:eastAsia="宋体" w:cs="宋体"/>
          <w:spacing w:val="7"/>
          <w:sz w:val="23"/>
          <w:szCs w:val="23"/>
        </w:rPr>
        <w:t>商</w:t>
      </w:r>
      <w:r>
        <w:rPr>
          <w:rFonts w:ascii="宋体" w:hAnsi="宋体" w:eastAsia="宋体" w:cs="宋体"/>
          <w:spacing w:val="4"/>
          <w:sz w:val="23"/>
          <w:szCs w:val="23"/>
        </w:rPr>
        <w:t>应在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中规定的响应文件提交截止时间前，在网上提交加密电</w:t>
      </w:r>
      <w:r>
        <w:rPr>
          <w:rFonts w:ascii="宋体" w:hAnsi="宋体" w:eastAsia="宋体" w:cs="宋体"/>
          <w:spacing w:val="9"/>
          <w:sz w:val="23"/>
          <w:szCs w:val="23"/>
        </w:rPr>
        <w:t>子</w:t>
      </w:r>
      <w:r>
        <w:rPr>
          <w:rFonts w:ascii="宋体" w:hAnsi="宋体" w:eastAsia="宋体" w:cs="宋体"/>
          <w:spacing w:val="6"/>
          <w:sz w:val="23"/>
          <w:szCs w:val="23"/>
        </w:rPr>
        <w:t>响应文件。</w:t>
      </w:r>
    </w:p>
    <w:p w14:paraId="388A3278">
      <w:pPr>
        <w:spacing w:before="130" w:line="333" w:lineRule="auto"/>
        <w:ind w:left="13" w:right="82" w:firstLine="448"/>
        <w:rPr>
          <w:rFonts w:ascii="宋体" w:hAnsi="宋体" w:eastAsia="宋体" w:cs="宋体"/>
          <w:sz w:val="23"/>
          <w:szCs w:val="23"/>
        </w:rPr>
      </w:pPr>
      <w:r>
        <w:rPr>
          <w:rFonts w:ascii="宋体" w:hAnsi="宋体" w:eastAsia="宋体" w:cs="宋体"/>
          <w:spacing w:val="8"/>
          <w:sz w:val="23"/>
          <w:szCs w:val="23"/>
        </w:rPr>
        <w:t>14.2 供应</w:t>
      </w:r>
      <w:r>
        <w:rPr>
          <w:rFonts w:ascii="宋体" w:hAnsi="宋体" w:eastAsia="宋体" w:cs="宋体"/>
          <w:spacing w:val="7"/>
          <w:sz w:val="23"/>
          <w:szCs w:val="23"/>
        </w:rPr>
        <w:t>商</w:t>
      </w:r>
      <w:r>
        <w:rPr>
          <w:rFonts w:ascii="宋体" w:hAnsi="宋体" w:eastAsia="宋体" w:cs="宋体"/>
          <w:spacing w:val="4"/>
          <w:sz w:val="23"/>
          <w:szCs w:val="23"/>
        </w:rPr>
        <w:t>在征集文件规定的响应文件提交截止时间前上传了网上加密电子响应文件，但</w:t>
      </w:r>
      <w:r>
        <w:rPr>
          <w:rFonts w:ascii="宋体" w:hAnsi="宋体" w:eastAsia="宋体" w:cs="宋体"/>
          <w:spacing w:val="9"/>
          <w:sz w:val="23"/>
          <w:szCs w:val="23"/>
        </w:rPr>
        <w:t>未在规定时间内进行解密的，响应无效</w:t>
      </w:r>
      <w:r>
        <w:rPr>
          <w:rFonts w:ascii="宋体" w:hAnsi="宋体" w:eastAsia="宋体" w:cs="宋体"/>
          <w:spacing w:val="6"/>
          <w:sz w:val="23"/>
          <w:szCs w:val="23"/>
        </w:rPr>
        <w:t>。</w:t>
      </w:r>
    </w:p>
    <w:p w14:paraId="5F1024AC">
      <w:pPr>
        <w:spacing w:before="130" w:line="329" w:lineRule="auto"/>
        <w:ind w:left="8" w:firstLine="453"/>
        <w:rPr>
          <w:rFonts w:ascii="宋体" w:hAnsi="宋体" w:eastAsia="宋体" w:cs="宋体"/>
          <w:sz w:val="23"/>
          <w:szCs w:val="23"/>
        </w:rPr>
      </w:pPr>
      <w:r>
        <w:rPr>
          <w:rFonts w:ascii="宋体" w:hAnsi="宋体" w:eastAsia="宋体" w:cs="宋体"/>
          <w:spacing w:val="2"/>
          <w:sz w:val="23"/>
          <w:szCs w:val="23"/>
        </w:rPr>
        <w:t>14.3 征集人有</w:t>
      </w:r>
      <w:r>
        <w:rPr>
          <w:rFonts w:ascii="宋体" w:hAnsi="宋体" w:eastAsia="宋体" w:cs="宋体"/>
          <w:spacing w:val="1"/>
          <w:sz w:val="23"/>
          <w:szCs w:val="23"/>
        </w:rPr>
        <w:t>权按本征集文件的规定，延迟响应文件提交截止时间。在此情况下，征集人、</w:t>
      </w:r>
      <w:r>
        <w:rPr>
          <w:rFonts w:ascii="宋体" w:hAnsi="宋体" w:eastAsia="宋体" w:cs="宋体"/>
          <w:spacing w:val="26"/>
          <w:sz w:val="23"/>
          <w:szCs w:val="23"/>
        </w:rPr>
        <w:t>采</w:t>
      </w:r>
      <w:r>
        <w:rPr>
          <w:rFonts w:ascii="宋体" w:hAnsi="宋体" w:eastAsia="宋体" w:cs="宋体"/>
          <w:spacing w:val="15"/>
          <w:sz w:val="23"/>
          <w:szCs w:val="23"/>
        </w:rPr>
        <w:t>购</w:t>
      </w:r>
      <w:r>
        <w:rPr>
          <w:rFonts w:ascii="宋体" w:hAnsi="宋体" w:eastAsia="宋体" w:cs="宋体"/>
          <w:spacing w:val="13"/>
          <w:sz w:val="23"/>
          <w:szCs w:val="23"/>
        </w:rPr>
        <w:t>代理机构和供应商受响应文件提交截止时间制约的所有权利和义务均应延长至新的截止</w:t>
      </w:r>
      <w:r>
        <w:rPr>
          <w:rFonts w:ascii="宋体" w:hAnsi="宋体" w:eastAsia="宋体" w:cs="宋体"/>
          <w:spacing w:val="4"/>
          <w:sz w:val="23"/>
          <w:szCs w:val="23"/>
        </w:rPr>
        <w:t>时间</w:t>
      </w:r>
      <w:r>
        <w:rPr>
          <w:rFonts w:ascii="宋体" w:hAnsi="宋体" w:eastAsia="宋体" w:cs="宋体"/>
          <w:spacing w:val="3"/>
          <w:sz w:val="23"/>
          <w:szCs w:val="23"/>
        </w:rPr>
        <w:t>。</w:t>
      </w:r>
    </w:p>
    <w:p w14:paraId="3C732037">
      <w:pPr>
        <w:spacing w:before="132" w:line="309" w:lineRule="exact"/>
        <w:ind w:left="463"/>
        <w:rPr>
          <w:rFonts w:ascii="宋体" w:hAnsi="宋体" w:eastAsia="宋体" w:cs="宋体"/>
          <w:sz w:val="23"/>
          <w:szCs w:val="23"/>
        </w:rPr>
      </w:pPr>
      <w:r>
        <w:rPr>
          <w:rFonts w:hint="eastAsia" w:ascii="黑体" w:hAnsi="黑体" w:eastAsia="黑体" w:cs="黑体"/>
          <w:spacing w:val="12"/>
          <w:position w:val="1"/>
          <w:sz w:val="28"/>
          <w:szCs w:val="28"/>
        </w:rPr>
        <w:t>1</w:t>
      </w:r>
      <w:r>
        <w:rPr>
          <w:rFonts w:hint="eastAsia" w:ascii="黑体" w:hAnsi="黑体" w:eastAsia="黑体" w:cs="黑体"/>
          <w:spacing w:val="8"/>
          <w:position w:val="1"/>
          <w:sz w:val="28"/>
          <w:szCs w:val="28"/>
        </w:rPr>
        <w:t>5.响应文件的递交、修改与撤回</w:t>
      </w:r>
    </w:p>
    <w:p w14:paraId="1C0FFDF9">
      <w:pPr>
        <w:spacing w:before="251" w:line="332" w:lineRule="auto"/>
        <w:ind w:left="8" w:right="82" w:firstLine="453"/>
        <w:rPr>
          <w:rFonts w:ascii="宋体" w:hAnsi="宋体" w:eastAsia="宋体" w:cs="宋体"/>
          <w:sz w:val="23"/>
          <w:szCs w:val="23"/>
        </w:rPr>
      </w:pPr>
      <w:r>
        <w:rPr>
          <w:rFonts w:ascii="宋体" w:hAnsi="宋体" w:eastAsia="宋体" w:cs="宋体"/>
          <w:spacing w:val="8"/>
          <w:sz w:val="23"/>
          <w:szCs w:val="23"/>
        </w:rPr>
        <w:t>15.1 供应</w:t>
      </w:r>
      <w:r>
        <w:rPr>
          <w:rFonts w:ascii="宋体" w:hAnsi="宋体" w:eastAsia="宋体" w:cs="宋体"/>
          <w:spacing w:val="7"/>
          <w:sz w:val="23"/>
          <w:szCs w:val="23"/>
        </w:rPr>
        <w:t>商</w:t>
      </w:r>
      <w:r>
        <w:rPr>
          <w:rFonts w:ascii="宋体" w:hAnsi="宋体" w:eastAsia="宋体" w:cs="宋体"/>
          <w:spacing w:val="4"/>
          <w:sz w:val="23"/>
          <w:szCs w:val="23"/>
        </w:rPr>
        <w:t>应当在第一章“征集邀请”规定的响应文件提交截止时间前，将加密的响应文</w:t>
      </w:r>
      <w:r>
        <w:rPr>
          <w:rFonts w:ascii="宋体" w:hAnsi="宋体" w:eastAsia="宋体" w:cs="宋体"/>
          <w:spacing w:val="11"/>
          <w:sz w:val="23"/>
          <w:szCs w:val="23"/>
        </w:rPr>
        <w:t>件</w:t>
      </w:r>
      <w:r>
        <w:rPr>
          <w:rFonts w:ascii="宋体" w:hAnsi="宋体" w:eastAsia="宋体" w:cs="宋体"/>
          <w:spacing w:val="8"/>
          <w:sz w:val="23"/>
          <w:szCs w:val="23"/>
        </w:rPr>
        <w:t>在电子交易系统上传。</w:t>
      </w:r>
    </w:p>
    <w:p w14:paraId="443D0595">
      <w:pPr>
        <w:spacing w:before="130" w:line="327" w:lineRule="auto"/>
        <w:ind w:left="7" w:right="82" w:firstLine="454"/>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13"/>
          <w:sz w:val="23"/>
          <w:szCs w:val="23"/>
        </w:rPr>
        <w:t>.</w:t>
      </w:r>
      <w:r>
        <w:rPr>
          <w:rFonts w:ascii="宋体" w:hAnsi="宋体" w:eastAsia="宋体" w:cs="宋体"/>
          <w:spacing w:val="7"/>
          <w:sz w:val="23"/>
          <w:szCs w:val="23"/>
        </w:rPr>
        <w:t>2 供应商应当在响应文件提交截止时间前完成响应文件的传输递交（以接收到电子签收</w:t>
      </w:r>
      <w:r>
        <w:rPr>
          <w:rFonts w:ascii="宋体" w:hAnsi="宋体" w:eastAsia="宋体" w:cs="宋体"/>
          <w:spacing w:val="14"/>
          <w:sz w:val="23"/>
          <w:szCs w:val="23"/>
        </w:rPr>
        <w:t>凭证</w:t>
      </w:r>
      <w:r>
        <w:rPr>
          <w:rFonts w:ascii="宋体" w:hAnsi="宋体" w:eastAsia="宋体" w:cs="宋体"/>
          <w:spacing w:val="7"/>
          <w:sz w:val="23"/>
          <w:szCs w:val="23"/>
        </w:rPr>
        <w:t>为准），并可以补充、修改或者撤回响应文件。响应文件提交截止时间前未完成响应文件</w:t>
      </w:r>
      <w:r>
        <w:rPr>
          <w:rFonts w:ascii="宋体" w:hAnsi="宋体" w:eastAsia="宋体" w:cs="宋体"/>
          <w:spacing w:val="14"/>
          <w:sz w:val="23"/>
          <w:szCs w:val="23"/>
        </w:rPr>
        <w:t>传输的</w:t>
      </w:r>
      <w:r>
        <w:rPr>
          <w:rFonts w:ascii="宋体" w:hAnsi="宋体" w:eastAsia="宋体" w:cs="宋体"/>
          <w:spacing w:val="7"/>
          <w:sz w:val="23"/>
          <w:szCs w:val="23"/>
        </w:rPr>
        <w:t>，视为撤回响应文件。未按规定加密或响应文件提交截止时间后送达的响应文件，电子</w:t>
      </w:r>
      <w:r>
        <w:rPr>
          <w:rFonts w:ascii="宋体" w:hAnsi="宋体" w:eastAsia="宋体" w:cs="宋体"/>
          <w:spacing w:val="8"/>
          <w:sz w:val="23"/>
          <w:szCs w:val="23"/>
        </w:rPr>
        <w:t>交易系统应当拒收。</w:t>
      </w:r>
    </w:p>
    <w:p w14:paraId="42662886">
      <w:pPr>
        <w:spacing w:before="131" w:line="333" w:lineRule="auto"/>
        <w:ind w:left="11" w:right="82" w:firstLine="450"/>
        <w:rPr>
          <w:rFonts w:ascii="宋体" w:hAnsi="宋体" w:eastAsia="宋体" w:cs="宋体"/>
          <w:sz w:val="23"/>
          <w:szCs w:val="23"/>
        </w:rPr>
      </w:pPr>
      <w:r>
        <w:rPr>
          <w:rFonts w:ascii="宋体" w:hAnsi="宋体" w:eastAsia="宋体" w:cs="宋体"/>
          <w:spacing w:val="8"/>
          <w:sz w:val="23"/>
          <w:szCs w:val="23"/>
        </w:rPr>
        <w:t xml:space="preserve">15.3 </w:t>
      </w:r>
      <w:r>
        <w:rPr>
          <w:rFonts w:ascii="宋体" w:hAnsi="宋体" w:eastAsia="宋体" w:cs="宋体"/>
          <w:spacing w:val="7"/>
          <w:sz w:val="23"/>
          <w:szCs w:val="23"/>
        </w:rPr>
        <w:t>供</w:t>
      </w:r>
      <w:r>
        <w:rPr>
          <w:rFonts w:ascii="宋体" w:hAnsi="宋体" w:eastAsia="宋体" w:cs="宋体"/>
          <w:spacing w:val="4"/>
          <w:sz w:val="23"/>
          <w:szCs w:val="23"/>
        </w:rPr>
        <w:t>应商在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规定的解密时间（以电子交易系统解密倒计时为准）内完</w:t>
      </w:r>
      <w:r>
        <w:rPr>
          <w:rFonts w:ascii="宋体" w:hAnsi="宋体" w:eastAsia="宋体" w:cs="宋体"/>
          <w:spacing w:val="12"/>
          <w:sz w:val="23"/>
          <w:szCs w:val="23"/>
        </w:rPr>
        <w:t>成</w:t>
      </w:r>
      <w:r>
        <w:rPr>
          <w:rFonts w:ascii="宋体" w:hAnsi="宋体" w:eastAsia="宋体" w:cs="宋体"/>
          <w:spacing w:val="8"/>
          <w:sz w:val="23"/>
          <w:szCs w:val="23"/>
        </w:rPr>
        <w:t>电子响应文件的解密工作。</w:t>
      </w:r>
    </w:p>
    <w:p w14:paraId="4D7C753B">
      <w:pPr>
        <w:spacing w:before="131" w:line="309" w:lineRule="exact"/>
        <w:ind w:left="463"/>
        <w:rPr>
          <w:rFonts w:ascii="宋体" w:hAnsi="宋体" w:eastAsia="宋体" w:cs="宋体"/>
          <w:sz w:val="23"/>
          <w:szCs w:val="23"/>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6.响应文件开启</w:t>
      </w:r>
    </w:p>
    <w:p w14:paraId="19832A0A">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16.1 征集人将按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中规定的开启时间和地点组织响应文件开启。</w:t>
      </w:r>
    </w:p>
    <w:p w14:paraId="21683B1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16.2 响应文件开启时，各供应商应在规定时间前（以电子交易系统解密倒计时为准）对本单位的响应文件进行解密。</w:t>
      </w:r>
    </w:p>
    <w:p w14:paraId="7240992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16.3 响应文件开启时，采购代理机构将通过网上开标系统公布开启结果，公布内容包括供应商名称、响应价格及征集文件规定的内容。</w:t>
      </w:r>
    </w:p>
    <w:p w14:paraId="655CDE9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供应商可自行登录电子服务系统查看开标情况。</w:t>
      </w:r>
    </w:p>
    <w:p w14:paraId="6634B307">
      <w:pPr>
        <w:spacing w:before="279" w:line="308" w:lineRule="exact"/>
        <w:ind w:left="463"/>
        <w:rPr>
          <w:rFonts w:ascii="宋体" w:hAnsi="宋体" w:eastAsia="宋体" w:cs="宋体"/>
          <w:sz w:val="23"/>
          <w:szCs w:val="23"/>
        </w:rPr>
      </w:pPr>
      <w:r>
        <w:rPr>
          <w:rFonts w:hint="eastAsia" w:ascii="黑体" w:hAnsi="黑体" w:eastAsia="黑体" w:cs="黑体"/>
          <w:spacing w:val="8"/>
          <w:position w:val="1"/>
          <w:sz w:val="28"/>
          <w:szCs w:val="28"/>
        </w:rPr>
        <w:t>17.资格审查及组建评审小</w:t>
      </w:r>
      <w:r>
        <w:rPr>
          <w:rFonts w:hint="eastAsia" w:ascii="黑体" w:hAnsi="黑体" w:eastAsia="黑体" w:cs="黑体"/>
          <w:spacing w:val="5"/>
          <w:position w:val="1"/>
          <w:sz w:val="28"/>
          <w:szCs w:val="28"/>
        </w:rPr>
        <w:t>组</w:t>
      </w:r>
    </w:p>
    <w:p w14:paraId="66F49A5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17.1 征集人依据法律法规和征集文件中规定的内容，对供应商资格进行审查，未通过资格审查的供应商不进入评审。</w:t>
      </w:r>
    </w:p>
    <w:p w14:paraId="445D82D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 xml:space="preserve">17.2 </w:t>
      </w:r>
      <w:r>
        <w:rPr>
          <w:rFonts w:hint="eastAsia" w:ascii="宋体" w:hAnsi="宋体" w:eastAsia="宋体" w:cs="宋体"/>
          <w:spacing w:val="4"/>
          <w:sz w:val="23"/>
          <w:szCs w:val="23"/>
          <w:highlight w:val="none"/>
          <w:lang w:eastAsia="zh-CN"/>
        </w:rPr>
        <w:t>供应商自行提供</w:t>
      </w:r>
      <w:r>
        <w:rPr>
          <w:rFonts w:ascii="宋体" w:hAnsi="宋体" w:eastAsia="宋体" w:cs="宋体"/>
          <w:spacing w:val="4"/>
          <w:sz w:val="23"/>
          <w:szCs w:val="23"/>
        </w:rPr>
        <w:t>不良信用记录</w:t>
      </w:r>
      <w:r>
        <w:rPr>
          <w:rFonts w:hint="eastAsia" w:ascii="宋体" w:hAnsi="宋体" w:eastAsia="宋体" w:cs="宋体"/>
          <w:spacing w:val="4"/>
          <w:sz w:val="23"/>
          <w:szCs w:val="23"/>
          <w:highlight w:val="none"/>
          <w:lang w:val="en-US" w:eastAsia="zh-CN"/>
        </w:rPr>
        <w:t>承诺函</w:t>
      </w:r>
      <w:r>
        <w:rPr>
          <w:rFonts w:ascii="宋体" w:hAnsi="宋体" w:eastAsia="宋体" w:cs="宋体"/>
          <w:spacing w:val="4"/>
          <w:sz w:val="23"/>
          <w:szCs w:val="23"/>
        </w:rPr>
        <w:t>，</w:t>
      </w:r>
      <w:r>
        <w:rPr>
          <w:rFonts w:hint="eastAsia" w:ascii="宋体" w:hAnsi="宋体" w:eastAsia="宋体" w:cs="宋体"/>
          <w:spacing w:val="4"/>
          <w:sz w:val="23"/>
          <w:szCs w:val="23"/>
          <w:lang w:eastAsia="zh-CN"/>
        </w:rPr>
        <w:t>若不提供，</w:t>
      </w:r>
      <w:r>
        <w:rPr>
          <w:rFonts w:ascii="宋体" w:hAnsi="宋体" w:eastAsia="宋体" w:cs="宋体"/>
          <w:spacing w:val="4"/>
          <w:sz w:val="23"/>
          <w:szCs w:val="23"/>
        </w:rPr>
        <w:t>其响应文件将被认定为响应无效。</w:t>
      </w:r>
    </w:p>
    <w:p w14:paraId="29A4320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17.2.1 不良信用记录是指：（1） 供应商被人民法院列入失信被执行人；（2） 供应商或其法定代表人或拟派项目经理（项目负责人）被人民检察院列入行贿犯罪档案；（3） 供应商被工商行政管理部门列入企业经营异常名录；（4） 供应商被税务部门列入重大税收违法案件当事人名单；（5） 供应商被政府采购监管部门列入政府采购严重违法失信行为记录名单，以及存在《中华人民共和国政府采购法实施条例》第十九条规定的行政处罚记录。</w:t>
      </w:r>
    </w:p>
    <w:p w14:paraId="4A41EC9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17.2.2 信用信息查询渠道：中国政府采购网（www.ccgp.gov.cn）、“信用中国”网站（www.creditchina.gov.cn）、国家企业信用信息公示系统（www.gsxt.gov.cn）。</w:t>
      </w:r>
    </w:p>
    <w:p w14:paraId="4C2A9403">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注：企业经营异常名录以国家企业信用信息公示系统查询结果为准。</w:t>
      </w:r>
    </w:p>
    <w:p w14:paraId="173AE5E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highlight w:val="none"/>
        </w:rPr>
        <w:t>17.2.3 信用信息记录方式：</w:t>
      </w:r>
      <w:r>
        <w:rPr>
          <w:rFonts w:hint="eastAsia" w:ascii="宋体" w:hAnsi="宋体" w:eastAsia="宋体" w:cs="宋体"/>
          <w:spacing w:val="4"/>
          <w:sz w:val="23"/>
          <w:szCs w:val="23"/>
          <w:highlight w:val="none"/>
          <w:lang w:eastAsia="zh-CN"/>
        </w:rPr>
        <w:t>供应商自行提供</w:t>
      </w:r>
      <w:r>
        <w:rPr>
          <w:rFonts w:hint="eastAsia" w:ascii="宋体" w:hAnsi="宋体" w:eastAsia="宋体" w:cs="宋体"/>
          <w:spacing w:val="4"/>
          <w:sz w:val="23"/>
          <w:szCs w:val="23"/>
          <w:highlight w:val="none"/>
          <w:lang w:val="en-US" w:eastAsia="zh-CN"/>
        </w:rPr>
        <w:t>承诺函。</w:t>
      </w:r>
    </w:p>
    <w:p w14:paraId="33E1475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14:paraId="71EF39E2">
      <w:pPr>
        <w:spacing w:before="135"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18.响应文件符合性审查与澄</w:t>
      </w:r>
      <w:r>
        <w:rPr>
          <w:rFonts w:hint="eastAsia" w:ascii="黑体" w:hAnsi="黑体" w:eastAsia="黑体" w:cs="黑体"/>
          <w:spacing w:val="7"/>
          <w:position w:val="1"/>
          <w:sz w:val="28"/>
          <w:szCs w:val="28"/>
        </w:rPr>
        <w:t>清</w:t>
      </w:r>
    </w:p>
    <w:p w14:paraId="651EE403">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18.1 符合性审查是指依据征集文件的规定，从响应文件的有效性和完整性对征集文件的响应程度进行审查，以确定是否对征集文件的实质性要求做出响应。</w:t>
      </w:r>
    </w:p>
    <w:p w14:paraId="0BDEC4A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 响应文件的澄清</w:t>
      </w:r>
    </w:p>
    <w:p w14:paraId="0AD2AB7A">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18.2.1 为有助于响应文件的审查、评价和比较，在评审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做必要的澄清、说明或补正。供应商的澄清、说明或补正应在评审小组规定的时间内以书面方式进行，并不得超出响应文件范围或者改变响应文件的实质性内容。</w:t>
      </w:r>
    </w:p>
    <w:p w14:paraId="4A28BD6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如有询标，供应商授权代表（或法定代表人）可通过远程登录的方式接受网上询标，也可凭本人有效身份证明参加询标。因供应商授权代表联系不上、没有及时登录系统等情形而无法接受评审小组询标的，供应商自行承担相关风险。</w:t>
      </w:r>
    </w:p>
    <w:p w14:paraId="5C9EB50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18.2.2 供应商的澄清、说明或补正将作为响应文件的一部分。</w:t>
      </w:r>
    </w:p>
    <w:p w14:paraId="75EC177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18.2.3 评审小组对供应商提交的澄清、说明或补正有疑问的，可以要求供应商进一步澄清、说明或补正，直至满足评审小组的要求。</w:t>
      </w:r>
    </w:p>
    <w:p w14:paraId="3BEBED7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18.3 响应文件报价出现前后不一致的，按照下列规定修正：</w:t>
      </w:r>
    </w:p>
    <w:p w14:paraId="25403C63">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响应文件中报价表内容与响应文件中相应内容不一致的，以报价表为准；</w:t>
      </w:r>
    </w:p>
    <w:p w14:paraId="4BA4DA0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大写金额和小写金额不一致的，以大写金额为准；</w:t>
      </w:r>
    </w:p>
    <w:p w14:paraId="5E0A64BC">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单价金额小数点或者百分比有明显错位的，以报价表的总价为准，并修改单价；</w:t>
      </w:r>
    </w:p>
    <w:p w14:paraId="5B9C4E0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同时出现两种以上不一致的，按照前款规定的顺序修正。修正后的报价按照第18.2条的规定经供应商确认后产生约束力，供应商不确认的，其响应文件将被认定为响应无效。</w:t>
      </w:r>
    </w:p>
    <w:p w14:paraId="111F8A17">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对不同文字文本响应文件的解释发生异议的，以中文文本为准。</w:t>
      </w:r>
    </w:p>
    <w:p w14:paraId="160BBB5E">
      <w:pPr>
        <w:spacing w:before="276"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w:t>
      </w:r>
      <w:r>
        <w:rPr>
          <w:rFonts w:hint="eastAsia" w:ascii="黑体" w:hAnsi="黑体" w:eastAsia="黑体" w:cs="黑体"/>
          <w:spacing w:val="4"/>
          <w:position w:val="1"/>
          <w:sz w:val="28"/>
          <w:szCs w:val="28"/>
        </w:rPr>
        <w:t>9.响应无效</w:t>
      </w:r>
    </w:p>
    <w:p w14:paraId="2D1EF76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19.1 根据本征集文件的规定，评审小组要审查每份响应文件是否实质上响应了征集文件的要求。供应商不得通过修正或撤销不符合要求的偏离，从而使其响应成为实质上响应。</w:t>
      </w:r>
    </w:p>
    <w:p w14:paraId="414C969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评审小组决定供应商的响应性只根据征集文件要求和响应文件内容。</w:t>
      </w:r>
    </w:p>
    <w:p w14:paraId="44ABB8E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无论何种原因，即使供应商响应时携带了证书材料的原件，但响应文件中未提供与之内容完全一致的扫描件的，评审小组视同其未提供。</w:t>
      </w:r>
    </w:p>
    <w:p w14:paraId="527A184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19.2 如发现下列情况之一的，其响应文件将被认定为响应无效：</w:t>
      </w:r>
    </w:p>
    <w:p w14:paraId="77F30FC3">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响应文件未按照征集文件规定要求签署、盖章的；</w:t>
      </w:r>
    </w:p>
    <w:p w14:paraId="23ADD564">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不具备征集文件中规定的资格要求的；</w:t>
      </w:r>
    </w:p>
    <w:p w14:paraId="64670658">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报价超过征集文件中规定的预算金额或者最高限价的；</w:t>
      </w:r>
    </w:p>
    <w:p w14:paraId="2F30A71D">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响应文件含有征集人不能接受的附加条件的；</w:t>
      </w:r>
    </w:p>
    <w:p w14:paraId="7BB4765A">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(5) 法律、法规和征集文件规定的其他无效情形。</w:t>
      </w:r>
    </w:p>
    <w:p w14:paraId="2919F765">
      <w:pPr>
        <w:spacing w:before="275" w:line="309"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0.比较与评价</w:t>
      </w:r>
    </w:p>
    <w:p w14:paraId="70A05B5F">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20.1 经符合性审查合格的响应文件，评审小组将根据征集文件确定的评审方法和标准，对其响应文件做进一步的比较与评价。</w:t>
      </w:r>
    </w:p>
    <w:p w14:paraId="3040709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20.2 评审严格按照征集文件的要求和条件进行。根据实际情况，在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中规定采用下列一种评审方法，详细评审方法和标准见征集文件第四章：</w:t>
      </w:r>
    </w:p>
    <w:p w14:paraId="781323D0">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价格优先法，是指对满足采购需求且响应报价不超过最高限制单价的货物、服务，按照响应报价从低到高排序，根据征集文件规定的淘汰率或者入围供应商数量上限，确定入围供应商的评审方法。</w:t>
      </w:r>
    </w:p>
    <w:p w14:paraId="26A6D576">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59A4DFFE">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20.3 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响应报价按照供应商须知前附表中规定的标准扣除后的价格参与评审。对于同时属于小微企业、监狱企业或残疾人福利性单位的，不重复进行响应报价扣除。</w:t>
      </w:r>
    </w:p>
    <w:p w14:paraId="78D39749">
      <w:pPr>
        <w:spacing w:before="132" w:line="310" w:lineRule="exact"/>
        <w:ind w:left="449"/>
        <w:rPr>
          <w:rFonts w:ascii="宋体" w:hAnsi="宋体" w:eastAsia="宋体" w:cs="宋体"/>
          <w:sz w:val="23"/>
          <w:szCs w:val="23"/>
        </w:rPr>
      </w:pPr>
      <w:r>
        <w:rPr>
          <w:rFonts w:hint="eastAsia" w:ascii="黑体" w:hAnsi="黑体" w:eastAsia="黑体" w:cs="黑体"/>
          <w:spacing w:val="8"/>
          <w:position w:val="1"/>
          <w:sz w:val="28"/>
          <w:szCs w:val="28"/>
        </w:rPr>
        <w:t>21.废标、重新征</w:t>
      </w:r>
      <w:r>
        <w:rPr>
          <w:rFonts w:hint="eastAsia" w:ascii="黑体" w:hAnsi="黑体" w:eastAsia="黑体" w:cs="黑体"/>
          <w:spacing w:val="7"/>
          <w:position w:val="1"/>
          <w:sz w:val="28"/>
          <w:szCs w:val="28"/>
        </w:rPr>
        <w:t>集</w:t>
      </w:r>
    </w:p>
    <w:p w14:paraId="580E902C">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21.1 出现下列情形之一，将导致项目废标：</w:t>
      </w:r>
    </w:p>
    <w:p w14:paraId="6C4697DB">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符合专业条件的供应商或者对征集文件做实质性响应的供应商不足规定数量的；</w:t>
      </w:r>
    </w:p>
    <w:p w14:paraId="599A6CE8">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出现影响采购公正的违法、违规行为的；</w:t>
      </w:r>
    </w:p>
    <w:p w14:paraId="7B89F89B">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供应商的报价均超过了采购预算，征集人不能支付的；</w:t>
      </w:r>
    </w:p>
    <w:p w14:paraId="164A5609">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因重大变故，采购任务取消的。</w:t>
      </w:r>
    </w:p>
    <w:p w14:paraId="08BC62E2">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21.2 响应文件提交截止时间后供应商不足规定数量或者通过资格审查或符合性审查的供</w:t>
      </w:r>
    </w:p>
    <w:p w14:paraId="6A9C7283">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应商不足规定数量的，除采购任务取消情形外，征集人可依法重新征集。</w:t>
      </w:r>
    </w:p>
    <w:p w14:paraId="35A49A21">
      <w:pPr>
        <w:spacing w:before="75" w:line="310" w:lineRule="exact"/>
        <w:ind w:left="449"/>
        <w:rPr>
          <w:rFonts w:ascii="黑体" w:hAnsi="黑体" w:eastAsia="黑体" w:cs="黑体"/>
          <w:sz w:val="28"/>
          <w:szCs w:val="28"/>
        </w:rPr>
      </w:pPr>
      <w:r>
        <w:rPr>
          <w:rFonts w:hint="eastAsia" w:ascii="黑体" w:hAnsi="黑体" w:eastAsia="黑体" w:cs="黑体"/>
          <w:spacing w:val="11"/>
          <w:position w:val="1"/>
          <w:sz w:val="28"/>
          <w:szCs w:val="28"/>
        </w:rPr>
        <w:t>2</w:t>
      </w:r>
      <w:r>
        <w:rPr>
          <w:rFonts w:hint="eastAsia" w:ascii="黑体" w:hAnsi="黑体" w:eastAsia="黑体" w:cs="黑体"/>
          <w:spacing w:val="6"/>
          <w:position w:val="1"/>
          <w:sz w:val="28"/>
          <w:szCs w:val="28"/>
        </w:rPr>
        <w:t>2.保密要求</w:t>
      </w:r>
    </w:p>
    <w:p w14:paraId="3E923F78">
      <w:pPr>
        <w:spacing w:before="131" w:line="333" w:lineRule="auto"/>
        <w:ind w:left="229" w:leftChars="109" w:right="82" w:firstLine="223" w:firstLineChars="94"/>
        <w:rPr>
          <w:rFonts w:ascii="宋体" w:hAnsi="宋体" w:eastAsia="宋体" w:cs="宋体"/>
          <w:spacing w:val="4"/>
          <w:sz w:val="23"/>
          <w:szCs w:val="23"/>
        </w:rPr>
      </w:pPr>
      <w:r>
        <w:rPr>
          <w:rFonts w:ascii="宋体" w:hAnsi="宋体" w:eastAsia="宋体" w:cs="宋体"/>
          <w:spacing w:val="4"/>
          <w:sz w:val="23"/>
          <w:szCs w:val="23"/>
        </w:rPr>
        <w:t>22.1 评审将在严格保密的情况下进行。</w:t>
      </w:r>
    </w:p>
    <w:p w14:paraId="2537F65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22.2 有关人员应当遵守评审工作纪律，不得泄露评审文件、评审情况和评审中获悉的国家秘密、商业秘密。</w:t>
      </w:r>
    </w:p>
    <w:p w14:paraId="06A17AF2">
      <w:pPr>
        <w:spacing w:before="131" w:line="308" w:lineRule="exact"/>
        <w:ind w:left="449"/>
        <w:rPr>
          <w:rFonts w:ascii="黑体" w:hAnsi="黑体" w:eastAsia="黑体" w:cs="黑体"/>
          <w:sz w:val="28"/>
          <w:szCs w:val="28"/>
        </w:rPr>
      </w:pPr>
      <w:r>
        <w:rPr>
          <w:rFonts w:hint="eastAsia" w:ascii="黑体" w:hAnsi="黑体" w:eastAsia="黑体" w:cs="黑体"/>
          <w:spacing w:val="12"/>
          <w:position w:val="1"/>
          <w:sz w:val="28"/>
          <w:szCs w:val="28"/>
        </w:rPr>
        <w:t>2</w:t>
      </w:r>
      <w:r>
        <w:rPr>
          <w:rFonts w:hint="eastAsia" w:ascii="黑体" w:hAnsi="黑体" w:eastAsia="黑体" w:cs="黑体"/>
          <w:spacing w:val="9"/>
          <w:position w:val="1"/>
          <w:sz w:val="28"/>
          <w:szCs w:val="28"/>
        </w:rPr>
        <w:t>3.入围供应商的确定原则及标准</w:t>
      </w:r>
    </w:p>
    <w:p w14:paraId="011F298C">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23.1 评审小组依据本项目征集文件所约定的评审方法，对实质上响应征集文件的供应商按下列方法进行排序，确定入围供应商：</w:t>
      </w:r>
    </w:p>
    <w:p w14:paraId="7201B9B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w:t>
      </w:r>
    </w:p>
    <w:p w14:paraId="475550C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14:paraId="350381AD">
      <w:pPr>
        <w:spacing w:before="131" w:line="311" w:lineRule="exact"/>
        <w:ind w:left="449"/>
        <w:rPr>
          <w:rFonts w:ascii="黑体" w:hAnsi="黑体" w:eastAsia="黑体" w:cs="黑体"/>
          <w:sz w:val="28"/>
          <w:szCs w:val="28"/>
        </w:rPr>
      </w:pPr>
      <w:r>
        <w:rPr>
          <w:rFonts w:hint="eastAsia" w:ascii="黑体" w:hAnsi="黑体" w:eastAsia="黑体" w:cs="黑体"/>
          <w:spacing w:val="8"/>
          <w:position w:val="1"/>
          <w:sz w:val="28"/>
          <w:szCs w:val="28"/>
        </w:rPr>
        <w:t>24.确定入围供应</w:t>
      </w:r>
      <w:r>
        <w:rPr>
          <w:rFonts w:hint="eastAsia" w:ascii="黑体" w:hAnsi="黑体" w:eastAsia="黑体" w:cs="黑体"/>
          <w:spacing w:val="7"/>
          <w:position w:val="1"/>
          <w:sz w:val="28"/>
          <w:szCs w:val="28"/>
        </w:rPr>
        <w:t>商</w:t>
      </w:r>
    </w:p>
    <w:p w14:paraId="641850E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24.1 评审小组将根据评审标准，按</w:t>
      </w:r>
      <w:r>
        <w:rPr>
          <w:rFonts w:ascii="宋体" w:hAnsi="宋体" w:eastAsia="宋体" w:cs="宋体"/>
          <w:spacing w:val="4"/>
          <w:sz w:val="23"/>
          <w:szCs w:val="23"/>
          <w:u w:val="single"/>
        </w:rPr>
        <w:t>第四章评审方法和标准</w:t>
      </w:r>
      <w:r>
        <w:rPr>
          <w:rFonts w:ascii="宋体" w:hAnsi="宋体" w:eastAsia="宋体" w:cs="宋体"/>
          <w:spacing w:val="4"/>
          <w:sz w:val="23"/>
          <w:szCs w:val="23"/>
        </w:rPr>
        <w:t>中规定数量推荐入围供应商。</w:t>
      </w:r>
    </w:p>
    <w:p w14:paraId="0520B37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24.2 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中规定，由评审小组或征集人确定入围供应商。</w:t>
      </w:r>
    </w:p>
    <w:p w14:paraId="1912629E">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24.3 因重大变故采购任务取消时，征集人有权拒绝任何供应商入围，且对受影响的供应商不承担任何责任。</w:t>
      </w:r>
    </w:p>
    <w:p w14:paraId="278CA438">
      <w:pPr>
        <w:spacing w:before="276" w:line="309"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5.编写评审报告</w:t>
      </w:r>
    </w:p>
    <w:p w14:paraId="2EDE0EAB">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09B60DE">
      <w:pPr>
        <w:spacing w:before="122" w:line="309" w:lineRule="exact"/>
        <w:ind w:firstLine="588" w:firstLineChars="200"/>
        <w:rPr>
          <w:rFonts w:ascii="黑体" w:hAnsi="黑体" w:eastAsia="黑体" w:cs="黑体"/>
          <w:spacing w:val="7"/>
          <w:position w:val="1"/>
          <w:sz w:val="28"/>
          <w:szCs w:val="28"/>
        </w:rPr>
      </w:pPr>
      <w:r>
        <w:rPr>
          <w:rFonts w:hint="eastAsia" w:ascii="黑体" w:hAnsi="黑体" w:eastAsia="黑体" w:cs="黑体"/>
          <w:spacing w:val="7"/>
          <w:position w:val="1"/>
          <w:sz w:val="28"/>
          <w:szCs w:val="28"/>
        </w:rPr>
        <w:t>26.入围结果公告</w:t>
      </w:r>
    </w:p>
    <w:p w14:paraId="7E9EC8A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26.1 入围供应商确定后，采购代理机构将</w:t>
      </w:r>
      <w:r>
        <w:rPr>
          <w:rFonts w:hint="eastAsia" w:ascii="宋体" w:hAnsi="宋体" w:eastAsia="宋体" w:cs="宋体"/>
          <w:color w:val="auto"/>
          <w:sz w:val="24"/>
          <w:szCs w:val="24"/>
        </w:rPr>
        <w:t>在新疆政府采购网</w:t>
      </w:r>
      <w:r>
        <w:rPr>
          <w:rFonts w:hint="eastAsia" w:ascii="宋体" w:hAnsi="宋体" w:eastAsia="宋体" w:cs="宋体"/>
          <w:color w:val="auto"/>
          <w:sz w:val="24"/>
          <w:szCs w:val="24"/>
          <w:lang w:eastAsia="zh-CN"/>
        </w:rPr>
        <w:t>（http://www.ccgp-xinjiang.gov.cn）</w:t>
      </w:r>
      <w:r>
        <w:rPr>
          <w:rFonts w:hint="eastAsia" w:ascii="宋体" w:hAnsi="宋体" w:eastAsia="宋体" w:cs="宋体"/>
          <w:color w:val="auto"/>
          <w:sz w:val="24"/>
          <w:szCs w:val="24"/>
        </w:rPr>
        <w:t>发布</w:t>
      </w:r>
      <w:r>
        <w:rPr>
          <w:rFonts w:ascii="宋体" w:hAnsi="宋体" w:eastAsia="宋体" w:cs="宋体"/>
          <w:spacing w:val="4"/>
          <w:sz w:val="23"/>
          <w:szCs w:val="23"/>
        </w:rPr>
        <w:t>上发布入围结果公告。</w:t>
      </w:r>
    </w:p>
    <w:p w14:paraId="708EAEBB">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中约定进行公告的内容。入围结果公告期限为1个工作日。</w:t>
      </w:r>
    </w:p>
    <w:p w14:paraId="49D6A2BD">
      <w:pPr>
        <w:spacing w:before="133" w:line="308" w:lineRule="exact"/>
        <w:ind w:left="449"/>
        <w:rPr>
          <w:rFonts w:ascii="黑体" w:hAnsi="黑体" w:eastAsia="黑体" w:cs="黑体"/>
          <w:sz w:val="28"/>
          <w:szCs w:val="28"/>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7.入围通知书</w:t>
      </w:r>
    </w:p>
    <w:p w14:paraId="5C4D3970">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27.1 采购代理机构发布入围结果公告的同时以</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规定的形式向入围供应商发出入围通知书。</w:t>
      </w:r>
    </w:p>
    <w:p w14:paraId="7A65A0E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27.2 入围通知书对征集人和入围供应商具有同等法律效力。入围通知书发出以后，征集人改变入围结果或者入围供应商放弃入围，应当承担相应的法律责任。</w:t>
      </w:r>
    </w:p>
    <w:p w14:paraId="6653FBB8">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27.3 入围通知书是框架协议和采购合同的组成部分。</w:t>
      </w:r>
    </w:p>
    <w:p w14:paraId="658E5DC5">
      <w:pPr>
        <w:spacing w:before="277" w:line="308"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8.告知征集结果</w:t>
      </w:r>
    </w:p>
    <w:p w14:paraId="0B777D6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28.1 在公告入围结果的同时，采购代理机构同时以供应商须知前附表规定的形式告知征集结果；采用质量优先法评审的，还将告知未入围供应商本人的评审得分和排序。</w:t>
      </w:r>
    </w:p>
    <w:p w14:paraId="5CDC045A">
      <w:pPr>
        <w:spacing w:before="131" w:line="308"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9.履约保证金</w:t>
      </w:r>
    </w:p>
    <w:p w14:paraId="0DC88EA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29.1 入围供应商应按照</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规定缴纳履约保证金。</w:t>
      </w:r>
    </w:p>
    <w:p w14:paraId="650D6DF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29.2 如果入围供应商没有按照上述履约保证金的规定执行，将视为放弃入围资格。</w:t>
      </w:r>
    </w:p>
    <w:p w14:paraId="1983CC7A">
      <w:pPr>
        <w:spacing w:before="277" w:line="308"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0.签订框架协议</w:t>
      </w:r>
    </w:p>
    <w:p w14:paraId="42015434">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30.1 征集人与入围供应商应当自入围通知书发出之日起30日内签订框架协议。</w:t>
      </w:r>
    </w:p>
    <w:p w14:paraId="569441FE">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30.2 征集文件、入围供应商的响应文件及其澄清文件等，均为签订框架协议的依据。</w:t>
      </w:r>
    </w:p>
    <w:p w14:paraId="1C83A8A0">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30.3 货物项目框架协议的入围供应商应当为入围产品生产厂家或者生产厂家唯一授权供</w:t>
      </w:r>
    </w:p>
    <w:p w14:paraId="7A2084B8">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应商。入围供应商可以委托一家或者多家代理商，按照框架协议约定接受采购人合同授予，并履行采购合同。入围供应商应当在框架协议中提供委托协议和委托的代理商名单。</w:t>
      </w:r>
    </w:p>
    <w:p w14:paraId="108F8BCA">
      <w:pPr>
        <w:spacing w:before="132" w:line="308"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1.签订采购合同</w:t>
      </w:r>
    </w:p>
    <w:p w14:paraId="0B35E113">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31.1 采购人采购框架协议约定的货物、服务，应当将第二阶段的采购合同授予入围供应商。</w:t>
      </w:r>
    </w:p>
    <w:p w14:paraId="64A142F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31.2 同一框架协议采购应当使用统一的采购合同文本，采购人和供应商不得擅自改变框架协议约定的合同实质性条款。</w:t>
      </w:r>
    </w:p>
    <w:p w14:paraId="39946C20">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31.3 框架协议采购应当订立固定价格合同。</w:t>
      </w:r>
    </w:p>
    <w:p w14:paraId="616C6C2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31.4 入围供应商在约定期限内，应当以不高于其报价的价格向适用框架协议的采购人供应专用耗材。</w:t>
      </w:r>
    </w:p>
    <w:p w14:paraId="267A892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14:paraId="090D105F">
      <w:pPr>
        <w:spacing w:before="135" w:line="309" w:lineRule="exact"/>
        <w:ind w:left="448"/>
        <w:rPr>
          <w:rFonts w:ascii="黑体" w:hAnsi="黑体" w:eastAsia="黑体" w:cs="黑体"/>
          <w:sz w:val="28"/>
          <w:szCs w:val="28"/>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2.入围产品升级换代</w:t>
      </w:r>
    </w:p>
    <w:p w14:paraId="4A3161F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32.1 在质量不降低、价格不提高的前提下，入围供应商因产品升级换代、用新产品替代原入围产品时须报征集人进行审核。</w:t>
      </w:r>
    </w:p>
    <w:p w14:paraId="56A9313D">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33.用户反馈和评</w:t>
      </w:r>
      <w:r>
        <w:rPr>
          <w:rFonts w:hint="eastAsia" w:ascii="黑体" w:hAnsi="黑体" w:eastAsia="黑体" w:cs="黑体"/>
          <w:spacing w:val="6"/>
          <w:position w:val="1"/>
          <w:sz w:val="28"/>
          <w:szCs w:val="28"/>
        </w:rPr>
        <w:t>价</w:t>
      </w:r>
    </w:p>
    <w:p w14:paraId="06C59B09">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33.1 征集人接受采购人对入围供应商履行框架协议和采购合同情况的反馈与评价，并将用户反馈和评价情况向采购人公开，作为第二阶段直接选定成交供应商的参考。</w:t>
      </w:r>
    </w:p>
    <w:p w14:paraId="6AF0D7AB">
      <w:pPr>
        <w:spacing w:before="133" w:line="309" w:lineRule="exact"/>
        <w:ind w:left="448"/>
        <w:rPr>
          <w:rFonts w:ascii="黑体" w:hAnsi="黑体" w:eastAsia="黑体" w:cs="黑体"/>
          <w:sz w:val="28"/>
          <w:szCs w:val="28"/>
        </w:rPr>
      </w:pPr>
      <w:r>
        <w:rPr>
          <w:rFonts w:hint="eastAsia" w:ascii="黑体" w:hAnsi="黑体" w:eastAsia="黑体" w:cs="黑体"/>
          <w:spacing w:val="16"/>
          <w:position w:val="1"/>
          <w:sz w:val="28"/>
          <w:szCs w:val="28"/>
        </w:rPr>
        <w:t>3</w:t>
      </w:r>
      <w:r>
        <w:rPr>
          <w:rFonts w:hint="eastAsia" w:ascii="黑体" w:hAnsi="黑体" w:eastAsia="黑体" w:cs="黑体"/>
          <w:spacing w:val="10"/>
          <w:position w:val="1"/>
          <w:sz w:val="28"/>
          <w:szCs w:val="28"/>
        </w:rPr>
        <w:t>4</w:t>
      </w:r>
      <w:r>
        <w:rPr>
          <w:rFonts w:hint="eastAsia" w:ascii="黑体" w:hAnsi="黑体" w:eastAsia="黑体" w:cs="黑体"/>
          <w:spacing w:val="8"/>
          <w:position w:val="1"/>
          <w:sz w:val="28"/>
          <w:szCs w:val="28"/>
        </w:rPr>
        <w:t>.入围供应商的清退和补充</w:t>
      </w:r>
    </w:p>
    <w:p w14:paraId="440B9871">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34.1 框架协议入围供应商无正当理由，不得主动放弃入围资格或者退出框架协议。</w:t>
      </w:r>
    </w:p>
    <w:p w14:paraId="5356B86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34.2 入围供应商有下列情形之一，尚未签订框架协议的，取消其入围资格；已经签订框架协议的，解除与其签订的框架协议；情节严重的，报请财政监管部门依规处理：</w:t>
      </w:r>
    </w:p>
    <w:p w14:paraId="2CF1C72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恶意串通谋取入围或者合同成交的；</w:t>
      </w:r>
    </w:p>
    <w:p w14:paraId="67FAA653">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提供虚假材料谋取入围或者合同成交的；</w:t>
      </w:r>
    </w:p>
    <w:p w14:paraId="71FCA9DD">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 无正当理由拒不签订框架协议或者拒不接受合同授予的；</w:t>
      </w:r>
    </w:p>
    <w:p w14:paraId="257D9B88">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(4) 不履行合同义务或者履行合同义务不符合约定，经采购人请求履行后仍不履行或者</w:t>
      </w:r>
    </w:p>
    <w:p w14:paraId="23FA9BDC">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仍未按约定履行的；</w:t>
      </w:r>
    </w:p>
    <w:p w14:paraId="7B9B539A">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(5) 框架协议有效期内，因违法行为被禁止或限制参加政府采购活动的；</w:t>
      </w:r>
    </w:p>
    <w:p w14:paraId="186ECC96">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(6) 框架协议有效期内，出现本征集文件第17.2.1条规定的不良信用记录的；</w:t>
      </w:r>
    </w:p>
    <w:p w14:paraId="1957C60F">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(7) 当征集人或者采购人发起针对入围产品（或服务）的价格调查时，未能主动提供包</w:t>
      </w:r>
    </w:p>
    <w:p w14:paraId="5B1639A4">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括但不限于销售记录、成交合同等价格证明材料的；</w:t>
      </w:r>
    </w:p>
    <w:p w14:paraId="03652730">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(8) 框架协议约定的其他情形。</w:t>
      </w:r>
    </w:p>
    <w:p w14:paraId="5519DDF4">
      <w:pPr>
        <w:spacing w:before="276" w:line="308" w:lineRule="exact"/>
        <w:ind w:left="450"/>
        <w:rPr>
          <w:rFonts w:ascii="黑体" w:hAnsi="黑体" w:eastAsia="黑体" w:cs="黑体"/>
          <w:sz w:val="28"/>
          <w:szCs w:val="28"/>
        </w:rPr>
      </w:pPr>
      <w:r>
        <w:rPr>
          <w:rFonts w:hint="eastAsia" w:ascii="黑体" w:hAnsi="黑体" w:eastAsia="黑体" w:cs="黑体"/>
          <w:spacing w:val="9"/>
          <w:position w:val="1"/>
          <w:sz w:val="28"/>
          <w:szCs w:val="28"/>
        </w:rPr>
        <w:t>3</w:t>
      </w:r>
      <w:r>
        <w:rPr>
          <w:rFonts w:hint="eastAsia" w:ascii="黑体" w:hAnsi="黑体" w:eastAsia="黑体" w:cs="黑体"/>
          <w:spacing w:val="7"/>
          <w:position w:val="1"/>
          <w:sz w:val="28"/>
          <w:szCs w:val="28"/>
        </w:rPr>
        <w:t>5.代理服务费</w:t>
      </w:r>
    </w:p>
    <w:p w14:paraId="063AF681">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35.1 本项目代理服务费的收取按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的规定执行。</w:t>
      </w:r>
    </w:p>
    <w:p w14:paraId="48A90A08">
      <w:pPr>
        <w:spacing w:before="279" w:line="308" w:lineRule="exact"/>
        <w:ind w:left="450"/>
        <w:rPr>
          <w:rFonts w:ascii="宋体" w:hAnsi="宋体" w:eastAsia="宋体" w:cs="宋体"/>
          <w:sz w:val="23"/>
          <w:szCs w:val="23"/>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6.质疑的提出与接收</w:t>
      </w:r>
    </w:p>
    <w:p w14:paraId="114132AC">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36.1 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w:t>
      </w:r>
    </w:p>
    <w:p w14:paraId="5BCFBE15">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36.2 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14:paraId="12E02EB3">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36.3 采购代理机构质疑函接收部门、联系电话和通讯地址，见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14:paraId="3ECD31EC">
      <w:pPr>
        <w:spacing w:before="279" w:line="309"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8"/>
          <w:position w:val="1"/>
          <w:sz w:val="28"/>
          <w:szCs w:val="28"/>
        </w:rPr>
        <w:t>7.需要补充的其他内容</w:t>
      </w:r>
    </w:p>
    <w:p w14:paraId="2715B1F4">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需要补充的其他内容，见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14:paraId="14B7F34E">
      <w:pPr>
        <w:spacing w:before="131" w:line="333" w:lineRule="auto"/>
        <w:ind w:right="82" w:firstLine="418" w:firstLineChars="176"/>
        <w:rPr>
          <w:rFonts w:ascii="宋体" w:hAnsi="宋体" w:eastAsia="宋体" w:cs="宋体"/>
          <w:spacing w:val="4"/>
          <w:sz w:val="23"/>
          <w:szCs w:val="23"/>
        </w:rPr>
        <w:sectPr>
          <w:headerReference r:id="rId7" w:type="default"/>
          <w:footerReference r:id="rId8" w:type="default"/>
          <w:pgSz w:w="11906" w:h="16839"/>
          <w:pgMar w:top="1136" w:right="1079" w:bottom="1414" w:left="1080" w:header="878" w:footer="1167" w:gutter="0"/>
          <w:cols w:space="720" w:num="1"/>
        </w:sectPr>
      </w:pPr>
    </w:p>
    <w:p w14:paraId="4AB342F4">
      <w:pPr>
        <w:spacing w:line="290" w:lineRule="auto"/>
      </w:pPr>
    </w:p>
    <w:p w14:paraId="6F9C89AF">
      <w:pPr>
        <w:spacing w:before="91" w:line="219" w:lineRule="auto"/>
        <w:jc w:val="center"/>
        <w:outlineLvl w:val="0"/>
        <w:rPr>
          <w:rFonts w:hint="eastAsia" w:ascii="方正小标宋简体" w:hAnsi="方正小标宋简体" w:eastAsia="方正小标宋简体" w:cs="方正小标宋简体"/>
          <w:sz w:val="44"/>
          <w:szCs w:val="44"/>
        </w:rPr>
      </w:pPr>
      <w:bookmarkStart w:id="17" w:name="_bookmark3"/>
      <w:bookmarkEnd w:id="17"/>
      <w:bookmarkStart w:id="18" w:name="_Toc9072"/>
      <w:r>
        <w:rPr>
          <w:rFonts w:hint="eastAsia" w:ascii="方正小标宋简体" w:hAnsi="方正小标宋简体" w:eastAsia="方正小标宋简体" w:cs="方正小标宋简体"/>
          <w:b/>
          <w:bCs/>
          <w:sz w:val="44"/>
          <w:szCs w:val="44"/>
        </w:rPr>
        <w:t>第三章  采购需求</w:t>
      </w:r>
      <w:bookmarkEnd w:id="18"/>
    </w:p>
    <w:p w14:paraId="2332B807">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前注：</w:t>
      </w:r>
    </w:p>
    <w:p w14:paraId="12B4C662">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响应的货物和服务的技术、商务等条件不得低于采购需求，货物原则上应当是市场上已有销售的规格型号，不得是专供政府采购的产品。对货物项目每个采购包段只能用一个产品进行响应，征集文件有要求的，应当同时对产品的选配件、耗材进行报价。服务项目包含货物的，响应文件中应当列明货物清单及质量标准。</w:t>
      </w:r>
    </w:p>
    <w:p w14:paraId="010617A6">
      <w:pPr>
        <w:spacing w:line="480" w:lineRule="exact"/>
        <w:ind w:firstLine="482" w:firstLineChars="200"/>
        <w:jc w:val="left"/>
        <w:rPr>
          <w:rFonts w:hint="eastAsia" w:asciiTheme="minorEastAsia" w:hAnsiTheme="minorEastAsia" w:eastAsiaTheme="minorEastAsia" w:cstheme="minorEastAsia"/>
          <w:b/>
          <w:bCs/>
          <w:i w:val="0"/>
          <w:iCs w:val="0"/>
          <w:color w:val="auto"/>
          <w:sz w:val="24"/>
          <w:szCs w:val="24"/>
          <w:highlight w:val="none"/>
          <w:u w:val="none"/>
        </w:rPr>
      </w:pPr>
      <w:bookmarkStart w:id="19" w:name="_Toc12666"/>
      <w:r>
        <w:rPr>
          <w:rFonts w:hint="eastAsia" w:asciiTheme="minorEastAsia" w:hAnsiTheme="minorEastAsia" w:eastAsiaTheme="minorEastAsia" w:cstheme="minorEastAsia"/>
          <w:b/>
          <w:bCs/>
          <w:i w:val="0"/>
          <w:iCs w:val="0"/>
          <w:color w:val="auto"/>
          <w:sz w:val="24"/>
          <w:szCs w:val="24"/>
          <w:highlight w:val="none"/>
          <w:u w:val="none"/>
          <w:lang w:eastAsia="zh-CN"/>
        </w:rPr>
        <w:t>一</w:t>
      </w:r>
      <w:r>
        <w:rPr>
          <w:rFonts w:hint="eastAsia" w:asciiTheme="minorEastAsia" w:hAnsiTheme="minorEastAsia" w:eastAsiaTheme="minorEastAsia" w:cstheme="minorEastAsia"/>
          <w:b/>
          <w:bCs/>
          <w:i w:val="0"/>
          <w:iCs w:val="0"/>
          <w:color w:val="auto"/>
          <w:sz w:val="24"/>
          <w:szCs w:val="24"/>
          <w:highlight w:val="none"/>
          <w:u w:val="none"/>
        </w:rPr>
        <w:t>、采购需求</w:t>
      </w:r>
      <w:bookmarkEnd w:id="19"/>
    </w:p>
    <w:p w14:paraId="5B7555CD">
      <w:pPr>
        <w:pStyle w:val="21"/>
        <w:spacing w:before="0" w:beforeAutospacing="0" w:after="0" w:afterAutospacing="0" w:line="560" w:lineRule="exact"/>
        <w:ind w:firstLine="241" w:firstLineChars="100"/>
        <w:jc w:val="both"/>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（一）总体要求</w:t>
      </w:r>
    </w:p>
    <w:p w14:paraId="7FCAACA2">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本项目采购的项目评审和会计事务服务是服务于财政预算管理，协助财政部门对财政支出项目、政府投资等项目进行技术性审核，项目涉及面广，专业性强，不同于一般市场主体的项目审核。要求供应商熟悉财政监督政策，具备服务财政支出项目、政府投资项目评审。</w:t>
      </w:r>
    </w:p>
    <w:p w14:paraId="05FED5FD">
      <w:pPr>
        <w:ind w:left="149" w:leftChars="71"/>
        <w:rPr>
          <w:rFonts w:hint="eastAsia" w:asciiTheme="minorEastAsia" w:hAnsiTheme="minorEastAsia" w:eastAsiaTheme="minorEastAsia" w:cstheme="minorEastAsia"/>
          <w:b/>
          <w:bCs/>
          <w:snapToGrid w:val="0"/>
          <w:color w:val="000000"/>
          <w:kern w:val="2"/>
          <w:sz w:val="24"/>
          <w:szCs w:val="24"/>
          <w:lang w:val="en-US" w:eastAsia="zh-CN" w:bidi="ar-SA"/>
        </w:rPr>
      </w:pPr>
      <w:bookmarkStart w:id="20" w:name="_Toc111844959"/>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bCs/>
          <w:snapToGrid w:val="0"/>
          <w:color w:val="000000"/>
          <w:kern w:val="2"/>
          <w:sz w:val="24"/>
          <w:szCs w:val="24"/>
          <w:lang w:val="en-US" w:eastAsia="zh-CN" w:bidi="ar-SA"/>
        </w:rPr>
        <w:t xml:space="preserve"> （二）工作时限</w:t>
      </w:r>
      <w:bookmarkEnd w:id="20"/>
      <w:r>
        <w:rPr>
          <w:rFonts w:hint="eastAsia" w:asciiTheme="minorEastAsia" w:hAnsiTheme="minorEastAsia" w:eastAsiaTheme="minorEastAsia" w:cstheme="minorEastAsia"/>
          <w:b/>
          <w:bCs/>
          <w:snapToGrid w:val="0"/>
          <w:color w:val="000000"/>
          <w:kern w:val="2"/>
          <w:sz w:val="24"/>
          <w:szCs w:val="24"/>
          <w:lang w:val="en-US" w:eastAsia="zh-CN" w:bidi="ar-SA"/>
        </w:rPr>
        <w:t>要求</w:t>
      </w:r>
    </w:p>
    <w:p w14:paraId="14231084">
      <w:pPr>
        <w:numPr>
          <w:ilvl w:val="255"/>
          <w:numId w:val="0"/>
        </w:numPr>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供应商应具备以下限时办结的能力：</w:t>
      </w:r>
    </w:p>
    <w:p w14:paraId="401EDD91">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1.项目评审、评估、审核限时办结制度：供应商与采购人签订项目合同后，应严格遵守项目评审时限要求，合理安排人员在合同规定的时间内完成工作，并向采购人提交合同规定的成果文件及电子文档，且提交的成果文件必须完成其内部审核程序。</w:t>
      </w:r>
    </w:p>
    <w:p w14:paraId="675868D5">
      <w:pPr>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rPr>
        <w:t>.因客观原因，需提前完成评审工作的项目，评审时限按项目委托时议定的时限执行。</w:t>
      </w:r>
    </w:p>
    <w:p w14:paraId="0520BF69">
      <w:pPr>
        <w:widowControl/>
        <w:spacing w:line="52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具体时限要求如下：</w:t>
      </w:r>
    </w:p>
    <w:tbl>
      <w:tblPr>
        <w:tblStyle w:val="24"/>
        <w:tblW w:w="9560" w:type="dxa"/>
        <w:jc w:val="center"/>
        <w:tblLayout w:type="fixed"/>
        <w:tblCellMar>
          <w:top w:w="0" w:type="dxa"/>
          <w:left w:w="108" w:type="dxa"/>
          <w:bottom w:w="0" w:type="dxa"/>
          <w:right w:w="108" w:type="dxa"/>
        </w:tblCellMar>
      </w:tblPr>
      <w:tblGrid>
        <w:gridCol w:w="508"/>
        <w:gridCol w:w="3527"/>
        <w:gridCol w:w="1102"/>
        <w:gridCol w:w="735"/>
        <w:gridCol w:w="367"/>
        <w:gridCol w:w="1102"/>
        <w:gridCol w:w="368"/>
        <w:gridCol w:w="734"/>
        <w:gridCol w:w="1117"/>
      </w:tblGrid>
      <w:tr w14:paraId="3BF37A6C">
        <w:tblPrEx>
          <w:tblCellMar>
            <w:top w:w="0" w:type="dxa"/>
            <w:left w:w="108" w:type="dxa"/>
            <w:bottom w:w="0" w:type="dxa"/>
            <w:right w:w="108" w:type="dxa"/>
          </w:tblCellMar>
        </w:tblPrEx>
        <w:trPr>
          <w:trHeight w:val="656" w:hRule="atLeast"/>
          <w:jc w:val="center"/>
        </w:trPr>
        <w:tc>
          <w:tcPr>
            <w:tcW w:w="9560" w:type="dxa"/>
            <w:gridSpan w:val="9"/>
            <w:tcBorders>
              <w:top w:val="single" w:color="auto" w:sz="4" w:space="0"/>
              <w:left w:val="single" w:color="auto" w:sz="4" w:space="0"/>
              <w:right w:val="single" w:color="auto" w:sz="4" w:space="0"/>
            </w:tcBorders>
            <w:shd w:val="clear" w:color="auto" w:fill="auto"/>
            <w:vAlign w:val="center"/>
          </w:tcPr>
          <w:p w14:paraId="7E259857">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（1）项目评审时限要求</w:t>
            </w:r>
          </w:p>
        </w:tc>
      </w:tr>
      <w:tr w14:paraId="2C29A0CB">
        <w:tblPrEx>
          <w:tblCellMar>
            <w:top w:w="0" w:type="dxa"/>
            <w:left w:w="108" w:type="dxa"/>
            <w:bottom w:w="0" w:type="dxa"/>
            <w:right w:w="108" w:type="dxa"/>
          </w:tblCellMar>
        </w:tblPrEx>
        <w:trPr>
          <w:trHeight w:val="1963"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8A22FE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序号</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1E1972C4">
            <w:pPr>
              <w:widowControl/>
              <w:spacing w:line="400" w:lineRule="exact"/>
              <w:ind w:firstLine="960" w:firstLineChars="4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bidi="ug-CN"/>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4445</wp:posOffset>
                      </wp:positionV>
                      <wp:extent cx="1698625" cy="1275715"/>
                      <wp:effectExtent l="3175" t="3810" r="12700" b="15875"/>
                      <wp:wrapNone/>
                      <wp:docPr id="2"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0288;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MiSwv75AQAA6Q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lang w:bidi="ug-CN"/>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4445</wp:posOffset>
                      </wp:positionV>
                      <wp:extent cx="2211705" cy="715010"/>
                      <wp:effectExtent l="1270" t="4445" r="15875" b="4445"/>
                      <wp:wrapNone/>
                      <wp:docPr id="7"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59264;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GNhs1gAAAAgBAAAPAAAAAAAAAAEAIAAAACIAAABkcnMvZG93bnJldi54bWxQSwEC&#10;FAAUAAAACACHTuJAoyFlW/YBAADoAwAADgAAAAAAAAABACAAAAAl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w:t>项目送审金额（万元）</w:t>
            </w:r>
          </w:p>
          <w:p w14:paraId="471219DA">
            <w:pPr>
              <w:widowControl/>
              <w:spacing w:line="400" w:lineRule="exact"/>
              <w:ind w:firstLine="960" w:firstLineChars="400"/>
              <w:rPr>
                <w:rFonts w:hint="eastAsia" w:asciiTheme="minorEastAsia" w:hAnsiTheme="minorEastAsia" w:eastAsiaTheme="minorEastAsia" w:cstheme="minorEastAsia"/>
                <w:b w:val="0"/>
                <w:bCs w:val="0"/>
                <w:i w:val="0"/>
                <w:iCs w:val="0"/>
                <w:color w:val="auto"/>
                <w:sz w:val="24"/>
                <w:szCs w:val="24"/>
                <w:highlight w:val="none"/>
                <w:u w:val="none"/>
              </w:rPr>
            </w:pPr>
          </w:p>
          <w:p w14:paraId="11723002">
            <w:pPr>
              <w:widowControl/>
              <w:spacing w:line="400" w:lineRule="exact"/>
              <w:ind w:firstLine="1560" w:firstLineChars="65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时限要求</w:t>
            </w:r>
          </w:p>
          <w:p w14:paraId="279FDBE6">
            <w:pPr>
              <w:widowControl/>
              <w:spacing w:line="400" w:lineRule="exact"/>
              <w:ind w:firstLine="240" w:firstLineChars="1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阶段性         （工作日）</w:t>
            </w:r>
          </w:p>
          <w:p w14:paraId="4BB7A8F3">
            <w:pPr>
              <w:widowControl/>
              <w:spacing w:line="400" w:lineRule="exact"/>
              <w:ind w:left="333" w:leftChars="119" w:hanging="83"/>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工作内容 </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F24D0CE">
            <w:pPr>
              <w:widowControl/>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500以下</w:t>
            </w:r>
          </w:p>
          <w:p w14:paraId="22033E75">
            <w:pPr>
              <w:widowControl/>
              <w:spacing w:line="280" w:lineRule="exact"/>
              <w:jc w:val="center"/>
              <w:rPr>
                <w:rFonts w:hint="eastAsia" w:asciiTheme="minorEastAsia" w:hAnsiTheme="minorEastAsia" w:eastAsiaTheme="minorEastAsia" w:cstheme="minorEastAsia"/>
                <w:sz w:val="24"/>
                <w:szCs w:val="24"/>
                <w:highlight w:val="none"/>
                <w:u w:val="single"/>
                <w:lang w:val="en-US" w:eastAsia="zh-CN" w:bidi="ar-SA"/>
              </w:rPr>
            </w:pPr>
            <w:r>
              <w:rPr>
                <w:rFonts w:hint="eastAsia" w:asciiTheme="minorEastAsia" w:hAnsiTheme="minorEastAsia" w:eastAsiaTheme="minorEastAsia" w:cstheme="minorEastAsia"/>
                <w:sz w:val="24"/>
                <w:szCs w:val="24"/>
                <w:highlight w:val="none"/>
                <w:u w:val="single"/>
              </w:rPr>
              <w:t>（含500）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0E12B659">
            <w:pPr>
              <w:widowControl/>
              <w:spacing w:line="280" w:lineRule="exact"/>
              <w:jc w:val="center"/>
              <w:rPr>
                <w:rFonts w:hint="eastAsia" w:asciiTheme="minorEastAsia" w:hAnsiTheme="minorEastAsia" w:eastAsiaTheme="minorEastAsia" w:cstheme="minorEastAsia"/>
                <w:sz w:val="24"/>
                <w:szCs w:val="24"/>
                <w:highlight w:val="none"/>
                <w:u w:val="single"/>
                <w:lang w:val="en-US" w:eastAsia="zh-CN" w:bidi="ar-SA"/>
              </w:rPr>
            </w:pPr>
            <w:r>
              <w:rPr>
                <w:rFonts w:hint="eastAsia" w:asciiTheme="minorEastAsia" w:hAnsiTheme="minorEastAsia" w:eastAsiaTheme="minorEastAsia" w:cstheme="minorEastAsia"/>
                <w:sz w:val="24"/>
                <w:szCs w:val="24"/>
                <w:highlight w:val="none"/>
                <w:u w:val="single"/>
              </w:rPr>
              <w:t>500－1000（含1000）</w:t>
            </w:r>
          </w:p>
        </w:tc>
        <w:tc>
          <w:tcPr>
            <w:tcW w:w="1102" w:type="dxa"/>
            <w:tcBorders>
              <w:top w:val="single" w:color="auto" w:sz="4" w:space="0"/>
              <w:left w:val="nil"/>
              <w:bottom w:val="single" w:color="auto" w:sz="4" w:space="0"/>
              <w:right w:val="single" w:color="auto" w:sz="4" w:space="0"/>
            </w:tcBorders>
            <w:shd w:val="clear" w:color="auto" w:fill="auto"/>
            <w:vAlign w:val="center"/>
          </w:tcPr>
          <w:p w14:paraId="69E19CA4">
            <w:pPr>
              <w:widowControl/>
              <w:spacing w:line="28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1000－3000（含3000）</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14:paraId="147B690E">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3000－10000（含10000）</w:t>
            </w:r>
          </w:p>
        </w:tc>
        <w:tc>
          <w:tcPr>
            <w:tcW w:w="1117" w:type="dxa"/>
            <w:tcBorders>
              <w:top w:val="single" w:color="auto" w:sz="4" w:space="0"/>
              <w:left w:val="nil"/>
              <w:bottom w:val="single" w:color="auto" w:sz="4" w:space="0"/>
              <w:right w:val="single" w:color="auto" w:sz="4" w:space="0"/>
            </w:tcBorders>
            <w:shd w:val="clear" w:color="auto" w:fill="auto"/>
            <w:vAlign w:val="center"/>
          </w:tcPr>
          <w:p w14:paraId="7607E1C9">
            <w:pPr>
              <w:widowControl/>
              <w:spacing w:line="280" w:lineRule="exact"/>
              <w:ind w:right="-136" w:rightChars="-65"/>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10000以上</w:t>
            </w:r>
          </w:p>
        </w:tc>
      </w:tr>
      <w:tr w14:paraId="458C3C9B">
        <w:tblPrEx>
          <w:tblCellMar>
            <w:top w:w="0" w:type="dxa"/>
            <w:left w:w="108" w:type="dxa"/>
            <w:bottom w:w="0" w:type="dxa"/>
            <w:right w:w="108" w:type="dxa"/>
          </w:tblCellMar>
        </w:tblPrEx>
        <w:trPr>
          <w:trHeight w:val="1084"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604DB9E">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70594D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供应商签收项目资料对送审资料完整性、合法性审核并提交书面意见给采购人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43F777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nil"/>
              <w:left w:val="nil"/>
              <w:bottom w:val="single" w:color="auto" w:sz="4" w:space="0"/>
              <w:right w:val="single" w:color="auto" w:sz="4" w:space="0"/>
            </w:tcBorders>
            <w:shd w:val="clear" w:color="auto" w:fill="auto"/>
            <w:vAlign w:val="center"/>
          </w:tcPr>
          <w:p w14:paraId="6F819C4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nil"/>
              <w:left w:val="nil"/>
              <w:bottom w:val="single" w:color="auto" w:sz="4" w:space="0"/>
              <w:right w:val="single" w:color="auto" w:sz="4" w:space="0"/>
            </w:tcBorders>
            <w:shd w:val="clear" w:color="auto" w:fill="auto"/>
            <w:vAlign w:val="center"/>
          </w:tcPr>
          <w:p w14:paraId="606A9A0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nil"/>
              <w:left w:val="nil"/>
              <w:bottom w:val="single" w:color="auto" w:sz="4" w:space="0"/>
              <w:right w:val="single" w:color="auto" w:sz="4" w:space="0"/>
            </w:tcBorders>
            <w:shd w:val="clear" w:color="auto" w:fill="auto"/>
            <w:vAlign w:val="center"/>
          </w:tcPr>
          <w:p w14:paraId="0E25C2E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17" w:type="dxa"/>
            <w:tcBorders>
              <w:top w:val="nil"/>
              <w:left w:val="nil"/>
              <w:bottom w:val="single" w:color="auto" w:sz="4" w:space="0"/>
              <w:right w:val="single" w:color="auto" w:sz="4" w:space="0"/>
            </w:tcBorders>
            <w:shd w:val="clear" w:color="auto" w:fill="auto"/>
            <w:vAlign w:val="center"/>
          </w:tcPr>
          <w:p w14:paraId="40E85A0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r>
      <w:tr w14:paraId="38741803">
        <w:tblPrEx>
          <w:tblCellMar>
            <w:top w:w="0" w:type="dxa"/>
            <w:left w:w="108" w:type="dxa"/>
            <w:bottom w:w="0" w:type="dxa"/>
            <w:right w:w="108" w:type="dxa"/>
          </w:tblCellMar>
        </w:tblPrEx>
        <w:trPr>
          <w:trHeight w:val="1256"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CB2A60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FABFA9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供应商审核项目送审资料、现场勘验，完成项目初审并提交书面审核结果给采购人</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FC5F4B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w:t>
            </w:r>
          </w:p>
        </w:tc>
        <w:tc>
          <w:tcPr>
            <w:tcW w:w="1102" w:type="dxa"/>
            <w:gridSpan w:val="2"/>
            <w:tcBorders>
              <w:top w:val="nil"/>
              <w:left w:val="nil"/>
              <w:bottom w:val="single" w:color="auto" w:sz="4" w:space="0"/>
              <w:right w:val="single" w:color="auto" w:sz="4" w:space="0"/>
            </w:tcBorders>
            <w:shd w:val="clear" w:color="auto" w:fill="auto"/>
            <w:vAlign w:val="center"/>
          </w:tcPr>
          <w:p w14:paraId="1F1A69A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8</w:t>
            </w:r>
          </w:p>
        </w:tc>
        <w:tc>
          <w:tcPr>
            <w:tcW w:w="1102" w:type="dxa"/>
            <w:tcBorders>
              <w:top w:val="nil"/>
              <w:left w:val="nil"/>
              <w:bottom w:val="single" w:color="auto" w:sz="4" w:space="0"/>
              <w:right w:val="single" w:color="auto" w:sz="4" w:space="0"/>
            </w:tcBorders>
            <w:shd w:val="clear" w:color="auto" w:fill="auto"/>
            <w:vAlign w:val="center"/>
          </w:tcPr>
          <w:p w14:paraId="40E1761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12</w:t>
            </w:r>
          </w:p>
        </w:tc>
        <w:tc>
          <w:tcPr>
            <w:tcW w:w="1102" w:type="dxa"/>
            <w:gridSpan w:val="2"/>
            <w:tcBorders>
              <w:top w:val="nil"/>
              <w:left w:val="nil"/>
              <w:bottom w:val="single" w:color="auto" w:sz="4" w:space="0"/>
              <w:right w:val="single" w:color="auto" w:sz="4" w:space="0"/>
            </w:tcBorders>
            <w:shd w:val="clear" w:color="auto" w:fill="auto"/>
            <w:vAlign w:val="center"/>
          </w:tcPr>
          <w:p w14:paraId="48C3FC6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15</w:t>
            </w:r>
          </w:p>
        </w:tc>
        <w:tc>
          <w:tcPr>
            <w:tcW w:w="1117" w:type="dxa"/>
            <w:tcBorders>
              <w:top w:val="nil"/>
              <w:left w:val="nil"/>
              <w:bottom w:val="single" w:color="auto" w:sz="4" w:space="0"/>
              <w:right w:val="single" w:color="auto" w:sz="4" w:space="0"/>
            </w:tcBorders>
            <w:shd w:val="clear" w:color="auto" w:fill="auto"/>
            <w:vAlign w:val="center"/>
          </w:tcPr>
          <w:p w14:paraId="7FA43394">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30</w:t>
            </w:r>
          </w:p>
        </w:tc>
      </w:tr>
      <w:tr w14:paraId="07F66AEA">
        <w:tblPrEx>
          <w:tblCellMar>
            <w:top w:w="0" w:type="dxa"/>
            <w:left w:w="108" w:type="dxa"/>
            <w:bottom w:w="0" w:type="dxa"/>
            <w:right w:w="108" w:type="dxa"/>
          </w:tblCellMar>
        </w:tblPrEx>
        <w:trPr>
          <w:trHeight w:val="940"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8FE418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9A5A87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供应商按照采购人对初审结果的复核意见进行修改</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DC4388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6E84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BC06FD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DA03B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65BE209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r>
      <w:tr w14:paraId="3C1222C2">
        <w:tblPrEx>
          <w:tblCellMar>
            <w:top w:w="0" w:type="dxa"/>
            <w:left w:w="108" w:type="dxa"/>
            <w:bottom w:w="0" w:type="dxa"/>
            <w:right w:w="108" w:type="dxa"/>
          </w:tblCellMar>
        </w:tblPrEx>
        <w:trPr>
          <w:trHeight w:val="1295"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62D3E1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355F55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供应商提交项目审核意见，收集、汇总、装订项目资料</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CBC5BC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EB88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DA86CA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7FF0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37F72A7E">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r>
      <w:tr w14:paraId="6C7723D6">
        <w:tblPrEx>
          <w:tblCellMar>
            <w:top w:w="0" w:type="dxa"/>
            <w:left w:w="108" w:type="dxa"/>
            <w:bottom w:w="0" w:type="dxa"/>
            <w:right w:w="108" w:type="dxa"/>
          </w:tblCellMar>
        </w:tblPrEx>
        <w:trPr>
          <w:trHeight w:val="783" w:hRule="atLeast"/>
          <w:jc w:val="center"/>
        </w:trPr>
        <w:tc>
          <w:tcPr>
            <w:tcW w:w="95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76E95F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（2）竣工财务决算审核时限要求</w:t>
            </w:r>
          </w:p>
        </w:tc>
      </w:tr>
      <w:tr w14:paraId="48881012">
        <w:tblPrEx>
          <w:tblCellMar>
            <w:top w:w="0" w:type="dxa"/>
            <w:left w:w="108" w:type="dxa"/>
            <w:bottom w:w="0" w:type="dxa"/>
            <w:right w:w="108" w:type="dxa"/>
          </w:tblCellMar>
        </w:tblPrEx>
        <w:trPr>
          <w:trHeight w:val="192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40805DB">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E9E652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4445</wp:posOffset>
                      </wp:positionV>
                      <wp:extent cx="1698625" cy="1275715"/>
                      <wp:effectExtent l="3175" t="3810" r="12700" b="15875"/>
                      <wp:wrapNone/>
                      <wp:docPr id="8" name="自选图形 3"/>
                      <wp:cNvGraphicFramePr/>
                      <a:graphic xmlns:a="http://schemas.openxmlformats.org/drawingml/2006/main">
                        <a:graphicData uri="http://schemas.microsoft.com/office/word/2010/wordprocessingShape">
                          <wps:wsp>
                            <wps:cNvCnPr/>
                            <wps:spPr>
                              <a:xfrm>
                                <a:off x="0" y="0"/>
                                <a:ext cx="1698625" cy="1275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05pt;margin-top:0.35pt;height:100.45pt;width:133.75pt;z-index:251662336;mso-width-relative:page;mso-height-relative:page;" filled="f" stroked="t" coordsize="21600,21600" o:gfxdata="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K9cAAAAIAQAADwAAAAAAAAABACAAAAAiAAAAZHJzL2Rvd25yZXYueG1s&#10;UEsBAhQAFAAAAAgAh07iQDEISjz5AQAA6Q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4445</wp:posOffset>
                      </wp:positionV>
                      <wp:extent cx="2211705" cy="715010"/>
                      <wp:effectExtent l="1270" t="4445" r="15875" b="4445"/>
                      <wp:wrapNone/>
                      <wp:docPr id="15" name="自选图形 2"/>
                      <wp:cNvGraphicFramePr/>
                      <a:graphic xmlns:a="http://schemas.openxmlformats.org/drawingml/2006/main">
                        <a:graphicData uri="http://schemas.microsoft.com/office/word/2010/wordprocessingShape">
                          <wps:wsp>
                            <wps:cNvCnPr/>
                            <wps:spPr>
                              <a:xfrm>
                                <a:off x="0" y="0"/>
                                <a:ext cx="2211705" cy="715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1pt;margin-top:0.35pt;height:56.3pt;width:174.15pt;z-index:251661312;mso-width-relative:page;mso-height-relative:page;" filled="f" stroked="t" coordsize="21600,21600" o:gfxdata="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GNhs1gAAAAgBAAAPAAAAAAAAAAEAIAAAACIAAABkcnMvZG93bnJldi54bWxQSwEC&#10;FAAUAAAACACHTuJAi6S/8PYBAADpAwAADgAAAAAAAAABACAAAAAl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val="0"/>
                <w:bCs w:val="0"/>
                <w:i w:val="0"/>
                <w:iCs w:val="0"/>
                <w:color w:val="auto"/>
                <w:sz w:val="24"/>
                <w:szCs w:val="24"/>
                <w:highlight w:val="none"/>
                <w:u w:val="none"/>
              </w:rPr>
              <w:t>项目送审金额（万元）</w:t>
            </w:r>
          </w:p>
          <w:p w14:paraId="440E988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p>
          <w:p w14:paraId="35C2268C">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时限要求</w:t>
            </w:r>
          </w:p>
          <w:p w14:paraId="13A15B2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阶段性         （工作日）</w:t>
            </w:r>
          </w:p>
          <w:p w14:paraId="5FE06DBE">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工作内容</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255E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3000以下（含3000）</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A99961">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3000—10000</w:t>
            </w:r>
          </w:p>
          <w:p w14:paraId="3526B06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（含10000）</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9A316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10000以上</w:t>
            </w:r>
          </w:p>
        </w:tc>
      </w:tr>
      <w:tr w14:paraId="2499980B">
        <w:tblPrEx>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3A82CB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2C8DBA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供应商签收项目资料对送审资料完整性、合法性审核并提交书面意见给采购人</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55C502">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A5B22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7A96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w:t>
            </w:r>
          </w:p>
        </w:tc>
      </w:tr>
      <w:tr w14:paraId="58C96E14">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E27246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1E8A1B5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供应商审核项目结算资料、现场踏勘 </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EBFBE7">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33B02F">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F448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r w14:paraId="7AAE65E2">
        <w:tblPrEx>
          <w:tblCellMar>
            <w:top w:w="0" w:type="dxa"/>
            <w:left w:w="108" w:type="dxa"/>
            <w:bottom w:w="0" w:type="dxa"/>
            <w:right w:w="108" w:type="dxa"/>
          </w:tblCellMar>
        </w:tblPrEx>
        <w:trPr>
          <w:trHeight w:val="909" w:hRule="atLeast"/>
          <w:jc w:val="center"/>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ED7603A">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c>
          <w:tcPr>
            <w:tcW w:w="3527" w:type="dxa"/>
            <w:tcBorders>
              <w:top w:val="single" w:color="auto" w:sz="4" w:space="0"/>
              <w:left w:val="single" w:color="auto" w:sz="4" w:space="0"/>
              <w:bottom w:val="single" w:color="auto" w:sz="4" w:space="0"/>
              <w:right w:val="single" w:color="auto" w:sz="4" w:space="0"/>
            </w:tcBorders>
            <w:shd w:val="clear" w:color="auto" w:fill="auto"/>
          </w:tcPr>
          <w:p w14:paraId="7D427D8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供应商与送审单位对数、并将审核情况、对数记录及对数后审核意见提交采购人复核</w:t>
            </w:r>
          </w:p>
        </w:tc>
        <w:tc>
          <w:tcPr>
            <w:tcW w:w="1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4CBCDD">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6</w:t>
            </w:r>
          </w:p>
        </w:tc>
        <w:tc>
          <w:tcPr>
            <w:tcW w:w="18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6F262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8</w:t>
            </w:r>
          </w:p>
        </w:tc>
        <w:tc>
          <w:tcPr>
            <w:tcW w:w="1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A195E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10</w:t>
            </w:r>
          </w:p>
        </w:tc>
      </w:tr>
      <w:tr w14:paraId="751CEF43">
        <w:tblPrEx>
          <w:tblCellMar>
            <w:top w:w="0" w:type="dxa"/>
            <w:left w:w="108" w:type="dxa"/>
            <w:bottom w:w="0" w:type="dxa"/>
            <w:right w:w="108" w:type="dxa"/>
          </w:tblCellMar>
        </w:tblPrEx>
        <w:trPr>
          <w:trHeight w:val="507"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5A200BA5">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4</w:t>
            </w:r>
          </w:p>
        </w:tc>
        <w:tc>
          <w:tcPr>
            <w:tcW w:w="3527" w:type="dxa"/>
            <w:tcBorders>
              <w:top w:val="single" w:color="auto" w:sz="4" w:space="0"/>
              <w:left w:val="single" w:color="auto" w:sz="4" w:space="0"/>
              <w:bottom w:val="single" w:color="auto" w:sz="4" w:space="0"/>
              <w:right w:val="single" w:color="auto" w:sz="4" w:space="0"/>
            </w:tcBorders>
          </w:tcPr>
          <w:p w14:paraId="2D471ED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供应商按照采购人对初审结果的复核意见进行修改</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6578C716">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16D8BE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72032CFC">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r w14:paraId="474270DA">
        <w:tblPrEx>
          <w:tblCellMar>
            <w:top w:w="0" w:type="dxa"/>
            <w:left w:w="108" w:type="dxa"/>
            <w:bottom w:w="0" w:type="dxa"/>
            <w:right w:w="108" w:type="dxa"/>
          </w:tblCellMar>
        </w:tblPrEx>
        <w:trPr>
          <w:trHeight w:val="635" w:hRule="atLeast"/>
          <w:jc w:val="center"/>
        </w:trPr>
        <w:tc>
          <w:tcPr>
            <w:tcW w:w="508" w:type="dxa"/>
            <w:tcBorders>
              <w:top w:val="single" w:color="auto" w:sz="4" w:space="0"/>
              <w:left w:val="single" w:color="auto" w:sz="4" w:space="0"/>
              <w:bottom w:val="single" w:color="auto" w:sz="4" w:space="0"/>
              <w:right w:val="single" w:color="auto" w:sz="4" w:space="0"/>
            </w:tcBorders>
            <w:vAlign w:val="center"/>
          </w:tcPr>
          <w:p w14:paraId="4094AFF8">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5</w:t>
            </w:r>
          </w:p>
        </w:tc>
        <w:tc>
          <w:tcPr>
            <w:tcW w:w="3527" w:type="dxa"/>
            <w:tcBorders>
              <w:top w:val="single" w:color="auto" w:sz="4" w:space="0"/>
              <w:left w:val="single" w:color="auto" w:sz="4" w:space="0"/>
              <w:bottom w:val="single" w:color="auto" w:sz="4" w:space="0"/>
              <w:right w:val="single" w:color="auto" w:sz="4" w:space="0"/>
            </w:tcBorders>
          </w:tcPr>
          <w:p w14:paraId="2BF3DBC3">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供应商提交项目审核意见，收集、汇总、装订项目资料</w:t>
            </w:r>
          </w:p>
        </w:tc>
        <w:tc>
          <w:tcPr>
            <w:tcW w:w="1837" w:type="dxa"/>
            <w:gridSpan w:val="2"/>
            <w:tcBorders>
              <w:top w:val="single" w:color="auto" w:sz="4" w:space="0"/>
              <w:left w:val="single" w:color="auto" w:sz="4" w:space="0"/>
              <w:bottom w:val="single" w:color="auto" w:sz="4" w:space="0"/>
              <w:right w:val="single" w:color="auto" w:sz="4" w:space="0"/>
            </w:tcBorders>
            <w:vAlign w:val="center"/>
          </w:tcPr>
          <w:p w14:paraId="0628AA50">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7D50ACB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2</w:t>
            </w:r>
          </w:p>
        </w:tc>
        <w:tc>
          <w:tcPr>
            <w:tcW w:w="1851" w:type="dxa"/>
            <w:gridSpan w:val="2"/>
            <w:tcBorders>
              <w:top w:val="single" w:color="auto" w:sz="4" w:space="0"/>
              <w:left w:val="single" w:color="auto" w:sz="4" w:space="0"/>
              <w:bottom w:val="single" w:color="auto" w:sz="4" w:space="0"/>
              <w:right w:val="single" w:color="auto" w:sz="4" w:space="0"/>
            </w:tcBorders>
            <w:vAlign w:val="center"/>
          </w:tcPr>
          <w:p w14:paraId="7BC7BEA9">
            <w:pPr>
              <w:widowControl/>
              <w:spacing w:line="400" w:lineRule="exact"/>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3</w:t>
            </w:r>
          </w:p>
        </w:tc>
      </w:tr>
    </w:tbl>
    <w:p w14:paraId="6403489A">
      <w:pPr>
        <w:pStyle w:val="2"/>
        <w:numPr>
          <w:ilvl w:val="1"/>
          <w:numId w:val="0"/>
        </w:numPr>
        <w:spacing w:before="0" w:after="0" w:line="360" w:lineRule="auto"/>
        <w:ind w:firstLine="482" w:firstLineChars="200"/>
        <w:rPr>
          <w:rFonts w:hint="eastAsia" w:asciiTheme="minorEastAsia" w:hAnsiTheme="minorEastAsia" w:eastAsiaTheme="minorEastAsia" w:cstheme="minorEastAsia"/>
          <w:b/>
          <w:bCs/>
          <w:snapToGrid w:val="0"/>
          <w:color w:val="000000"/>
          <w:kern w:val="2"/>
          <w:sz w:val="24"/>
          <w:szCs w:val="24"/>
          <w:lang w:val="en-US" w:eastAsia="zh-CN" w:bidi="ar-SA"/>
        </w:rPr>
      </w:pPr>
      <w:bookmarkStart w:id="21" w:name="_Toc111844961"/>
      <w:r>
        <w:rPr>
          <w:rFonts w:hint="eastAsia" w:asciiTheme="minorEastAsia" w:hAnsiTheme="minorEastAsia" w:eastAsiaTheme="minorEastAsia" w:cstheme="minorEastAsia"/>
          <w:b/>
          <w:bCs/>
          <w:snapToGrid w:val="0"/>
          <w:color w:val="000000"/>
          <w:kern w:val="2"/>
          <w:sz w:val="24"/>
          <w:szCs w:val="24"/>
          <w:lang w:val="en-US" w:eastAsia="zh-CN" w:bidi="ar-SA"/>
        </w:rPr>
        <w:t>（三）工作方式及入围供应商组成</w:t>
      </w:r>
      <w:bookmarkEnd w:id="21"/>
      <w:r>
        <w:rPr>
          <w:rFonts w:hint="eastAsia" w:asciiTheme="minorEastAsia" w:hAnsiTheme="minorEastAsia" w:eastAsiaTheme="minorEastAsia" w:cstheme="minorEastAsia"/>
          <w:b/>
          <w:bCs/>
          <w:snapToGrid w:val="0"/>
          <w:color w:val="000000"/>
          <w:kern w:val="2"/>
          <w:sz w:val="24"/>
          <w:szCs w:val="24"/>
          <w:lang w:val="en-US" w:eastAsia="zh-CN" w:bidi="ar-SA"/>
        </w:rPr>
        <w:t xml:space="preserve"> </w:t>
      </w:r>
    </w:p>
    <w:p w14:paraId="3DF8C302">
      <w:pPr>
        <w:pStyle w:val="2"/>
        <w:numPr>
          <w:ilvl w:val="0"/>
          <w:numId w:val="0"/>
        </w:numPr>
        <w:spacing w:before="0" w:after="0" w:line="360" w:lineRule="auto"/>
        <w:ind w:firstLine="482"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工作方式：</w:t>
      </w:r>
      <w:r>
        <w:rPr>
          <w:rFonts w:hint="eastAsia" w:asciiTheme="minorEastAsia" w:hAnsiTheme="minorEastAsia" w:eastAsiaTheme="minorEastAsia" w:cstheme="minorEastAsia"/>
          <w:b w:val="0"/>
          <w:bCs w:val="0"/>
          <w:i w:val="0"/>
          <w:iCs w:val="0"/>
          <w:color w:val="auto"/>
          <w:sz w:val="24"/>
          <w:szCs w:val="24"/>
          <w:highlight w:val="none"/>
          <w:u w:val="none"/>
        </w:rPr>
        <w:t>采购人对项目委托后</w:t>
      </w:r>
      <w:r>
        <w:rPr>
          <w:rFonts w:hint="eastAsia" w:asciiTheme="minorEastAsia" w:hAnsiTheme="minorEastAsia" w:eastAsia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rPr>
        <w:t>供应商应</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根据评审项目的专业和实际情况</w:t>
      </w:r>
      <w:r>
        <w:rPr>
          <w:rFonts w:hint="eastAsia" w:asciiTheme="minorEastAsia" w:hAnsiTheme="minorEastAsia" w:eastAsiaTheme="minorEastAsia" w:cstheme="minorEastAsia"/>
          <w:b w:val="0"/>
          <w:bCs w:val="0"/>
          <w:i w:val="0"/>
          <w:iCs w:val="0"/>
          <w:color w:val="auto"/>
          <w:sz w:val="24"/>
          <w:szCs w:val="24"/>
          <w:highlight w:val="none"/>
          <w:u w:val="none"/>
        </w:rPr>
        <w:t>指派至少</w:t>
      </w:r>
      <w:r>
        <w:rPr>
          <w:rFonts w:hint="eastAsia" w:asciiTheme="minorEastAsia" w:hAnsiTheme="minorEastAsia" w:eastAsiaTheme="minorEastAsia" w:cstheme="minorEastAsia"/>
          <w:b w:val="0"/>
          <w:bCs w:val="0"/>
          <w:i w:val="0"/>
          <w:iCs w:val="0"/>
          <w:color w:val="auto"/>
          <w:sz w:val="24"/>
          <w:szCs w:val="24"/>
          <w:highlight w:val="none"/>
          <w:u w:val="none"/>
          <w:lang w:eastAsia="zh-CN"/>
        </w:rPr>
        <w:t>两</w:t>
      </w:r>
      <w:r>
        <w:rPr>
          <w:rFonts w:hint="eastAsia" w:asciiTheme="minorEastAsia" w:hAnsiTheme="minorEastAsia" w:eastAsiaTheme="minorEastAsia" w:cstheme="minorEastAsia"/>
          <w:b w:val="0"/>
          <w:bCs w:val="0"/>
          <w:i w:val="0"/>
          <w:iCs w:val="0"/>
          <w:color w:val="auto"/>
          <w:sz w:val="24"/>
          <w:szCs w:val="24"/>
          <w:highlight w:val="none"/>
          <w:u w:val="none"/>
        </w:rPr>
        <w:t>名评审人员进点开展评审工作，并根据项目金额确定的评审时限提交工作成果。</w:t>
      </w:r>
    </w:p>
    <w:p w14:paraId="20E80A42">
      <w:pPr>
        <w:spacing w:line="480" w:lineRule="exact"/>
        <w:ind w:left="-244" w:leftChars="-116" w:firstLine="723" w:firstLineChars="300"/>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lang w:eastAsia="zh-CN"/>
        </w:rPr>
        <w:t>入围供应商</w:t>
      </w:r>
      <w:r>
        <w:rPr>
          <w:rFonts w:hint="eastAsia" w:asciiTheme="minorEastAsia" w:hAnsiTheme="minorEastAsia" w:eastAsiaTheme="minorEastAsia" w:cstheme="minorEastAsia"/>
          <w:b/>
          <w:bCs/>
          <w:i w:val="0"/>
          <w:iCs w:val="0"/>
          <w:color w:val="auto"/>
          <w:sz w:val="24"/>
          <w:szCs w:val="24"/>
          <w:highlight w:val="none"/>
          <w:u w:val="none"/>
        </w:rPr>
        <w:t>组成及要求：</w:t>
      </w:r>
    </w:p>
    <w:p w14:paraId="538447A2">
      <w:pPr>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1.项目负责人要求。</w:t>
      </w:r>
    </w:p>
    <w:p w14:paraId="05D4940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供应商至少派一名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p>
    <w:p w14:paraId="09F763FA">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2.</w:t>
      </w:r>
      <w:r>
        <w:rPr>
          <w:rFonts w:hint="eastAsia" w:asciiTheme="minorEastAsia" w:hAnsiTheme="minorEastAsia" w:eastAsiaTheme="minorEastAsia" w:cstheme="minorEastAsia"/>
          <w:b w:val="0"/>
          <w:bCs w:val="0"/>
          <w:i w:val="0"/>
          <w:iCs w:val="0"/>
          <w:color w:val="auto"/>
          <w:sz w:val="24"/>
          <w:szCs w:val="24"/>
          <w:highlight w:val="none"/>
          <w:u w:val="none"/>
          <w:lang w:eastAsia="zh-CN"/>
        </w:rPr>
        <w:t>项目</w:t>
      </w:r>
      <w:r>
        <w:rPr>
          <w:rFonts w:hint="eastAsia" w:asciiTheme="minorEastAsia" w:hAnsiTheme="minorEastAsia" w:eastAsiaTheme="minorEastAsia" w:cstheme="minorEastAsia"/>
          <w:b w:val="0"/>
          <w:bCs w:val="0"/>
          <w:i w:val="0"/>
          <w:iCs w:val="0"/>
          <w:color w:val="auto"/>
          <w:sz w:val="24"/>
          <w:szCs w:val="24"/>
          <w:highlight w:val="none"/>
          <w:u w:val="none"/>
        </w:rPr>
        <w:t>评审人员要求。</w:t>
      </w:r>
    </w:p>
    <w:p w14:paraId="6106F067">
      <w:pPr>
        <w:spacing w:line="480" w:lineRule="exact"/>
        <w:ind w:firstLine="480" w:firstLineChars="200"/>
        <w:jc w:val="left"/>
        <w:rPr>
          <w:rFonts w:hint="eastAsia" w:asciiTheme="minorEastAsia" w:hAnsiTheme="minorEastAsia" w:eastAsiaTheme="minorEastAsia" w:cstheme="minorEastAsia"/>
          <w:b w:val="0"/>
          <w:bCs w:val="0"/>
          <w:i w:val="0"/>
          <w:iCs w:val="0"/>
          <w:color w:val="FF0000"/>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①供应商应根据采购人工作需要，至少派</w:t>
      </w:r>
      <w:r>
        <w:rPr>
          <w:rFonts w:hint="eastAsia" w:asciiTheme="minorEastAsia" w:hAnsiTheme="minorEastAsia" w:eastAsiaTheme="minorEastAsia" w:cstheme="minorEastAsia"/>
          <w:b w:val="0"/>
          <w:bCs w:val="0"/>
          <w:i w:val="0"/>
          <w:iCs w:val="0"/>
          <w:color w:val="auto"/>
          <w:sz w:val="24"/>
          <w:szCs w:val="24"/>
          <w:highlight w:val="none"/>
          <w:u w:val="none"/>
          <w:lang w:eastAsia="zh-CN"/>
        </w:rPr>
        <w:t>两</w:t>
      </w:r>
      <w:r>
        <w:rPr>
          <w:rFonts w:hint="eastAsia" w:asciiTheme="minorEastAsia" w:hAnsiTheme="minorEastAsia" w:eastAsiaTheme="minorEastAsia" w:cstheme="minorEastAsia"/>
          <w:b w:val="0"/>
          <w:bCs w:val="0"/>
          <w:i w:val="0"/>
          <w:iCs w:val="0"/>
          <w:color w:val="auto"/>
          <w:sz w:val="24"/>
          <w:szCs w:val="24"/>
          <w:highlight w:val="none"/>
          <w:u w:val="none"/>
        </w:rPr>
        <w:t>名沟通能力强，熟悉政府评审工作流程，具备</w:t>
      </w:r>
      <w:r>
        <w:rPr>
          <w:rFonts w:hint="eastAsia" w:ascii="宋体" w:hAnsi="宋体" w:eastAsia="宋体" w:cs="宋体"/>
          <w:b w:val="0"/>
          <w:bCs w:val="0"/>
          <w:i w:val="0"/>
          <w:iCs w:val="0"/>
          <w:color w:val="auto"/>
          <w:sz w:val="24"/>
          <w:szCs w:val="24"/>
          <w:highlight w:val="none"/>
          <w:u w:val="none"/>
          <w:lang w:val="en-US" w:eastAsia="zh-CN"/>
        </w:rPr>
        <w:t>相应条件的会计类</w:t>
      </w:r>
      <w:r>
        <w:rPr>
          <w:rFonts w:hint="eastAsia" w:asciiTheme="minorEastAsia" w:hAnsiTheme="minorEastAsia" w:eastAsiaTheme="minorEastAsia" w:cstheme="minorEastAsia"/>
          <w:b w:val="0"/>
          <w:bCs w:val="0"/>
          <w:i w:val="0"/>
          <w:iCs w:val="0"/>
          <w:color w:val="auto"/>
          <w:sz w:val="24"/>
          <w:szCs w:val="24"/>
          <w:highlight w:val="none"/>
          <w:u w:val="none"/>
        </w:rPr>
        <w:t>的本单位专职工作人员参与评审、技术探讨和提供日常咨询业务。原则上评审人员在合同期内不予更换，如需更换，须经采购人审核同意。如不能按要求派驻评审人员，采购人有权不向其委托评审项目（响应文件中应提供派驻评审人员名单及执业资格资料）</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供应商需提供人员承诺书。</w:t>
      </w:r>
    </w:p>
    <w:p w14:paraId="500269B6">
      <w:pPr>
        <w:spacing w:line="480" w:lineRule="exact"/>
        <w:ind w:firstLine="480" w:firstLineChars="200"/>
        <w:jc w:val="lef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②如果供应商需要更换项目负责人或评审人员时，需提前</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u w:val="none"/>
        </w:rPr>
        <w:t>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p w14:paraId="09821E00">
      <w:pPr>
        <w:spacing w:line="480" w:lineRule="exact"/>
        <w:ind w:left="-244" w:leftChars="-116" w:firstLine="723" w:firstLineChars="3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项目评审实行回避制度。</w:t>
      </w:r>
    </w:p>
    <w:p w14:paraId="7AF246A0">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1、工程造价咨询企业与被委托项目存在经济利益或其他利益的，应主动回避，不得接受委托；</w:t>
      </w:r>
    </w:p>
    <w:p w14:paraId="5AC79760">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2、评审人员曾在被评审项目单位任职且离职未满三年的；</w:t>
      </w:r>
    </w:p>
    <w:p w14:paraId="79563596">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3、评审人员与被评审单位或项目有直接利益关系的；</w:t>
      </w:r>
    </w:p>
    <w:p w14:paraId="7AD9A482">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4、其他应回避的事项。</w:t>
      </w:r>
    </w:p>
    <w:p w14:paraId="66C0616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工程造价咨询企业应当回避而不提出回避的，评审中心发现后有权终止委托。</w:t>
      </w:r>
    </w:p>
    <w:p w14:paraId="06FE3A33">
      <w:pPr>
        <w:spacing w:line="480" w:lineRule="exact"/>
        <w:ind w:left="-244" w:leftChars="-116" w:firstLine="482" w:firstLineChars="2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建立合理的业务屏蔽机制，有下列情形之一的工程造价咨询企业，委托业务时将进行屏蔽：</w:t>
      </w:r>
    </w:p>
    <w:p w14:paraId="07BD9242">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1、无正当理由不接受评审任务的。</w:t>
      </w:r>
    </w:p>
    <w:p w14:paraId="258FB0FC">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2、累计有二次未按规定时间完成评审任务的。</w:t>
      </w:r>
    </w:p>
    <w:p w14:paraId="5BCF6CE2">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3、年度考核得分低于70分的。</w:t>
      </w:r>
    </w:p>
    <w:p w14:paraId="1E12618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4、与被评审单位串通舞弊的；隐瞒评审发现的问题、有弄虚作假等不诚实行为的。</w:t>
      </w:r>
    </w:p>
    <w:p w14:paraId="14CF3DAA">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5、违反保密纪律或者回避规定的。</w:t>
      </w:r>
    </w:p>
    <w:p w14:paraId="31D65D68">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6、近五年被行业主管部门列入诚信不良记录的。</w:t>
      </w:r>
    </w:p>
    <w:p w14:paraId="0BE76FF2">
      <w:pPr>
        <w:spacing w:line="480" w:lineRule="exact"/>
        <w:ind w:firstLine="482" w:firstLineChars="200"/>
        <w:rPr>
          <w:rFonts w:hint="eastAsia" w:asciiTheme="minorEastAsia" w:hAnsiTheme="minorEastAsia" w:eastAsiaTheme="minorEastAsia" w:cstheme="minorEastAsia"/>
          <w:b/>
          <w:bCs/>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（四）服务要求标准</w:t>
      </w:r>
    </w:p>
    <w:p w14:paraId="417F214B">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1.供应商要严格遵守国家的法律、法规和有关规章制度，严格遵守行为准则和职业道德，按现行的财政项目评审操作规程及质量控制规定开展工作。</w:t>
      </w:r>
    </w:p>
    <w:p w14:paraId="5C090E4F">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2.供应商对成果文件应实行内部“三级复核”制度。应依照相关依据发表专业意见出具成果文件，并对成果的真实性、完整性、准确性负责。</w:t>
      </w:r>
    </w:p>
    <w:p w14:paraId="165C9FAF">
      <w:pPr>
        <w:spacing w:line="480" w:lineRule="exact"/>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rPr>
        <w:t xml:space="preserve">    3.</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工程造价咨询企业的成果文件包括以下资料：</w:t>
      </w:r>
    </w:p>
    <w:p w14:paraId="0DE2FD05">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建设项目预（结）算审核报告书。报告书包括工程造价审核定案表、审核依据、审核范围、审核结论、主要审增审减原因分析、主要经济技术指标分析，与概算对比情况分析等。审核人、复核人需签字并加盖执业章，报告书必须装订成册并胶封。</w:t>
      </w:r>
    </w:p>
    <w:p w14:paraId="04AF700E">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（2）相关审核工作底稿及附件。包括询价资料、确认书、反馈意见和核对记录等。</w:t>
      </w:r>
    </w:p>
    <w:p w14:paraId="2E37948F">
      <w:pPr>
        <w:keepNext w:val="0"/>
        <w:keepLines w:val="0"/>
        <w:pageBreakBefore w:val="0"/>
        <w:widowControl/>
        <w:suppressLineNumbers w:val="0"/>
        <w:wordWrap/>
        <w:overflowPunct/>
        <w:topLinePunct w:val="0"/>
        <w:bidi w:val="0"/>
        <w:spacing w:line="240" w:lineRule="auto"/>
        <w:ind w:firstLine="480" w:firstLineChars="200"/>
        <w:jc w:val="left"/>
        <w:rPr>
          <w:rFonts w:hint="eastAsia" w:asciiTheme="minorEastAsia" w:hAnsiTheme="minorEastAsia" w:eastAsiaTheme="minorEastAsia" w:cstheme="minorEastAsia"/>
          <w:snapToGrid w:val="0"/>
          <w:color w:val="000000"/>
          <w:kern w:val="0"/>
          <w:sz w:val="24"/>
          <w:szCs w:val="24"/>
          <w:highlight w:val="none"/>
          <w:lang w:val="en-US" w:eastAsia="zh-CN" w:bidi="ar"/>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（3）定稿完整电子版资料。</w:t>
      </w:r>
    </w:p>
    <w:p w14:paraId="63FEDBC1">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w:t>
      </w:r>
      <w:r>
        <w:rPr>
          <w:rFonts w:hint="eastAsia" w:asciiTheme="minorEastAsia" w:hAnsiTheme="minorEastAsia" w:eastAsiaTheme="minorEastAsia" w:cstheme="minorEastAsia"/>
          <w:b w:val="0"/>
          <w:bCs w:val="0"/>
          <w:i w:val="0"/>
          <w:iCs w:val="0"/>
          <w:color w:val="auto"/>
          <w:sz w:val="24"/>
          <w:szCs w:val="24"/>
          <w:highlight w:val="none"/>
          <w:u w:val="none"/>
        </w:rPr>
        <w:t>.各类评审报告编制标准：评审内容完整、数据准确、依据充分；评审结论定性客观、定量准确、依据充分；核增核减原因定性准确、条理清晰，披露评审问题有理有据、分析透彻；提出评审建议措施具体、针对性强。</w:t>
      </w:r>
    </w:p>
    <w:p w14:paraId="52A3ED62">
      <w:pPr>
        <w:spacing w:line="480" w:lineRule="exact"/>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 xml:space="preserve">    </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5</w:t>
      </w:r>
      <w:r>
        <w:rPr>
          <w:rFonts w:hint="eastAsia" w:asciiTheme="minorEastAsia" w:hAnsiTheme="minorEastAsia" w:eastAsiaTheme="minorEastAsia" w:cstheme="minorEastAsia"/>
          <w:b w:val="0"/>
          <w:bCs w:val="0"/>
          <w:i w:val="0"/>
          <w:iCs w:val="0"/>
          <w:color w:val="auto"/>
          <w:sz w:val="24"/>
          <w:szCs w:val="24"/>
          <w:highlight w:val="none"/>
          <w:u w:val="none"/>
        </w:rPr>
        <w:t>.采购人将对供应商提交的评审意见和评审结论进行复审，复审结果因供应商造成严重质量问题的，采购人不支付该项目的评审费用，供应商必须承担由此造成的全部经济和法律责任。</w:t>
      </w:r>
    </w:p>
    <w:p w14:paraId="259A030D">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6.供应商递交的评审意见和评审结论经采购人、建设单位确认后，在后续工作过程中若由造价管理机构、招标代理机构或其他方发现审核结果存在严重错误（如漏项、漏计单价、由于小数点等原因造成工程量或单价误差较大、各表格之间的对应数据不一致等问题），供应商必须承担由此造成的全部经济和法律责任，采购人不支付该单项项目的审核费用。</w:t>
      </w:r>
    </w:p>
    <w:p w14:paraId="3B120BE4">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7.因客观原因导致已审核的项目需要重新审核的，供应商须无条件配合并重新进行审核、出具审核成果，采购人不再另行支付供应商相关费用，供应商需充分考虑该因素进行响应。</w:t>
      </w:r>
    </w:p>
    <w:p w14:paraId="2E2CE827">
      <w:pPr>
        <w:spacing w:before="76" w:line="304" w:lineRule="exact"/>
        <w:ind w:firstLine="777" w:firstLineChars="300"/>
        <w:outlineLvl w:val="1"/>
        <w:rPr>
          <w:rFonts w:hint="eastAsia" w:asciiTheme="minorEastAsia" w:hAnsiTheme="minorEastAsia" w:eastAsiaTheme="minorEastAsia" w:cstheme="minorEastAsia"/>
          <w:b/>
          <w:bCs/>
          <w:spacing w:val="9"/>
          <w:position w:val="1"/>
          <w:sz w:val="24"/>
          <w:szCs w:val="24"/>
          <w:lang w:eastAsia="zh-CN"/>
        </w:rPr>
      </w:pPr>
      <w:bookmarkStart w:id="22" w:name="_Toc1203"/>
      <w:r>
        <w:rPr>
          <w:rFonts w:hint="eastAsia" w:asciiTheme="minorEastAsia" w:hAnsiTheme="minorEastAsia" w:eastAsiaTheme="minorEastAsia" w:cstheme="minorEastAsia"/>
          <w:b/>
          <w:bCs/>
          <w:spacing w:val="9"/>
          <w:position w:val="1"/>
          <w:sz w:val="24"/>
          <w:szCs w:val="24"/>
          <w:lang w:eastAsia="zh-CN"/>
        </w:rPr>
        <w:t>二</w:t>
      </w:r>
      <w:bookmarkEnd w:id="22"/>
      <w:r>
        <w:rPr>
          <w:rFonts w:hint="eastAsia" w:asciiTheme="minorEastAsia" w:hAnsiTheme="minorEastAsia" w:eastAsiaTheme="minorEastAsia" w:cstheme="minorEastAsia"/>
          <w:b/>
          <w:bCs/>
          <w:spacing w:val="9"/>
          <w:position w:val="1"/>
          <w:sz w:val="24"/>
          <w:szCs w:val="24"/>
          <w:lang w:eastAsia="zh-CN"/>
        </w:rPr>
        <w:t>、最高报价</w:t>
      </w:r>
    </w:p>
    <w:tbl>
      <w:tblPr>
        <w:tblStyle w:val="24"/>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43"/>
        <w:gridCol w:w="2471"/>
        <w:gridCol w:w="6570"/>
      </w:tblGrid>
      <w:tr w14:paraId="52DF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743" w:type="dxa"/>
            <w:shd w:val="clear" w:color="auto" w:fill="auto"/>
            <w:tcMar>
              <w:top w:w="75" w:type="dxa"/>
              <w:left w:w="150" w:type="dxa"/>
              <w:bottom w:w="75" w:type="dxa"/>
              <w:right w:w="150" w:type="dxa"/>
            </w:tcMar>
            <w:vAlign w:val="center"/>
          </w:tcPr>
          <w:p w14:paraId="7EBC7271">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center"/>
              <w:textAlignment w:val="auto"/>
              <w:rPr>
                <w:rFonts w:hint="eastAsia" w:ascii="楷体" w:hAnsi="楷体" w:eastAsia="楷体" w:cs="楷体"/>
                <w:color w:val="auto"/>
                <w:sz w:val="28"/>
                <w:szCs w:val="28"/>
                <w:highlight w:val="none"/>
                <w:lang w:val="en-US" w:eastAsia="zh-CN" w:bidi="ar-SA"/>
              </w:rPr>
            </w:pPr>
            <w:bookmarkStart w:id="23" w:name="_Toc28019"/>
            <w:r>
              <w:rPr>
                <w:rFonts w:hint="eastAsia" w:ascii="楷体" w:hAnsi="楷体" w:eastAsia="楷体" w:cs="楷体"/>
                <w:color w:val="auto"/>
                <w:sz w:val="28"/>
                <w:szCs w:val="28"/>
                <w:highlight w:val="none"/>
                <w:lang w:val="en-US" w:eastAsia="zh-CN" w:bidi="ar-SA"/>
              </w:rPr>
              <w:t>序号</w:t>
            </w:r>
          </w:p>
        </w:tc>
        <w:tc>
          <w:tcPr>
            <w:tcW w:w="2471" w:type="dxa"/>
            <w:shd w:val="clear" w:color="auto" w:fill="auto"/>
            <w:tcMar>
              <w:top w:w="75" w:type="dxa"/>
              <w:left w:w="150" w:type="dxa"/>
              <w:bottom w:w="75" w:type="dxa"/>
              <w:right w:w="150" w:type="dxa"/>
            </w:tcMar>
            <w:vAlign w:val="center"/>
          </w:tcPr>
          <w:p w14:paraId="315F0DB1">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center"/>
              <w:textAlignment w:val="auto"/>
              <w:rPr>
                <w:rFonts w:hint="default"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标段</w:t>
            </w:r>
          </w:p>
        </w:tc>
        <w:tc>
          <w:tcPr>
            <w:tcW w:w="6570" w:type="dxa"/>
            <w:shd w:val="clear" w:color="auto" w:fill="auto"/>
            <w:tcMar>
              <w:top w:w="75" w:type="dxa"/>
              <w:left w:w="150" w:type="dxa"/>
              <w:bottom w:w="75" w:type="dxa"/>
              <w:right w:w="150" w:type="dxa"/>
            </w:tcMar>
            <w:vAlign w:val="center"/>
          </w:tcPr>
          <w:p w14:paraId="16876DFB">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center"/>
              <w:textAlignment w:val="auto"/>
              <w:rPr>
                <w:rFonts w:hint="default" w:ascii="楷体" w:hAnsi="楷体" w:eastAsia="楷体" w:cs="楷体"/>
                <w:color w:val="auto"/>
                <w:sz w:val="28"/>
                <w:szCs w:val="28"/>
                <w:highlight w:val="none"/>
                <w:lang w:val="en-US" w:eastAsia="zh-CN" w:bidi="ar-SA"/>
              </w:rPr>
            </w:pPr>
            <w:r>
              <w:rPr>
                <w:rFonts w:hint="eastAsia" w:ascii="Times New Roman" w:eastAsia="楷体"/>
                <w:i w:val="0"/>
                <w:iCs w:val="0"/>
                <w:color w:val="auto"/>
                <w:sz w:val="28"/>
                <w:szCs w:val="28"/>
                <w:highlight w:val="none"/>
                <w:lang w:val="en-US" w:eastAsia="zh-CN"/>
              </w:rPr>
              <w:t>委托费用最高限价</w:t>
            </w:r>
          </w:p>
        </w:tc>
      </w:tr>
      <w:tr w14:paraId="2371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43" w:type="dxa"/>
            <w:shd w:val="clear" w:color="auto" w:fill="auto"/>
            <w:tcMar>
              <w:top w:w="75" w:type="dxa"/>
              <w:left w:w="150" w:type="dxa"/>
              <w:bottom w:w="75" w:type="dxa"/>
              <w:right w:w="150" w:type="dxa"/>
            </w:tcMar>
            <w:vAlign w:val="center"/>
          </w:tcPr>
          <w:p w14:paraId="0EB5C8AA">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center"/>
              <w:textAlignment w:val="auto"/>
              <w:rPr>
                <w:rFonts w:hint="default"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1</w:t>
            </w:r>
          </w:p>
        </w:tc>
        <w:tc>
          <w:tcPr>
            <w:tcW w:w="2471" w:type="dxa"/>
            <w:shd w:val="clear" w:color="auto" w:fill="auto"/>
            <w:tcMar>
              <w:top w:w="75" w:type="dxa"/>
              <w:left w:w="150" w:type="dxa"/>
              <w:bottom w:w="75" w:type="dxa"/>
              <w:right w:w="150" w:type="dxa"/>
            </w:tcMar>
            <w:vAlign w:val="center"/>
          </w:tcPr>
          <w:p w14:paraId="33EFBBC1">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left"/>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竣工财务决算审核，会计事务类审查</w:t>
            </w:r>
          </w:p>
          <w:p w14:paraId="1582E2F5">
            <w:pPr>
              <w:keepNext w:val="0"/>
              <w:keepLines w:val="0"/>
              <w:pageBreakBefore w:val="0"/>
              <w:widowControl/>
              <w:suppressLineNumbers w:val="0"/>
              <w:kinsoku/>
              <w:wordWrap w:val="0"/>
              <w:overflowPunct/>
              <w:topLinePunct w:val="0"/>
              <w:autoSpaceDE/>
              <w:autoSpaceDN/>
              <w:bidi w:val="0"/>
              <w:adjustRightInd w:val="0"/>
              <w:snapToGrid w:val="0"/>
              <w:spacing w:line="288" w:lineRule="auto"/>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（5家）</w:t>
            </w:r>
          </w:p>
        </w:tc>
        <w:tc>
          <w:tcPr>
            <w:tcW w:w="6570" w:type="dxa"/>
            <w:shd w:val="clear" w:color="auto" w:fill="auto"/>
            <w:tcMar>
              <w:top w:w="75" w:type="dxa"/>
              <w:left w:w="150" w:type="dxa"/>
              <w:bottom w:w="75" w:type="dxa"/>
              <w:right w:w="150" w:type="dxa"/>
            </w:tcMar>
            <w:vAlign w:val="center"/>
          </w:tcPr>
          <w:p w14:paraId="243FCB3C">
            <w:pPr>
              <w:pStyle w:val="32"/>
              <w:spacing w:line="480" w:lineRule="exact"/>
              <w:ind w:firstLine="560" w:firstLineChars="200"/>
              <w:rPr>
                <w:rFonts w:hint="eastAsia" w:ascii="楷体" w:hAnsi="楷体" w:eastAsia="楷体" w:cs="楷体"/>
                <w:snapToGrid w:val="0"/>
                <w:color w:val="auto"/>
                <w:sz w:val="28"/>
                <w:szCs w:val="28"/>
                <w:highlight w:val="none"/>
                <w:lang w:val="en-US" w:eastAsia="zh-CN" w:bidi="ar-SA"/>
              </w:rPr>
            </w:pPr>
            <w:r>
              <w:rPr>
                <w:rFonts w:hint="eastAsia" w:ascii="楷体" w:hAnsi="楷体" w:eastAsia="楷体" w:cs="楷体"/>
                <w:snapToGrid w:val="0"/>
                <w:color w:val="auto"/>
                <w:sz w:val="28"/>
                <w:szCs w:val="28"/>
                <w:highlight w:val="none"/>
                <w:lang w:val="en-US" w:eastAsia="zh-CN" w:bidi="ar-SA"/>
              </w:rPr>
              <w:t>1、竣工财务决算审核、会计事务服务委托服务费根据委托评审服务费计算标准参照中国建设工程造价管理协会《关于规范工程造价咨询服务收费的通知》（中价协[2013]35号）所列示标准按八折测算委托费用，并以委托合同为准。</w:t>
            </w:r>
          </w:p>
          <w:p w14:paraId="1F2B92CE">
            <w:pPr>
              <w:spacing w:line="480" w:lineRule="exact"/>
              <w:ind w:firstLine="560" w:firstLineChars="200"/>
              <w:jc w:val="left"/>
              <w:rPr>
                <w:rFonts w:hint="eastAsia" w:ascii="Times New Roman" w:hAnsi="Times New Roman" w:eastAsia="楷体" w:cs="Arial"/>
                <w:i w:val="0"/>
                <w:iCs w:val="0"/>
                <w:snapToGrid w:val="0"/>
                <w:color w:val="auto"/>
                <w:sz w:val="28"/>
                <w:szCs w:val="28"/>
                <w:highlight w:val="yellow"/>
                <w:lang w:val="en-US" w:eastAsia="zh-CN" w:bidi="ar-SA"/>
              </w:rPr>
            </w:pPr>
            <w:r>
              <w:rPr>
                <w:rFonts w:hint="eastAsia" w:ascii="楷体" w:hAnsi="楷体" w:eastAsia="楷体" w:cs="楷体"/>
                <w:snapToGrid w:val="0"/>
                <w:color w:val="auto"/>
                <w:sz w:val="28"/>
                <w:szCs w:val="28"/>
                <w:highlight w:val="none"/>
                <w:lang w:val="en-US" w:eastAsia="zh-CN" w:bidi="ar-SA"/>
              </w:rPr>
              <w:t>2、对于一些专业技术复杂的特殊项目，审核时需协审服务（聘请专家）服务费参照新疆维吾尔自治区审计厅《自治区审计厅聘请社会审计力量参与审计工作管理办法（试行）》的通知（新审投﹝2020﹞66号）所列费用：</w:t>
            </w:r>
            <w:r>
              <w:rPr>
                <w:rFonts w:hint="default" w:ascii="楷体" w:hAnsi="楷体" w:eastAsia="楷体" w:cs="楷体"/>
                <w:snapToGrid w:val="0"/>
                <w:color w:val="auto"/>
                <w:sz w:val="28"/>
                <w:szCs w:val="28"/>
                <w:highlight w:val="none"/>
                <w:lang w:val="en-US" w:eastAsia="zh-CN" w:bidi="ar-SA"/>
              </w:rPr>
              <w:t>①</w:t>
            </w:r>
            <w:r>
              <w:rPr>
                <w:rFonts w:hint="eastAsia" w:ascii="楷体" w:hAnsi="楷体" w:eastAsia="楷体" w:cs="楷体"/>
                <w:snapToGrid w:val="0"/>
                <w:color w:val="auto"/>
                <w:sz w:val="28"/>
                <w:szCs w:val="28"/>
                <w:highlight w:val="none"/>
                <w:lang w:val="en-US" w:eastAsia="zh-CN" w:bidi="ar-SA"/>
              </w:rPr>
              <w:t>具有高级职称的人员1200元/日；</w:t>
            </w:r>
            <w:r>
              <w:rPr>
                <w:rFonts w:hint="default" w:ascii="楷体" w:hAnsi="楷体" w:eastAsia="楷体" w:cs="楷体"/>
                <w:snapToGrid w:val="0"/>
                <w:color w:val="auto"/>
                <w:sz w:val="28"/>
                <w:szCs w:val="28"/>
                <w:highlight w:val="none"/>
                <w:lang w:val="en-US" w:eastAsia="zh-CN" w:bidi="ar-SA"/>
              </w:rPr>
              <w:t>②</w:t>
            </w:r>
            <w:r>
              <w:rPr>
                <w:rFonts w:hint="eastAsia" w:ascii="楷体" w:hAnsi="楷体" w:eastAsia="楷体" w:cs="楷体"/>
                <w:snapToGrid w:val="0"/>
                <w:color w:val="auto"/>
                <w:sz w:val="28"/>
                <w:szCs w:val="28"/>
                <w:highlight w:val="none"/>
                <w:lang w:val="en-US" w:eastAsia="zh-CN" w:bidi="ar-SA"/>
              </w:rPr>
              <w:t>具有中级职称的人员800元/日；</w:t>
            </w:r>
            <w:r>
              <w:rPr>
                <w:rFonts w:hint="default" w:ascii="楷体" w:hAnsi="楷体" w:eastAsia="楷体" w:cs="楷体"/>
                <w:snapToGrid w:val="0"/>
                <w:color w:val="auto"/>
                <w:sz w:val="28"/>
                <w:szCs w:val="28"/>
                <w:highlight w:val="none"/>
                <w:lang w:val="en-US" w:eastAsia="zh-CN" w:bidi="ar-SA"/>
              </w:rPr>
              <w:t>③</w:t>
            </w:r>
            <w:r>
              <w:rPr>
                <w:rFonts w:hint="eastAsia" w:ascii="楷体" w:hAnsi="楷体" w:eastAsia="楷体" w:cs="楷体"/>
                <w:snapToGrid w:val="0"/>
                <w:color w:val="auto"/>
                <w:sz w:val="28"/>
                <w:szCs w:val="28"/>
                <w:highlight w:val="none"/>
                <w:lang w:val="en-US" w:eastAsia="zh-CN" w:bidi="ar-SA"/>
              </w:rPr>
              <w:t>具有初级职称或无职称但有工作经验和能力的人员500元/日；特别说明：以上标准均不含协审人员伙食补助费、住宿费、交通费，相关费用按照审计外勤经费标准另行支付。</w:t>
            </w:r>
          </w:p>
          <w:p w14:paraId="0197CF1B">
            <w:pPr>
              <w:pStyle w:val="32"/>
              <w:spacing w:line="480" w:lineRule="exact"/>
              <w:ind w:firstLine="560" w:firstLineChars="200"/>
              <w:rPr>
                <w:rFonts w:hint="eastAsia" w:ascii="楷体" w:hAnsi="楷体" w:eastAsia="楷体" w:cs="楷体"/>
                <w:color w:val="auto"/>
                <w:sz w:val="28"/>
                <w:szCs w:val="28"/>
                <w:highlight w:val="none"/>
                <w:lang w:val="en-US" w:eastAsia="zh-CN" w:bidi="ar-SA"/>
              </w:rPr>
            </w:pPr>
          </w:p>
        </w:tc>
      </w:tr>
    </w:tbl>
    <w:p w14:paraId="2283FBF7">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7B5DF49C">
      <w:pPr>
        <w:spacing w:line="480" w:lineRule="exact"/>
        <w:ind w:firstLine="480" w:firstLineChars="20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5BB3976F">
      <w:pPr>
        <w:spacing w:before="91" w:line="219" w:lineRule="auto"/>
        <w:jc w:val="both"/>
        <w:outlineLvl w:val="0"/>
        <w:rPr>
          <w:rFonts w:ascii="宋体" w:hAnsi="宋体" w:eastAsia="宋体" w:cs="宋体"/>
          <w:b/>
          <w:bCs/>
          <w:sz w:val="32"/>
          <w:szCs w:val="32"/>
        </w:rPr>
      </w:pPr>
    </w:p>
    <w:p w14:paraId="36176E3E">
      <w:pPr>
        <w:pStyle w:val="2"/>
        <w:numPr>
          <w:ilvl w:val="1"/>
          <w:numId w:val="0"/>
        </w:numPr>
        <w:ind w:left="420" w:leftChars="0"/>
      </w:pPr>
    </w:p>
    <w:p w14:paraId="7EC6927A">
      <w:pPr>
        <w:rPr>
          <w:rFonts w:ascii="宋体" w:hAnsi="宋体" w:eastAsia="宋体" w:cs="宋体"/>
          <w:b/>
          <w:bCs/>
          <w:sz w:val="32"/>
          <w:szCs w:val="32"/>
        </w:rPr>
      </w:pPr>
    </w:p>
    <w:p w14:paraId="4C72E7F4">
      <w:pPr>
        <w:pStyle w:val="2"/>
        <w:numPr>
          <w:ilvl w:val="1"/>
          <w:numId w:val="0"/>
        </w:numPr>
        <w:ind w:left="420" w:leftChars="0"/>
      </w:pPr>
    </w:p>
    <w:p w14:paraId="4B9D3060"/>
    <w:p w14:paraId="6B0F7BBA">
      <w:pPr>
        <w:pStyle w:val="2"/>
        <w:numPr>
          <w:ilvl w:val="1"/>
          <w:numId w:val="0"/>
        </w:numPr>
        <w:ind w:left="420" w:leftChars="0"/>
      </w:pPr>
    </w:p>
    <w:p w14:paraId="030D3BB1"/>
    <w:p w14:paraId="4496AC97">
      <w:pPr>
        <w:spacing w:before="91" w:line="219" w:lineRule="auto"/>
        <w:jc w:val="both"/>
        <w:outlineLvl w:val="0"/>
        <w:rPr>
          <w:rFonts w:ascii="宋体" w:hAnsi="宋体" w:eastAsia="宋体" w:cs="宋体"/>
          <w:b/>
          <w:bCs/>
          <w:sz w:val="32"/>
          <w:szCs w:val="32"/>
        </w:rPr>
      </w:pPr>
    </w:p>
    <w:p w14:paraId="06116359">
      <w:pPr>
        <w:pStyle w:val="2"/>
        <w:numPr>
          <w:ilvl w:val="1"/>
          <w:numId w:val="0"/>
        </w:numPr>
        <w:ind w:left="420" w:leftChars="0"/>
      </w:pPr>
    </w:p>
    <w:p w14:paraId="2DD37464"/>
    <w:p w14:paraId="456F5E87">
      <w:pPr>
        <w:pStyle w:val="2"/>
        <w:numPr>
          <w:ilvl w:val="1"/>
          <w:numId w:val="0"/>
        </w:numPr>
        <w:ind w:left="420" w:leftChars="0"/>
      </w:pPr>
    </w:p>
    <w:p w14:paraId="54F6A129"/>
    <w:p w14:paraId="5D5F1F87">
      <w:pPr>
        <w:pStyle w:val="2"/>
        <w:numPr>
          <w:ilvl w:val="1"/>
          <w:numId w:val="0"/>
        </w:numPr>
        <w:ind w:left="420" w:leftChars="0"/>
      </w:pPr>
    </w:p>
    <w:p w14:paraId="675BECFD"/>
    <w:p w14:paraId="5096AF45">
      <w:pPr>
        <w:pStyle w:val="2"/>
        <w:numPr>
          <w:ilvl w:val="1"/>
          <w:numId w:val="0"/>
        </w:numPr>
        <w:ind w:left="420" w:leftChars="0"/>
      </w:pPr>
    </w:p>
    <w:p w14:paraId="46527C88"/>
    <w:p w14:paraId="0975B027"/>
    <w:p w14:paraId="1C203653">
      <w:pPr>
        <w:spacing w:before="91" w:line="219" w:lineRule="auto"/>
        <w:jc w:val="center"/>
        <w:outlineLvl w:val="0"/>
        <w:rPr>
          <w:rFonts w:ascii="宋体" w:hAnsi="宋体" w:eastAsia="宋体" w:cs="宋体"/>
          <w:b/>
          <w:bCs/>
          <w:sz w:val="32"/>
          <w:szCs w:val="32"/>
        </w:rPr>
      </w:pPr>
      <w:r>
        <w:rPr>
          <w:rFonts w:ascii="宋体" w:hAnsi="宋体" w:eastAsia="宋体" w:cs="宋体"/>
          <w:b/>
          <w:bCs/>
          <w:sz w:val="32"/>
          <w:szCs w:val="32"/>
        </w:rPr>
        <w:t>第四章  评审方法和标准（</w:t>
      </w:r>
      <w:r>
        <w:rPr>
          <w:rFonts w:hint="eastAsia" w:ascii="宋体" w:hAnsi="宋体" w:eastAsia="宋体" w:cs="宋体"/>
          <w:b/>
          <w:bCs/>
          <w:sz w:val="32"/>
          <w:szCs w:val="32"/>
          <w:lang w:eastAsia="zh-CN"/>
        </w:rPr>
        <w:t>质量</w:t>
      </w:r>
      <w:r>
        <w:rPr>
          <w:rFonts w:ascii="宋体" w:hAnsi="宋体" w:eastAsia="宋体" w:cs="宋体"/>
          <w:b/>
          <w:bCs/>
          <w:sz w:val="32"/>
          <w:szCs w:val="32"/>
        </w:rPr>
        <w:t>优先法）</w:t>
      </w:r>
      <w:bookmarkEnd w:id="23"/>
    </w:p>
    <w:p w14:paraId="57F9762C">
      <w:pPr>
        <w:spacing w:before="265" w:line="394" w:lineRule="exact"/>
        <w:ind w:left="1196" w:leftChars="289" w:hanging="589" w:hangingChars="199"/>
        <w:jc w:val="left"/>
        <w:outlineLvl w:val="1"/>
        <w:rPr>
          <w:rFonts w:ascii="宋体" w:hAnsi="宋体" w:eastAsia="宋体" w:cs="宋体"/>
          <w:sz w:val="23"/>
          <w:szCs w:val="23"/>
        </w:rPr>
      </w:pPr>
      <w:bookmarkStart w:id="24" w:name="_Toc2029"/>
      <w:r>
        <w:rPr>
          <w:rFonts w:hint="eastAsia" w:ascii="黑体" w:hAnsi="黑体" w:eastAsia="黑体" w:cs="黑体"/>
          <w:spacing w:val="8"/>
          <w:position w:val="2"/>
          <w:sz w:val="28"/>
          <w:szCs w:val="28"/>
        </w:rPr>
        <w:t>一</w:t>
      </w:r>
      <w:r>
        <w:rPr>
          <w:rFonts w:hint="eastAsia" w:ascii="黑体" w:hAnsi="黑体" w:eastAsia="黑体" w:cs="黑体"/>
          <w:spacing w:val="7"/>
          <w:position w:val="2"/>
          <w:sz w:val="28"/>
          <w:szCs w:val="28"/>
        </w:rPr>
        <w:t>、总则</w:t>
      </w:r>
      <w:bookmarkEnd w:id="24"/>
    </w:p>
    <w:p w14:paraId="525B00E1">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本项目将按照征集文件第二章供应商须知的相关要求及本章的规定评审。</w:t>
      </w:r>
    </w:p>
    <w:p w14:paraId="23A1E668">
      <w:pPr>
        <w:spacing w:before="265" w:line="394" w:lineRule="exact"/>
        <w:ind w:left="1186" w:leftChars="286" w:hanging="585" w:hangingChars="199"/>
        <w:outlineLvl w:val="1"/>
        <w:rPr>
          <w:rFonts w:ascii="黑体" w:hAnsi="黑体" w:eastAsia="黑体" w:cs="黑体"/>
          <w:spacing w:val="7"/>
          <w:position w:val="2"/>
          <w:sz w:val="28"/>
          <w:szCs w:val="28"/>
        </w:rPr>
      </w:pPr>
      <w:bookmarkStart w:id="25" w:name="_Toc19806"/>
      <w:r>
        <w:rPr>
          <w:rFonts w:hint="eastAsia" w:ascii="黑体" w:hAnsi="黑体" w:eastAsia="黑体" w:cs="黑体"/>
          <w:spacing w:val="7"/>
          <w:position w:val="2"/>
          <w:sz w:val="28"/>
          <w:szCs w:val="28"/>
        </w:rPr>
        <w:t>二、评审方法</w:t>
      </w:r>
      <w:bookmarkEnd w:id="25"/>
    </w:p>
    <w:p w14:paraId="7B204B6E">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2.1 资格审查</w:t>
      </w:r>
    </w:p>
    <w:p w14:paraId="751A539B">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依据政府采购相关法律法规规定</w:t>
      </w:r>
      <w:r>
        <w:rPr>
          <w:rFonts w:hint="default" w:ascii="宋体" w:hAnsi="宋体" w:eastAsia="宋体" w:cs="宋体"/>
          <w:spacing w:val="9"/>
          <w:sz w:val="23"/>
          <w:szCs w:val="23"/>
        </w:rPr>
        <w:t>，</w:t>
      </w:r>
      <w:r>
        <w:rPr>
          <w:rFonts w:hint="eastAsia" w:ascii="宋体" w:hAnsi="宋体" w:eastAsia="宋体" w:cs="宋体"/>
          <w:spacing w:val="9"/>
          <w:sz w:val="23"/>
          <w:szCs w:val="23"/>
        </w:rPr>
        <w:t>由征集人对供应商进行资格审查。资格审查表如下：</w:t>
      </w:r>
    </w:p>
    <w:p w14:paraId="0E4A2F55">
      <w:pPr>
        <w:spacing w:line="15" w:lineRule="exact"/>
      </w:pPr>
    </w:p>
    <w:tbl>
      <w:tblPr>
        <w:tblStyle w:val="30"/>
        <w:tblW w:w="96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5472"/>
      </w:tblGrid>
      <w:tr w14:paraId="10149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99" w:type="dxa"/>
            <w:tcBorders>
              <w:bottom w:val="single" w:color="auto" w:sz="4" w:space="0"/>
            </w:tcBorders>
            <w:vAlign w:val="center"/>
          </w:tcPr>
          <w:p w14:paraId="7533F2B3">
            <w:pPr>
              <w:spacing w:before="116"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723" w:type="dxa"/>
            <w:tcBorders>
              <w:bottom w:val="single" w:color="auto" w:sz="4" w:space="0"/>
            </w:tcBorders>
            <w:vAlign w:val="center"/>
          </w:tcPr>
          <w:p w14:paraId="05551A65">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评审指</w:t>
            </w:r>
            <w:r>
              <w:rPr>
                <w:rFonts w:ascii="宋体" w:hAnsi="宋体" w:eastAsia="宋体" w:cs="宋体"/>
                <w:spacing w:val="7"/>
                <w:sz w:val="23"/>
                <w:szCs w:val="23"/>
              </w:rPr>
              <w:t>标</w:t>
            </w:r>
          </w:p>
        </w:tc>
        <w:tc>
          <w:tcPr>
            <w:tcW w:w="1800" w:type="dxa"/>
            <w:tcBorders>
              <w:bottom w:val="single" w:color="auto" w:sz="4" w:space="0"/>
            </w:tcBorders>
            <w:vAlign w:val="center"/>
          </w:tcPr>
          <w:p w14:paraId="2303EF2E">
            <w:pPr>
              <w:spacing w:before="116" w:line="228" w:lineRule="auto"/>
              <w:jc w:val="center"/>
              <w:rPr>
                <w:rFonts w:ascii="宋体" w:hAnsi="宋体" w:eastAsia="宋体" w:cs="宋体"/>
                <w:sz w:val="23"/>
                <w:szCs w:val="23"/>
              </w:rPr>
            </w:pPr>
            <w:r>
              <w:rPr>
                <w:rFonts w:ascii="宋体" w:hAnsi="宋体" w:eastAsia="宋体" w:cs="宋体"/>
                <w:spacing w:val="8"/>
                <w:sz w:val="23"/>
                <w:szCs w:val="23"/>
              </w:rPr>
              <w:t>评审标</w:t>
            </w:r>
            <w:r>
              <w:rPr>
                <w:rFonts w:ascii="宋体" w:hAnsi="宋体" w:eastAsia="宋体" w:cs="宋体"/>
                <w:spacing w:val="7"/>
                <w:sz w:val="23"/>
                <w:szCs w:val="23"/>
              </w:rPr>
              <w:t>准</w:t>
            </w:r>
          </w:p>
        </w:tc>
        <w:tc>
          <w:tcPr>
            <w:tcW w:w="5472" w:type="dxa"/>
            <w:tcBorders>
              <w:bottom w:val="single" w:color="auto" w:sz="4" w:space="0"/>
            </w:tcBorders>
            <w:vAlign w:val="center"/>
          </w:tcPr>
          <w:p w14:paraId="2A22A3B8">
            <w:pPr>
              <w:spacing w:before="116" w:line="227" w:lineRule="auto"/>
              <w:jc w:val="center"/>
              <w:rPr>
                <w:rFonts w:ascii="宋体" w:hAnsi="宋体" w:eastAsia="宋体" w:cs="宋体"/>
                <w:sz w:val="23"/>
                <w:szCs w:val="23"/>
              </w:rPr>
            </w:pPr>
            <w:r>
              <w:rPr>
                <w:rFonts w:ascii="宋体" w:hAnsi="宋体" w:eastAsia="宋体" w:cs="宋体"/>
                <w:spacing w:val="12"/>
                <w:sz w:val="23"/>
                <w:szCs w:val="23"/>
              </w:rPr>
              <w:t>格</w:t>
            </w:r>
            <w:r>
              <w:rPr>
                <w:rFonts w:ascii="宋体" w:hAnsi="宋体" w:eastAsia="宋体" w:cs="宋体"/>
                <w:spacing w:val="8"/>
                <w:sz w:val="23"/>
                <w:szCs w:val="23"/>
              </w:rPr>
              <w:t>式及材料要求</w:t>
            </w:r>
          </w:p>
        </w:tc>
      </w:tr>
      <w:tr w14:paraId="6607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699" w:type="dxa"/>
            <w:tcBorders>
              <w:top w:val="single" w:color="auto" w:sz="4" w:space="0"/>
              <w:left w:val="single" w:color="auto" w:sz="4" w:space="0"/>
              <w:bottom w:val="single" w:color="auto" w:sz="4" w:space="0"/>
            </w:tcBorders>
            <w:vAlign w:val="center"/>
          </w:tcPr>
          <w:p w14:paraId="0342A6A1">
            <w:pPr>
              <w:spacing w:before="74" w:line="192" w:lineRule="auto"/>
              <w:jc w:val="center"/>
              <w:rPr>
                <w:rFonts w:ascii="宋体" w:hAnsi="宋体" w:eastAsia="宋体" w:cs="宋体"/>
                <w:sz w:val="23"/>
                <w:szCs w:val="23"/>
              </w:rPr>
            </w:pPr>
            <w:r>
              <w:rPr>
                <w:rFonts w:ascii="宋体" w:hAnsi="宋体" w:eastAsia="宋体" w:cs="宋体"/>
                <w:sz w:val="23"/>
                <w:szCs w:val="23"/>
              </w:rPr>
              <w:t>1</w:t>
            </w:r>
          </w:p>
        </w:tc>
        <w:tc>
          <w:tcPr>
            <w:tcW w:w="1723" w:type="dxa"/>
            <w:tcBorders>
              <w:top w:val="single" w:color="auto" w:sz="4" w:space="0"/>
              <w:bottom w:val="single" w:color="auto" w:sz="4" w:space="0"/>
            </w:tcBorders>
            <w:vAlign w:val="center"/>
          </w:tcPr>
          <w:p w14:paraId="26FF8626">
            <w:pPr>
              <w:spacing w:before="75" w:line="227" w:lineRule="auto"/>
              <w:jc w:val="center"/>
              <w:rPr>
                <w:rFonts w:ascii="宋体" w:hAnsi="宋体" w:eastAsia="宋体" w:cs="宋体"/>
                <w:spacing w:val="6"/>
                <w:sz w:val="23"/>
                <w:szCs w:val="23"/>
              </w:rPr>
            </w:pPr>
            <w:r>
              <w:rPr>
                <w:rFonts w:hint="eastAsia" w:ascii="宋体" w:hAnsi="宋体" w:eastAsia="宋体" w:cs="宋体"/>
                <w:spacing w:val="6"/>
                <w:sz w:val="23"/>
                <w:szCs w:val="23"/>
              </w:rPr>
              <w:t>营业执</w:t>
            </w:r>
            <w:r>
              <w:rPr>
                <w:rFonts w:hint="eastAsia" w:ascii="宋体" w:hAnsi="宋体" w:eastAsia="宋体" w:cs="宋体"/>
                <w:spacing w:val="5"/>
                <w:sz w:val="23"/>
                <w:szCs w:val="23"/>
              </w:rPr>
              <w:t>照</w:t>
            </w:r>
            <w:r>
              <w:rPr>
                <w:rFonts w:hint="eastAsia" w:ascii="宋体" w:hAnsi="宋体" w:eastAsia="宋体" w:cs="宋体"/>
                <w:spacing w:val="5"/>
                <w:sz w:val="23"/>
                <w:szCs w:val="23"/>
                <w:lang w:eastAsia="zh-CN"/>
              </w:rPr>
              <w:t>、财务报表、税收、社保、具备合同能力</w:t>
            </w:r>
          </w:p>
        </w:tc>
        <w:tc>
          <w:tcPr>
            <w:tcW w:w="1800" w:type="dxa"/>
            <w:tcBorders>
              <w:top w:val="single" w:color="auto" w:sz="4" w:space="0"/>
              <w:bottom w:val="single" w:color="auto" w:sz="4" w:space="0"/>
            </w:tcBorders>
            <w:vAlign w:val="center"/>
          </w:tcPr>
          <w:p w14:paraId="331A59D4">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合法有效</w:t>
            </w:r>
          </w:p>
        </w:tc>
        <w:tc>
          <w:tcPr>
            <w:tcW w:w="5472" w:type="dxa"/>
            <w:tcBorders>
              <w:top w:val="single" w:color="auto" w:sz="4" w:space="0"/>
              <w:bottom w:val="single" w:color="auto" w:sz="4" w:space="0"/>
            </w:tcBorders>
            <w:vAlign w:val="center"/>
          </w:tcPr>
          <w:p w14:paraId="4AEF136F">
            <w:pPr>
              <w:spacing w:before="75" w:line="227" w:lineRule="auto"/>
              <w:jc w:val="left"/>
              <w:rPr>
                <w:rFonts w:ascii="宋体" w:hAnsi="宋体" w:eastAsia="宋体" w:cs="宋体"/>
                <w:spacing w:val="6"/>
                <w:sz w:val="23"/>
                <w:szCs w:val="23"/>
              </w:rPr>
            </w:pPr>
            <w:r>
              <w:rPr>
                <w:rFonts w:hint="eastAsia" w:ascii="宋体" w:hAnsi="宋体" w:eastAsia="宋体" w:cs="宋体"/>
                <w:spacing w:val="14"/>
                <w:sz w:val="23"/>
                <w:szCs w:val="23"/>
              </w:rPr>
              <w:t>提</w:t>
            </w:r>
            <w:r>
              <w:rPr>
                <w:rFonts w:hint="eastAsia" w:ascii="宋体" w:hAnsi="宋体" w:eastAsia="宋体" w:cs="宋体"/>
                <w:spacing w:val="8"/>
                <w:sz w:val="23"/>
                <w:szCs w:val="23"/>
              </w:rPr>
              <w:t>供有效的供应商营业执照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或事业单</w:t>
            </w:r>
            <w:r>
              <w:rPr>
                <w:rFonts w:hint="eastAsia" w:ascii="宋体" w:hAnsi="宋体" w:eastAsia="宋体" w:cs="宋体"/>
                <w:spacing w:val="16"/>
                <w:sz w:val="23"/>
                <w:szCs w:val="23"/>
              </w:rPr>
              <w:t>位</w:t>
            </w:r>
            <w:r>
              <w:rPr>
                <w:rFonts w:hint="eastAsia" w:ascii="宋体" w:hAnsi="宋体" w:eastAsia="宋体" w:cs="宋体"/>
                <w:spacing w:val="8"/>
                <w:sz w:val="23"/>
                <w:szCs w:val="23"/>
              </w:rPr>
              <w:t>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和税务登记证的扫描</w:t>
            </w:r>
            <w:r>
              <w:rPr>
                <w:rFonts w:hint="eastAsia" w:ascii="宋体" w:hAnsi="宋体" w:eastAsia="宋体" w:cs="宋体"/>
                <w:spacing w:val="16"/>
                <w:sz w:val="23"/>
                <w:szCs w:val="23"/>
              </w:rPr>
              <w:t>件</w:t>
            </w:r>
            <w:r>
              <w:rPr>
                <w:rFonts w:hint="eastAsia" w:ascii="宋体" w:hAnsi="宋体" w:eastAsia="宋体" w:cs="宋体"/>
                <w:spacing w:val="8"/>
                <w:sz w:val="23"/>
                <w:szCs w:val="23"/>
              </w:rPr>
              <w:t>，应完整的体现出营业执照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w:t>
            </w:r>
            <w:r>
              <w:rPr>
                <w:rFonts w:hint="eastAsia" w:ascii="宋体" w:hAnsi="宋体" w:eastAsia="宋体" w:cs="宋体"/>
                <w:spacing w:val="16"/>
                <w:sz w:val="23"/>
                <w:szCs w:val="23"/>
              </w:rPr>
              <w:t>单</w:t>
            </w:r>
            <w:r>
              <w:rPr>
                <w:rFonts w:hint="eastAsia" w:ascii="宋体" w:hAnsi="宋体" w:eastAsia="宋体" w:cs="宋体"/>
                <w:spacing w:val="8"/>
                <w:sz w:val="23"/>
                <w:szCs w:val="23"/>
              </w:rPr>
              <w:t>位法人登记证书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和税务登记证的全</w:t>
            </w:r>
            <w:r>
              <w:rPr>
                <w:rFonts w:hint="eastAsia" w:ascii="宋体" w:hAnsi="宋体" w:eastAsia="宋体" w:cs="宋体"/>
                <w:spacing w:val="9"/>
                <w:sz w:val="23"/>
                <w:szCs w:val="23"/>
              </w:rPr>
              <w:t>部内容。已办理“三证合一”登记的</w:t>
            </w:r>
            <w:r>
              <w:rPr>
                <w:rFonts w:hint="eastAsia" w:ascii="宋体" w:hAnsi="宋体" w:eastAsia="宋体" w:cs="宋体"/>
                <w:spacing w:val="8"/>
                <w:sz w:val="23"/>
                <w:szCs w:val="23"/>
              </w:rPr>
              <w:t>，</w:t>
            </w:r>
            <w:r>
              <w:rPr>
                <w:rFonts w:hint="eastAsia" w:ascii="宋体" w:hAnsi="宋体" w:eastAsia="宋体" w:cs="宋体"/>
                <w:spacing w:val="16"/>
                <w:sz w:val="23"/>
                <w:szCs w:val="23"/>
              </w:rPr>
              <w:t>响</w:t>
            </w:r>
            <w:r>
              <w:rPr>
                <w:rFonts w:hint="eastAsia" w:ascii="宋体" w:hAnsi="宋体" w:eastAsia="宋体" w:cs="宋体"/>
                <w:spacing w:val="8"/>
                <w:sz w:val="23"/>
                <w:szCs w:val="23"/>
              </w:rPr>
              <w:t>应文件中提供营业执照</w:t>
            </w:r>
            <w:r>
              <w:rPr>
                <w:rFonts w:hint="default" w:ascii="宋体" w:hAnsi="宋体" w:eastAsia="宋体" w:cs="宋体"/>
                <w:spacing w:val="8"/>
                <w:sz w:val="23"/>
                <w:szCs w:val="23"/>
              </w:rPr>
              <w:t>（</w:t>
            </w:r>
            <w:r>
              <w:rPr>
                <w:rFonts w:hint="eastAsia" w:ascii="宋体" w:hAnsi="宋体" w:eastAsia="宋体" w:cs="宋体"/>
                <w:spacing w:val="8"/>
                <w:sz w:val="23"/>
                <w:szCs w:val="23"/>
              </w:rPr>
              <w:t>或事业单位法人登记证书</w:t>
            </w:r>
            <w:r>
              <w:rPr>
                <w:rFonts w:hint="default" w:ascii="宋体" w:hAnsi="宋体" w:eastAsia="宋体" w:cs="宋体"/>
                <w:spacing w:val="8"/>
                <w:sz w:val="23"/>
                <w:szCs w:val="23"/>
              </w:rPr>
              <w:t>）</w:t>
            </w:r>
            <w:r>
              <w:rPr>
                <w:rFonts w:hint="eastAsia" w:ascii="宋体" w:hAnsi="宋体" w:eastAsia="宋体" w:cs="宋体"/>
                <w:spacing w:val="8"/>
                <w:sz w:val="23"/>
                <w:szCs w:val="23"/>
              </w:rPr>
              <w:t>扫描件即可</w:t>
            </w:r>
            <w:r>
              <w:rPr>
                <w:rFonts w:hint="eastAsia" w:ascii="宋体" w:hAnsi="宋体" w:eastAsia="宋体" w:cs="宋体"/>
                <w:spacing w:val="8"/>
                <w:sz w:val="23"/>
                <w:szCs w:val="23"/>
                <w:lang w:eastAsia="zh-CN"/>
              </w:rPr>
              <w:t>、最近一个年度的财务状况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p>
        </w:tc>
      </w:tr>
      <w:tr w14:paraId="3797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99" w:type="dxa"/>
            <w:tcBorders>
              <w:top w:val="single" w:color="auto" w:sz="4" w:space="0"/>
            </w:tcBorders>
            <w:vAlign w:val="center"/>
          </w:tcPr>
          <w:p w14:paraId="5AD96F20">
            <w:pPr>
              <w:spacing w:before="75"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723" w:type="dxa"/>
            <w:tcBorders>
              <w:top w:val="single" w:color="auto" w:sz="4" w:space="0"/>
            </w:tcBorders>
            <w:vAlign w:val="center"/>
          </w:tcPr>
          <w:p w14:paraId="547CCE12">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不良信用记录查询</w:t>
            </w:r>
          </w:p>
        </w:tc>
        <w:tc>
          <w:tcPr>
            <w:tcW w:w="1800" w:type="dxa"/>
            <w:tcBorders>
              <w:top w:val="single" w:color="auto" w:sz="4" w:space="0"/>
            </w:tcBorders>
            <w:vAlign w:val="center"/>
          </w:tcPr>
          <w:p w14:paraId="3F4CA13D">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供应商不得存在不良信用记录情形</w:t>
            </w:r>
          </w:p>
        </w:tc>
        <w:tc>
          <w:tcPr>
            <w:tcW w:w="5472" w:type="dxa"/>
            <w:tcBorders>
              <w:top w:val="single" w:color="auto" w:sz="4" w:space="0"/>
            </w:tcBorders>
            <w:vAlign w:val="center"/>
          </w:tcPr>
          <w:p w14:paraId="317F42D9">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1.在“中国政府采购网”网站http://</w:t>
            </w:r>
            <w:r>
              <w:fldChar w:fldCharType="begin"/>
            </w:r>
            <w:r>
              <w:instrText xml:space="preserve"> HYPERLINK "http://www.ccgp.gov.cn/" </w:instrText>
            </w:r>
            <w:r>
              <w:fldChar w:fldCharType="separate"/>
            </w:r>
            <w:r>
              <w:rPr>
                <w:rFonts w:hint="eastAsia" w:ascii="宋体" w:hAnsi="宋体" w:eastAsia="宋体" w:cs="宋体"/>
                <w:spacing w:val="6"/>
                <w:sz w:val="23"/>
                <w:szCs w:val="23"/>
              </w:rPr>
              <w:t>(ccgp.gov.cn</w:t>
            </w:r>
            <w:r>
              <w:rPr>
                <w:rFonts w:hint="default" w:ascii="宋体" w:hAnsi="宋体" w:eastAsia="宋体" w:cs="宋体"/>
                <w:spacing w:val="6"/>
                <w:sz w:val="23"/>
                <w:szCs w:val="23"/>
              </w:rPr>
              <w:t>）</w:t>
            </w:r>
            <w:r>
              <w:rPr>
                <w:rFonts w:hint="eastAsia" w:ascii="宋体" w:hAnsi="宋体" w:eastAsia="宋体" w:cs="宋体"/>
                <w:spacing w:val="6"/>
                <w:sz w:val="23"/>
                <w:szCs w:val="23"/>
              </w:rPr>
              <w:fldChar w:fldCharType="end"/>
            </w:r>
            <w:r>
              <w:rPr>
                <w:rFonts w:hint="eastAsia" w:ascii="宋体" w:hAnsi="宋体" w:eastAsia="宋体" w:cs="宋体"/>
                <w:spacing w:val="6"/>
                <w:sz w:val="23"/>
                <w:szCs w:val="23"/>
              </w:rPr>
              <w:t>查询本单位被列入失信被执行人的供应商，不得参加本次政府采购活动；</w:t>
            </w:r>
          </w:p>
          <w:p w14:paraId="64B06586">
            <w:pPr>
              <w:spacing w:before="75" w:line="227" w:lineRule="auto"/>
              <w:rPr>
                <w:rFonts w:hint="eastAsia" w:ascii="宋体" w:hAnsi="宋体" w:eastAsia="宋体" w:cs="宋体"/>
                <w:spacing w:val="6"/>
                <w:sz w:val="23"/>
                <w:szCs w:val="23"/>
              </w:rPr>
            </w:pPr>
            <w:r>
              <w:rPr>
                <w:rFonts w:hint="eastAsia" w:ascii="宋体" w:hAnsi="宋体" w:eastAsia="宋体" w:cs="宋体"/>
                <w:spacing w:val="6"/>
                <w:sz w:val="23"/>
                <w:szCs w:val="23"/>
              </w:rPr>
              <w:t>2在“信用中国”网站（https://www.creditchina.gov.cn/）查询本单位被列入重大税收违法失信主体以及政府采购严重违法失信名单的供应商。</w:t>
            </w:r>
          </w:p>
          <w:p w14:paraId="277FCA6C">
            <w:pPr>
              <w:pStyle w:val="4"/>
              <w:ind w:left="0" w:leftChars="0" w:firstLine="0" w:firstLineChars="0"/>
              <w:rPr>
                <w:rFonts w:hint="default" w:eastAsia="宋体"/>
                <w:lang w:val="en-US" w:eastAsia="zh-CN"/>
              </w:rPr>
            </w:pPr>
          </w:p>
        </w:tc>
      </w:tr>
      <w:tr w14:paraId="2666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99" w:type="dxa"/>
            <w:vAlign w:val="center"/>
          </w:tcPr>
          <w:p w14:paraId="32A49CBA">
            <w:pPr>
              <w:spacing w:before="75"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723" w:type="dxa"/>
            <w:vAlign w:val="center"/>
          </w:tcPr>
          <w:p w14:paraId="513D742C">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无重大违法记录声明函、无不良信用记录声明函</w:t>
            </w:r>
          </w:p>
        </w:tc>
        <w:tc>
          <w:tcPr>
            <w:tcW w:w="1800" w:type="dxa"/>
            <w:vAlign w:val="center"/>
          </w:tcPr>
          <w:p w14:paraId="44A0E48B">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5472" w:type="dxa"/>
            <w:vAlign w:val="center"/>
          </w:tcPr>
          <w:p w14:paraId="4DF26CE0">
            <w:pPr>
              <w:spacing w:before="75" w:line="227" w:lineRule="auto"/>
              <w:jc w:val="left"/>
              <w:rPr>
                <w:rFonts w:ascii="宋体" w:hAnsi="宋体" w:eastAsia="宋体" w:cs="宋体"/>
                <w:spacing w:val="6"/>
                <w:sz w:val="23"/>
                <w:szCs w:val="23"/>
              </w:rPr>
            </w:pPr>
            <w:r>
              <w:rPr>
                <w:rFonts w:hint="eastAsia" w:ascii="宋体" w:hAnsi="宋体" w:eastAsia="宋体" w:cs="宋体"/>
                <w:spacing w:val="6"/>
                <w:sz w:val="23"/>
                <w:szCs w:val="23"/>
              </w:rPr>
              <w:t>参加政府采购活动前3年内在经营活动中没有重大违法记录的书面声明</w:t>
            </w:r>
            <w:r>
              <w:rPr>
                <w:rFonts w:hint="eastAsia" w:ascii="宋体" w:hAnsi="宋体" w:eastAsia="宋体" w:cs="宋体"/>
                <w:spacing w:val="6"/>
                <w:sz w:val="23"/>
                <w:szCs w:val="23"/>
                <w:lang w:eastAsia="zh-CN"/>
              </w:rPr>
              <w:t>。</w:t>
            </w:r>
          </w:p>
        </w:tc>
      </w:tr>
      <w:tr w14:paraId="1E48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99" w:type="dxa"/>
            <w:vAlign w:val="center"/>
          </w:tcPr>
          <w:p w14:paraId="3098F402">
            <w:pPr>
              <w:spacing w:before="74" w:line="189"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1723" w:type="dxa"/>
            <w:vAlign w:val="center"/>
          </w:tcPr>
          <w:p w14:paraId="79940588">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w:t>
            </w:r>
            <w:r>
              <w:rPr>
                <w:rFonts w:hint="eastAsia" w:ascii="宋体" w:hAnsi="宋体" w:eastAsia="宋体" w:cs="宋体"/>
                <w:spacing w:val="6"/>
                <w:sz w:val="23"/>
                <w:szCs w:val="23"/>
                <w:lang w:eastAsia="zh-CN"/>
              </w:rPr>
              <w:t>特定</w:t>
            </w:r>
            <w:r>
              <w:rPr>
                <w:rFonts w:ascii="宋体" w:hAnsi="宋体" w:eastAsia="宋体" w:cs="宋体"/>
                <w:spacing w:val="6"/>
                <w:sz w:val="23"/>
                <w:szCs w:val="23"/>
              </w:rPr>
              <w:t>资质</w:t>
            </w:r>
          </w:p>
        </w:tc>
        <w:tc>
          <w:tcPr>
            <w:tcW w:w="1800" w:type="dxa"/>
            <w:vAlign w:val="center"/>
          </w:tcPr>
          <w:p w14:paraId="2E16B4B0">
            <w:pPr>
              <w:spacing w:before="75" w:line="227" w:lineRule="auto"/>
              <w:jc w:val="left"/>
              <w:rPr>
                <w:rFonts w:ascii="宋体" w:hAnsi="宋体" w:eastAsia="宋体" w:cs="宋体"/>
                <w:spacing w:val="6"/>
                <w:sz w:val="23"/>
                <w:szCs w:val="23"/>
              </w:rPr>
            </w:pPr>
            <w:r>
              <w:rPr>
                <w:rFonts w:ascii="宋体" w:hAnsi="宋体" w:eastAsia="宋体" w:cs="宋体"/>
                <w:spacing w:val="6"/>
                <w:sz w:val="23"/>
                <w:szCs w:val="23"/>
              </w:rPr>
              <w:t>符合供应商资格中本项目的特定资格要求</w:t>
            </w:r>
          </w:p>
        </w:tc>
        <w:tc>
          <w:tcPr>
            <w:tcW w:w="5472" w:type="dxa"/>
            <w:vAlign w:val="center"/>
          </w:tcPr>
          <w:p w14:paraId="0FE8FF65">
            <w:pPr>
              <w:spacing w:before="75" w:line="227" w:lineRule="auto"/>
              <w:jc w:val="left"/>
              <w:rPr>
                <w:rFonts w:hint="eastAsia" w:ascii="宋体" w:hAnsi="宋体" w:eastAsia="宋体" w:cs="宋体"/>
                <w:spacing w:val="6"/>
                <w:sz w:val="23"/>
                <w:szCs w:val="23"/>
                <w:lang w:val="en-US" w:eastAsia="zh-CN"/>
              </w:rPr>
            </w:pPr>
            <w:r>
              <w:rPr>
                <w:rFonts w:hint="eastAsia" w:ascii="宋体" w:hAnsi="宋体" w:eastAsia="宋体" w:cs="宋体"/>
                <w:spacing w:val="6"/>
                <w:sz w:val="23"/>
                <w:szCs w:val="23"/>
                <w:lang w:eastAsia="zh-CN"/>
              </w:rPr>
              <w:t>入围</w:t>
            </w:r>
            <w:r>
              <w:rPr>
                <w:rFonts w:hint="eastAsia" w:ascii="宋体" w:hAnsi="宋体" w:eastAsia="宋体" w:cs="宋体"/>
                <w:spacing w:val="6"/>
                <w:sz w:val="23"/>
                <w:szCs w:val="23"/>
                <w:lang w:val="en-US" w:eastAsia="zh-CN"/>
              </w:rPr>
              <w:t>供应商</w:t>
            </w:r>
            <w:r>
              <w:rPr>
                <w:rFonts w:hint="eastAsia" w:ascii="宋体" w:hAnsi="宋体" w:eastAsia="宋体" w:cs="宋体"/>
                <w:spacing w:val="6"/>
                <w:sz w:val="23"/>
                <w:szCs w:val="23"/>
                <w:lang w:eastAsia="zh-CN"/>
              </w:rPr>
              <w:t>营业执照包含会计或审计</w:t>
            </w:r>
            <w:r>
              <w:rPr>
                <w:rFonts w:hint="eastAsia" w:ascii="宋体" w:hAnsi="宋体" w:eastAsia="宋体" w:cs="宋体"/>
                <w:spacing w:val="6"/>
                <w:sz w:val="23"/>
                <w:szCs w:val="23"/>
                <w:lang w:val="en-US" w:eastAsia="zh-CN"/>
              </w:rPr>
              <w:t>服</w:t>
            </w:r>
            <w:r>
              <w:rPr>
                <w:rFonts w:hint="eastAsia" w:ascii="宋体" w:hAnsi="宋体" w:eastAsia="宋体" w:cs="宋体"/>
                <w:spacing w:val="6"/>
                <w:sz w:val="23"/>
                <w:szCs w:val="23"/>
                <w:lang w:eastAsia="zh-CN"/>
              </w:rPr>
              <w:t>务范围，项目负责人需持有注册会计师证书。</w:t>
            </w:r>
          </w:p>
          <w:p w14:paraId="4D25E9CE">
            <w:pPr>
              <w:spacing w:before="75" w:line="227" w:lineRule="auto"/>
              <w:jc w:val="left"/>
              <w:rPr>
                <w:rFonts w:ascii="宋体" w:hAnsi="宋体" w:eastAsia="宋体" w:cs="宋体"/>
                <w:spacing w:val="6"/>
                <w:sz w:val="23"/>
                <w:szCs w:val="23"/>
              </w:rPr>
            </w:pPr>
          </w:p>
        </w:tc>
      </w:tr>
    </w:tbl>
    <w:p w14:paraId="42519780">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资格审查指标通过标准：供应商必须通过资格审查表中的全部评审指标。</w:t>
      </w:r>
    </w:p>
    <w:p w14:paraId="79DFFC4E">
      <w:pPr>
        <w:spacing w:line="319" w:lineRule="auto"/>
        <w:ind w:firstLine="496" w:firstLineChars="200"/>
        <w:rPr>
          <w:rFonts w:ascii="宋体" w:hAnsi="宋体" w:eastAsia="宋体" w:cs="宋体"/>
          <w:spacing w:val="9"/>
          <w:sz w:val="23"/>
          <w:szCs w:val="23"/>
        </w:rPr>
      </w:pPr>
    </w:p>
    <w:p w14:paraId="1B72BD8B">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2.2 符合性审查</w:t>
      </w:r>
    </w:p>
    <w:p w14:paraId="11C3A67A">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评审小组对通过资格审查的供应商的响应文件进行符合性审查，以确定其是否满足征集文件的实质性要求。符合性审查表如下：</w:t>
      </w:r>
    </w:p>
    <w:p w14:paraId="772F62EB">
      <w:pPr>
        <w:spacing w:line="19" w:lineRule="exact"/>
      </w:pPr>
    </w:p>
    <w:tbl>
      <w:tblPr>
        <w:tblStyle w:val="30"/>
        <w:tblW w:w="96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3646"/>
      </w:tblGrid>
      <w:tr w14:paraId="79496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653" w:type="dxa"/>
            <w:gridSpan w:val="4"/>
            <w:vAlign w:val="center"/>
          </w:tcPr>
          <w:p w14:paraId="3767852F">
            <w:pPr>
              <w:spacing w:before="147" w:line="227" w:lineRule="auto"/>
              <w:jc w:val="center"/>
              <w:rPr>
                <w:rFonts w:ascii="宋体" w:hAnsi="宋体" w:eastAsia="宋体" w:cs="宋体"/>
                <w:sz w:val="23"/>
                <w:szCs w:val="23"/>
              </w:rPr>
            </w:pPr>
            <w:r>
              <w:rPr>
                <w:rFonts w:ascii="宋体" w:hAnsi="宋体" w:eastAsia="宋体" w:cs="宋体"/>
                <w:spacing w:val="9"/>
                <w:sz w:val="23"/>
                <w:szCs w:val="23"/>
              </w:rPr>
              <w:t>符合性审查</w:t>
            </w:r>
            <w:r>
              <w:rPr>
                <w:rFonts w:ascii="宋体" w:hAnsi="宋体" w:eastAsia="宋体" w:cs="宋体"/>
                <w:spacing w:val="8"/>
                <w:sz w:val="23"/>
                <w:szCs w:val="23"/>
              </w:rPr>
              <w:t>表</w:t>
            </w:r>
          </w:p>
        </w:tc>
      </w:tr>
      <w:tr w14:paraId="462F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65" w:type="dxa"/>
          </w:tcPr>
          <w:p w14:paraId="000E9440">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序号</w:t>
            </w:r>
          </w:p>
        </w:tc>
        <w:tc>
          <w:tcPr>
            <w:tcW w:w="2116" w:type="dxa"/>
          </w:tcPr>
          <w:p w14:paraId="1D8548B9">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评审指标</w:t>
            </w:r>
          </w:p>
        </w:tc>
        <w:tc>
          <w:tcPr>
            <w:tcW w:w="3126" w:type="dxa"/>
          </w:tcPr>
          <w:p w14:paraId="2D7FFF70">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评审标准</w:t>
            </w:r>
          </w:p>
        </w:tc>
        <w:tc>
          <w:tcPr>
            <w:tcW w:w="3646" w:type="dxa"/>
          </w:tcPr>
          <w:p w14:paraId="7B84CE27">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格式及材料要求</w:t>
            </w:r>
          </w:p>
        </w:tc>
      </w:tr>
      <w:tr w14:paraId="4322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65" w:type="dxa"/>
            <w:vAlign w:val="center"/>
          </w:tcPr>
          <w:p w14:paraId="217099B4">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1</w:t>
            </w:r>
          </w:p>
        </w:tc>
        <w:tc>
          <w:tcPr>
            <w:tcW w:w="2116" w:type="dxa"/>
            <w:vAlign w:val="center"/>
          </w:tcPr>
          <w:p w14:paraId="1C33EE40">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报价表</w:t>
            </w:r>
          </w:p>
        </w:tc>
        <w:tc>
          <w:tcPr>
            <w:tcW w:w="3126" w:type="dxa"/>
            <w:vAlign w:val="center"/>
          </w:tcPr>
          <w:p w14:paraId="0DC95A18">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646" w:type="dxa"/>
            <w:vAlign w:val="center"/>
          </w:tcPr>
          <w:p w14:paraId="61347982">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详见第六章响应文件格式一</w:t>
            </w:r>
          </w:p>
        </w:tc>
      </w:tr>
      <w:tr w14:paraId="0403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5" w:type="dxa"/>
            <w:vAlign w:val="center"/>
          </w:tcPr>
          <w:p w14:paraId="33E0CA05">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2</w:t>
            </w:r>
          </w:p>
        </w:tc>
        <w:tc>
          <w:tcPr>
            <w:tcW w:w="2116" w:type="dxa"/>
            <w:vAlign w:val="center"/>
          </w:tcPr>
          <w:p w14:paraId="1D8F8698">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响应函</w:t>
            </w:r>
          </w:p>
        </w:tc>
        <w:tc>
          <w:tcPr>
            <w:tcW w:w="3126" w:type="dxa"/>
            <w:vAlign w:val="center"/>
          </w:tcPr>
          <w:p w14:paraId="12FE4ACF">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646" w:type="dxa"/>
            <w:vAlign w:val="center"/>
          </w:tcPr>
          <w:p w14:paraId="61B6E749">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详见第六章响应文件格式二</w:t>
            </w:r>
          </w:p>
        </w:tc>
      </w:tr>
      <w:tr w14:paraId="37BFB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65" w:type="dxa"/>
            <w:vAlign w:val="center"/>
          </w:tcPr>
          <w:p w14:paraId="05ED049E">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3</w:t>
            </w:r>
          </w:p>
        </w:tc>
        <w:tc>
          <w:tcPr>
            <w:tcW w:w="2116" w:type="dxa"/>
            <w:vAlign w:val="center"/>
          </w:tcPr>
          <w:p w14:paraId="624537DE">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授权书</w:t>
            </w:r>
          </w:p>
        </w:tc>
        <w:tc>
          <w:tcPr>
            <w:tcW w:w="3126" w:type="dxa"/>
            <w:vAlign w:val="center"/>
          </w:tcPr>
          <w:p w14:paraId="5B5F70CC">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3646" w:type="dxa"/>
            <w:vAlign w:val="center"/>
          </w:tcPr>
          <w:p w14:paraId="0793B425">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法定代表人参加响应的无需此件，提供身份证明即可。详见第六章响应文件格式四</w:t>
            </w:r>
          </w:p>
        </w:tc>
      </w:tr>
      <w:tr w14:paraId="5A7AE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65" w:type="dxa"/>
            <w:vAlign w:val="center"/>
          </w:tcPr>
          <w:p w14:paraId="6E0CE860">
            <w:pPr>
              <w:spacing w:before="299" w:line="229" w:lineRule="auto"/>
              <w:jc w:val="center"/>
              <w:rPr>
                <w:rFonts w:hint="eastAsia"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4</w:t>
            </w:r>
          </w:p>
        </w:tc>
        <w:tc>
          <w:tcPr>
            <w:tcW w:w="2116" w:type="dxa"/>
            <w:vAlign w:val="center"/>
          </w:tcPr>
          <w:p w14:paraId="42506158">
            <w:pPr>
              <w:spacing w:before="299" w:line="229" w:lineRule="auto"/>
              <w:jc w:val="center"/>
              <w:rPr>
                <w:rFonts w:ascii="宋体" w:hAnsi="宋体" w:eastAsia="宋体" w:cs="宋体"/>
                <w:spacing w:val="6"/>
                <w:sz w:val="23"/>
                <w:szCs w:val="23"/>
              </w:rPr>
            </w:pPr>
            <w:r>
              <w:rPr>
                <w:rFonts w:hint="eastAsia" w:ascii="宋体" w:hAnsi="宋体" w:eastAsia="宋体" w:cs="宋体"/>
                <w:spacing w:val="6"/>
                <w:sz w:val="23"/>
                <w:szCs w:val="23"/>
              </w:rPr>
              <w:t>服务</w:t>
            </w:r>
            <w:r>
              <w:rPr>
                <w:rFonts w:ascii="宋体" w:hAnsi="宋体" w:eastAsia="宋体" w:cs="宋体"/>
                <w:spacing w:val="6"/>
                <w:sz w:val="23"/>
                <w:szCs w:val="23"/>
              </w:rPr>
              <w:t>响应情况</w:t>
            </w:r>
          </w:p>
        </w:tc>
        <w:tc>
          <w:tcPr>
            <w:tcW w:w="3126" w:type="dxa"/>
            <w:vAlign w:val="center"/>
          </w:tcPr>
          <w:p w14:paraId="1283C155">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符合征集文件规定</w:t>
            </w:r>
          </w:p>
        </w:tc>
        <w:tc>
          <w:tcPr>
            <w:tcW w:w="3646" w:type="dxa"/>
            <w:vAlign w:val="center"/>
          </w:tcPr>
          <w:p w14:paraId="4DF24418">
            <w:pPr>
              <w:spacing w:before="299" w:line="229" w:lineRule="auto"/>
              <w:jc w:val="both"/>
              <w:rPr>
                <w:rFonts w:ascii="宋体" w:hAnsi="宋体" w:eastAsia="宋体" w:cs="宋体"/>
                <w:spacing w:val="6"/>
                <w:sz w:val="23"/>
                <w:szCs w:val="23"/>
              </w:rPr>
            </w:pPr>
          </w:p>
        </w:tc>
      </w:tr>
      <w:tr w14:paraId="56532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65" w:type="dxa"/>
            <w:vAlign w:val="center"/>
          </w:tcPr>
          <w:p w14:paraId="2773EFBE">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5</w:t>
            </w:r>
          </w:p>
        </w:tc>
        <w:tc>
          <w:tcPr>
            <w:tcW w:w="2116" w:type="dxa"/>
            <w:vAlign w:val="center"/>
          </w:tcPr>
          <w:p w14:paraId="097E1EA2">
            <w:pPr>
              <w:spacing w:before="299" w:line="229" w:lineRule="auto"/>
              <w:jc w:val="center"/>
              <w:rPr>
                <w:rFonts w:ascii="宋体" w:hAnsi="宋体" w:eastAsia="宋体" w:cs="宋体"/>
                <w:spacing w:val="6"/>
                <w:sz w:val="23"/>
                <w:szCs w:val="23"/>
              </w:rPr>
            </w:pPr>
            <w:r>
              <w:rPr>
                <w:rFonts w:hint="eastAsia" w:ascii="宋体" w:hAnsi="宋体" w:eastAsia="宋体" w:cs="宋体"/>
                <w:spacing w:val="6"/>
                <w:sz w:val="23"/>
                <w:szCs w:val="23"/>
              </w:rPr>
              <w:t>服务承诺</w:t>
            </w:r>
          </w:p>
        </w:tc>
        <w:tc>
          <w:tcPr>
            <w:tcW w:w="3126" w:type="dxa"/>
            <w:vAlign w:val="center"/>
          </w:tcPr>
          <w:p w14:paraId="66B8215C">
            <w:pPr>
              <w:spacing w:before="299" w:line="229" w:lineRule="auto"/>
              <w:jc w:val="both"/>
              <w:rPr>
                <w:rFonts w:ascii="宋体" w:hAnsi="宋体" w:eastAsia="宋体" w:cs="宋体"/>
                <w:spacing w:val="6"/>
                <w:sz w:val="23"/>
                <w:szCs w:val="23"/>
              </w:rPr>
            </w:pPr>
            <w:r>
              <w:rPr>
                <w:rFonts w:hint="eastAsia" w:ascii="宋体" w:hAnsi="宋体" w:eastAsia="宋体" w:cs="宋体"/>
                <w:spacing w:val="6"/>
                <w:sz w:val="23"/>
                <w:szCs w:val="23"/>
              </w:rPr>
              <w:t>符合征集文件规定</w:t>
            </w:r>
          </w:p>
        </w:tc>
        <w:tc>
          <w:tcPr>
            <w:tcW w:w="3646" w:type="dxa"/>
            <w:vAlign w:val="center"/>
          </w:tcPr>
          <w:p w14:paraId="0C32E3B2">
            <w:pPr>
              <w:spacing w:before="299" w:line="229" w:lineRule="auto"/>
              <w:jc w:val="left"/>
              <w:rPr>
                <w:rFonts w:ascii="宋体" w:hAnsi="宋体" w:eastAsia="宋体" w:cs="宋体"/>
                <w:spacing w:val="6"/>
                <w:sz w:val="23"/>
                <w:szCs w:val="23"/>
              </w:rPr>
            </w:pPr>
          </w:p>
        </w:tc>
      </w:tr>
      <w:tr w14:paraId="4BAD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65" w:type="dxa"/>
            <w:vAlign w:val="center"/>
          </w:tcPr>
          <w:p w14:paraId="413A82D1">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6</w:t>
            </w:r>
          </w:p>
        </w:tc>
        <w:tc>
          <w:tcPr>
            <w:tcW w:w="2116" w:type="dxa"/>
            <w:vAlign w:val="center"/>
          </w:tcPr>
          <w:p w14:paraId="0A2E6CF8">
            <w:pPr>
              <w:spacing w:before="299" w:line="229" w:lineRule="auto"/>
              <w:jc w:val="center"/>
              <w:rPr>
                <w:rFonts w:ascii="宋体" w:hAnsi="宋体" w:eastAsia="宋体" w:cs="宋体"/>
                <w:spacing w:val="6"/>
                <w:sz w:val="23"/>
                <w:szCs w:val="23"/>
              </w:rPr>
            </w:pPr>
            <w:r>
              <w:rPr>
                <w:rFonts w:hint="eastAsia" w:ascii="宋体" w:hAnsi="宋体" w:eastAsia="宋体" w:cs="宋体"/>
                <w:spacing w:val="6"/>
                <w:sz w:val="23"/>
                <w:szCs w:val="23"/>
              </w:rPr>
              <w:t>服务方案</w:t>
            </w:r>
          </w:p>
        </w:tc>
        <w:tc>
          <w:tcPr>
            <w:tcW w:w="3126" w:type="dxa"/>
            <w:vAlign w:val="center"/>
          </w:tcPr>
          <w:p w14:paraId="4BCAE97F">
            <w:pPr>
              <w:spacing w:before="299" w:line="229" w:lineRule="auto"/>
              <w:jc w:val="both"/>
              <w:rPr>
                <w:rFonts w:ascii="宋体" w:hAnsi="宋体" w:eastAsia="宋体" w:cs="宋体"/>
                <w:spacing w:val="6"/>
                <w:sz w:val="23"/>
                <w:szCs w:val="23"/>
              </w:rPr>
            </w:pPr>
            <w:r>
              <w:rPr>
                <w:rFonts w:hint="eastAsia" w:ascii="宋体" w:hAnsi="宋体" w:eastAsia="宋体" w:cs="宋体"/>
                <w:spacing w:val="6"/>
                <w:sz w:val="23"/>
                <w:szCs w:val="23"/>
              </w:rPr>
              <w:t>符合征集文件采购需求中的要求</w:t>
            </w:r>
          </w:p>
        </w:tc>
        <w:tc>
          <w:tcPr>
            <w:tcW w:w="3646" w:type="dxa"/>
            <w:vAlign w:val="center"/>
          </w:tcPr>
          <w:p w14:paraId="5B3E04E5">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详见第六章响应文件格式</w:t>
            </w:r>
            <w:r>
              <w:rPr>
                <w:rFonts w:hint="eastAsia" w:ascii="宋体" w:hAnsi="宋体" w:eastAsia="宋体" w:cs="宋体"/>
                <w:spacing w:val="6"/>
                <w:sz w:val="23"/>
                <w:szCs w:val="23"/>
                <w:lang w:val="en-US" w:eastAsia="zh-CN"/>
              </w:rPr>
              <w:t>六</w:t>
            </w:r>
          </w:p>
        </w:tc>
      </w:tr>
      <w:tr w14:paraId="54B8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65" w:type="dxa"/>
            <w:vAlign w:val="center"/>
          </w:tcPr>
          <w:p w14:paraId="0F9DCB82">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7</w:t>
            </w:r>
          </w:p>
        </w:tc>
        <w:tc>
          <w:tcPr>
            <w:tcW w:w="2116" w:type="dxa"/>
            <w:vAlign w:val="center"/>
          </w:tcPr>
          <w:p w14:paraId="25343CAC">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其他要求</w:t>
            </w:r>
          </w:p>
        </w:tc>
        <w:tc>
          <w:tcPr>
            <w:tcW w:w="3126" w:type="dxa"/>
            <w:vAlign w:val="center"/>
          </w:tcPr>
          <w:p w14:paraId="6ED2C80A">
            <w:pPr>
              <w:spacing w:before="299" w:line="229" w:lineRule="auto"/>
              <w:jc w:val="both"/>
              <w:rPr>
                <w:rFonts w:ascii="宋体" w:hAnsi="宋体" w:eastAsia="宋体" w:cs="宋体"/>
                <w:spacing w:val="6"/>
                <w:sz w:val="23"/>
                <w:szCs w:val="23"/>
              </w:rPr>
            </w:pPr>
            <w:r>
              <w:rPr>
                <w:rFonts w:ascii="宋体" w:hAnsi="宋体" w:eastAsia="宋体" w:cs="宋体"/>
                <w:spacing w:val="6"/>
                <w:sz w:val="23"/>
                <w:szCs w:val="23"/>
              </w:rPr>
              <w:t>符合法律、行政法规规定的其他条件或征集文件列明的其他要求。</w:t>
            </w:r>
          </w:p>
        </w:tc>
        <w:tc>
          <w:tcPr>
            <w:tcW w:w="3646" w:type="dxa"/>
            <w:vAlign w:val="center"/>
          </w:tcPr>
          <w:p w14:paraId="6B00E74F">
            <w:pPr>
              <w:spacing w:before="299" w:line="229" w:lineRule="auto"/>
              <w:ind w:left="152"/>
              <w:jc w:val="both"/>
              <w:rPr>
                <w:rFonts w:ascii="宋体" w:hAnsi="宋体" w:eastAsia="宋体" w:cs="宋体"/>
                <w:spacing w:val="6"/>
                <w:sz w:val="23"/>
                <w:szCs w:val="23"/>
              </w:rPr>
            </w:pPr>
          </w:p>
        </w:tc>
      </w:tr>
    </w:tbl>
    <w:p w14:paraId="214C4D74">
      <w:pPr>
        <w:spacing w:before="116" w:line="331" w:lineRule="auto"/>
        <w:ind w:left="123" w:right="100" w:firstLine="435"/>
        <w:rPr>
          <w:rFonts w:ascii="宋体" w:hAnsi="宋体" w:eastAsia="宋体" w:cs="宋体"/>
          <w:spacing w:val="6"/>
          <w:sz w:val="23"/>
          <w:szCs w:val="23"/>
        </w:rPr>
      </w:pPr>
      <w:r>
        <w:rPr>
          <w:rFonts w:ascii="宋体" w:hAnsi="宋体" w:eastAsia="宋体" w:cs="宋体"/>
          <w:spacing w:val="6"/>
          <w:sz w:val="23"/>
          <w:szCs w:val="23"/>
        </w:rPr>
        <w:t>符合性审查指标通过标准：供应商必须通过符合性审查表中的全部评审指标。</w:t>
      </w:r>
    </w:p>
    <w:p w14:paraId="08A67B6C">
      <w:pPr>
        <w:pStyle w:val="2"/>
        <w:numPr>
          <w:ilvl w:val="1"/>
          <w:numId w:val="0"/>
        </w:numPr>
      </w:pPr>
    </w:p>
    <w:tbl>
      <w:tblPr>
        <w:tblStyle w:val="24"/>
        <w:tblW w:w="9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1"/>
        <w:gridCol w:w="1081"/>
        <w:gridCol w:w="1080"/>
        <w:gridCol w:w="6319"/>
      </w:tblGrid>
      <w:tr w14:paraId="1174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E597E6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评分项目</w:t>
            </w:r>
          </w:p>
        </w:tc>
        <w:tc>
          <w:tcPr>
            <w:tcW w:w="1081" w:type="dxa"/>
            <w:tcBorders>
              <w:top w:val="single" w:color="000000" w:sz="8" w:space="0"/>
              <w:left w:val="single" w:color="auto" w:sz="4" w:space="0"/>
              <w:bottom w:val="single" w:color="000000" w:sz="8" w:space="0"/>
              <w:right w:val="single" w:color="000000" w:sz="8" w:space="0"/>
            </w:tcBorders>
            <w:shd w:val="clear" w:color="auto" w:fill="auto"/>
            <w:vAlign w:val="center"/>
          </w:tcPr>
          <w:p w14:paraId="38AA54BA">
            <w:pPr>
              <w:keepNext w:val="0"/>
              <w:keepLines w:val="0"/>
              <w:widowControl/>
              <w:suppressLineNumbers w:val="0"/>
              <w:jc w:val="center"/>
              <w:textAlignment w:val="center"/>
              <w:rPr>
                <w:rFonts w:hint="eastAsia" w:ascii="楷体" w:hAnsi="楷体" w:eastAsia="楷体" w:cs="楷体"/>
                <w:i w:val="0"/>
                <w:iCs w:val="0"/>
                <w:snapToGrid w:val="0"/>
                <w:color w:val="000000"/>
                <w:sz w:val="21"/>
                <w:szCs w:val="21"/>
                <w:u w:val="none"/>
                <w:lang w:val="en-US" w:eastAsia="zh-CN" w:bidi="ar-SA"/>
              </w:rPr>
            </w:pPr>
            <w:r>
              <w:rPr>
                <w:rFonts w:hint="eastAsia" w:ascii="楷体" w:hAnsi="楷体" w:eastAsia="楷体" w:cs="楷体"/>
                <w:i w:val="0"/>
                <w:iCs w:val="0"/>
                <w:snapToGrid w:val="0"/>
                <w:color w:val="000000"/>
                <w:kern w:val="0"/>
                <w:sz w:val="21"/>
                <w:szCs w:val="21"/>
                <w:u w:val="none"/>
                <w:lang w:val="en-US" w:eastAsia="zh-CN" w:bidi="ar"/>
              </w:rPr>
              <w:t>评分因素</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09C3EDEB">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分值</w:t>
            </w:r>
          </w:p>
        </w:tc>
        <w:tc>
          <w:tcPr>
            <w:tcW w:w="6319" w:type="dxa"/>
            <w:tcBorders>
              <w:top w:val="single" w:color="000000" w:sz="8" w:space="0"/>
              <w:left w:val="nil"/>
              <w:bottom w:val="single" w:color="000000" w:sz="8" w:space="0"/>
              <w:right w:val="single" w:color="000000" w:sz="8" w:space="0"/>
            </w:tcBorders>
            <w:shd w:val="clear" w:color="auto" w:fill="auto"/>
            <w:vAlign w:val="center"/>
          </w:tcPr>
          <w:p w14:paraId="16471567">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内</w:t>
            </w:r>
            <w:r>
              <w:rPr>
                <w:rFonts w:ascii="Arial" w:hAnsi="Arial" w:eastAsia="楷体" w:cs="Arial"/>
                <w:i w:val="0"/>
                <w:iCs w:val="0"/>
                <w:snapToGrid w:val="0"/>
                <w:color w:val="000000"/>
                <w:kern w:val="0"/>
                <w:sz w:val="21"/>
                <w:szCs w:val="21"/>
                <w:u w:val="none"/>
                <w:lang w:val="en-US" w:eastAsia="zh-CN" w:bidi="ar"/>
              </w:rPr>
              <w:t xml:space="preserve">      </w:t>
            </w:r>
            <w:r>
              <w:rPr>
                <w:rFonts w:hint="eastAsia" w:ascii="楷体" w:hAnsi="楷体" w:eastAsia="楷体" w:cs="楷体"/>
                <w:i w:val="0"/>
                <w:iCs w:val="0"/>
                <w:snapToGrid w:val="0"/>
                <w:color w:val="000000"/>
                <w:kern w:val="0"/>
                <w:sz w:val="21"/>
                <w:szCs w:val="21"/>
                <w:u w:val="none"/>
                <w:lang w:val="en-US" w:eastAsia="zh-CN" w:bidi="ar"/>
              </w:rPr>
              <w:t>容</w:t>
            </w:r>
          </w:p>
        </w:tc>
      </w:tr>
      <w:tr w14:paraId="62237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1"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14:paraId="5C5F569E">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snapToGrid w:val="0"/>
                <w:color w:val="000000"/>
                <w:kern w:val="0"/>
                <w:sz w:val="21"/>
                <w:szCs w:val="21"/>
                <w:u w:val="none"/>
                <w:lang w:val="en-US" w:eastAsia="zh-CN" w:bidi="ar"/>
              </w:rPr>
              <w:t>商务部分（40分）</w:t>
            </w:r>
          </w:p>
        </w:tc>
        <w:tc>
          <w:tcPr>
            <w:tcW w:w="1081" w:type="dxa"/>
            <w:tcBorders>
              <w:top w:val="nil"/>
              <w:left w:val="nil"/>
              <w:bottom w:val="single" w:color="000000" w:sz="8" w:space="0"/>
              <w:right w:val="single" w:color="000000" w:sz="8" w:space="0"/>
            </w:tcBorders>
            <w:shd w:val="clear" w:color="auto" w:fill="auto"/>
            <w:vAlign w:val="center"/>
          </w:tcPr>
          <w:p w14:paraId="54D9FD16">
            <w:pPr>
              <w:keepNext w:val="0"/>
              <w:keepLines w:val="0"/>
              <w:widowControl/>
              <w:suppressLineNumbers w:val="0"/>
              <w:jc w:val="center"/>
              <w:textAlignment w:val="center"/>
              <w:rPr>
                <w:rFonts w:hint="eastAsia" w:ascii="楷体" w:hAnsi="楷体" w:eastAsia="楷体" w:cs="楷体"/>
                <w:i w:val="0"/>
                <w:iCs w:val="0"/>
                <w:snapToGrid w:val="0"/>
                <w:color w:val="000000"/>
                <w:sz w:val="21"/>
                <w:szCs w:val="21"/>
                <w:u w:val="none"/>
                <w:lang w:val="en-US" w:eastAsia="zh-CN" w:bidi="ar-SA"/>
              </w:rPr>
            </w:pPr>
            <w:r>
              <w:rPr>
                <w:rFonts w:hint="eastAsia" w:ascii="楷体" w:hAnsi="楷体" w:eastAsia="楷体" w:cs="楷体"/>
                <w:i w:val="0"/>
                <w:iCs w:val="0"/>
                <w:snapToGrid w:val="0"/>
                <w:color w:val="000000"/>
                <w:kern w:val="0"/>
                <w:sz w:val="21"/>
                <w:szCs w:val="21"/>
                <w:u w:val="none"/>
                <w:lang w:val="en-US" w:eastAsia="zh-CN" w:bidi="ar"/>
              </w:rPr>
              <w:t>供应商类似业绩</w:t>
            </w:r>
          </w:p>
        </w:tc>
        <w:tc>
          <w:tcPr>
            <w:tcW w:w="1080" w:type="dxa"/>
            <w:tcBorders>
              <w:top w:val="nil"/>
              <w:left w:val="nil"/>
              <w:bottom w:val="single" w:color="000000" w:sz="8" w:space="0"/>
              <w:right w:val="single" w:color="000000" w:sz="8" w:space="0"/>
            </w:tcBorders>
            <w:shd w:val="clear" w:color="auto" w:fill="auto"/>
            <w:vAlign w:val="center"/>
          </w:tcPr>
          <w:p w14:paraId="2347A8A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12</w:t>
            </w:r>
            <w:r>
              <w:rPr>
                <w:rFonts w:hint="eastAsia" w:ascii="楷体" w:hAnsi="楷体" w:eastAsia="楷体" w:cs="楷体"/>
                <w:i w:val="0"/>
                <w:iCs w:val="0"/>
                <w:snapToGrid w:val="0"/>
                <w:color w:val="000000"/>
                <w:kern w:val="0"/>
                <w:sz w:val="21"/>
                <w:szCs w:val="21"/>
                <w:u w:val="none"/>
                <w:lang w:val="en-US" w:eastAsia="zh-CN" w:bidi="ar"/>
              </w:rPr>
              <w:t>分</w:t>
            </w:r>
          </w:p>
        </w:tc>
        <w:tc>
          <w:tcPr>
            <w:tcW w:w="6319" w:type="dxa"/>
            <w:tcBorders>
              <w:top w:val="single" w:color="000000" w:sz="8" w:space="0"/>
              <w:left w:val="nil"/>
              <w:bottom w:val="single" w:color="auto" w:sz="4" w:space="0"/>
              <w:right w:val="single" w:color="000000" w:sz="8" w:space="0"/>
            </w:tcBorders>
            <w:shd w:val="clear" w:color="auto" w:fill="auto"/>
            <w:vAlign w:val="center"/>
          </w:tcPr>
          <w:p w14:paraId="320774DD">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供应商提供</w:t>
            </w:r>
            <w:r>
              <w:rPr>
                <w:rFonts w:ascii="Arial" w:hAnsi="Arial" w:eastAsia="楷体" w:cs="Arial"/>
                <w:i w:val="0"/>
                <w:iCs w:val="0"/>
                <w:snapToGrid w:val="0"/>
                <w:color w:val="000000"/>
                <w:kern w:val="0"/>
                <w:sz w:val="21"/>
                <w:szCs w:val="21"/>
                <w:highlight w:val="none"/>
                <w:u w:val="none"/>
                <w:lang w:val="en-US" w:eastAsia="zh-CN" w:bidi="ar"/>
              </w:rPr>
              <w:t>202</w:t>
            </w:r>
            <w:r>
              <w:rPr>
                <w:rFonts w:hint="eastAsia" w:eastAsia="楷体" w:cs="Arial"/>
                <w:i w:val="0"/>
                <w:iCs w:val="0"/>
                <w:snapToGrid w:val="0"/>
                <w:color w:val="000000"/>
                <w:kern w:val="0"/>
                <w:sz w:val="21"/>
                <w:szCs w:val="21"/>
                <w:highlight w:val="none"/>
                <w:u w:val="none"/>
                <w:lang w:val="en-US" w:eastAsia="zh-CN" w:bidi="ar"/>
              </w:rPr>
              <w:t>3</w:t>
            </w:r>
            <w:r>
              <w:rPr>
                <w:rFonts w:hint="eastAsia" w:ascii="楷体" w:hAnsi="楷体" w:eastAsia="楷体" w:cs="楷体"/>
                <w:i w:val="0"/>
                <w:iCs w:val="0"/>
                <w:snapToGrid w:val="0"/>
                <w:color w:val="000000"/>
                <w:kern w:val="0"/>
                <w:sz w:val="21"/>
                <w:szCs w:val="21"/>
                <w:highlight w:val="none"/>
                <w:u w:val="none"/>
                <w:lang w:val="en-US" w:eastAsia="zh-CN" w:bidi="ar"/>
              </w:rPr>
              <w:t>年</w:t>
            </w:r>
            <w:r>
              <w:rPr>
                <w:rFonts w:ascii="Arial" w:hAnsi="Arial" w:eastAsia="楷体" w:cs="Arial"/>
                <w:i w:val="0"/>
                <w:iCs w:val="0"/>
                <w:snapToGrid w:val="0"/>
                <w:color w:val="000000"/>
                <w:kern w:val="0"/>
                <w:sz w:val="21"/>
                <w:szCs w:val="21"/>
                <w:highlight w:val="none"/>
                <w:u w:val="none"/>
                <w:lang w:val="en-US" w:eastAsia="zh-CN" w:bidi="ar"/>
              </w:rPr>
              <w:t>1</w:t>
            </w:r>
            <w:r>
              <w:rPr>
                <w:rFonts w:hint="eastAsia" w:ascii="楷体" w:hAnsi="楷体" w:eastAsia="楷体" w:cs="楷体"/>
                <w:i w:val="0"/>
                <w:iCs w:val="0"/>
                <w:snapToGrid w:val="0"/>
                <w:color w:val="000000"/>
                <w:kern w:val="0"/>
                <w:sz w:val="21"/>
                <w:szCs w:val="21"/>
                <w:highlight w:val="none"/>
                <w:u w:val="none"/>
                <w:lang w:val="en-US" w:eastAsia="zh-CN" w:bidi="ar"/>
              </w:rPr>
              <w:t>月</w:t>
            </w:r>
            <w:r>
              <w:rPr>
                <w:rFonts w:ascii="Arial" w:hAnsi="Arial" w:eastAsia="楷体" w:cs="Arial"/>
                <w:i w:val="0"/>
                <w:iCs w:val="0"/>
                <w:snapToGrid w:val="0"/>
                <w:color w:val="000000"/>
                <w:kern w:val="0"/>
                <w:sz w:val="21"/>
                <w:szCs w:val="21"/>
                <w:highlight w:val="none"/>
                <w:u w:val="none"/>
                <w:lang w:val="en-US" w:eastAsia="zh-CN" w:bidi="ar"/>
              </w:rPr>
              <w:t>1</w:t>
            </w:r>
            <w:r>
              <w:rPr>
                <w:rFonts w:hint="eastAsia" w:ascii="楷体" w:hAnsi="楷体" w:eastAsia="楷体" w:cs="楷体"/>
                <w:i w:val="0"/>
                <w:iCs w:val="0"/>
                <w:snapToGrid w:val="0"/>
                <w:color w:val="000000"/>
                <w:kern w:val="0"/>
                <w:sz w:val="21"/>
                <w:szCs w:val="21"/>
                <w:highlight w:val="none"/>
                <w:u w:val="none"/>
                <w:lang w:val="en-US" w:eastAsia="zh-CN" w:bidi="ar"/>
              </w:rPr>
              <w:t>日至今类似项目财务审核业绩，每项业绩得</w:t>
            </w:r>
            <w:r>
              <w:rPr>
                <w:rFonts w:hint="default" w:ascii="Times New Roman" w:hAnsi="Times New Roman" w:eastAsia="楷体" w:cs="Times New Roman"/>
                <w:i w:val="0"/>
                <w:iCs w:val="0"/>
                <w:snapToGrid w:val="0"/>
                <w:color w:val="000000"/>
                <w:kern w:val="0"/>
                <w:sz w:val="21"/>
                <w:szCs w:val="21"/>
                <w:highlight w:val="none"/>
                <w:u w:val="none"/>
                <w:lang w:val="en-US" w:eastAsia="zh-CN" w:bidi="ar"/>
              </w:rPr>
              <w:t>3</w:t>
            </w:r>
            <w:r>
              <w:rPr>
                <w:rFonts w:hint="eastAsia" w:ascii="楷体" w:hAnsi="楷体" w:eastAsia="楷体" w:cs="楷体"/>
                <w:i w:val="0"/>
                <w:iCs w:val="0"/>
                <w:snapToGrid w:val="0"/>
                <w:color w:val="000000"/>
                <w:kern w:val="0"/>
                <w:sz w:val="21"/>
                <w:szCs w:val="21"/>
                <w:highlight w:val="none"/>
                <w:u w:val="none"/>
                <w:lang w:val="en-US" w:eastAsia="zh-CN" w:bidi="ar"/>
              </w:rPr>
              <w:t>分，最多不超过</w:t>
            </w:r>
            <w:r>
              <w:rPr>
                <w:rFonts w:hint="default" w:ascii="Times New Roman" w:hAnsi="Times New Roman" w:eastAsia="楷体" w:cs="Times New Roman"/>
                <w:i w:val="0"/>
                <w:iCs w:val="0"/>
                <w:snapToGrid w:val="0"/>
                <w:color w:val="000000"/>
                <w:kern w:val="0"/>
                <w:sz w:val="21"/>
                <w:szCs w:val="21"/>
                <w:highlight w:val="none"/>
                <w:u w:val="none"/>
                <w:lang w:val="en-US" w:eastAsia="zh-CN" w:bidi="ar"/>
              </w:rPr>
              <w:t>12</w:t>
            </w:r>
            <w:r>
              <w:rPr>
                <w:rFonts w:hint="eastAsia" w:ascii="楷体" w:hAnsi="楷体" w:eastAsia="楷体" w:cs="楷体"/>
                <w:i w:val="0"/>
                <w:iCs w:val="0"/>
                <w:snapToGrid w:val="0"/>
                <w:color w:val="000000"/>
                <w:kern w:val="0"/>
                <w:sz w:val="21"/>
                <w:szCs w:val="21"/>
                <w:highlight w:val="none"/>
                <w:u w:val="none"/>
                <w:lang w:val="en-US" w:eastAsia="zh-CN" w:bidi="ar"/>
              </w:rPr>
              <w:t>分。</w:t>
            </w:r>
          </w:p>
          <w:p w14:paraId="16FC4D73">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注：项目业绩证明材料需提供中标通知或造价咨询合同、审计报告（签章页），原件备查（以审计报告出其时间为准）。</w:t>
            </w:r>
          </w:p>
        </w:tc>
      </w:tr>
      <w:tr w14:paraId="7704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03FAF5E3">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p>
        </w:tc>
        <w:tc>
          <w:tcPr>
            <w:tcW w:w="1081" w:type="dxa"/>
            <w:vMerge w:val="restart"/>
            <w:tcBorders>
              <w:top w:val="nil"/>
              <w:left w:val="nil"/>
              <w:bottom w:val="single" w:color="000000" w:sz="8" w:space="0"/>
              <w:right w:val="single" w:color="auto" w:sz="4" w:space="0"/>
            </w:tcBorders>
            <w:shd w:val="clear" w:color="auto" w:fill="auto"/>
            <w:vAlign w:val="center"/>
          </w:tcPr>
          <w:p w14:paraId="7DC37683">
            <w:pPr>
              <w:keepNext w:val="0"/>
              <w:keepLines w:val="0"/>
              <w:widowControl/>
              <w:suppressLineNumbers w:val="0"/>
              <w:jc w:val="center"/>
              <w:textAlignment w:val="center"/>
              <w:rPr>
                <w:rFonts w:hint="eastAsia" w:ascii="楷体" w:hAnsi="楷体" w:eastAsia="楷体" w:cs="楷体"/>
                <w:i w:val="0"/>
                <w:iCs w:val="0"/>
                <w:snapToGrid w:val="0"/>
                <w:color w:val="000000"/>
                <w:sz w:val="21"/>
                <w:szCs w:val="21"/>
                <w:u w:val="none"/>
                <w:lang w:val="en-US" w:eastAsia="zh-CN" w:bidi="ar-SA"/>
              </w:rPr>
            </w:pPr>
            <w:r>
              <w:rPr>
                <w:rFonts w:hint="eastAsia" w:ascii="楷体" w:hAnsi="楷体" w:eastAsia="楷体" w:cs="楷体"/>
                <w:i w:val="0"/>
                <w:iCs w:val="0"/>
                <w:snapToGrid w:val="0"/>
                <w:color w:val="000000"/>
                <w:kern w:val="0"/>
                <w:sz w:val="21"/>
                <w:szCs w:val="21"/>
                <w:u w:val="none"/>
                <w:lang w:val="en-US" w:eastAsia="zh-CN" w:bidi="ar"/>
              </w:rPr>
              <w:t>履约能力</w:t>
            </w:r>
          </w:p>
        </w:tc>
        <w:tc>
          <w:tcPr>
            <w:tcW w:w="1080" w:type="dxa"/>
            <w:tcBorders>
              <w:top w:val="nil"/>
              <w:left w:val="nil"/>
              <w:bottom w:val="single" w:color="000000" w:sz="8" w:space="0"/>
              <w:right w:val="single" w:color="auto" w:sz="4" w:space="0"/>
            </w:tcBorders>
            <w:shd w:val="clear" w:color="auto" w:fill="auto"/>
            <w:vAlign w:val="center"/>
          </w:tcPr>
          <w:p w14:paraId="3D23159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5</w:t>
            </w:r>
            <w:r>
              <w:rPr>
                <w:rFonts w:hint="eastAsia" w:ascii="楷体" w:hAnsi="楷体" w:eastAsia="楷体" w:cs="楷体"/>
                <w:i w:val="0"/>
                <w:iCs w:val="0"/>
                <w:snapToGrid w:val="0"/>
                <w:color w:val="000000"/>
                <w:kern w:val="0"/>
                <w:sz w:val="21"/>
                <w:szCs w:val="21"/>
                <w:u w:val="none"/>
                <w:lang w:val="en-US" w:eastAsia="zh-CN" w:bidi="ar"/>
              </w:rPr>
              <w:t>分</w:t>
            </w:r>
          </w:p>
        </w:tc>
        <w:tc>
          <w:tcPr>
            <w:tcW w:w="6319" w:type="dxa"/>
            <w:tcBorders>
              <w:top w:val="single" w:color="auto" w:sz="4" w:space="0"/>
              <w:left w:val="single" w:color="auto" w:sz="4" w:space="0"/>
              <w:bottom w:val="single" w:color="auto" w:sz="4" w:space="0"/>
              <w:right w:val="single" w:color="auto" w:sz="4" w:space="0"/>
            </w:tcBorders>
            <w:shd w:val="clear" w:color="auto" w:fill="auto"/>
            <w:vAlign w:val="center"/>
          </w:tcPr>
          <w:p w14:paraId="4961C721">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项目负责人同时具备注册会计师资格和工程类（或经济，会计，审计类）高级职称的得5分。</w:t>
            </w:r>
          </w:p>
          <w:p w14:paraId="513B2B3A">
            <w:pPr>
              <w:keepNext w:val="0"/>
              <w:keepLines w:val="0"/>
              <w:widowControl/>
              <w:suppressLineNumbers w:val="0"/>
              <w:jc w:val="left"/>
              <w:textAlignment w:val="center"/>
              <w:rPr>
                <w:rFonts w:hint="eastAsia" w:ascii="楷体" w:hAnsi="楷体" w:eastAsia="楷体" w:cs="楷体"/>
                <w:i w:val="0"/>
                <w:iCs w:val="0"/>
                <w:color w:val="000000"/>
                <w:sz w:val="21"/>
                <w:szCs w:val="21"/>
                <w:highlight w:val="none"/>
                <w:u w:val="none"/>
              </w:rPr>
            </w:pPr>
            <w:r>
              <w:rPr>
                <w:rFonts w:hint="eastAsia" w:ascii="楷体" w:hAnsi="楷体" w:eastAsia="楷体" w:cs="楷体"/>
                <w:i w:val="0"/>
                <w:iCs w:val="0"/>
                <w:snapToGrid w:val="0"/>
                <w:color w:val="000000"/>
                <w:kern w:val="0"/>
                <w:sz w:val="21"/>
                <w:szCs w:val="21"/>
                <w:highlight w:val="none"/>
                <w:u w:val="none"/>
                <w:lang w:val="en-US" w:eastAsia="zh-CN" w:bidi="ar"/>
              </w:rPr>
              <w:t>注：职称证书、注册证书、近</w:t>
            </w:r>
            <w:r>
              <w:rPr>
                <w:rFonts w:ascii="Arial" w:hAnsi="Arial" w:eastAsia="楷体" w:cs="Arial"/>
                <w:i w:val="0"/>
                <w:iCs w:val="0"/>
                <w:snapToGrid w:val="0"/>
                <w:color w:val="000000"/>
                <w:kern w:val="0"/>
                <w:sz w:val="21"/>
                <w:szCs w:val="21"/>
                <w:highlight w:val="none"/>
                <w:u w:val="none"/>
                <w:lang w:val="en-US" w:eastAsia="zh-CN" w:bidi="ar"/>
              </w:rPr>
              <w:t>3</w:t>
            </w:r>
            <w:r>
              <w:rPr>
                <w:rFonts w:hint="eastAsia" w:ascii="楷体" w:hAnsi="楷体" w:eastAsia="楷体" w:cs="楷体"/>
                <w:i w:val="0"/>
                <w:iCs w:val="0"/>
                <w:snapToGrid w:val="0"/>
                <w:color w:val="000000"/>
                <w:kern w:val="0"/>
                <w:sz w:val="21"/>
                <w:szCs w:val="21"/>
                <w:highlight w:val="none"/>
                <w:u w:val="none"/>
                <w:lang w:val="en-US" w:eastAsia="zh-CN" w:bidi="ar"/>
              </w:rPr>
              <w:t>个月缴纳社会养老保险基金证明文件</w:t>
            </w:r>
          </w:p>
        </w:tc>
      </w:tr>
      <w:tr w14:paraId="0411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631987F0">
            <w:pPr>
              <w:jc w:val="center"/>
              <w:rPr>
                <w:rFonts w:hint="eastAsia" w:ascii="楷体" w:hAnsi="楷体" w:eastAsia="楷体" w:cs="楷体"/>
                <w:i w:val="0"/>
                <w:iCs w:val="0"/>
                <w:color w:val="000000"/>
                <w:sz w:val="21"/>
                <w:szCs w:val="21"/>
                <w:u w:val="none"/>
              </w:rPr>
            </w:pPr>
          </w:p>
        </w:tc>
        <w:tc>
          <w:tcPr>
            <w:tcW w:w="1081" w:type="dxa"/>
            <w:vMerge w:val="continue"/>
            <w:tcBorders>
              <w:top w:val="nil"/>
              <w:left w:val="nil"/>
              <w:bottom w:val="single" w:color="000000" w:sz="8" w:space="0"/>
              <w:right w:val="single" w:color="000000" w:sz="8" w:space="0"/>
            </w:tcBorders>
            <w:shd w:val="clear" w:color="auto" w:fill="auto"/>
            <w:vAlign w:val="center"/>
          </w:tcPr>
          <w:p w14:paraId="36BBA16D">
            <w:pPr>
              <w:jc w:val="center"/>
              <w:rPr>
                <w:rFonts w:hint="eastAsia" w:ascii="楷体" w:hAnsi="楷体" w:eastAsia="楷体" w:cs="楷体"/>
                <w:i w:val="0"/>
                <w:iCs w:val="0"/>
                <w:snapToGrid w:val="0"/>
                <w:color w:val="000000"/>
                <w:sz w:val="21"/>
                <w:szCs w:val="21"/>
                <w:u w:val="none"/>
                <w:lang w:val="en-US" w:eastAsia="zh-CN" w:bidi="ar-SA"/>
              </w:rPr>
            </w:pPr>
          </w:p>
        </w:tc>
        <w:tc>
          <w:tcPr>
            <w:tcW w:w="1080" w:type="dxa"/>
            <w:tcBorders>
              <w:top w:val="nil"/>
              <w:left w:val="nil"/>
              <w:bottom w:val="single" w:color="000000" w:sz="8" w:space="0"/>
              <w:right w:val="single" w:color="000000" w:sz="8" w:space="0"/>
            </w:tcBorders>
            <w:shd w:val="clear" w:color="auto" w:fill="auto"/>
            <w:vAlign w:val="center"/>
          </w:tcPr>
          <w:p w14:paraId="5C31403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12</w:t>
            </w:r>
            <w:r>
              <w:rPr>
                <w:rFonts w:hint="eastAsia" w:ascii="楷体" w:hAnsi="楷体" w:eastAsia="楷体" w:cs="楷体"/>
                <w:i w:val="0"/>
                <w:iCs w:val="0"/>
                <w:snapToGrid w:val="0"/>
                <w:color w:val="000000"/>
                <w:kern w:val="0"/>
                <w:sz w:val="21"/>
                <w:szCs w:val="21"/>
                <w:u w:val="none"/>
                <w:lang w:val="en-US" w:eastAsia="zh-CN" w:bidi="ar"/>
              </w:rPr>
              <w:t>分</w:t>
            </w:r>
          </w:p>
        </w:tc>
        <w:tc>
          <w:tcPr>
            <w:tcW w:w="6319" w:type="dxa"/>
            <w:tcBorders>
              <w:top w:val="single" w:color="auto" w:sz="4" w:space="0"/>
              <w:left w:val="nil"/>
              <w:bottom w:val="single" w:color="auto" w:sz="4" w:space="0"/>
              <w:right w:val="single" w:color="000000" w:sz="8" w:space="0"/>
            </w:tcBorders>
            <w:shd w:val="clear" w:color="auto" w:fill="auto"/>
            <w:vAlign w:val="center"/>
          </w:tcPr>
          <w:p w14:paraId="128E3E98">
            <w:pPr>
              <w:keepNext w:val="0"/>
              <w:keepLines w:val="0"/>
              <w:widowControl/>
              <w:suppressLineNumbers w:val="0"/>
              <w:jc w:val="left"/>
              <w:textAlignment w:val="center"/>
              <w:rPr>
                <w:rFonts w:hint="eastAsia" w:ascii="楷体" w:hAnsi="楷体" w:eastAsia="楷体" w:cs="楷体"/>
                <w:i w:val="0"/>
                <w:iCs w:val="0"/>
                <w:snapToGrid w:val="0"/>
                <w:color w:val="000000" w:themeColor="text1"/>
                <w:kern w:val="0"/>
                <w:sz w:val="21"/>
                <w:szCs w:val="21"/>
                <w:u w:val="none"/>
                <w:lang w:val="en-US" w:eastAsia="zh-CN" w:bidi="ar"/>
                <w14:textFill>
                  <w14:solidFill>
                    <w14:schemeClr w14:val="tx1"/>
                  </w14:solidFill>
                </w14:textFill>
              </w:rPr>
            </w:pPr>
            <w:r>
              <w:rPr>
                <w:rFonts w:hint="eastAsia" w:ascii="楷体" w:hAnsi="楷体" w:eastAsia="楷体" w:cs="楷体"/>
                <w:i w:val="0"/>
                <w:iCs w:val="0"/>
                <w:snapToGrid w:val="0"/>
                <w:color w:val="000000"/>
                <w:kern w:val="0"/>
                <w:sz w:val="21"/>
                <w:szCs w:val="21"/>
                <w:u w:val="none"/>
                <w:lang w:val="en-US" w:eastAsia="zh-CN" w:bidi="ar"/>
              </w:rPr>
              <w:t>除项目负责人以外，项目组成人员中具有会计、审计、经济类职称资格的，初级每人得</w:t>
            </w:r>
            <w:r>
              <w:rPr>
                <w:rFonts w:hint="default" w:ascii="Times New Roman" w:hAnsi="Times New Roman" w:eastAsia="楷体" w:cs="Times New Roman"/>
                <w:i w:val="0"/>
                <w:iCs w:val="0"/>
                <w:snapToGrid w:val="0"/>
                <w:color w:val="000000"/>
                <w:kern w:val="0"/>
                <w:sz w:val="21"/>
                <w:szCs w:val="21"/>
                <w:u w:val="none"/>
                <w:lang w:val="en-US" w:eastAsia="zh-CN" w:bidi="ar"/>
              </w:rPr>
              <w:t>1</w:t>
            </w:r>
            <w:r>
              <w:rPr>
                <w:rFonts w:hint="eastAsia" w:ascii="楷体" w:hAnsi="楷体" w:eastAsia="楷体" w:cs="楷体"/>
                <w:i w:val="0"/>
                <w:iCs w:val="0"/>
                <w:snapToGrid w:val="0"/>
                <w:color w:val="000000"/>
                <w:kern w:val="0"/>
                <w:sz w:val="21"/>
                <w:szCs w:val="21"/>
                <w:u w:val="none"/>
                <w:lang w:val="en-US" w:eastAsia="zh-CN" w:bidi="ar"/>
              </w:rPr>
              <w:t>分，中级每人得</w:t>
            </w:r>
            <w:r>
              <w:rPr>
                <w:rFonts w:hint="default" w:ascii="Times New Roman" w:hAnsi="Times New Roman" w:eastAsia="楷体" w:cs="Times New Roman"/>
                <w:i w:val="0"/>
                <w:iCs w:val="0"/>
                <w:snapToGrid w:val="0"/>
                <w:color w:val="000000"/>
                <w:kern w:val="0"/>
                <w:sz w:val="21"/>
                <w:szCs w:val="21"/>
                <w:u w:val="none"/>
                <w:lang w:val="en-US" w:eastAsia="zh-CN" w:bidi="ar"/>
              </w:rPr>
              <w:t>3</w:t>
            </w:r>
            <w:r>
              <w:rPr>
                <w:rFonts w:hint="eastAsia" w:ascii="楷体" w:hAnsi="楷体" w:eastAsia="楷体" w:cs="楷体"/>
                <w:i w:val="0"/>
                <w:iCs w:val="0"/>
                <w:snapToGrid w:val="0"/>
                <w:color w:val="000000"/>
                <w:kern w:val="0"/>
                <w:sz w:val="21"/>
                <w:szCs w:val="21"/>
                <w:u w:val="none"/>
                <w:lang w:val="en-US" w:eastAsia="zh-CN" w:bidi="ar"/>
              </w:rPr>
              <w:t>分，高级每人得</w:t>
            </w:r>
            <w:r>
              <w:rPr>
                <w:rFonts w:hint="default" w:ascii="Times New Roman" w:hAnsi="Times New Roman" w:eastAsia="楷体" w:cs="Times New Roman"/>
                <w:i w:val="0"/>
                <w:iCs w:val="0"/>
                <w:snapToGrid w:val="0"/>
                <w:color w:val="000000"/>
                <w:kern w:val="0"/>
                <w:sz w:val="21"/>
                <w:szCs w:val="21"/>
                <w:u w:val="none"/>
                <w:lang w:val="en-US" w:eastAsia="zh-CN" w:bidi="ar"/>
              </w:rPr>
              <w:t>5</w:t>
            </w:r>
            <w:r>
              <w:rPr>
                <w:rFonts w:hint="eastAsia" w:ascii="楷体" w:hAnsi="楷体" w:eastAsia="楷体" w:cs="楷体"/>
                <w:i w:val="0"/>
                <w:iCs w:val="0"/>
                <w:snapToGrid w:val="0"/>
                <w:color w:val="000000"/>
                <w:kern w:val="0"/>
                <w:sz w:val="21"/>
                <w:szCs w:val="21"/>
                <w:u w:val="none"/>
                <w:lang w:val="en-US" w:eastAsia="zh-CN" w:bidi="ar"/>
              </w:rPr>
              <w:t>分，</w:t>
            </w:r>
            <w:r>
              <w:rPr>
                <w:rFonts w:hint="eastAsia" w:ascii="楷体" w:hAnsi="楷体" w:eastAsia="楷体" w:cs="楷体"/>
                <w:i w:val="0"/>
                <w:iCs w:val="0"/>
                <w:snapToGrid w:val="0"/>
                <w:color w:val="000000" w:themeColor="text1"/>
                <w:kern w:val="0"/>
                <w:sz w:val="21"/>
                <w:szCs w:val="21"/>
                <w:u w:val="none"/>
                <w:lang w:val="en-US" w:eastAsia="zh-CN" w:bidi="ar"/>
                <w14:textFill>
                  <w14:solidFill>
                    <w14:schemeClr w14:val="tx1"/>
                  </w14:solidFill>
                </w14:textFill>
              </w:rPr>
              <w:t>最高不超过</w:t>
            </w:r>
            <w:r>
              <w:rPr>
                <w:rFonts w:hint="default" w:ascii="Times New Roman" w:hAnsi="Times New Roman" w:eastAsia="楷体" w:cs="Times New Roman"/>
                <w:i w:val="0"/>
                <w:iCs w:val="0"/>
                <w:snapToGrid w:val="0"/>
                <w:color w:val="000000" w:themeColor="text1"/>
                <w:kern w:val="0"/>
                <w:sz w:val="21"/>
                <w:szCs w:val="21"/>
                <w:u w:val="none"/>
                <w:lang w:val="en-US" w:eastAsia="zh-CN" w:bidi="ar"/>
                <w14:textFill>
                  <w14:solidFill>
                    <w14:schemeClr w14:val="tx1"/>
                  </w14:solidFill>
                </w14:textFill>
              </w:rPr>
              <w:t>12</w:t>
            </w:r>
            <w:r>
              <w:rPr>
                <w:rFonts w:hint="eastAsia" w:ascii="楷体" w:hAnsi="楷体" w:eastAsia="楷体" w:cs="楷体"/>
                <w:i w:val="0"/>
                <w:iCs w:val="0"/>
                <w:snapToGrid w:val="0"/>
                <w:color w:val="000000" w:themeColor="text1"/>
                <w:kern w:val="0"/>
                <w:sz w:val="21"/>
                <w:szCs w:val="21"/>
                <w:u w:val="none"/>
                <w:lang w:val="en-US" w:eastAsia="zh-CN" w:bidi="ar"/>
                <w14:textFill>
                  <w14:solidFill>
                    <w14:schemeClr w14:val="tx1"/>
                  </w14:solidFill>
                </w14:textFill>
              </w:rPr>
              <w:t>分。</w:t>
            </w:r>
          </w:p>
          <w:p w14:paraId="658D9328">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注：职称证书、注册证书、近三个月缴纳社会养老保险证明等复印件</w:t>
            </w:r>
          </w:p>
        </w:tc>
      </w:tr>
      <w:tr w14:paraId="6AD3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7C7D90B6">
            <w:pPr>
              <w:jc w:val="center"/>
              <w:rPr>
                <w:rFonts w:hint="eastAsia" w:ascii="楷体" w:hAnsi="楷体" w:eastAsia="楷体" w:cs="楷体"/>
                <w:i w:val="0"/>
                <w:iCs w:val="0"/>
                <w:color w:val="000000"/>
                <w:sz w:val="21"/>
                <w:szCs w:val="21"/>
                <w:u w:val="none"/>
              </w:rPr>
            </w:pPr>
          </w:p>
        </w:tc>
        <w:tc>
          <w:tcPr>
            <w:tcW w:w="1081" w:type="dxa"/>
            <w:vMerge w:val="continue"/>
            <w:tcBorders>
              <w:top w:val="nil"/>
              <w:left w:val="nil"/>
              <w:bottom w:val="single" w:color="000000" w:sz="8" w:space="0"/>
              <w:right w:val="single" w:color="auto" w:sz="4" w:space="0"/>
            </w:tcBorders>
            <w:shd w:val="clear" w:color="auto" w:fill="auto"/>
            <w:vAlign w:val="center"/>
          </w:tcPr>
          <w:p w14:paraId="401E3CBF">
            <w:pPr>
              <w:jc w:val="center"/>
              <w:rPr>
                <w:rFonts w:hint="eastAsia" w:ascii="楷体" w:hAnsi="楷体" w:eastAsia="楷体" w:cs="楷体"/>
                <w:i w:val="0"/>
                <w:iCs w:val="0"/>
                <w:snapToGrid w:val="0"/>
                <w:color w:val="000000"/>
                <w:sz w:val="21"/>
                <w:szCs w:val="21"/>
                <w:u w:val="none"/>
                <w:lang w:val="en-US" w:eastAsia="zh-CN" w:bidi="ar-SA"/>
              </w:rPr>
            </w:pPr>
          </w:p>
        </w:tc>
        <w:tc>
          <w:tcPr>
            <w:tcW w:w="1080" w:type="dxa"/>
            <w:tcBorders>
              <w:top w:val="nil"/>
              <w:left w:val="nil"/>
              <w:bottom w:val="single" w:color="000000" w:sz="8" w:space="0"/>
              <w:right w:val="single" w:color="auto" w:sz="4" w:space="0"/>
            </w:tcBorders>
            <w:shd w:val="clear" w:color="auto" w:fill="auto"/>
            <w:vAlign w:val="center"/>
          </w:tcPr>
          <w:p w14:paraId="35C0E2B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snapToGrid w:val="0"/>
                <w:color w:val="000000"/>
                <w:kern w:val="0"/>
                <w:sz w:val="21"/>
                <w:szCs w:val="21"/>
                <w:u w:val="none"/>
                <w:lang w:val="en-US" w:eastAsia="zh-CN" w:bidi="ar"/>
              </w:rPr>
              <w:t>3</w:t>
            </w:r>
            <w:r>
              <w:rPr>
                <w:rFonts w:hint="eastAsia" w:ascii="楷体" w:hAnsi="楷体" w:eastAsia="楷体" w:cs="楷体"/>
                <w:i w:val="0"/>
                <w:iCs w:val="0"/>
                <w:snapToGrid w:val="0"/>
                <w:color w:val="000000"/>
                <w:kern w:val="0"/>
                <w:sz w:val="21"/>
                <w:szCs w:val="21"/>
                <w:u w:val="none"/>
                <w:lang w:val="en-US" w:eastAsia="zh-CN" w:bidi="ar"/>
              </w:rPr>
              <w:t>分</w:t>
            </w:r>
          </w:p>
        </w:tc>
        <w:tc>
          <w:tcPr>
            <w:tcW w:w="6319" w:type="dxa"/>
            <w:tcBorders>
              <w:top w:val="single" w:color="auto" w:sz="4" w:space="0"/>
              <w:left w:val="single" w:color="auto" w:sz="4" w:space="0"/>
              <w:bottom w:val="single" w:color="auto" w:sz="4" w:space="0"/>
              <w:right w:val="single" w:color="auto" w:sz="4" w:space="0"/>
            </w:tcBorders>
            <w:shd w:val="clear" w:color="auto" w:fill="auto"/>
            <w:vAlign w:val="center"/>
          </w:tcPr>
          <w:p w14:paraId="10FA80EF">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highlight w:val="none"/>
                <w:u w:val="none"/>
                <w:lang w:val="en-US" w:eastAsia="zh-CN" w:bidi="ar"/>
              </w:rPr>
            </w:pPr>
            <w:r>
              <w:rPr>
                <w:rFonts w:hint="eastAsia" w:ascii="楷体" w:hAnsi="楷体" w:eastAsia="楷体" w:cs="楷体"/>
                <w:i w:val="0"/>
                <w:iCs w:val="0"/>
                <w:snapToGrid w:val="0"/>
                <w:color w:val="000000"/>
                <w:kern w:val="0"/>
                <w:sz w:val="21"/>
                <w:szCs w:val="21"/>
                <w:highlight w:val="none"/>
                <w:u w:val="none"/>
                <w:lang w:val="en-US" w:eastAsia="zh-CN" w:bidi="ar"/>
              </w:rPr>
              <w:t>提供项目负责人</w:t>
            </w:r>
            <w:r>
              <w:rPr>
                <w:rFonts w:hint="default" w:ascii="Times New Roman" w:hAnsi="Times New Roman" w:eastAsia="楷体" w:cs="Times New Roman"/>
                <w:i w:val="0"/>
                <w:iCs w:val="0"/>
                <w:snapToGrid w:val="0"/>
                <w:color w:val="000000"/>
                <w:kern w:val="0"/>
                <w:sz w:val="21"/>
                <w:szCs w:val="21"/>
                <w:highlight w:val="none"/>
                <w:u w:val="none"/>
                <w:lang w:val="en-US" w:eastAsia="zh-CN" w:bidi="ar"/>
              </w:rPr>
              <w:t>202</w:t>
            </w:r>
            <w:r>
              <w:rPr>
                <w:rFonts w:hint="eastAsia" w:ascii="Times New Roman" w:hAnsi="Times New Roman" w:eastAsia="楷体" w:cs="Times New Roman"/>
                <w:i w:val="0"/>
                <w:iCs w:val="0"/>
                <w:snapToGrid w:val="0"/>
                <w:color w:val="000000"/>
                <w:kern w:val="0"/>
                <w:sz w:val="21"/>
                <w:szCs w:val="21"/>
                <w:highlight w:val="none"/>
                <w:u w:val="none"/>
                <w:lang w:val="en-US" w:eastAsia="zh-CN" w:bidi="ar"/>
              </w:rPr>
              <w:t>3</w:t>
            </w:r>
            <w:r>
              <w:rPr>
                <w:rFonts w:hint="eastAsia" w:ascii="楷体" w:hAnsi="楷体" w:eastAsia="楷体" w:cs="楷体"/>
                <w:i w:val="0"/>
                <w:iCs w:val="0"/>
                <w:snapToGrid w:val="0"/>
                <w:color w:val="000000"/>
                <w:kern w:val="0"/>
                <w:sz w:val="21"/>
                <w:szCs w:val="21"/>
                <w:highlight w:val="none"/>
                <w:u w:val="none"/>
                <w:lang w:val="en-US" w:eastAsia="zh-CN" w:bidi="ar"/>
              </w:rPr>
              <w:t>、</w:t>
            </w:r>
            <w:r>
              <w:rPr>
                <w:rFonts w:hint="default" w:ascii="Times New Roman" w:hAnsi="Times New Roman" w:eastAsia="楷体" w:cs="Times New Roman"/>
                <w:i w:val="0"/>
                <w:iCs w:val="0"/>
                <w:snapToGrid w:val="0"/>
                <w:color w:val="000000"/>
                <w:kern w:val="0"/>
                <w:sz w:val="21"/>
                <w:szCs w:val="21"/>
                <w:highlight w:val="none"/>
                <w:u w:val="none"/>
                <w:lang w:val="en-US" w:eastAsia="zh-CN" w:bidi="ar"/>
              </w:rPr>
              <w:t>202</w:t>
            </w:r>
            <w:r>
              <w:rPr>
                <w:rFonts w:hint="eastAsia" w:ascii="Times New Roman" w:hAnsi="Times New Roman" w:eastAsia="楷体" w:cs="Times New Roman"/>
                <w:i w:val="0"/>
                <w:iCs w:val="0"/>
                <w:snapToGrid w:val="0"/>
                <w:color w:val="000000"/>
                <w:kern w:val="0"/>
                <w:sz w:val="21"/>
                <w:szCs w:val="21"/>
                <w:highlight w:val="none"/>
                <w:u w:val="none"/>
                <w:lang w:val="en-US" w:eastAsia="zh-CN" w:bidi="ar"/>
              </w:rPr>
              <w:t>4</w:t>
            </w:r>
            <w:r>
              <w:rPr>
                <w:rFonts w:hint="eastAsia" w:ascii="楷体" w:hAnsi="楷体" w:eastAsia="楷体" w:cs="楷体"/>
                <w:i w:val="0"/>
                <w:iCs w:val="0"/>
                <w:snapToGrid w:val="0"/>
                <w:color w:val="000000"/>
                <w:kern w:val="0"/>
                <w:sz w:val="21"/>
                <w:szCs w:val="21"/>
                <w:highlight w:val="none"/>
                <w:u w:val="none"/>
                <w:lang w:val="en-US" w:eastAsia="zh-CN" w:bidi="ar"/>
              </w:rPr>
              <w:t>年完成的竣工财务决算类似业绩，每项业绩得1分，最多不超过3分。</w:t>
            </w:r>
          </w:p>
          <w:p w14:paraId="45C1DC35">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注：项目业绩需提供中标通知或委托协议（合同）或审计报告等证明材料（以审计报告出其时间为准），且能体现该项目的项目负责人为本项目负责人。</w:t>
            </w:r>
          </w:p>
        </w:tc>
      </w:tr>
      <w:tr w14:paraId="59DA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1"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5E2DA7F0">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p>
        </w:tc>
        <w:tc>
          <w:tcPr>
            <w:tcW w:w="1081" w:type="dxa"/>
            <w:tcBorders>
              <w:top w:val="single" w:color="000000" w:sz="8" w:space="0"/>
              <w:left w:val="single" w:color="000000" w:sz="8" w:space="0"/>
              <w:bottom w:val="single" w:color="000000" w:sz="8" w:space="0"/>
              <w:right w:val="single" w:color="auto" w:sz="4" w:space="0"/>
            </w:tcBorders>
            <w:shd w:val="clear" w:color="auto" w:fill="auto"/>
            <w:vAlign w:val="center"/>
          </w:tcPr>
          <w:p w14:paraId="50ED0974">
            <w:pPr>
              <w:keepNext w:val="0"/>
              <w:keepLines w:val="0"/>
              <w:widowControl/>
              <w:suppressLineNumbers w:val="0"/>
              <w:jc w:val="center"/>
              <w:textAlignment w:val="center"/>
              <w:rPr>
                <w:rFonts w:hint="eastAsia" w:ascii="楷体" w:hAnsi="楷体" w:eastAsia="楷体" w:cs="楷体"/>
                <w:i w:val="0"/>
                <w:iCs w:val="0"/>
                <w:snapToGrid w:val="0"/>
                <w:color w:val="000000"/>
                <w:sz w:val="21"/>
                <w:szCs w:val="21"/>
                <w:u w:val="none"/>
                <w:lang w:val="en-US" w:eastAsia="zh-CN" w:bidi="ar-SA"/>
              </w:rPr>
            </w:pPr>
            <w:r>
              <w:rPr>
                <w:rFonts w:hint="eastAsia" w:ascii="楷体" w:hAnsi="楷体" w:eastAsia="楷体" w:cs="楷体"/>
                <w:i w:val="0"/>
                <w:iCs w:val="0"/>
                <w:snapToGrid w:val="0"/>
                <w:color w:val="000000"/>
                <w:kern w:val="0"/>
                <w:sz w:val="21"/>
                <w:szCs w:val="21"/>
                <w:u w:val="none"/>
                <w:lang w:val="en-US" w:eastAsia="zh-CN" w:bidi="ar"/>
              </w:rPr>
              <w:t>保密及服务承诺</w:t>
            </w:r>
          </w:p>
        </w:tc>
        <w:tc>
          <w:tcPr>
            <w:tcW w:w="1080" w:type="dxa"/>
            <w:tcBorders>
              <w:top w:val="single" w:color="000000" w:sz="8" w:space="0"/>
              <w:left w:val="single" w:color="000000" w:sz="8" w:space="0"/>
              <w:bottom w:val="single" w:color="000000" w:sz="8" w:space="0"/>
              <w:right w:val="single" w:color="auto" w:sz="4" w:space="0"/>
            </w:tcBorders>
            <w:shd w:val="clear" w:color="auto" w:fill="auto"/>
            <w:vAlign w:val="center"/>
          </w:tcPr>
          <w:p w14:paraId="5D5152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8</w:t>
            </w:r>
            <w:r>
              <w:rPr>
                <w:rFonts w:hint="eastAsia" w:ascii="楷体" w:hAnsi="楷体" w:eastAsia="楷体" w:cs="楷体"/>
                <w:i w:val="0"/>
                <w:iCs w:val="0"/>
                <w:snapToGrid w:val="0"/>
                <w:color w:val="000000"/>
                <w:kern w:val="0"/>
                <w:sz w:val="21"/>
                <w:szCs w:val="21"/>
                <w:u w:val="none"/>
                <w:lang w:val="en-US" w:eastAsia="zh-CN" w:bidi="ar"/>
              </w:rPr>
              <w:t>分</w:t>
            </w:r>
          </w:p>
        </w:tc>
        <w:tc>
          <w:tcPr>
            <w:tcW w:w="6319" w:type="dxa"/>
            <w:tcBorders>
              <w:top w:val="single" w:color="auto" w:sz="4" w:space="0"/>
              <w:left w:val="single" w:color="auto" w:sz="4" w:space="0"/>
              <w:bottom w:val="single" w:color="auto" w:sz="4" w:space="0"/>
              <w:right w:val="single" w:color="auto" w:sz="4" w:space="0"/>
            </w:tcBorders>
            <w:shd w:val="clear" w:color="auto" w:fill="auto"/>
            <w:vAlign w:val="center"/>
          </w:tcPr>
          <w:p w14:paraId="2E126E53">
            <w:pPr>
              <w:keepNext w:val="0"/>
              <w:keepLines w:val="0"/>
              <w:widowControl/>
              <w:suppressLineNumbers w:val="0"/>
              <w:ind w:firstLineChars="20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保密及服务承诺：</w:t>
            </w:r>
          </w:p>
          <w:p w14:paraId="15DCB50A">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微软雅黑" w:hAnsi="微软雅黑" w:eastAsia="微软雅黑" w:cs="微软雅黑"/>
                <w:i w:val="0"/>
                <w:iCs w:val="0"/>
                <w:snapToGrid w:val="0"/>
                <w:color w:val="000000"/>
                <w:kern w:val="0"/>
                <w:sz w:val="21"/>
                <w:szCs w:val="21"/>
                <w:u w:val="none"/>
                <w:lang w:val="en-US" w:eastAsia="zh-CN" w:bidi="ar"/>
              </w:rPr>
              <w:t>①</w:t>
            </w:r>
            <w:r>
              <w:rPr>
                <w:rFonts w:hint="eastAsia" w:ascii="楷体" w:hAnsi="楷体" w:eastAsia="楷体" w:cs="楷体"/>
                <w:i w:val="0"/>
                <w:iCs w:val="0"/>
                <w:snapToGrid w:val="0"/>
                <w:color w:val="000000"/>
                <w:kern w:val="0"/>
                <w:sz w:val="21"/>
                <w:szCs w:val="21"/>
                <w:u w:val="none"/>
                <w:lang w:val="en-US" w:eastAsia="zh-CN" w:bidi="ar"/>
              </w:rPr>
              <w:t>承诺项目组成人员能在</w:t>
            </w:r>
            <w:r>
              <w:rPr>
                <w:rFonts w:hint="default" w:ascii="Times New Roman" w:hAnsi="Times New Roman" w:eastAsia="微软雅黑" w:cs="Times New Roman"/>
                <w:i w:val="0"/>
                <w:iCs w:val="0"/>
                <w:snapToGrid w:val="0"/>
                <w:color w:val="000000"/>
                <w:kern w:val="0"/>
                <w:sz w:val="21"/>
                <w:szCs w:val="21"/>
                <w:u w:val="none"/>
                <w:lang w:val="en-US" w:eastAsia="zh-CN" w:bidi="ar"/>
              </w:rPr>
              <w:t>2</w:t>
            </w:r>
            <w:r>
              <w:rPr>
                <w:rFonts w:hint="eastAsia" w:ascii="楷体" w:hAnsi="楷体" w:eastAsia="楷体" w:cs="楷体"/>
                <w:i w:val="0"/>
                <w:iCs w:val="0"/>
                <w:snapToGrid w:val="0"/>
                <w:color w:val="000000"/>
                <w:kern w:val="0"/>
                <w:sz w:val="21"/>
                <w:szCs w:val="21"/>
                <w:u w:val="none"/>
                <w:lang w:val="en-US" w:eastAsia="zh-CN" w:bidi="ar"/>
              </w:rPr>
              <w:t>小时内到达指定地点办公，并在规定时间内完成委托手续办理的得4分；缺项不得分。②承诺满足项目评审时限要求的，得2分；缺项不得分。③提供保密服务方案及承诺的得2分；缺项不得分。</w:t>
            </w:r>
          </w:p>
          <w:p w14:paraId="4B22C7DE">
            <w:pPr>
              <w:keepNext w:val="0"/>
              <w:keepLines w:val="0"/>
              <w:widowControl/>
              <w:suppressLineNumbers w:val="0"/>
              <w:ind w:firstLine="420" w:firstLineChars="200"/>
              <w:jc w:val="left"/>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注：如提供虚假证明材料或承诺，将被取消入围资格（在入围合同中约定）。</w:t>
            </w:r>
          </w:p>
        </w:tc>
      </w:tr>
    </w:tbl>
    <w:p w14:paraId="53267AD0">
      <w:pPr>
        <w:pStyle w:val="5"/>
        <w:rPr>
          <w:rFonts w:hint="eastAsia"/>
          <w:lang w:val="en-US" w:eastAsia="zh-CN"/>
        </w:rPr>
      </w:pPr>
    </w:p>
    <w:tbl>
      <w:tblPr>
        <w:tblStyle w:val="24"/>
        <w:tblW w:w="95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1104"/>
        <w:gridCol w:w="1091"/>
        <w:gridCol w:w="6300"/>
      </w:tblGrid>
      <w:tr w14:paraId="40AB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D42C57E">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评分项目</w:t>
            </w:r>
          </w:p>
        </w:tc>
        <w:tc>
          <w:tcPr>
            <w:tcW w:w="1104" w:type="dxa"/>
            <w:tcBorders>
              <w:top w:val="single" w:color="000000" w:sz="8" w:space="0"/>
              <w:left w:val="single" w:color="auto" w:sz="4" w:space="0"/>
              <w:bottom w:val="single" w:color="000000" w:sz="8" w:space="0"/>
              <w:right w:val="single" w:color="000000" w:sz="8" w:space="0"/>
            </w:tcBorders>
            <w:shd w:val="clear" w:color="auto" w:fill="auto"/>
            <w:vAlign w:val="center"/>
          </w:tcPr>
          <w:p w14:paraId="464CA508">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评分因素</w:t>
            </w:r>
          </w:p>
        </w:tc>
        <w:tc>
          <w:tcPr>
            <w:tcW w:w="1091" w:type="dxa"/>
            <w:tcBorders>
              <w:top w:val="single" w:color="000000" w:sz="8" w:space="0"/>
              <w:left w:val="nil"/>
              <w:bottom w:val="single" w:color="000000" w:sz="8" w:space="0"/>
              <w:right w:val="single" w:color="000000" w:sz="8" w:space="0"/>
            </w:tcBorders>
            <w:shd w:val="clear" w:color="auto" w:fill="auto"/>
            <w:vAlign w:val="center"/>
          </w:tcPr>
          <w:p w14:paraId="56BC0F98">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分值</w:t>
            </w:r>
          </w:p>
        </w:tc>
        <w:tc>
          <w:tcPr>
            <w:tcW w:w="6300" w:type="dxa"/>
            <w:tcBorders>
              <w:top w:val="single" w:color="000000" w:sz="8" w:space="0"/>
              <w:left w:val="nil"/>
              <w:bottom w:val="single" w:color="auto" w:sz="4" w:space="0"/>
              <w:right w:val="single" w:color="000000" w:sz="8" w:space="0"/>
            </w:tcBorders>
            <w:shd w:val="clear" w:color="auto" w:fill="auto"/>
            <w:vAlign w:val="center"/>
          </w:tcPr>
          <w:p w14:paraId="1D245AB6">
            <w:pPr>
              <w:keepNext w:val="0"/>
              <w:keepLines w:val="0"/>
              <w:widowControl/>
              <w:suppressLineNumbers w:val="0"/>
              <w:jc w:val="center"/>
              <w:textAlignment w:val="center"/>
              <w:rPr>
                <w:rFonts w:hint="eastAsia" w:ascii="楷体" w:hAnsi="楷体" w:eastAsia="楷体" w:cs="楷体"/>
                <w:i w:val="0"/>
                <w:iCs w:val="0"/>
                <w:color w:val="000000"/>
                <w:sz w:val="21"/>
                <w:szCs w:val="21"/>
                <w:u w:val="none"/>
              </w:rPr>
            </w:pPr>
            <w:r>
              <w:rPr>
                <w:rFonts w:hint="eastAsia" w:ascii="楷体" w:hAnsi="楷体" w:eastAsia="楷体" w:cs="楷体"/>
                <w:i w:val="0"/>
                <w:iCs w:val="0"/>
                <w:snapToGrid w:val="0"/>
                <w:color w:val="000000"/>
                <w:kern w:val="0"/>
                <w:sz w:val="21"/>
                <w:szCs w:val="21"/>
                <w:u w:val="none"/>
                <w:lang w:val="en-US" w:eastAsia="zh-CN" w:bidi="ar"/>
              </w:rPr>
              <w:t>内</w:t>
            </w:r>
            <w:r>
              <w:rPr>
                <w:rFonts w:ascii="Arial" w:hAnsi="Arial" w:eastAsia="楷体" w:cs="Arial"/>
                <w:i w:val="0"/>
                <w:iCs w:val="0"/>
                <w:snapToGrid w:val="0"/>
                <w:color w:val="000000"/>
                <w:kern w:val="0"/>
                <w:sz w:val="21"/>
                <w:szCs w:val="21"/>
                <w:u w:val="none"/>
                <w:lang w:val="en-US" w:eastAsia="zh-CN" w:bidi="ar"/>
              </w:rPr>
              <w:t xml:space="preserve">      </w:t>
            </w:r>
            <w:r>
              <w:rPr>
                <w:rFonts w:hint="eastAsia" w:ascii="楷体" w:hAnsi="楷体" w:eastAsia="楷体" w:cs="楷体"/>
                <w:i w:val="0"/>
                <w:iCs w:val="0"/>
                <w:snapToGrid w:val="0"/>
                <w:color w:val="000000"/>
                <w:kern w:val="0"/>
                <w:sz w:val="21"/>
                <w:szCs w:val="21"/>
                <w:u w:val="none"/>
                <w:lang w:val="en-US" w:eastAsia="zh-CN" w:bidi="ar"/>
              </w:rPr>
              <w:t>容</w:t>
            </w:r>
          </w:p>
        </w:tc>
      </w:tr>
      <w:tr w14:paraId="4C62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A03A84F">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技术部分</w:t>
            </w:r>
          </w:p>
          <w:p w14:paraId="768ADB97">
            <w:pPr>
              <w:keepNext w:val="0"/>
              <w:keepLines w:val="0"/>
              <w:widowControl/>
              <w:suppressLineNumbers w:val="0"/>
              <w:jc w:val="center"/>
              <w:textAlignment w:val="center"/>
              <w:rPr>
                <w:rFonts w:hint="default" w:ascii="楷体" w:hAnsi="楷体" w:eastAsia="楷体" w:cs="楷体"/>
                <w:i w:val="0"/>
                <w:iCs w:val="0"/>
                <w:color w:val="000000"/>
                <w:sz w:val="21"/>
                <w:szCs w:val="21"/>
                <w:u w:val="none"/>
                <w:lang w:val="en-US"/>
              </w:rPr>
            </w:pPr>
            <w:r>
              <w:rPr>
                <w:rFonts w:hint="eastAsia" w:ascii="楷体" w:hAnsi="楷体" w:eastAsia="楷体" w:cs="楷体"/>
                <w:i w:val="0"/>
                <w:iCs w:val="0"/>
                <w:snapToGrid w:val="0"/>
                <w:color w:val="000000"/>
                <w:kern w:val="0"/>
                <w:sz w:val="21"/>
                <w:szCs w:val="21"/>
                <w:u w:val="none"/>
                <w:lang w:val="en-US" w:eastAsia="zh-CN" w:bidi="ar"/>
              </w:rPr>
              <w:t>（60分）</w:t>
            </w:r>
          </w:p>
        </w:tc>
        <w:tc>
          <w:tcPr>
            <w:tcW w:w="1104" w:type="dxa"/>
            <w:tcBorders>
              <w:top w:val="nil"/>
              <w:left w:val="single" w:color="auto" w:sz="4" w:space="0"/>
              <w:bottom w:val="single" w:color="000000" w:sz="8" w:space="0"/>
              <w:right w:val="single" w:color="000000" w:sz="8" w:space="0"/>
            </w:tcBorders>
            <w:shd w:val="clear" w:color="auto" w:fill="auto"/>
            <w:vAlign w:val="center"/>
          </w:tcPr>
          <w:p w14:paraId="1C89BD89">
            <w:pPr>
              <w:keepNext w:val="0"/>
              <w:keepLines w:val="0"/>
              <w:widowControl/>
              <w:suppressLineNumbers w:val="0"/>
              <w:jc w:val="center"/>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服务方案</w:t>
            </w:r>
          </w:p>
        </w:tc>
        <w:tc>
          <w:tcPr>
            <w:tcW w:w="1091" w:type="dxa"/>
            <w:tcBorders>
              <w:top w:val="nil"/>
              <w:left w:val="nil"/>
              <w:bottom w:val="single" w:color="000000" w:sz="8" w:space="0"/>
              <w:right w:val="single" w:color="auto" w:sz="4" w:space="0"/>
            </w:tcBorders>
            <w:shd w:val="clear" w:color="auto" w:fill="auto"/>
            <w:vAlign w:val="center"/>
          </w:tcPr>
          <w:p w14:paraId="21BA04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snapToGrid w:val="0"/>
                <w:color w:val="000000"/>
                <w:kern w:val="0"/>
                <w:sz w:val="21"/>
                <w:szCs w:val="21"/>
                <w:u w:val="none"/>
                <w:lang w:val="en-US" w:eastAsia="zh-CN" w:bidi="ar"/>
              </w:rPr>
              <w:t>60</w:t>
            </w:r>
            <w:r>
              <w:rPr>
                <w:rFonts w:hint="eastAsia" w:ascii="楷体" w:hAnsi="楷体" w:eastAsia="楷体" w:cs="楷体"/>
                <w:i w:val="0"/>
                <w:iCs w:val="0"/>
                <w:snapToGrid w:val="0"/>
                <w:color w:val="000000"/>
                <w:kern w:val="0"/>
                <w:sz w:val="21"/>
                <w:szCs w:val="21"/>
                <w:u w:val="none"/>
                <w:lang w:val="en-US" w:eastAsia="zh-CN" w:bidi="ar"/>
              </w:rPr>
              <w:t>分</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14:paraId="04BE0332">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①服务质量目标实现措施。措施完善可行的得10分、措施基本完善可行的得7分、措施部分可行的得4分、措施基本不可行的得1分、未提供的不得分。</w:t>
            </w:r>
          </w:p>
          <w:p w14:paraId="49600B23">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②供应商内部管理（人员安排、服务流程、反馈改进措施、复核监督）制度。制度科学合理、可行性高的得10分、基本合理可行的得7分、部分可行的得4分，基本不可行的得1分、未提供的不得分。</w:t>
            </w:r>
          </w:p>
          <w:p w14:paraId="6E9686B7">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③项目实施进度保证措施：措施完善可行的得10分、措施基本完善可行的得7分、措施部分可行的得4分、措施基本不可行的得1分、未提供的不得分。</w:t>
            </w:r>
          </w:p>
          <w:p w14:paraId="2282EBF5">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④廉政风险防控措施。防控措施内容完整清晰明确且科学合理、可行性高的得10分、措施基本完善可行的得7分、措施部分可行的得4分、措施基本不可行的得1分、未提供的不得分。</w:t>
            </w:r>
          </w:p>
          <w:p w14:paraId="3DA9B599">
            <w:pPr>
              <w:keepNext w:val="0"/>
              <w:keepLines w:val="0"/>
              <w:widowControl/>
              <w:suppressLineNumbers w:val="0"/>
              <w:jc w:val="left"/>
              <w:textAlignment w:val="center"/>
              <w:rPr>
                <w:rFonts w:hint="eastAsia" w:ascii="楷体" w:hAnsi="楷体" w:eastAsia="楷体" w:cs="楷体"/>
                <w:i w:val="0"/>
                <w:iCs w:val="0"/>
                <w:snapToGrid w:val="0"/>
                <w:color w:val="000000"/>
                <w:kern w:val="0"/>
                <w:sz w:val="21"/>
                <w:szCs w:val="21"/>
                <w:u w:val="none"/>
                <w:lang w:val="en-US" w:eastAsia="zh-CN" w:bidi="ar"/>
              </w:rPr>
            </w:pPr>
            <w:r>
              <w:rPr>
                <w:rFonts w:hint="eastAsia" w:ascii="楷体" w:hAnsi="楷体" w:eastAsia="楷体" w:cs="楷体"/>
                <w:i w:val="0"/>
                <w:iCs w:val="0"/>
                <w:snapToGrid w:val="0"/>
                <w:color w:val="000000"/>
                <w:kern w:val="0"/>
                <w:sz w:val="21"/>
                <w:szCs w:val="21"/>
                <w:u w:val="none"/>
                <w:lang w:val="en-US" w:eastAsia="zh-CN" w:bidi="ar"/>
              </w:rPr>
              <w:t>⑤项目保密措施：保密措施内容全面且科学合理的得10分、措施基本完善可行的得7分、措施部分可行的得4分、措施基本不可行的得1分、未提供的不得分。</w:t>
            </w:r>
          </w:p>
          <w:p w14:paraId="03B2D449">
            <w:pPr>
              <w:keepNext w:val="0"/>
              <w:keepLines w:val="0"/>
              <w:widowControl/>
              <w:suppressLineNumbers w:val="0"/>
              <w:jc w:val="left"/>
              <w:textAlignment w:val="center"/>
              <w:rPr>
                <w:rFonts w:hint="eastAsia" w:ascii="楷体" w:hAnsi="楷体" w:eastAsia="楷体" w:cs="楷体"/>
                <w:i w:val="0"/>
                <w:iCs w:val="0"/>
                <w:color w:val="000000"/>
                <w:sz w:val="21"/>
                <w:szCs w:val="21"/>
                <w:u w:val="none"/>
              </w:rPr>
            </w:pPr>
            <w:r>
              <w:rPr>
                <w:rFonts w:hint="eastAsia" w:ascii="微软雅黑" w:hAnsi="微软雅黑" w:eastAsia="微软雅黑" w:cs="微软雅黑"/>
                <w:i w:val="0"/>
                <w:iCs w:val="0"/>
                <w:snapToGrid w:val="0"/>
                <w:color w:val="000000"/>
                <w:kern w:val="0"/>
                <w:sz w:val="21"/>
                <w:szCs w:val="21"/>
                <w:u w:val="none"/>
                <w:lang w:val="en-US" w:eastAsia="zh-CN" w:bidi="ar"/>
              </w:rPr>
              <w:t>⑥</w:t>
            </w:r>
            <w:r>
              <w:rPr>
                <w:rFonts w:hint="eastAsia" w:ascii="楷体" w:hAnsi="楷体" w:eastAsia="楷体" w:cs="楷体"/>
                <w:i w:val="0"/>
                <w:iCs w:val="0"/>
                <w:snapToGrid w:val="0"/>
                <w:color w:val="000000"/>
                <w:kern w:val="0"/>
                <w:sz w:val="21"/>
                <w:szCs w:val="21"/>
                <w:u w:val="none"/>
                <w:lang w:val="en-US" w:eastAsia="zh-CN" w:bidi="ar"/>
              </w:rPr>
              <w:t>突发紧急情况时的应急解决方案。应急方案完整清晰且科学合理、可操作性高的得得10分、措施基本完善可行的得7分、措施部分可行的得4分、措施基本不可行的得1分、未提供的不得分。</w:t>
            </w:r>
          </w:p>
        </w:tc>
      </w:tr>
    </w:tbl>
    <w:p w14:paraId="5C93D250">
      <w:pPr>
        <w:pStyle w:val="5"/>
        <w:rPr>
          <w:rFonts w:hint="eastAsia"/>
          <w:lang w:val="en-US" w:eastAsia="zh-CN"/>
        </w:rPr>
      </w:pPr>
    </w:p>
    <w:p w14:paraId="335FCD7C">
      <w:pPr>
        <w:pStyle w:val="32"/>
        <w:spacing w:line="480" w:lineRule="exact"/>
        <w:ind w:firstLine="560"/>
        <w:jc w:val="both"/>
        <w:rPr>
          <w:rFonts w:hint="eastAsia" w:ascii="Times New Roman" w:eastAsia="楷体"/>
          <w:b w:val="0"/>
          <w:bCs w:val="0"/>
          <w:i w:val="0"/>
          <w:iCs w:val="0"/>
          <w:color w:val="auto"/>
          <w:sz w:val="28"/>
          <w:szCs w:val="28"/>
          <w:highlight w:val="none"/>
          <w:u w:val="none"/>
          <w:lang w:val="en-US" w:eastAsia="zh-CN"/>
        </w:rPr>
      </w:pPr>
      <w:r>
        <w:rPr>
          <w:rFonts w:hint="eastAsia" w:ascii="Times New Roman" w:eastAsia="楷体"/>
          <w:b w:val="0"/>
          <w:bCs w:val="0"/>
          <w:i w:val="0"/>
          <w:iCs w:val="0"/>
          <w:color w:val="auto"/>
          <w:sz w:val="28"/>
          <w:szCs w:val="28"/>
          <w:highlight w:val="none"/>
          <w:u w:val="none"/>
          <w:lang w:val="en-US" w:eastAsia="zh-CN"/>
        </w:rPr>
        <w:t>备注：评分得数保留两位小数，第三位数四舍五入，缺项得0分。</w:t>
      </w:r>
    </w:p>
    <w:p w14:paraId="48355009">
      <w:pPr>
        <w:spacing w:before="265" w:line="394" w:lineRule="exact"/>
        <w:ind w:left="1186" w:leftChars="286" w:hanging="585" w:hangingChars="199"/>
        <w:outlineLvl w:val="1"/>
        <w:rPr>
          <w:rFonts w:hint="eastAsia" w:ascii="黑体" w:hAnsi="黑体" w:eastAsia="黑体" w:cs="黑体"/>
          <w:spacing w:val="7"/>
          <w:position w:val="2"/>
          <w:sz w:val="28"/>
          <w:szCs w:val="28"/>
          <w:lang w:eastAsia="zh-CN"/>
        </w:rPr>
      </w:pPr>
      <w:bookmarkStart w:id="26" w:name="_Toc3289"/>
      <w:r>
        <w:rPr>
          <w:rFonts w:hint="eastAsia" w:ascii="黑体" w:hAnsi="黑体" w:eastAsia="黑体" w:cs="黑体"/>
          <w:spacing w:val="7"/>
          <w:position w:val="2"/>
          <w:sz w:val="28"/>
          <w:szCs w:val="28"/>
        </w:rPr>
        <w:t>三、入围供应商</w:t>
      </w:r>
      <w:bookmarkEnd w:id="26"/>
      <w:r>
        <w:rPr>
          <w:rFonts w:hint="eastAsia" w:ascii="黑体" w:hAnsi="黑体" w:eastAsia="黑体" w:cs="黑体"/>
          <w:spacing w:val="7"/>
          <w:position w:val="2"/>
          <w:sz w:val="28"/>
          <w:szCs w:val="28"/>
          <w:lang w:val="en-US" w:eastAsia="zh-CN"/>
        </w:rPr>
        <w:t>确定</w:t>
      </w:r>
    </w:p>
    <w:p w14:paraId="15085E1C">
      <w:pPr>
        <w:pStyle w:val="32"/>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第一阶段入围供应商数量上限：5家。确定第一阶段入围供应商时，提交响应文件和符合资格条件、实质性要求的供应商应当均不少于2家，淘汰比例为20%，且至少淘汰一家供应商，如满足淘汰比例后入围家数未达到各标段入围家数上限，则全部入围。（例如：20家供应商通过资格和符合性审查，按20%淘汰比例应该淘汰4家，剩余16家供应商按照得分排序，取前5名为入围供应商；6家供应商通过资格和符合性审查，按20%淘汰比例应该淘汰1.2家，向上取整后淘汰2家，剩余4家则均为入围供应商）。</w:t>
      </w:r>
    </w:p>
    <w:p w14:paraId="4DEC0D65">
      <w:pPr>
        <w:pStyle w:val="32"/>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二个标段，供应商兼投但不兼中，只可以中标1个标段。</w:t>
      </w:r>
    </w:p>
    <w:p w14:paraId="3F18BED6">
      <w:pPr>
        <w:pStyle w:val="32"/>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兼投不兼中描述：本项目兼投不兼中，每个供应商最多只能被确定为1个标段的入围供应商。本项目按标段的顺序进行评审，依次按照评标总得分由高到低的顺序排序。同时对多标段响应的供应商，如供应商在前面标段已被评审为入围供应商，则评审委员会在评审后面标段时，已经作为入围供应商的不再作为其他标段的入围供应商。</w:t>
      </w:r>
    </w:p>
    <w:p w14:paraId="794BAED5">
      <w:pPr>
        <w:pStyle w:val="32"/>
        <w:spacing w:line="480" w:lineRule="exact"/>
        <w:ind w:firstLine="560"/>
        <w:jc w:val="both"/>
        <w:rPr>
          <w:rFonts w:hint="eastAsia" w:ascii="Times New Roman" w:eastAsia="楷体"/>
          <w:b w:val="0"/>
          <w:bCs w:val="0"/>
          <w:i w:val="0"/>
          <w:iCs w:val="0"/>
          <w:color w:val="auto"/>
          <w:sz w:val="28"/>
          <w:szCs w:val="28"/>
          <w:highlight w:val="none"/>
          <w:u w:val="none"/>
          <w:lang w:val="en-US" w:eastAsia="zh-CN"/>
        </w:rPr>
      </w:pPr>
    </w:p>
    <w:p w14:paraId="268A546E">
      <w:pPr>
        <w:rPr>
          <w:rFonts w:hint="eastAsia"/>
          <w:lang w:val="en-US" w:eastAsia="zh-CN"/>
        </w:rPr>
      </w:pPr>
    </w:p>
    <w:p w14:paraId="4DB10247">
      <w:pPr>
        <w:pStyle w:val="32"/>
        <w:spacing w:line="480" w:lineRule="exact"/>
        <w:ind w:firstLine="560"/>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p>
    <w:p w14:paraId="55B5A565">
      <w:pPr>
        <w:pStyle w:val="4"/>
        <w:rPr>
          <w:rFonts w:hint="eastAsia" w:asciiTheme="minorEastAsia" w:hAnsiTheme="minorEastAsia" w:eastAsiaTheme="minorEastAsia" w:cstheme="minorEastAsia"/>
          <w:sz w:val="24"/>
          <w:szCs w:val="24"/>
        </w:rPr>
      </w:pPr>
    </w:p>
    <w:p w14:paraId="5AFC3D24">
      <w:pPr>
        <w:rPr>
          <w:rFonts w:hint="eastAsia" w:asciiTheme="minorEastAsia" w:hAnsiTheme="minorEastAsia" w:eastAsiaTheme="minorEastAsia" w:cstheme="minorEastAsia"/>
          <w:sz w:val="24"/>
          <w:szCs w:val="24"/>
        </w:rPr>
      </w:pPr>
    </w:p>
    <w:p w14:paraId="1D9D0595">
      <w:pPr>
        <w:pStyle w:val="4"/>
        <w:rPr>
          <w:rFonts w:hint="eastAsia" w:asciiTheme="minorEastAsia" w:hAnsiTheme="minorEastAsia" w:eastAsiaTheme="minorEastAsia" w:cstheme="minorEastAsia"/>
          <w:sz w:val="24"/>
          <w:szCs w:val="24"/>
        </w:rPr>
      </w:pPr>
    </w:p>
    <w:p w14:paraId="1CB636A5">
      <w:pPr>
        <w:rPr>
          <w:rFonts w:hint="eastAsia" w:asciiTheme="minorEastAsia" w:hAnsiTheme="minorEastAsia" w:eastAsiaTheme="minorEastAsia" w:cstheme="minorEastAsia"/>
          <w:sz w:val="24"/>
          <w:szCs w:val="24"/>
        </w:rPr>
      </w:pPr>
    </w:p>
    <w:p w14:paraId="12FEF96C">
      <w:pPr>
        <w:pStyle w:val="4"/>
        <w:rPr>
          <w:rFonts w:hint="eastAsia" w:asciiTheme="minorEastAsia" w:hAnsiTheme="minorEastAsia" w:eastAsiaTheme="minorEastAsia" w:cstheme="minorEastAsia"/>
          <w:sz w:val="24"/>
          <w:szCs w:val="24"/>
        </w:rPr>
      </w:pPr>
    </w:p>
    <w:p w14:paraId="741778B1"/>
    <w:p w14:paraId="7279EC45">
      <w:pPr>
        <w:pStyle w:val="4"/>
      </w:pPr>
    </w:p>
    <w:p w14:paraId="1800C161"/>
    <w:p w14:paraId="54C41037">
      <w:pPr>
        <w:pStyle w:val="4"/>
        <w:ind w:left="0" w:leftChars="0" w:firstLine="0" w:firstLineChars="0"/>
      </w:pPr>
    </w:p>
    <w:p w14:paraId="57DE01F9">
      <w:pPr>
        <w:spacing w:before="91" w:line="219" w:lineRule="auto"/>
        <w:jc w:val="both"/>
        <w:outlineLvl w:val="0"/>
        <w:rPr>
          <w:rFonts w:hint="eastAsia" w:ascii="宋体" w:hAnsi="宋体" w:eastAsia="宋体" w:cs="宋体"/>
          <w:b/>
          <w:bCs/>
          <w:sz w:val="32"/>
          <w:szCs w:val="32"/>
        </w:rPr>
      </w:pPr>
      <w:bookmarkStart w:id="27" w:name="_Toc29616"/>
    </w:p>
    <w:p w14:paraId="1C4AF5DD">
      <w:pPr>
        <w:pStyle w:val="2"/>
        <w:numPr>
          <w:ilvl w:val="1"/>
          <w:numId w:val="0"/>
        </w:numPr>
        <w:ind w:left="420" w:leftChars="0"/>
        <w:rPr>
          <w:rFonts w:hint="eastAsia"/>
        </w:rPr>
      </w:pPr>
    </w:p>
    <w:p w14:paraId="613D9025">
      <w:pPr>
        <w:rPr>
          <w:rFonts w:hint="eastAsia" w:ascii="宋体" w:hAnsi="宋体" w:eastAsia="宋体" w:cs="宋体"/>
          <w:b/>
          <w:bCs/>
          <w:sz w:val="32"/>
          <w:szCs w:val="32"/>
        </w:rPr>
      </w:pPr>
    </w:p>
    <w:p w14:paraId="0527CBAE">
      <w:pPr>
        <w:pStyle w:val="2"/>
        <w:numPr>
          <w:ilvl w:val="1"/>
          <w:numId w:val="0"/>
        </w:numPr>
        <w:ind w:left="420" w:leftChars="0"/>
        <w:rPr>
          <w:rFonts w:hint="eastAsia"/>
        </w:rPr>
      </w:pPr>
    </w:p>
    <w:p w14:paraId="2483D372">
      <w:pPr>
        <w:rPr>
          <w:rFonts w:hint="eastAsia"/>
        </w:rPr>
      </w:pPr>
    </w:p>
    <w:p w14:paraId="5185F26E">
      <w:pPr>
        <w:pStyle w:val="2"/>
        <w:numPr>
          <w:ilvl w:val="1"/>
          <w:numId w:val="0"/>
        </w:numPr>
        <w:ind w:left="420" w:leftChars="0"/>
        <w:rPr>
          <w:rFonts w:hint="eastAsia" w:eastAsia="黑体"/>
          <w:lang w:eastAsia="zh-CN"/>
        </w:rPr>
      </w:pPr>
    </w:p>
    <w:p w14:paraId="6680DAF7">
      <w:pPr>
        <w:rPr>
          <w:rFonts w:hint="eastAsia" w:eastAsia="黑体"/>
          <w:lang w:eastAsia="zh-CN"/>
        </w:rPr>
      </w:pPr>
    </w:p>
    <w:p w14:paraId="3F7F661B">
      <w:pPr>
        <w:pStyle w:val="2"/>
        <w:numPr>
          <w:ilvl w:val="1"/>
          <w:numId w:val="0"/>
        </w:numPr>
        <w:ind w:left="420" w:leftChars="0"/>
        <w:rPr>
          <w:rFonts w:hint="eastAsia"/>
          <w:lang w:eastAsia="zh-CN"/>
        </w:rPr>
      </w:pPr>
    </w:p>
    <w:p w14:paraId="5ACFEB58">
      <w:pPr>
        <w:rPr>
          <w:rFonts w:hint="eastAsia"/>
          <w:lang w:eastAsia="zh-CN"/>
        </w:rPr>
      </w:pPr>
    </w:p>
    <w:p w14:paraId="0A805398">
      <w:pPr>
        <w:pStyle w:val="2"/>
        <w:numPr>
          <w:ilvl w:val="1"/>
          <w:numId w:val="0"/>
        </w:numPr>
        <w:ind w:left="420" w:leftChars="0"/>
        <w:rPr>
          <w:rFonts w:hint="eastAsia"/>
          <w:lang w:eastAsia="zh-CN"/>
        </w:rPr>
      </w:pPr>
    </w:p>
    <w:p w14:paraId="13E4B49F">
      <w:pPr>
        <w:rPr>
          <w:rFonts w:hint="eastAsia"/>
          <w:lang w:eastAsia="zh-CN"/>
        </w:rPr>
      </w:pPr>
    </w:p>
    <w:p w14:paraId="1106277D">
      <w:pPr>
        <w:pStyle w:val="2"/>
        <w:numPr>
          <w:ilvl w:val="1"/>
          <w:numId w:val="0"/>
        </w:numPr>
        <w:ind w:left="420" w:leftChars="0"/>
        <w:rPr>
          <w:rFonts w:hint="eastAsia"/>
          <w:lang w:eastAsia="zh-CN"/>
        </w:rPr>
      </w:pPr>
    </w:p>
    <w:p w14:paraId="62AABBDF">
      <w:pPr>
        <w:spacing w:before="91" w:line="219" w:lineRule="auto"/>
        <w:jc w:val="center"/>
        <w:outlineLvl w:val="0"/>
        <w:rPr>
          <w:rFonts w:ascii="宋体" w:hAnsi="宋体" w:eastAsia="宋体" w:cs="宋体"/>
          <w:b/>
          <w:bCs/>
          <w:sz w:val="32"/>
          <w:szCs w:val="32"/>
        </w:rPr>
      </w:pPr>
      <w:r>
        <w:rPr>
          <w:rFonts w:hint="eastAsia" w:ascii="宋体" w:hAnsi="宋体" w:eastAsia="宋体" w:cs="宋体"/>
          <w:b/>
          <w:bCs/>
          <w:sz w:val="32"/>
          <w:szCs w:val="32"/>
        </w:rPr>
        <w:t>第五章</w:t>
      </w:r>
      <w:r>
        <w:rPr>
          <w:rFonts w:ascii="宋体" w:hAnsi="宋体" w:eastAsia="宋体" w:cs="宋体"/>
          <w:b/>
          <w:bCs/>
          <w:sz w:val="32"/>
          <w:szCs w:val="32"/>
        </w:rPr>
        <w:t xml:space="preserve">  框架协议和采购合同文本</w:t>
      </w:r>
      <w:bookmarkEnd w:id="27"/>
    </w:p>
    <w:p w14:paraId="5B5F82FF">
      <w:pPr>
        <w:spacing w:line="360" w:lineRule="auto"/>
        <w:jc w:val="center"/>
        <w:rPr>
          <w:rFonts w:hint="eastAsia" w:ascii="宋体" w:hAnsi="宋体" w:eastAsia="宋体" w:cs="宋体"/>
          <w:b/>
          <w:sz w:val="30"/>
          <w:szCs w:val="30"/>
        </w:rPr>
      </w:pPr>
    </w:p>
    <w:p w14:paraId="596B500E">
      <w:pPr>
        <w:spacing w:line="360" w:lineRule="auto"/>
        <w:jc w:val="center"/>
        <w:rPr>
          <w:rFonts w:hint="eastAsia" w:ascii="宋体" w:hAnsi="宋体" w:eastAsia="宋体" w:cs="宋体"/>
          <w:b/>
          <w:sz w:val="30"/>
          <w:szCs w:val="30"/>
        </w:rPr>
      </w:pPr>
    </w:p>
    <w:p w14:paraId="0916E1F2">
      <w:pPr>
        <w:spacing w:line="460" w:lineRule="exact"/>
        <w:ind w:left="420" w:leftChars="200" w:right="420" w:rightChars="200" w:firstLine="480" w:firstLineChars="200"/>
        <w:jc w:val="center"/>
        <w:rPr>
          <w:rFonts w:eastAsia="楷体"/>
          <w:bCs/>
          <w:color w:val="auto"/>
          <w:sz w:val="24"/>
          <w:szCs w:val="24"/>
          <w:highlight w:val="none"/>
        </w:rPr>
      </w:pPr>
      <w:bookmarkStart w:id="28" w:name="_Toc10717"/>
      <w:bookmarkStart w:id="29" w:name="_Toc3609"/>
      <w:r>
        <w:rPr>
          <w:rFonts w:eastAsia="楷体"/>
          <w:bCs/>
          <w:color w:val="auto"/>
          <w:sz w:val="24"/>
          <w:szCs w:val="24"/>
          <w:highlight w:val="none"/>
        </w:rPr>
        <w:t>框架协议</w:t>
      </w:r>
      <w:r>
        <w:rPr>
          <w:rFonts w:hint="eastAsia" w:eastAsia="楷体"/>
          <w:bCs/>
          <w:color w:val="auto"/>
          <w:sz w:val="24"/>
          <w:szCs w:val="24"/>
          <w:highlight w:val="none"/>
        </w:rPr>
        <w:t>（</w:t>
      </w:r>
      <w:r>
        <w:rPr>
          <w:rFonts w:eastAsia="楷体"/>
          <w:b/>
          <w:color w:val="auto"/>
          <w:szCs w:val="28"/>
          <w:highlight w:val="none"/>
        </w:rPr>
        <w:t>本</w:t>
      </w:r>
      <w:r>
        <w:rPr>
          <w:rFonts w:hint="eastAsia" w:eastAsia="楷体"/>
          <w:b/>
          <w:color w:val="auto"/>
          <w:szCs w:val="28"/>
          <w:highlight w:val="none"/>
        </w:rPr>
        <w:t>协议</w:t>
      </w:r>
      <w:r>
        <w:rPr>
          <w:rFonts w:eastAsia="楷体"/>
          <w:b/>
          <w:color w:val="auto"/>
          <w:szCs w:val="28"/>
          <w:highlight w:val="none"/>
        </w:rPr>
        <w:t>仅供参考，以后期签订为准</w:t>
      </w:r>
      <w:r>
        <w:rPr>
          <w:rFonts w:hint="eastAsia" w:eastAsia="楷体"/>
          <w:bCs/>
          <w:color w:val="auto"/>
          <w:sz w:val="24"/>
          <w:szCs w:val="24"/>
          <w:highlight w:val="none"/>
        </w:rPr>
        <w:t>）</w:t>
      </w:r>
    </w:p>
    <w:p w14:paraId="59378B8B">
      <w:pPr>
        <w:tabs>
          <w:tab w:val="left" w:pos="4705"/>
        </w:tabs>
        <w:spacing w:line="460" w:lineRule="exact"/>
        <w:ind w:left="420" w:leftChars="200" w:right="420" w:rightChars="200" w:firstLine="480" w:firstLineChars="200"/>
        <w:rPr>
          <w:rFonts w:hint="default" w:eastAsia="楷体"/>
          <w:bCs/>
          <w:color w:val="auto"/>
          <w:sz w:val="24"/>
          <w:szCs w:val="24"/>
          <w:highlight w:val="none"/>
          <w:lang w:val="en-US" w:eastAsia="zh-CN"/>
        </w:rPr>
      </w:pPr>
      <w:r>
        <w:rPr>
          <w:rFonts w:eastAsia="楷体"/>
          <w:bCs/>
          <w:color w:val="auto"/>
          <w:sz w:val="24"/>
          <w:szCs w:val="24"/>
          <w:highlight w:val="none"/>
        </w:rPr>
        <w:t>甲方（征集人）：</w:t>
      </w:r>
      <w:r>
        <w:rPr>
          <w:rFonts w:eastAsia="楷体"/>
          <w:bCs/>
          <w:color w:val="auto"/>
          <w:sz w:val="24"/>
          <w:szCs w:val="24"/>
          <w:highlight w:val="none"/>
          <w:u w:val="single"/>
        </w:rPr>
        <w:t xml:space="preserve"> </w:t>
      </w:r>
      <w:r>
        <w:rPr>
          <w:rFonts w:hint="eastAsia" w:eastAsia="楷体"/>
          <w:bCs/>
          <w:color w:val="auto"/>
          <w:sz w:val="24"/>
          <w:szCs w:val="24"/>
          <w:highlight w:val="none"/>
          <w:u w:val="single"/>
          <w:lang w:eastAsia="zh-CN"/>
        </w:rPr>
        <w:t>阿勒泰地区财政局</w:t>
      </w:r>
      <w:r>
        <w:rPr>
          <w:rFonts w:eastAsia="楷体"/>
          <w:bCs/>
          <w:color w:val="auto"/>
          <w:sz w:val="24"/>
          <w:szCs w:val="24"/>
          <w:highlight w:val="none"/>
          <w:u w:val="single"/>
        </w:rPr>
        <w:tab/>
      </w:r>
      <w:r>
        <w:rPr>
          <w:rFonts w:hint="eastAsia" w:eastAsia="楷体"/>
          <w:bCs/>
          <w:color w:val="auto"/>
          <w:sz w:val="24"/>
          <w:szCs w:val="24"/>
          <w:highlight w:val="none"/>
          <w:u w:val="single"/>
          <w:lang w:val="en-US" w:eastAsia="zh-CN"/>
        </w:rPr>
        <w:t xml:space="preserve">      </w:t>
      </w:r>
    </w:p>
    <w:p w14:paraId="1A6E8F2B">
      <w:pPr>
        <w:tabs>
          <w:tab w:val="left" w:pos="5721"/>
        </w:tabs>
        <w:spacing w:before="131" w:line="460" w:lineRule="exact"/>
        <w:ind w:left="420" w:leftChars="200" w:right="420" w:rightChars="200" w:firstLine="480" w:firstLineChars="200"/>
        <w:rPr>
          <w:rFonts w:eastAsia="楷体"/>
          <w:bCs/>
          <w:color w:val="auto"/>
          <w:sz w:val="24"/>
          <w:szCs w:val="24"/>
          <w:highlight w:val="none"/>
        </w:rPr>
      </w:pPr>
      <w:r>
        <w:rPr>
          <w:rFonts w:eastAsia="楷体"/>
          <w:bCs/>
          <w:color w:val="auto"/>
          <w:sz w:val="24"/>
          <w:szCs w:val="24"/>
          <w:highlight w:val="none"/>
        </w:rPr>
        <w:t>乙方（入围供应商）：</w:t>
      </w:r>
      <w:r>
        <w:rPr>
          <w:rFonts w:eastAsia="楷体"/>
          <w:bCs/>
          <w:color w:val="auto"/>
          <w:sz w:val="24"/>
          <w:szCs w:val="24"/>
          <w:highlight w:val="none"/>
          <w:u w:val="single"/>
        </w:rPr>
        <w:t xml:space="preserve"> </w:t>
      </w:r>
      <w:r>
        <w:rPr>
          <w:rFonts w:eastAsia="楷体"/>
          <w:bCs/>
          <w:color w:val="auto"/>
          <w:sz w:val="24"/>
          <w:szCs w:val="24"/>
          <w:highlight w:val="none"/>
          <w:u w:val="single"/>
        </w:rPr>
        <w:tab/>
      </w:r>
    </w:p>
    <w:p w14:paraId="19D56F39">
      <w:pPr>
        <w:pStyle w:val="5"/>
        <w:spacing w:before="1" w:line="460" w:lineRule="exact"/>
        <w:ind w:left="420" w:leftChars="200" w:right="420" w:rightChars="200" w:firstLine="480" w:firstLineChars="200"/>
        <w:rPr>
          <w:rFonts w:eastAsia="楷体"/>
          <w:color w:val="auto"/>
          <w:sz w:val="24"/>
          <w:szCs w:val="24"/>
          <w:highlight w:val="none"/>
        </w:rPr>
      </w:pPr>
    </w:p>
    <w:p w14:paraId="4FAB6FA1">
      <w:pPr>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根据《中华人民共和国政府采购法》、《政府采购框架协议采购方式管理暂行办法》等相关法律，按照征集文件约定的事项以及协议乙方的响应文件及其承诺，协议甲乙双方签订框架协议</w:t>
      </w:r>
    </w:p>
    <w:p w14:paraId="3A0E54C8">
      <w:pPr>
        <w:spacing w:before="1"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第一条 项目基本信息</w:t>
      </w:r>
    </w:p>
    <w:p w14:paraId="0C5B9ACA">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项目名称：</w:t>
      </w:r>
      <w:r>
        <w:rPr>
          <w:rFonts w:eastAsia="楷体"/>
          <w:color w:val="auto"/>
          <w:sz w:val="24"/>
          <w:szCs w:val="24"/>
          <w:highlight w:val="none"/>
          <w:u w:val="single"/>
        </w:rPr>
        <w:t xml:space="preserve"> </w:t>
      </w:r>
      <w:r>
        <w:rPr>
          <w:rFonts w:eastAsia="楷体"/>
          <w:color w:val="auto"/>
          <w:sz w:val="24"/>
          <w:szCs w:val="24"/>
          <w:highlight w:val="none"/>
          <w:u w:val="single"/>
        </w:rPr>
        <w:tab/>
      </w:r>
    </w:p>
    <w:p w14:paraId="60968E1A">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项目编号：</w:t>
      </w:r>
      <w:r>
        <w:rPr>
          <w:rFonts w:eastAsia="楷体"/>
          <w:color w:val="auto"/>
          <w:sz w:val="24"/>
          <w:szCs w:val="24"/>
          <w:highlight w:val="none"/>
          <w:u w:val="single"/>
        </w:rPr>
        <w:t xml:space="preserve"> </w:t>
      </w:r>
      <w:r>
        <w:rPr>
          <w:rFonts w:eastAsia="楷体"/>
          <w:color w:val="auto"/>
          <w:sz w:val="24"/>
          <w:szCs w:val="24"/>
          <w:highlight w:val="none"/>
          <w:u w:val="single"/>
        </w:rPr>
        <w:tab/>
      </w:r>
    </w:p>
    <w:p w14:paraId="293C3431">
      <w:pPr>
        <w:numPr>
          <w:ilvl w:val="1"/>
          <w:numId w:val="4"/>
        </w:numPr>
        <w:tabs>
          <w:tab w:val="left" w:pos="1227"/>
          <w:tab w:val="left" w:pos="3625"/>
        </w:tabs>
        <w:spacing w:before="13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采购需求：</w:t>
      </w:r>
      <w:r>
        <w:rPr>
          <w:rFonts w:eastAsia="楷体"/>
          <w:color w:val="auto"/>
          <w:sz w:val="24"/>
          <w:szCs w:val="24"/>
          <w:highlight w:val="none"/>
          <w:u w:val="single"/>
        </w:rPr>
        <w:t>详见附件</w:t>
      </w:r>
      <w:r>
        <w:rPr>
          <w:rFonts w:eastAsia="楷体"/>
          <w:color w:val="auto"/>
          <w:sz w:val="24"/>
          <w:szCs w:val="24"/>
          <w:highlight w:val="none"/>
          <w:u w:val="single"/>
        </w:rPr>
        <w:tab/>
      </w:r>
    </w:p>
    <w:p w14:paraId="4B15913F">
      <w:pPr>
        <w:numPr>
          <w:ilvl w:val="1"/>
          <w:numId w:val="4"/>
        </w:numPr>
        <w:tabs>
          <w:tab w:val="left" w:pos="1227"/>
          <w:tab w:val="left" w:pos="6801"/>
        </w:tabs>
        <w:spacing w:before="13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框架协议期限：本协议有效期为 </w:t>
      </w:r>
      <w:r>
        <w:rPr>
          <w:rFonts w:hint="eastAsia" w:eastAsia="楷体"/>
          <w:color w:val="auto"/>
          <w:sz w:val="24"/>
          <w:szCs w:val="24"/>
          <w:highlight w:val="none"/>
          <w:lang w:val="en-US" w:eastAsia="zh-CN"/>
        </w:rPr>
        <w:t>24个月</w:t>
      </w:r>
      <w:r>
        <w:rPr>
          <w:rFonts w:eastAsia="楷体"/>
          <w:color w:val="auto"/>
          <w:sz w:val="24"/>
          <w:szCs w:val="24"/>
          <w:highlight w:val="none"/>
        </w:rPr>
        <w:t>，自   年  月  日起到</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r>
        <w:rPr>
          <w:rFonts w:eastAsia="楷体"/>
          <w:color w:val="auto"/>
          <w:sz w:val="24"/>
          <w:szCs w:val="24"/>
          <w:highlight w:val="none"/>
        </w:rPr>
        <w:t>日为本协议的执行期限。</w:t>
      </w:r>
    </w:p>
    <w:p w14:paraId="73BB47F0">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第二条 框架协议信息</w:t>
      </w:r>
    </w:p>
    <w:p w14:paraId="68EF221A">
      <w:pPr>
        <w:numPr>
          <w:ilvl w:val="0"/>
          <w:numId w:val="5"/>
        </w:numPr>
        <w:tabs>
          <w:tab w:val="left" w:pos="1227"/>
        </w:tabs>
        <w:spacing w:before="1" w:line="460" w:lineRule="exact"/>
        <w:ind w:left="1226" w:right="420" w:rightChars="200" w:hanging="361"/>
        <w:rPr>
          <w:rFonts w:eastAsia="楷体"/>
          <w:color w:val="auto"/>
          <w:sz w:val="24"/>
          <w:szCs w:val="24"/>
          <w:highlight w:val="none"/>
        </w:rPr>
      </w:pPr>
      <w:r>
        <w:rPr>
          <w:rFonts w:eastAsia="楷体"/>
          <w:color w:val="auto"/>
          <w:sz w:val="24"/>
          <w:szCs w:val="24"/>
          <w:highlight w:val="none"/>
        </w:rPr>
        <w:t>服务内容、服务标准、协议价格</w:t>
      </w:r>
    </w:p>
    <w:p w14:paraId="0D492E4B">
      <w:pPr>
        <w:numPr>
          <w:ilvl w:val="1"/>
          <w:numId w:val="6"/>
        </w:numPr>
        <w:tabs>
          <w:tab w:val="left" w:pos="1346"/>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服务内容：</w:t>
      </w:r>
    </w:p>
    <w:p w14:paraId="653C328F">
      <w:pPr>
        <w:numPr>
          <w:ilvl w:val="1"/>
          <w:numId w:val="6"/>
        </w:numPr>
        <w:tabs>
          <w:tab w:val="left" w:pos="1346"/>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服务标准：</w:t>
      </w:r>
    </w:p>
    <w:p w14:paraId="71552F2B">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供应商要严格遵守国家的法律、法规和有关规章制度，严格遵守行为准则和职业道德，按现行的财政项目评审操作规程及质量控制规定开展工作。</w:t>
      </w:r>
    </w:p>
    <w:p w14:paraId="1D7D7E6A">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供应商对成果文件应实行复核人、 项目负责人、 技术负责人“三级复核”。应依照相关依据发表专业意见出具成果文件，并对成果的真实性、完整性、准确性负责。</w:t>
      </w:r>
    </w:p>
    <w:p w14:paraId="5137E7AE">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各类评审报告编制标准 ：评审内容完整、数据准确、依据充分，评审结论定性客观、定量准确、依据充分，核增核减原因定性准确、条理清晰，披露评审问题有理有据、分析透彻，提出评审建议措施具体、针对性强。</w:t>
      </w:r>
    </w:p>
    <w:p w14:paraId="19B4513D">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采购人将对供应商提交的评审意见和评审结论进行复审，复审结果因供应商造成严重质量问题时，采购人不支付该项目的评审费用，供应商必须承担由此造成的全部经济和法律责任。</w:t>
      </w:r>
    </w:p>
    <w:p w14:paraId="39B15060">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供应商提交成果误差不超过正负3%。采购人对供应商递交的评审意见和评审结论</w:t>
      </w:r>
      <w:r>
        <w:rPr>
          <w:rFonts w:hint="eastAsia" w:eastAsia="楷体"/>
          <w:color w:val="auto"/>
          <w:spacing w:val="-7"/>
          <w:sz w:val="24"/>
          <w:szCs w:val="24"/>
          <w:highlight w:val="none"/>
          <w:lang w:eastAsia="zh-CN"/>
        </w:rPr>
        <w:t>（以供应商项目负责人确认的最终定案结果为准）</w:t>
      </w:r>
      <w:r>
        <w:rPr>
          <w:rFonts w:eastAsia="楷体"/>
          <w:color w:val="auto"/>
          <w:spacing w:val="-7"/>
          <w:sz w:val="24"/>
          <w:szCs w:val="24"/>
          <w:highlight w:val="none"/>
        </w:rPr>
        <w:t>进行复审，复审单项项目审定额结果误差超过总造价的 3%（含 3%）时，供应商必须承担由此造成的全部经济和法律责任，采购人不支付该单项项目的审核费用。</w:t>
      </w:r>
    </w:p>
    <w:p w14:paraId="6577D236">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供应商递交的评审意见和评审结论经采购人、建设单位确认后，在招标时若由造价管理机构、招标代理机构或其他方发现审核结果存在严重错误（如漏项、漏计单价、由于小数点等原因造成工程量或单价误差较大或各表格之间的对应数据不一致且金额相差大等），供应商必须承担由此造成的全部经济和法律责任，采购人不支付该单项项目的审核费用。</w:t>
      </w:r>
    </w:p>
    <w:p w14:paraId="2A390EB3">
      <w:pPr>
        <w:numPr>
          <w:ilvl w:val="0"/>
          <w:numId w:val="7"/>
        </w:numPr>
        <w:tabs>
          <w:tab w:val="left" w:pos="1325"/>
        </w:tabs>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因客观原因导致已审核的项目需要重新审核的，供应商须无条件配合并重新进行审核、出具审核成果，采购人不再另行支付供应商相关费用，供应商需充分考虑该因素进行响应。</w:t>
      </w:r>
    </w:p>
    <w:p w14:paraId="04F42EEB">
      <w:pPr>
        <w:numPr>
          <w:ilvl w:val="255"/>
          <w:numId w:val="0"/>
        </w:numPr>
        <w:tabs>
          <w:tab w:val="left" w:pos="1226"/>
        </w:tabs>
        <w:spacing w:before="173" w:line="460" w:lineRule="exact"/>
        <w:ind w:left="840" w:leftChars="400" w:right="420" w:rightChars="200"/>
        <w:rPr>
          <w:rFonts w:eastAsia="楷体"/>
          <w:color w:val="auto"/>
          <w:sz w:val="24"/>
          <w:szCs w:val="24"/>
          <w:highlight w:val="none"/>
        </w:rPr>
      </w:pPr>
      <w:r>
        <w:rPr>
          <w:rFonts w:eastAsia="楷体"/>
          <w:color w:val="auto"/>
          <w:sz w:val="24"/>
          <w:szCs w:val="24"/>
          <w:highlight w:val="none"/>
        </w:rPr>
        <w:t>2.合同价格形式：    固定价格    。</w:t>
      </w:r>
    </w:p>
    <w:p w14:paraId="389763B5">
      <w:pPr>
        <w:tabs>
          <w:tab w:val="left" w:pos="1226"/>
        </w:tabs>
        <w:spacing w:before="173"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 xml:space="preserve">3．适用框架协议的征集人： </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 xml:space="preserve"> </w:t>
      </w:r>
    </w:p>
    <w:p w14:paraId="5BEEB609">
      <w:pPr>
        <w:tabs>
          <w:tab w:val="left" w:pos="1226"/>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4．履行合同的地域范围：采购人指定地点 </w:t>
      </w:r>
    </w:p>
    <w:p w14:paraId="2C3CC423">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第三条 确定第二阶段成交供应商的方式</w:t>
      </w:r>
    </w:p>
    <w:p w14:paraId="729D69E9">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1．采购人在入围供应商中通过</w:t>
      </w:r>
      <w:r>
        <w:rPr>
          <w:rFonts w:hint="eastAsia" w:eastAsia="楷体"/>
          <w:color w:val="auto"/>
          <w:sz w:val="24"/>
          <w:szCs w:val="24"/>
          <w:highlight w:val="none"/>
          <w:lang w:val="en-US" w:eastAsia="zh-CN"/>
        </w:rPr>
        <w:t>第</w:t>
      </w:r>
      <w:r>
        <w:rPr>
          <w:rFonts w:hint="eastAsia" w:eastAsia="楷体"/>
          <w:color w:val="auto"/>
          <w:sz w:val="24"/>
          <w:szCs w:val="24"/>
          <w:highlight w:val="none"/>
          <w:u w:val="single"/>
          <w:lang w:val="en-US" w:eastAsia="zh-CN"/>
        </w:rPr>
        <w:t xml:space="preserve"> </w:t>
      </w:r>
      <w:r>
        <w:rPr>
          <w:rFonts w:hint="eastAsia" w:eastAsia="楷体"/>
          <w:color w:val="auto"/>
          <w:sz w:val="24"/>
          <w:szCs w:val="24"/>
          <w:highlight w:val="none"/>
          <w:u w:val="single"/>
          <w:lang w:eastAsia="zh-CN"/>
        </w:rPr>
        <w:t>（</w:t>
      </w:r>
      <w:r>
        <w:rPr>
          <w:rFonts w:hint="eastAsia" w:eastAsia="楷体"/>
          <w:color w:val="auto"/>
          <w:sz w:val="24"/>
          <w:szCs w:val="24"/>
          <w:highlight w:val="none"/>
          <w:u w:val="single"/>
          <w:lang w:val="en-US" w:eastAsia="zh-CN"/>
        </w:rPr>
        <w:t>1</w:t>
      </w:r>
      <w:r>
        <w:rPr>
          <w:rFonts w:hint="eastAsia" w:eastAsia="楷体"/>
          <w:color w:val="auto"/>
          <w:sz w:val="24"/>
          <w:szCs w:val="24"/>
          <w:highlight w:val="none"/>
          <w:u w:val="single"/>
          <w:lang w:eastAsia="zh-CN"/>
        </w:rPr>
        <w:t>）</w:t>
      </w:r>
      <w:r>
        <w:rPr>
          <w:rFonts w:hint="eastAsia" w:eastAsia="楷体"/>
          <w:color w:val="auto"/>
          <w:sz w:val="24"/>
          <w:szCs w:val="24"/>
          <w:highlight w:val="none"/>
          <w:u w:val="single"/>
          <w:lang w:val="en-US" w:eastAsia="zh-CN"/>
        </w:rPr>
        <w:t xml:space="preserve"> </w:t>
      </w:r>
      <w:r>
        <w:rPr>
          <w:rFonts w:eastAsia="楷体"/>
          <w:color w:val="auto"/>
          <w:sz w:val="24"/>
          <w:szCs w:val="24"/>
          <w:highlight w:val="none"/>
        </w:rPr>
        <w:t>方式确定成交供应商并签订合同。</w:t>
      </w:r>
    </w:p>
    <w:p w14:paraId="30B70431">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1</w:t>
      </w:r>
      <w:r>
        <w:rPr>
          <w:rFonts w:eastAsia="楷体"/>
          <w:color w:val="auto"/>
          <w:sz w:val="24"/>
          <w:szCs w:val="24"/>
          <w:highlight w:val="none"/>
        </w:rPr>
        <w:t>）直接选定，依据入围产品价格、质量以及服务便利性、用户评价等因素，从入围供应商中直接选定成交供应商。</w:t>
      </w:r>
    </w:p>
    <w:p w14:paraId="37C4C300">
      <w:pPr>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w:t>
      </w:r>
      <w:r>
        <w:rPr>
          <w:rFonts w:hint="eastAsia" w:eastAsia="楷体"/>
          <w:color w:val="auto"/>
          <w:spacing w:val="-7"/>
          <w:sz w:val="24"/>
          <w:szCs w:val="24"/>
          <w:highlight w:val="none"/>
          <w:lang w:val="en-US" w:eastAsia="zh-CN"/>
        </w:rPr>
        <w:t>2</w:t>
      </w:r>
      <w:r>
        <w:rPr>
          <w:rFonts w:eastAsia="楷体"/>
          <w:color w:val="auto"/>
          <w:spacing w:val="-7"/>
          <w:sz w:val="24"/>
          <w:szCs w:val="24"/>
          <w:highlight w:val="none"/>
        </w:rPr>
        <w:t>）二次竞价</w:t>
      </w:r>
    </w:p>
    <w:p w14:paraId="1C5F37E0">
      <w:pPr>
        <w:spacing w:before="172"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二次竞价规则：协议方乙方以第一阶段的响应报价（协议价格）为最高限价，依照响应文件中承诺的入围产品（服务）、采购合同等事项，根据采购人明确的竞价需求，参与二次竞价，以报价最低的为成交供应商。</w:t>
      </w:r>
    </w:p>
    <w:p w14:paraId="6A15CF9E">
      <w:pPr>
        <w:tabs>
          <w:tab w:val="left" w:pos="3003"/>
          <w:tab w:val="left" w:pos="3724"/>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二次竞价截止时间：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u w:val="single"/>
        </w:rPr>
        <w:t xml:space="preserve"> </w:t>
      </w:r>
      <w:r>
        <w:rPr>
          <w:rFonts w:eastAsia="楷体"/>
          <w:color w:val="auto"/>
          <w:sz w:val="24"/>
          <w:szCs w:val="24"/>
          <w:highlight w:val="none"/>
        </w:rPr>
        <w:t>二次竞价需求：</w:t>
      </w:r>
      <w:r>
        <w:rPr>
          <w:rFonts w:eastAsia="楷体"/>
          <w:color w:val="auto"/>
          <w:spacing w:val="119"/>
          <w:sz w:val="24"/>
          <w:szCs w:val="24"/>
          <w:highlight w:val="none"/>
          <w:u w:val="single"/>
        </w:rPr>
        <w:t xml:space="preserve"> </w:t>
      </w:r>
      <w:r>
        <w:rPr>
          <w:rFonts w:eastAsia="楷体"/>
          <w:color w:val="auto"/>
          <w:sz w:val="24"/>
          <w:szCs w:val="24"/>
          <w:highlight w:val="none"/>
          <w:u w:val="single"/>
        </w:rPr>
        <w:t>/</w:t>
      </w:r>
      <w:r>
        <w:rPr>
          <w:rFonts w:eastAsia="楷体"/>
          <w:color w:val="auto"/>
          <w:sz w:val="24"/>
          <w:szCs w:val="24"/>
          <w:highlight w:val="none"/>
          <w:u w:val="single"/>
        </w:rPr>
        <w:tab/>
      </w:r>
    </w:p>
    <w:p w14:paraId="4ABC1620">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3</w:t>
      </w:r>
      <w:r>
        <w:rPr>
          <w:rFonts w:eastAsia="楷体"/>
          <w:color w:val="auto"/>
          <w:sz w:val="24"/>
          <w:szCs w:val="24"/>
          <w:highlight w:val="none"/>
        </w:rPr>
        <w:t>）顺序轮候</w:t>
      </w:r>
    </w:p>
    <w:p w14:paraId="2A72B883">
      <w:pPr>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顺序轮候规则：以入围供应商从高到低排名依次进行合同授予，每个入围供应商在一个顺序轮候期内，仅能获得一次合同授予的机会。</w:t>
      </w:r>
    </w:p>
    <w:p w14:paraId="078DABA0">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顺序轮候期：</w:t>
      </w:r>
      <w:r>
        <w:rPr>
          <w:rFonts w:eastAsia="楷体"/>
          <w:color w:val="auto"/>
          <w:sz w:val="24"/>
          <w:szCs w:val="24"/>
          <w:highlight w:val="none"/>
          <w:u w:val="single"/>
        </w:rPr>
        <w:t xml:space="preserve"> / </w:t>
      </w:r>
    </w:p>
    <w:p w14:paraId="15F471A4">
      <w:pPr>
        <w:spacing w:before="214" w:line="460" w:lineRule="exact"/>
        <w:ind w:left="420" w:leftChars="200" w:right="420" w:rightChars="200" w:firstLine="482" w:firstLineChars="200"/>
        <w:rPr>
          <w:rFonts w:eastAsia="楷体"/>
          <w:b/>
          <w:color w:val="auto"/>
          <w:sz w:val="24"/>
          <w:szCs w:val="24"/>
          <w:highlight w:val="none"/>
        </w:rPr>
      </w:pPr>
      <w:r>
        <w:rPr>
          <w:rFonts w:eastAsia="楷体"/>
          <w:b/>
          <w:color w:val="auto"/>
          <w:sz w:val="24"/>
          <w:szCs w:val="24"/>
          <w:highlight w:val="none"/>
        </w:rPr>
        <w:t>第四条 资金支付方式、时间、条件</w:t>
      </w:r>
    </w:p>
    <w:p w14:paraId="5C1F816E">
      <w:pPr>
        <w:numPr>
          <w:ilvl w:val="1"/>
          <w:numId w:val="8"/>
        </w:numPr>
        <w:tabs>
          <w:tab w:val="left" w:pos="1107"/>
        </w:tabs>
        <w:spacing w:before="173" w:line="460" w:lineRule="exact"/>
        <w:ind w:left="420" w:leftChars="200" w:right="420" w:rightChars="200" w:firstLine="448" w:firstLineChars="200"/>
        <w:rPr>
          <w:rFonts w:eastAsia="楷体"/>
          <w:color w:val="auto"/>
          <w:sz w:val="24"/>
          <w:szCs w:val="24"/>
          <w:highlight w:val="none"/>
        </w:rPr>
      </w:pPr>
      <w:r>
        <w:rPr>
          <w:rFonts w:eastAsia="楷体"/>
          <w:color w:val="auto"/>
          <w:spacing w:val="-8"/>
          <w:sz w:val="24"/>
          <w:szCs w:val="24"/>
          <w:highlight w:val="none"/>
        </w:rPr>
        <w:t>本项目无预付款。在完成项目评审、评价、审核等工作后，供应商按年度填写《项</w:t>
      </w:r>
      <w:r>
        <w:rPr>
          <w:rFonts w:eastAsia="楷体"/>
          <w:color w:val="auto"/>
          <w:spacing w:val="-3"/>
          <w:sz w:val="24"/>
          <w:szCs w:val="24"/>
          <w:highlight w:val="none"/>
        </w:rPr>
        <w:t>目委托评审费支付申请表》并加盖公章后送采购人审核签认，由采购人直接向成交供应商</w:t>
      </w:r>
      <w:r>
        <w:rPr>
          <w:rFonts w:eastAsia="楷体"/>
          <w:color w:val="auto"/>
          <w:sz w:val="24"/>
          <w:szCs w:val="24"/>
          <w:highlight w:val="none"/>
        </w:rPr>
        <w:t>支付。双方账户信息如下：</w:t>
      </w:r>
    </w:p>
    <w:p w14:paraId="15097210">
      <w:pPr>
        <w:spacing w:line="460" w:lineRule="exact"/>
        <w:ind w:left="420" w:leftChars="200" w:right="420" w:rightChars="200" w:firstLine="480" w:firstLineChars="200"/>
        <w:rPr>
          <w:rFonts w:hint="default" w:eastAsia="楷体"/>
          <w:color w:val="auto"/>
          <w:sz w:val="24"/>
          <w:szCs w:val="24"/>
          <w:highlight w:val="none"/>
          <w:lang w:val="en-US" w:eastAsia="zh-CN"/>
        </w:rPr>
      </w:pPr>
      <w:r>
        <w:rPr>
          <w:rFonts w:eastAsia="楷体"/>
          <w:color w:val="auto"/>
          <w:sz w:val="24"/>
          <w:szCs w:val="24"/>
          <w:highlight w:val="none"/>
        </w:rPr>
        <w:t>甲方名称：</w:t>
      </w:r>
      <w:r>
        <w:rPr>
          <w:rFonts w:hint="eastAsia" w:eastAsia="楷体"/>
          <w:color w:val="auto"/>
          <w:sz w:val="24"/>
          <w:szCs w:val="24"/>
          <w:highlight w:val="none"/>
          <w:u w:val="single"/>
          <w:lang w:eastAsia="zh-CN"/>
        </w:rPr>
        <w:t>阿勒泰地区财政局</w:t>
      </w:r>
      <w:r>
        <w:rPr>
          <w:rFonts w:hint="eastAsia" w:eastAsia="楷体"/>
          <w:color w:val="auto"/>
          <w:sz w:val="24"/>
          <w:szCs w:val="24"/>
          <w:highlight w:val="none"/>
          <w:u w:val="single"/>
          <w:lang w:val="en-US" w:eastAsia="zh-CN"/>
        </w:rPr>
        <w:t xml:space="preserve"> </w:t>
      </w:r>
    </w:p>
    <w:p w14:paraId="37757B27">
      <w:pPr>
        <w:tabs>
          <w:tab w:val="left" w:pos="6321"/>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国税纳税人识别号： </w:t>
      </w:r>
      <w:r>
        <w:rPr>
          <w:rFonts w:eastAsia="楷体"/>
          <w:color w:val="auto"/>
          <w:sz w:val="24"/>
          <w:szCs w:val="24"/>
          <w:highlight w:val="none"/>
          <w:u w:val="single"/>
        </w:rPr>
        <w:t xml:space="preserve"> </w:t>
      </w:r>
      <w:r>
        <w:rPr>
          <w:rFonts w:eastAsia="楷体"/>
          <w:color w:val="auto"/>
          <w:sz w:val="24"/>
          <w:szCs w:val="24"/>
          <w:highlight w:val="none"/>
          <w:u w:val="single"/>
        </w:rPr>
        <w:tab/>
      </w:r>
    </w:p>
    <w:p w14:paraId="013E5B45">
      <w:pPr>
        <w:tabs>
          <w:tab w:val="left" w:pos="4880"/>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户名：</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4947C039">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开户行：</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5D6F9913">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hint="eastAsia" w:eastAsia="楷体"/>
          <w:color w:val="auto"/>
          <w:sz w:val="24"/>
          <w:szCs w:val="24"/>
          <w:highlight w:val="none"/>
          <w:lang w:eastAsia="zh-CN"/>
        </w:rPr>
        <w:t>账号</w:t>
      </w:r>
      <w:r>
        <w:rPr>
          <w:rFonts w:eastAsia="楷体"/>
          <w:color w:val="auto"/>
          <w:sz w:val="24"/>
          <w:szCs w:val="24"/>
          <w:highlight w:val="none"/>
        </w:rPr>
        <w:t>：</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68D29E04">
      <w:pPr>
        <w:tabs>
          <w:tab w:val="left" w:pos="4880"/>
        </w:tabs>
        <w:spacing w:before="174"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地址：</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3F601E52">
      <w:pPr>
        <w:tabs>
          <w:tab w:val="left" w:pos="4880"/>
        </w:tabs>
        <w:spacing w:before="1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联系电话：</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2D86D42E">
      <w:pPr>
        <w:pStyle w:val="5"/>
        <w:spacing w:line="460" w:lineRule="exact"/>
        <w:ind w:right="420" w:rightChars="200"/>
        <w:rPr>
          <w:rFonts w:eastAsia="楷体"/>
          <w:color w:val="auto"/>
          <w:sz w:val="24"/>
          <w:szCs w:val="24"/>
          <w:highlight w:val="none"/>
        </w:rPr>
      </w:pPr>
    </w:p>
    <w:p w14:paraId="50CBB203">
      <w:pPr>
        <w:tabs>
          <w:tab w:val="left" w:pos="4880"/>
        </w:tabs>
        <w:spacing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乙方名称：</w:t>
      </w:r>
      <w:r>
        <w:rPr>
          <w:rFonts w:eastAsia="楷体"/>
          <w:color w:val="auto"/>
          <w:sz w:val="24"/>
          <w:szCs w:val="24"/>
          <w:highlight w:val="none"/>
          <w:u w:val="single"/>
        </w:rPr>
        <w:tab/>
      </w:r>
      <w:r>
        <w:rPr>
          <w:rFonts w:eastAsia="楷体"/>
          <w:color w:val="auto"/>
          <w:spacing w:val="-1"/>
          <w:sz w:val="24"/>
          <w:szCs w:val="24"/>
          <w:highlight w:val="none"/>
        </w:rPr>
        <w:t xml:space="preserve">  </w:t>
      </w:r>
    </w:p>
    <w:p w14:paraId="7E3241D4">
      <w:pPr>
        <w:tabs>
          <w:tab w:val="left" w:pos="4880"/>
        </w:tabs>
        <w:spacing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国税纳税人识别号：</w:t>
      </w:r>
      <w:r>
        <w:rPr>
          <w:rFonts w:eastAsia="楷体"/>
          <w:color w:val="auto"/>
          <w:sz w:val="24"/>
          <w:szCs w:val="24"/>
          <w:highlight w:val="none"/>
          <w:u w:val="single"/>
        </w:rPr>
        <w:tab/>
      </w:r>
      <w:r>
        <w:rPr>
          <w:rFonts w:eastAsia="楷体"/>
          <w:color w:val="auto"/>
          <w:spacing w:val="-1"/>
          <w:sz w:val="24"/>
          <w:szCs w:val="24"/>
          <w:highlight w:val="none"/>
        </w:rPr>
        <w:t xml:space="preserve">  </w:t>
      </w:r>
    </w:p>
    <w:p w14:paraId="77ED62B6">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eastAsia="楷体"/>
          <w:color w:val="auto"/>
          <w:spacing w:val="-1"/>
          <w:sz w:val="24"/>
          <w:szCs w:val="24"/>
          <w:highlight w:val="none"/>
        </w:rPr>
        <w:t xml:space="preserve">户名：  </w:t>
      </w:r>
      <w:r>
        <w:rPr>
          <w:rFonts w:eastAsia="楷体"/>
          <w:color w:val="auto"/>
          <w:sz w:val="24"/>
          <w:szCs w:val="24"/>
          <w:highlight w:val="none"/>
          <w:u w:val="single"/>
        </w:rPr>
        <w:tab/>
      </w:r>
    </w:p>
    <w:p w14:paraId="17F59174">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eastAsia="楷体"/>
          <w:color w:val="auto"/>
          <w:spacing w:val="-1"/>
          <w:sz w:val="24"/>
          <w:szCs w:val="24"/>
          <w:highlight w:val="none"/>
        </w:rPr>
        <w:t xml:space="preserve">开户行： </w:t>
      </w:r>
      <w:r>
        <w:rPr>
          <w:rFonts w:eastAsia="楷体"/>
          <w:color w:val="auto"/>
          <w:sz w:val="24"/>
          <w:szCs w:val="24"/>
          <w:highlight w:val="none"/>
          <w:u w:val="single"/>
        </w:rPr>
        <w:tab/>
      </w:r>
    </w:p>
    <w:p w14:paraId="2C79877F">
      <w:pPr>
        <w:tabs>
          <w:tab w:val="left" w:pos="4880"/>
        </w:tabs>
        <w:spacing w:line="460" w:lineRule="exact"/>
        <w:ind w:left="420" w:leftChars="200" w:right="420" w:rightChars="200" w:firstLine="476" w:firstLineChars="200"/>
        <w:rPr>
          <w:rFonts w:eastAsia="楷体"/>
          <w:color w:val="auto"/>
          <w:sz w:val="24"/>
          <w:szCs w:val="24"/>
          <w:highlight w:val="none"/>
          <w:u w:val="single"/>
        </w:rPr>
      </w:pPr>
      <w:r>
        <w:rPr>
          <w:rFonts w:hint="eastAsia" w:eastAsia="楷体"/>
          <w:color w:val="auto"/>
          <w:spacing w:val="-1"/>
          <w:sz w:val="24"/>
          <w:szCs w:val="24"/>
          <w:highlight w:val="none"/>
          <w:lang w:eastAsia="zh-CN"/>
        </w:rPr>
        <w:t>账号</w:t>
      </w:r>
      <w:r>
        <w:rPr>
          <w:rFonts w:eastAsia="楷体"/>
          <w:color w:val="auto"/>
          <w:spacing w:val="-1"/>
          <w:sz w:val="24"/>
          <w:szCs w:val="24"/>
          <w:highlight w:val="none"/>
        </w:rPr>
        <w:t xml:space="preserve">：  </w:t>
      </w:r>
      <w:r>
        <w:rPr>
          <w:rFonts w:eastAsia="楷体"/>
          <w:color w:val="auto"/>
          <w:sz w:val="24"/>
          <w:szCs w:val="24"/>
          <w:highlight w:val="none"/>
          <w:u w:val="single"/>
        </w:rPr>
        <w:tab/>
      </w:r>
    </w:p>
    <w:p w14:paraId="426D4DBD">
      <w:pPr>
        <w:tabs>
          <w:tab w:val="left" w:pos="4880"/>
        </w:tabs>
        <w:spacing w:line="460" w:lineRule="exact"/>
        <w:ind w:left="420" w:leftChars="200" w:right="420" w:rightChars="200" w:firstLine="480" w:firstLineChars="200"/>
        <w:rPr>
          <w:rFonts w:eastAsia="楷体"/>
          <w:color w:val="auto"/>
          <w:sz w:val="24"/>
          <w:szCs w:val="24"/>
          <w:highlight w:val="none"/>
          <w:u w:val="single"/>
        </w:rPr>
      </w:pPr>
      <w:r>
        <w:rPr>
          <w:rFonts w:eastAsia="楷体"/>
          <w:color w:val="auto"/>
          <w:sz w:val="24"/>
          <w:szCs w:val="24"/>
          <w:highlight w:val="none"/>
        </w:rPr>
        <w:t>地址：</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479FABE7">
      <w:pPr>
        <w:tabs>
          <w:tab w:val="left" w:pos="4880"/>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联系电话：</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p>
    <w:p w14:paraId="69F6C533">
      <w:pPr>
        <w:spacing w:before="66" w:line="460" w:lineRule="exact"/>
        <w:ind w:left="420" w:leftChars="200" w:right="420" w:rightChars="200" w:firstLine="464" w:firstLineChars="200"/>
        <w:rPr>
          <w:rFonts w:eastAsia="楷体"/>
          <w:color w:val="auto"/>
          <w:sz w:val="24"/>
          <w:szCs w:val="24"/>
          <w:highlight w:val="none"/>
        </w:rPr>
      </w:pPr>
      <w:r>
        <w:rPr>
          <w:rFonts w:eastAsia="楷体"/>
          <w:color w:val="auto"/>
          <w:spacing w:val="-4"/>
          <w:sz w:val="24"/>
          <w:szCs w:val="24"/>
          <w:highlight w:val="none"/>
        </w:rPr>
        <w:t xml:space="preserve">乙方如需改变上述账户，应提前 </w:t>
      </w:r>
      <w:r>
        <w:rPr>
          <w:rFonts w:eastAsia="楷体"/>
          <w:color w:val="auto"/>
          <w:sz w:val="24"/>
          <w:szCs w:val="24"/>
          <w:highlight w:val="none"/>
        </w:rPr>
        <w:t>10</w:t>
      </w:r>
      <w:r>
        <w:rPr>
          <w:rFonts w:eastAsia="楷体"/>
          <w:color w:val="auto"/>
          <w:spacing w:val="-8"/>
          <w:sz w:val="24"/>
          <w:szCs w:val="24"/>
          <w:highlight w:val="none"/>
        </w:rPr>
        <w:t xml:space="preserve"> 日以书面通知甲方。如乙方未按本合同规定通知</w:t>
      </w:r>
      <w:r>
        <w:rPr>
          <w:rFonts w:eastAsia="楷体"/>
          <w:color w:val="auto"/>
          <w:sz w:val="24"/>
          <w:szCs w:val="24"/>
          <w:highlight w:val="none"/>
        </w:rPr>
        <w:t>导致甲方逾期付款，甲方不承担任何违约责任，乙方应承担因此产生的一切费用。</w:t>
      </w:r>
    </w:p>
    <w:p w14:paraId="24B09AAB">
      <w:pPr>
        <w:numPr>
          <w:ilvl w:val="1"/>
          <w:numId w:val="8"/>
        </w:numPr>
        <w:tabs>
          <w:tab w:val="left" w:pos="1107"/>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费率其他约定</w:t>
      </w:r>
    </w:p>
    <w:p w14:paraId="48896A98">
      <w:pPr>
        <w:spacing w:before="172"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 xml:space="preserve">当成交供应商承接的项目评审存在特殊情况，采购人与成交供应商协商确定费率后， </w:t>
      </w:r>
      <w:r>
        <w:rPr>
          <w:rFonts w:eastAsia="楷体"/>
          <w:color w:val="auto"/>
          <w:sz w:val="24"/>
          <w:szCs w:val="24"/>
          <w:highlight w:val="none"/>
        </w:rPr>
        <w:t>另行在采购合同中约定。</w:t>
      </w:r>
    </w:p>
    <w:p w14:paraId="16F60308">
      <w:pPr>
        <w:pStyle w:val="32"/>
        <w:numPr>
          <w:ilvl w:val="1"/>
          <w:numId w:val="8"/>
        </w:numPr>
        <w:tabs>
          <w:tab w:val="left" w:pos="1107"/>
        </w:tabs>
        <w:spacing w:before="1" w:after="0" w:line="460" w:lineRule="exact"/>
        <w:ind w:left="420" w:leftChars="200" w:right="420" w:rightChars="200" w:firstLine="420" w:firstLineChars="200"/>
        <w:rPr>
          <w:rFonts w:ascii="Times New Roman" w:eastAsia="楷体"/>
          <w:b/>
          <w:color w:val="auto"/>
          <w:szCs w:val="24"/>
          <w:highlight w:val="none"/>
        </w:rPr>
      </w:pPr>
      <w:r>
        <w:rPr>
          <w:rFonts w:ascii="Times New Roman" w:eastAsia="楷体"/>
          <w:color w:val="auto"/>
          <w:szCs w:val="24"/>
          <w:highlight w:val="none"/>
        </w:rPr>
        <w:t>履约保证金：无。</w:t>
      </w:r>
    </w:p>
    <w:p w14:paraId="1F36B0A1">
      <w:pPr>
        <w:pStyle w:val="32"/>
        <w:tabs>
          <w:tab w:val="left" w:pos="1107"/>
        </w:tabs>
        <w:spacing w:before="1" w:after="0" w:line="460" w:lineRule="exact"/>
        <w:ind w:left="420" w:leftChars="200" w:right="420" w:rightChars="200" w:firstLine="410" w:firstLineChars="200"/>
        <w:jc w:val="left"/>
        <w:rPr>
          <w:rFonts w:ascii="Times New Roman" w:eastAsia="楷体"/>
          <w:b/>
          <w:color w:val="auto"/>
          <w:szCs w:val="24"/>
          <w:highlight w:val="none"/>
        </w:rPr>
      </w:pPr>
      <w:r>
        <w:rPr>
          <w:rFonts w:ascii="Times New Roman" w:eastAsia="楷体"/>
          <w:b/>
          <w:color w:val="auto"/>
          <w:spacing w:val="-3"/>
          <w:szCs w:val="24"/>
          <w:highlight w:val="none"/>
        </w:rPr>
        <w:t>第五条 采购合同文本</w:t>
      </w:r>
    </w:p>
    <w:p w14:paraId="28553FD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u w:val="single"/>
        </w:rPr>
        <w:t>详见第六章采购合同（格式）</w:t>
      </w:r>
      <w:r>
        <w:rPr>
          <w:rFonts w:eastAsia="楷体"/>
          <w:color w:val="auto"/>
          <w:sz w:val="24"/>
          <w:szCs w:val="24"/>
          <w:highlight w:val="none"/>
        </w:rPr>
        <w:t>。</w:t>
      </w:r>
    </w:p>
    <w:p w14:paraId="26772F33">
      <w:pPr>
        <w:numPr>
          <w:ilvl w:val="0"/>
          <w:numId w:val="9"/>
        </w:num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入围供应商清退和补充规则</w:t>
      </w:r>
    </w:p>
    <w:p w14:paraId="6D8352A9">
      <w:pPr>
        <w:spacing w:before="173" w:line="460" w:lineRule="exact"/>
        <w:ind w:left="420" w:leftChars="200" w:right="420" w:rightChars="200" w:firstLine="480" w:firstLineChars="200"/>
        <w:jc w:val="left"/>
        <w:rPr>
          <w:rFonts w:eastAsia="楷体"/>
          <w:color w:val="auto"/>
          <w:sz w:val="24"/>
          <w:szCs w:val="24"/>
          <w:highlight w:val="none"/>
        </w:rPr>
      </w:pPr>
      <w:r>
        <w:rPr>
          <w:rFonts w:eastAsia="楷体"/>
          <w:color w:val="auto"/>
          <w:sz w:val="24"/>
          <w:szCs w:val="24"/>
          <w:highlight w:val="none"/>
        </w:rPr>
        <w:t>1.入围供应商的清退</w:t>
      </w:r>
    </w:p>
    <w:p w14:paraId="1C7E531E">
      <w:pPr>
        <w:spacing w:line="460" w:lineRule="exact"/>
        <w:ind w:left="420" w:leftChars="200" w:right="420" w:rightChars="200" w:firstLine="456" w:firstLineChars="200"/>
        <w:rPr>
          <w:rFonts w:eastAsia="楷体"/>
          <w:color w:val="auto"/>
          <w:sz w:val="24"/>
          <w:szCs w:val="24"/>
          <w:highlight w:val="none"/>
        </w:rPr>
      </w:pPr>
      <w:r>
        <w:rPr>
          <w:rFonts w:eastAsia="楷体"/>
          <w:color w:val="auto"/>
          <w:spacing w:val="-6"/>
          <w:sz w:val="24"/>
          <w:szCs w:val="24"/>
          <w:highlight w:val="none"/>
        </w:rPr>
        <w:t>乙方在签订本框架协议前出现以下情形之一</w:t>
      </w:r>
      <w:r>
        <w:rPr>
          <w:rFonts w:hint="eastAsia" w:eastAsia="楷体"/>
          <w:color w:val="auto"/>
          <w:spacing w:val="-6"/>
          <w:sz w:val="24"/>
          <w:szCs w:val="24"/>
          <w:highlight w:val="none"/>
          <w:lang w:val="en-US" w:eastAsia="zh-CN"/>
        </w:rPr>
        <w:t>或服务要求标准</w:t>
      </w:r>
      <w:r>
        <w:rPr>
          <w:rFonts w:eastAsia="楷体"/>
          <w:color w:val="auto"/>
          <w:spacing w:val="-6"/>
          <w:sz w:val="24"/>
          <w:szCs w:val="24"/>
          <w:highlight w:val="none"/>
        </w:rPr>
        <w:t>的</w:t>
      </w:r>
      <w:r>
        <w:rPr>
          <w:rFonts w:hint="eastAsia" w:eastAsia="楷体"/>
          <w:color w:val="auto"/>
          <w:spacing w:val="-6"/>
          <w:sz w:val="24"/>
          <w:szCs w:val="24"/>
          <w:highlight w:val="none"/>
          <w:lang w:val="en-US" w:eastAsia="zh-CN"/>
        </w:rPr>
        <w:t>其他条款</w:t>
      </w:r>
      <w:r>
        <w:rPr>
          <w:rFonts w:eastAsia="楷体"/>
          <w:color w:val="auto"/>
          <w:spacing w:val="-6"/>
          <w:sz w:val="24"/>
          <w:szCs w:val="24"/>
          <w:highlight w:val="none"/>
        </w:rPr>
        <w:t>，甲方将取消其入围资格；乙方在签订</w:t>
      </w:r>
      <w:r>
        <w:rPr>
          <w:rFonts w:eastAsia="楷体"/>
          <w:color w:val="auto"/>
          <w:sz w:val="24"/>
          <w:szCs w:val="24"/>
          <w:highlight w:val="none"/>
        </w:rPr>
        <w:t>本框架协议后出现以下情形之一</w:t>
      </w:r>
      <w:r>
        <w:rPr>
          <w:rFonts w:hint="eastAsia" w:eastAsia="楷体"/>
          <w:color w:val="auto"/>
          <w:spacing w:val="-6"/>
          <w:sz w:val="24"/>
          <w:szCs w:val="24"/>
          <w:highlight w:val="none"/>
          <w:lang w:val="en-US" w:eastAsia="zh-CN"/>
        </w:rPr>
        <w:t>或服务要求标准</w:t>
      </w:r>
      <w:r>
        <w:rPr>
          <w:rFonts w:eastAsia="楷体"/>
          <w:color w:val="auto"/>
          <w:spacing w:val="-6"/>
          <w:sz w:val="24"/>
          <w:szCs w:val="24"/>
          <w:highlight w:val="none"/>
        </w:rPr>
        <w:t>的</w:t>
      </w:r>
      <w:r>
        <w:rPr>
          <w:rFonts w:hint="eastAsia" w:eastAsia="楷体"/>
          <w:color w:val="auto"/>
          <w:spacing w:val="-6"/>
          <w:sz w:val="24"/>
          <w:szCs w:val="24"/>
          <w:highlight w:val="none"/>
          <w:lang w:val="en-US" w:eastAsia="zh-CN"/>
        </w:rPr>
        <w:t>其他条款</w:t>
      </w:r>
      <w:r>
        <w:rPr>
          <w:rFonts w:eastAsia="楷体"/>
          <w:color w:val="auto"/>
          <w:sz w:val="24"/>
          <w:szCs w:val="24"/>
          <w:highlight w:val="none"/>
        </w:rPr>
        <w:t>的，甲方将解除与其签订的框架协议：</w:t>
      </w:r>
    </w:p>
    <w:p w14:paraId="16F5EB97">
      <w:pPr>
        <w:numPr>
          <w:ilvl w:val="0"/>
          <w:numId w:val="10"/>
        </w:numPr>
        <w:tabs>
          <w:tab w:val="left" w:pos="1325"/>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恶意串通谋取入围或者成交的；</w:t>
      </w:r>
    </w:p>
    <w:p w14:paraId="04D049FC">
      <w:pPr>
        <w:numPr>
          <w:ilvl w:val="0"/>
          <w:numId w:val="10"/>
        </w:numPr>
        <w:tabs>
          <w:tab w:val="left" w:pos="1325"/>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提供虚假材料谋取入围或者成交的；</w:t>
      </w:r>
    </w:p>
    <w:p w14:paraId="5AF09A64">
      <w:pPr>
        <w:numPr>
          <w:ilvl w:val="0"/>
          <w:numId w:val="10"/>
        </w:numPr>
        <w:tabs>
          <w:tab w:val="left" w:pos="1325"/>
        </w:tabs>
        <w:spacing w:before="21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无正当理由拒不接受授予的；</w:t>
      </w:r>
    </w:p>
    <w:p w14:paraId="77B3DA67">
      <w:pPr>
        <w:numPr>
          <w:ilvl w:val="0"/>
          <w:numId w:val="10"/>
        </w:numPr>
        <w:tabs>
          <w:tab w:val="left" w:pos="1325"/>
        </w:tabs>
        <w:spacing w:before="173" w:line="460" w:lineRule="exact"/>
        <w:ind w:left="420" w:leftChars="200" w:right="420" w:rightChars="200" w:firstLine="472" w:firstLineChars="200"/>
        <w:rPr>
          <w:rFonts w:eastAsia="楷体"/>
          <w:color w:val="auto"/>
          <w:sz w:val="24"/>
          <w:szCs w:val="24"/>
          <w:highlight w:val="none"/>
        </w:rPr>
      </w:pPr>
      <w:r>
        <w:rPr>
          <w:rFonts w:eastAsia="楷体"/>
          <w:color w:val="auto"/>
          <w:spacing w:val="-2"/>
          <w:sz w:val="24"/>
          <w:szCs w:val="24"/>
          <w:highlight w:val="none"/>
        </w:rPr>
        <w:t>不履行</w:t>
      </w:r>
      <w:r>
        <w:rPr>
          <w:rFonts w:eastAsia="楷体"/>
          <w:color w:val="auto"/>
          <w:spacing w:val="-6"/>
          <w:sz w:val="24"/>
          <w:szCs w:val="24"/>
          <w:highlight w:val="none"/>
        </w:rPr>
        <w:t>框架协议</w:t>
      </w:r>
      <w:r>
        <w:rPr>
          <w:rFonts w:eastAsia="楷体"/>
          <w:color w:val="auto"/>
          <w:spacing w:val="-2"/>
          <w:sz w:val="24"/>
          <w:szCs w:val="24"/>
          <w:highlight w:val="none"/>
        </w:rPr>
        <w:t>义务或者履行义务不符合约定，经采购人请求履行后仍不履行</w:t>
      </w:r>
      <w:r>
        <w:rPr>
          <w:rFonts w:eastAsia="楷体"/>
          <w:color w:val="auto"/>
          <w:spacing w:val="-4"/>
          <w:sz w:val="24"/>
          <w:szCs w:val="24"/>
          <w:highlight w:val="none"/>
        </w:rPr>
        <w:t>或者仍未按约定履行的；</w:t>
      </w:r>
    </w:p>
    <w:p w14:paraId="7CF24AF0">
      <w:pPr>
        <w:numPr>
          <w:ilvl w:val="0"/>
          <w:numId w:val="10"/>
        </w:numPr>
        <w:tabs>
          <w:tab w:val="left" w:pos="1325"/>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框架协议有效期内，因违法行为被禁止或限制参加政府采购活动的；</w:t>
      </w:r>
    </w:p>
    <w:p w14:paraId="15BF9559">
      <w:pPr>
        <w:numPr>
          <w:ilvl w:val="0"/>
          <w:numId w:val="10"/>
        </w:numPr>
        <w:tabs>
          <w:tab w:val="left" w:pos="1325"/>
        </w:tabs>
        <w:spacing w:before="173" w:line="460" w:lineRule="exact"/>
        <w:ind w:left="420" w:leftChars="200" w:right="420" w:rightChars="200" w:firstLine="456" w:firstLineChars="200"/>
        <w:rPr>
          <w:rFonts w:eastAsia="楷体"/>
          <w:color w:val="auto"/>
          <w:sz w:val="24"/>
          <w:szCs w:val="24"/>
          <w:highlight w:val="none"/>
        </w:rPr>
      </w:pPr>
      <w:r>
        <w:rPr>
          <w:rFonts w:eastAsia="楷体"/>
          <w:color w:val="auto"/>
          <w:spacing w:val="-6"/>
          <w:sz w:val="24"/>
          <w:szCs w:val="24"/>
          <w:highlight w:val="none"/>
        </w:rPr>
        <w:t>入围供应商的组织机构、经营、财务状况发生较大变化，可能造成不能履行框架</w:t>
      </w:r>
      <w:r>
        <w:rPr>
          <w:rFonts w:eastAsia="楷体"/>
          <w:color w:val="auto"/>
          <w:sz w:val="24"/>
          <w:szCs w:val="24"/>
          <w:highlight w:val="none"/>
        </w:rPr>
        <w:t>协议或合同的。</w:t>
      </w:r>
    </w:p>
    <w:p w14:paraId="46CE0469">
      <w:pPr>
        <w:numPr>
          <w:ilvl w:val="0"/>
          <w:numId w:val="10"/>
        </w:numPr>
        <w:tabs>
          <w:tab w:val="left" w:pos="1325"/>
        </w:tabs>
        <w:spacing w:before="173" w:line="460" w:lineRule="exact"/>
        <w:ind w:left="420" w:leftChars="200" w:right="420" w:rightChars="200" w:firstLine="480" w:firstLineChars="200"/>
      </w:pPr>
      <w:r>
        <w:rPr>
          <w:rFonts w:hint="eastAsia" w:eastAsia="楷体"/>
          <w:color w:val="auto"/>
          <w:sz w:val="24"/>
          <w:szCs w:val="24"/>
          <w:highlight w:val="none"/>
        </w:rPr>
        <w:t>供应商提供的服务出现第五部分</w:t>
      </w:r>
      <w:r>
        <w:rPr>
          <w:rFonts w:hint="eastAsia" w:eastAsia="楷体"/>
          <w:color w:val="auto"/>
          <w:sz w:val="24"/>
          <w:szCs w:val="24"/>
          <w:highlight w:val="none"/>
          <w:lang w:eastAsia="zh-CN"/>
        </w:rPr>
        <w:t>—</w:t>
      </w:r>
      <w:r>
        <w:rPr>
          <w:rFonts w:hint="eastAsia" w:eastAsia="楷体"/>
          <w:color w:val="auto"/>
          <w:sz w:val="24"/>
          <w:szCs w:val="24"/>
          <w:highlight w:val="none"/>
        </w:rPr>
        <w:t>框架协议1.2服务标准（4）（5）（6）任一情形的，发现1次立即清退。</w:t>
      </w:r>
    </w:p>
    <w:p w14:paraId="488E75BD">
      <w:pPr>
        <w:spacing w:before="173" w:line="460" w:lineRule="exact"/>
        <w:ind w:left="420" w:leftChars="200" w:right="420" w:rightChars="200" w:firstLine="480" w:firstLineChars="200"/>
        <w:jc w:val="left"/>
        <w:rPr>
          <w:rFonts w:eastAsia="楷体"/>
          <w:color w:val="auto"/>
          <w:sz w:val="24"/>
          <w:szCs w:val="24"/>
          <w:highlight w:val="none"/>
        </w:rPr>
      </w:pPr>
      <w:r>
        <w:rPr>
          <w:rFonts w:eastAsia="楷体"/>
          <w:color w:val="auto"/>
          <w:sz w:val="24"/>
          <w:szCs w:val="24"/>
          <w:highlight w:val="none"/>
        </w:rPr>
        <w:t>2.入围供应商的补充</w:t>
      </w:r>
    </w:p>
    <w:p w14:paraId="194B00A4">
      <w:pPr>
        <w:tabs>
          <w:tab w:val="left" w:pos="2305"/>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甲方不启动补充征集程序。</w:t>
      </w:r>
    </w:p>
    <w:p w14:paraId="226619D1">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第七条 甲方权利和义务</w:t>
      </w:r>
    </w:p>
    <w:p w14:paraId="4AE638A5">
      <w:pPr>
        <w:numPr>
          <w:ilvl w:val="0"/>
          <w:numId w:val="11"/>
        </w:numPr>
        <w:tabs>
          <w:tab w:val="left" w:pos="1227"/>
        </w:tabs>
        <w:spacing w:before="173"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甲方将依照有关法规、规章的规定，要求采购人按照本项目征集文件采购需求及</w:t>
      </w:r>
      <w:r>
        <w:rPr>
          <w:rFonts w:eastAsia="楷体"/>
          <w:color w:val="auto"/>
          <w:sz w:val="24"/>
          <w:szCs w:val="24"/>
          <w:highlight w:val="none"/>
        </w:rPr>
        <w:t>本框架协议约定的事项从入围供应商中选定成交供应商。</w:t>
      </w:r>
    </w:p>
    <w:p w14:paraId="027BFC4F">
      <w:pPr>
        <w:numPr>
          <w:ilvl w:val="0"/>
          <w:numId w:val="11"/>
        </w:numPr>
        <w:tabs>
          <w:tab w:val="left" w:pos="1227"/>
        </w:tabs>
        <w:spacing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甲方负责管理乙方的服务活动，使其符合采购价格不高于响应报价的价格，采购</w:t>
      </w:r>
      <w:r>
        <w:rPr>
          <w:rFonts w:eastAsia="楷体"/>
          <w:color w:val="auto"/>
          <w:sz w:val="24"/>
          <w:szCs w:val="24"/>
          <w:highlight w:val="none"/>
        </w:rPr>
        <w:t>质量优良和服务良好的要求。</w:t>
      </w:r>
    </w:p>
    <w:p w14:paraId="1A44F07F">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甲方有权按照本项目征集文件以及本框架协议和采购合同等文件对乙方履约行为</w:t>
      </w:r>
      <w:r>
        <w:rPr>
          <w:rFonts w:eastAsia="楷体"/>
          <w:color w:val="auto"/>
          <w:spacing w:val="-2"/>
          <w:sz w:val="24"/>
          <w:szCs w:val="24"/>
          <w:highlight w:val="none"/>
        </w:rPr>
        <w:t>进行监督和检查，收集并公开采购人对入围供应商履行框架协议和采购合同情况的反馈与</w:t>
      </w:r>
      <w:r>
        <w:rPr>
          <w:rFonts w:eastAsia="楷体"/>
          <w:color w:val="auto"/>
          <w:spacing w:val="-3"/>
          <w:sz w:val="24"/>
          <w:szCs w:val="24"/>
          <w:highlight w:val="none"/>
        </w:rPr>
        <w:t>评价。如发现乙方违反征集文件或本协议或采购合同的有关规定和承诺，甲方有权暂停或</w:t>
      </w:r>
      <w:r>
        <w:rPr>
          <w:rFonts w:eastAsia="楷体"/>
          <w:color w:val="auto"/>
          <w:sz w:val="24"/>
          <w:szCs w:val="24"/>
          <w:highlight w:val="none"/>
        </w:rPr>
        <w:t>解除乙方的框架协议。</w:t>
      </w:r>
    </w:p>
    <w:p w14:paraId="19E4A73F">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甲方有权对入围供应商进行清退或补充等相关事宜。</w:t>
      </w:r>
    </w:p>
    <w:p w14:paraId="7259203E">
      <w:pPr>
        <w:numPr>
          <w:ilvl w:val="0"/>
          <w:numId w:val="11"/>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如征集文件有要求需要在框架协议中另行确定的事项，甲方有权按征集文件要求执行。</w:t>
      </w:r>
    </w:p>
    <w:p w14:paraId="673C21D6">
      <w:pPr>
        <w:numPr>
          <w:ilvl w:val="0"/>
          <w:numId w:val="11"/>
        </w:numPr>
        <w:tabs>
          <w:tab w:val="left" w:pos="1227"/>
        </w:tabs>
        <w:spacing w:before="1" w:line="460" w:lineRule="exact"/>
        <w:ind w:left="420" w:leftChars="200" w:right="420" w:rightChars="200" w:firstLine="480" w:firstLineChars="200"/>
        <w:jc w:val="both"/>
        <w:rPr>
          <w:rFonts w:eastAsia="楷体"/>
          <w:color w:val="auto"/>
          <w:spacing w:val="-1"/>
          <w:sz w:val="24"/>
          <w:szCs w:val="24"/>
          <w:highlight w:val="none"/>
        </w:rPr>
      </w:pPr>
      <w:r>
        <w:rPr>
          <w:rFonts w:eastAsia="楷体"/>
          <w:color w:val="auto"/>
          <w:sz w:val="24"/>
          <w:szCs w:val="24"/>
          <w:highlight w:val="none"/>
        </w:rPr>
        <w:t>甲方有权要求乙方按时、按质、按量、按计划与合同协议约定完成本项目，并有权对乙方工作情况进行监督。如发现乙方与项目有关人员</w:t>
      </w:r>
      <w:r>
        <w:rPr>
          <w:rFonts w:eastAsia="楷体"/>
          <w:color w:val="auto"/>
          <w:spacing w:val="-1"/>
          <w:sz w:val="24"/>
          <w:szCs w:val="24"/>
          <w:highlight w:val="none"/>
        </w:rPr>
        <w:t>有意串通增大工程量或弄虚作假增加评审金额的，经查实按违约责任处理。</w:t>
      </w:r>
    </w:p>
    <w:p w14:paraId="3081F29D">
      <w:pPr>
        <w:numPr>
          <w:ilvl w:val="0"/>
          <w:numId w:val="11"/>
        </w:numPr>
        <w:tabs>
          <w:tab w:val="left" w:pos="1226"/>
        </w:tabs>
        <w:spacing w:before="1"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根据项目进度，甲方有权及时对乙方提交的方案提出修改意见，并要求乙方按修</w:t>
      </w:r>
      <w:r>
        <w:rPr>
          <w:rFonts w:eastAsia="楷体"/>
          <w:color w:val="auto"/>
          <w:sz w:val="24"/>
          <w:szCs w:val="24"/>
          <w:highlight w:val="none"/>
        </w:rPr>
        <w:t>改意见完成服务工作。</w:t>
      </w:r>
    </w:p>
    <w:p w14:paraId="31C283C4">
      <w:pPr>
        <w:numPr>
          <w:ilvl w:val="0"/>
          <w:numId w:val="11"/>
        </w:numPr>
        <w:tabs>
          <w:tab w:val="left" w:pos="1226"/>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乙方配备的项目投入人员应得到甲方的认可；对派遣到甲方的评审人员（</w:t>
      </w:r>
      <w:r>
        <w:rPr>
          <w:rFonts w:eastAsia="楷体"/>
          <w:color w:val="auto"/>
          <w:spacing w:val="-5"/>
          <w:sz w:val="24"/>
          <w:szCs w:val="24"/>
          <w:highlight w:val="none"/>
        </w:rPr>
        <w:t>包括主</w:t>
      </w:r>
      <w:r>
        <w:rPr>
          <w:rFonts w:eastAsia="楷体"/>
          <w:color w:val="auto"/>
          <w:sz w:val="24"/>
          <w:szCs w:val="24"/>
          <w:highlight w:val="none"/>
        </w:rPr>
        <w:t>审、协审人员）进行管理、考核、检查与奖惩。</w:t>
      </w:r>
    </w:p>
    <w:p w14:paraId="107A6481">
      <w:pPr>
        <w:numPr>
          <w:ilvl w:val="0"/>
          <w:numId w:val="11"/>
        </w:numPr>
        <w:tabs>
          <w:tab w:val="left" w:pos="1226"/>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甲方有权要求乙方更换不合格的工作人员。</w:t>
      </w:r>
    </w:p>
    <w:p w14:paraId="093B2B46">
      <w:pPr>
        <w:numPr>
          <w:ilvl w:val="0"/>
          <w:numId w:val="11"/>
        </w:numPr>
        <w:tabs>
          <w:tab w:val="left" w:pos="1346"/>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按框架协议要求及时向乙方支付产品和服务费用。</w:t>
      </w:r>
    </w:p>
    <w:p w14:paraId="76FA15BA">
      <w:pPr>
        <w:numPr>
          <w:ilvl w:val="0"/>
          <w:numId w:val="11"/>
        </w:numPr>
        <w:tabs>
          <w:tab w:val="left" w:pos="1346"/>
        </w:tabs>
        <w:spacing w:before="173"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如采购项目涉及采购标的的知识产权归属的，产权归属为甲方。</w:t>
      </w:r>
    </w:p>
    <w:p w14:paraId="01985DD2">
      <w:pPr>
        <w:numPr>
          <w:ilvl w:val="0"/>
          <w:numId w:val="11"/>
        </w:numPr>
        <w:tabs>
          <w:tab w:val="left" w:pos="1346"/>
        </w:tabs>
        <w:spacing w:before="172" w:line="460" w:lineRule="exact"/>
        <w:ind w:left="420" w:leftChars="200" w:right="420" w:rightChars="200" w:firstLine="476" w:firstLineChars="200"/>
        <w:jc w:val="both"/>
        <w:rPr>
          <w:rFonts w:eastAsia="楷体"/>
          <w:color w:val="auto"/>
          <w:spacing w:val="-1"/>
          <w:sz w:val="24"/>
          <w:szCs w:val="24"/>
          <w:highlight w:val="none"/>
        </w:rPr>
      </w:pPr>
      <w:r>
        <w:rPr>
          <w:rFonts w:eastAsia="楷体"/>
          <w:color w:val="auto"/>
          <w:spacing w:val="-1"/>
          <w:sz w:val="24"/>
          <w:szCs w:val="24"/>
          <w:highlight w:val="none"/>
        </w:rPr>
        <w:t>处理方式：采购人在中华人民共和国境内使用供应商提供的产品及服务时免受第三方提出的侵犯其专利权</w:t>
      </w:r>
      <w:r>
        <w:rPr>
          <w:rFonts w:hint="eastAsia" w:eastAsia="楷体"/>
          <w:color w:val="auto"/>
          <w:spacing w:val="-1"/>
          <w:sz w:val="24"/>
          <w:szCs w:val="24"/>
          <w:highlight w:val="none"/>
          <w:lang w:eastAsia="zh-CN"/>
        </w:rPr>
        <w:t>或其他</w:t>
      </w:r>
      <w:r>
        <w:rPr>
          <w:rFonts w:eastAsia="楷体"/>
          <w:color w:val="auto"/>
          <w:spacing w:val="-3"/>
          <w:sz w:val="24"/>
          <w:szCs w:val="24"/>
          <w:highlight w:val="none"/>
        </w:rPr>
        <w:t>知识产权的</w:t>
      </w:r>
      <w:r>
        <w:rPr>
          <w:rFonts w:eastAsia="楷体"/>
          <w:color w:val="auto"/>
          <w:spacing w:val="-1"/>
          <w:sz w:val="24"/>
          <w:szCs w:val="24"/>
          <w:highlight w:val="none"/>
        </w:rPr>
        <w:t>起诉。如果第三方提出侵权指控，乙方应承担由此而引起的一切法律责任和费用。</w:t>
      </w:r>
    </w:p>
    <w:p w14:paraId="34AD23A7">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第八条 乙方权利和义务</w:t>
      </w:r>
    </w:p>
    <w:p w14:paraId="789403E7">
      <w:pPr>
        <w:numPr>
          <w:ilvl w:val="0"/>
          <w:numId w:val="12"/>
        </w:numPr>
        <w:tabs>
          <w:tab w:val="left" w:pos="1227"/>
        </w:tabs>
        <w:spacing w:before="17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乙方应当遵守采购人按照本协议规定的选定成交供应商的方式获得成交供应商资格。</w:t>
      </w:r>
    </w:p>
    <w:p w14:paraId="02B266A6">
      <w:pPr>
        <w:numPr>
          <w:ilvl w:val="0"/>
          <w:numId w:val="12"/>
        </w:numPr>
        <w:tabs>
          <w:tab w:val="left" w:pos="1227"/>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乙方提供的产品或服务应符合国家标准和征集文件中要求的标准。</w:t>
      </w:r>
    </w:p>
    <w:p w14:paraId="3F9A18C5">
      <w:pPr>
        <w:numPr>
          <w:ilvl w:val="0"/>
          <w:numId w:val="12"/>
        </w:numPr>
        <w:tabs>
          <w:tab w:val="left" w:pos="1227"/>
        </w:tabs>
        <w:spacing w:before="173"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乙方应保证依据征集文件要求及响应承诺，向采购人提供质量不降低，价格不提</w:t>
      </w:r>
      <w:r>
        <w:rPr>
          <w:rFonts w:eastAsia="楷体"/>
          <w:color w:val="auto"/>
          <w:sz w:val="24"/>
          <w:szCs w:val="24"/>
          <w:highlight w:val="none"/>
        </w:rPr>
        <w:t>高的产品</w:t>
      </w:r>
      <w:r>
        <w:rPr>
          <w:rFonts w:hint="eastAsia" w:eastAsia="楷体"/>
          <w:color w:val="auto"/>
          <w:sz w:val="24"/>
          <w:szCs w:val="24"/>
          <w:highlight w:val="none"/>
          <w:lang w:eastAsia="zh-CN"/>
        </w:rPr>
        <w:t>，以及</w:t>
      </w:r>
      <w:r>
        <w:rPr>
          <w:rFonts w:eastAsia="楷体"/>
          <w:color w:val="auto"/>
          <w:sz w:val="24"/>
          <w:szCs w:val="24"/>
          <w:highlight w:val="none"/>
        </w:rPr>
        <w:t>与之配套的耗材、配件。</w:t>
      </w:r>
    </w:p>
    <w:p w14:paraId="2929B2E3">
      <w:pPr>
        <w:numPr>
          <w:ilvl w:val="0"/>
          <w:numId w:val="12"/>
        </w:numPr>
        <w:tabs>
          <w:tab w:val="left" w:pos="1227"/>
        </w:tabs>
        <w:spacing w:before="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乙方应接受并配合甲方的评价及反馈机制，严格履行服务承诺。</w:t>
      </w:r>
    </w:p>
    <w:p w14:paraId="3174682D">
      <w:pPr>
        <w:numPr>
          <w:ilvl w:val="0"/>
          <w:numId w:val="12"/>
        </w:numPr>
        <w:tabs>
          <w:tab w:val="left" w:pos="1227"/>
        </w:tabs>
        <w:spacing w:before="172"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乙方无正当理由，不得主动放弃入围资格或者退出框架协议，否则，乙方不得参</w:t>
      </w:r>
      <w:r>
        <w:rPr>
          <w:rFonts w:eastAsia="楷体"/>
          <w:color w:val="auto"/>
          <w:spacing w:val="-3"/>
          <w:sz w:val="24"/>
          <w:szCs w:val="24"/>
          <w:highlight w:val="none"/>
        </w:rPr>
        <w:t>加同一封闭式框架协议补充征集，或者重新申请加入同一开放式框架协议。甲方保留对乙</w:t>
      </w:r>
      <w:r>
        <w:rPr>
          <w:rFonts w:eastAsia="楷体"/>
          <w:color w:val="auto"/>
          <w:sz w:val="24"/>
          <w:szCs w:val="24"/>
          <w:highlight w:val="none"/>
        </w:rPr>
        <w:t>方追究责任的权利。</w:t>
      </w:r>
    </w:p>
    <w:p w14:paraId="3734BB9D">
      <w:pPr>
        <w:numPr>
          <w:ilvl w:val="0"/>
          <w:numId w:val="12"/>
        </w:numPr>
        <w:tabs>
          <w:tab w:val="left" w:pos="1227"/>
        </w:tabs>
        <w:spacing w:before="2"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乙方应按照征集文件评审办法要求提供需要核查的原件，如原件与响应文件中提</w:t>
      </w:r>
      <w:r>
        <w:rPr>
          <w:rFonts w:eastAsia="楷体"/>
          <w:color w:val="auto"/>
          <w:sz w:val="24"/>
          <w:szCs w:val="24"/>
          <w:highlight w:val="none"/>
        </w:rPr>
        <w:t>供的不一致或虚假的或未提供的，甲方有权取消乙方入围资格，另行确定入围供应商。</w:t>
      </w:r>
    </w:p>
    <w:p w14:paraId="064592CC">
      <w:pPr>
        <w:numPr>
          <w:ilvl w:val="0"/>
          <w:numId w:val="12"/>
        </w:numPr>
        <w:tabs>
          <w:tab w:val="left" w:pos="1226"/>
        </w:tabs>
        <w:spacing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严格履行合同文件（含征集文件、响应文件等）</w:t>
      </w:r>
      <w:r>
        <w:rPr>
          <w:rFonts w:eastAsia="楷体"/>
          <w:color w:val="auto"/>
          <w:spacing w:val="-1"/>
          <w:sz w:val="24"/>
          <w:szCs w:val="24"/>
          <w:highlight w:val="none"/>
        </w:rPr>
        <w:t>约定和承诺的服务内容和质量标</w:t>
      </w:r>
      <w:r>
        <w:rPr>
          <w:rFonts w:eastAsia="楷体"/>
          <w:color w:val="auto"/>
          <w:sz w:val="24"/>
          <w:szCs w:val="24"/>
          <w:highlight w:val="none"/>
        </w:rPr>
        <w:t>准，保证甲方项目的相关工作质量和进度。</w:t>
      </w:r>
    </w:p>
    <w:p w14:paraId="26F36D79">
      <w:pPr>
        <w:numPr>
          <w:ilvl w:val="0"/>
          <w:numId w:val="12"/>
        </w:numPr>
        <w:tabs>
          <w:tab w:val="left" w:pos="1227"/>
        </w:tabs>
        <w:spacing w:before="2" w:line="460" w:lineRule="exact"/>
        <w:ind w:left="420" w:leftChars="200" w:right="420" w:rightChars="200" w:firstLine="476" w:firstLineChars="200"/>
        <w:rPr>
          <w:rFonts w:eastAsia="楷体"/>
          <w:color w:val="auto"/>
          <w:spacing w:val="-1"/>
          <w:sz w:val="24"/>
          <w:szCs w:val="24"/>
          <w:highlight w:val="none"/>
        </w:rPr>
      </w:pPr>
      <w:r>
        <w:rPr>
          <w:rFonts w:eastAsia="楷体"/>
          <w:color w:val="auto"/>
          <w:spacing w:val="-1"/>
          <w:sz w:val="24"/>
          <w:szCs w:val="24"/>
          <w:highlight w:val="none"/>
        </w:rPr>
        <w:t>必须严格实施乙方响应文件中承诺的人力资源配置。在必须补充或更换人员时，必须补充或更换优于或等同于响应文件所承诺资质的评审人员（包括主审、协审人员）， 并</w:t>
      </w:r>
      <w:r>
        <w:rPr>
          <w:rFonts w:hint="eastAsia" w:eastAsia="楷体"/>
          <w:color w:val="auto"/>
          <w:spacing w:val="-1"/>
          <w:sz w:val="24"/>
          <w:szCs w:val="24"/>
          <w:highlight w:val="none"/>
          <w:lang w:eastAsia="zh-CN"/>
        </w:rPr>
        <w:t>须</w:t>
      </w:r>
      <w:r>
        <w:rPr>
          <w:rFonts w:eastAsia="楷体"/>
          <w:color w:val="auto"/>
          <w:spacing w:val="-1"/>
          <w:sz w:val="24"/>
          <w:szCs w:val="24"/>
          <w:highlight w:val="none"/>
        </w:rPr>
        <w:t>取得甲方书面同意。在框架协议有效期内，如乙方在第二阶段签订合同时需要调整人员，调整的人员应当是响应文件中承诺的拟投入人员，且签订合同前须提供人员名单送甲方审核。</w:t>
      </w:r>
    </w:p>
    <w:p w14:paraId="6C01FAB2">
      <w:pPr>
        <w:numPr>
          <w:ilvl w:val="0"/>
          <w:numId w:val="12"/>
        </w:numPr>
        <w:tabs>
          <w:tab w:val="left" w:pos="1226"/>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乙方项目负责人及服务团队成员须与响应文件保持一致。合同存续期内，未经甲</w:t>
      </w:r>
      <w:r>
        <w:rPr>
          <w:rFonts w:eastAsia="楷体"/>
          <w:color w:val="auto"/>
          <w:spacing w:val="-3"/>
          <w:sz w:val="24"/>
          <w:szCs w:val="24"/>
          <w:highlight w:val="none"/>
        </w:rPr>
        <w:t>方书面要求或同意，项目负责人不应调整。项目负责人及服务团队成员必须保证在岗工作</w:t>
      </w:r>
      <w:r>
        <w:rPr>
          <w:rFonts w:eastAsia="楷体"/>
          <w:color w:val="auto"/>
          <w:sz w:val="24"/>
          <w:szCs w:val="24"/>
          <w:highlight w:val="none"/>
        </w:rPr>
        <w:t>时间和重要活动在岗，如有变化，须取得甲方同意。</w:t>
      </w:r>
    </w:p>
    <w:p w14:paraId="79ADA6F9">
      <w:pPr>
        <w:numPr>
          <w:ilvl w:val="0"/>
          <w:numId w:val="12"/>
        </w:numPr>
        <w:tabs>
          <w:tab w:val="left" w:pos="1227"/>
        </w:tabs>
        <w:spacing w:before="1"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乙方依本合同约定向甲方提供的报告、资料、文件等内容及服务成果后，甲方即</w:t>
      </w:r>
      <w:r>
        <w:rPr>
          <w:rFonts w:eastAsia="楷体"/>
          <w:color w:val="auto"/>
          <w:spacing w:val="-4"/>
          <w:sz w:val="24"/>
          <w:szCs w:val="24"/>
          <w:highlight w:val="none"/>
        </w:rPr>
        <w:t>对上述内容享有充分、完整和排他的著作权和知识产权。未经甲方书面许可，乙方不得向任何第三方提供上述报告、资料、文件等内容及服务成果。即使向履行本合同有关的人员</w:t>
      </w:r>
      <w:r>
        <w:rPr>
          <w:rFonts w:eastAsia="楷体"/>
          <w:color w:val="auto"/>
          <w:sz w:val="24"/>
          <w:szCs w:val="24"/>
          <w:highlight w:val="none"/>
        </w:rPr>
        <w:t>提供，也应注意保密并限于履行合同的必需范围。</w:t>
      </w:r>
    </w:p>
    <w:p w14:paraId="1FA5F8AD">
      <w:pPr>
        <w:numPr>
          <w:ilvl w:val="0"/>
          <w:numId w:val="12"/>
        </w:numPr>
        <w:tabs>
          <w:tab w:val="left" w:pos="1346"/>
        </w:tabs>
        <w:spacing w:before="2" w:line="460" w:lineRule="exact"/>
        <w:ind w:left="420" w:leftChars="200" w:right="420" w:rightChars="200" w:firstLine="464" w:firstLineChars="200"/>
        <w:jc w:val="both"/>
        <w:rPr>
          <w:rFonts w:eastAsia="楷体"/>
          <w:color w:val="auto"/>
          <w:sz w:val="24"/>
          <w:szCs w:val="24"/>
          <w:highlight w:val="none"/>
        </w:rPr>
      </w:pPr>
      <w:r>
        <w:rPr>
          <w:rFonts w:eastAsia="楷体"/>
          <w:color w:val="auto"/>
          <w:spacing w:val="-4"/>
          <w:sz w:val="24"/>
          <w:szCs w:val="24"/>
          <w:highlight w:val="none"/>
        </w:rPr>
        <w:t>乙方评审人员</w:t>
      </w:r>
      <w:r>
        <w:rPr>
          <w:rFonts w:eastAsia="楷体"/>
          <w:color w:val="auto"/>
          <w:sz w:val="24"/>
          <w:szCs w:val="24"/>
          <w:highlight w:val="none"/>
        </w:rPr>
        <w:t>（</w:t>
      </w:r>
      <w:r>
        <w:rPr>
          <w:rFonts w:eastAsia="楷体"/>
          <w:color w:val="auto"/>
          <w:spacing w:val="-5"/>
          <w:sz w:val="24"/>
          <w:szCs w:val="24"/>
          <w:highlight w:val="none"/>
        </w:rPr>
        <w:t>包括主审、协审人员</w:t>
      </w:r>
      <w:r>
        <w:rPr>
          <w:rFonts w:eastAsia="楷体"/>
          <w:color w:val="auto"/>
          <w:spacing w:val="-22"/>
          <w:sz w:val="24"/>
          <w:szCs w:val="24"/>
          <w:highlight w:val="none"/>
        </w:rPr>
        <w:t>）</w:t>
      </w:r>
      <w:r>
        <w:rPr>
          <w:rFonts w:eastAsia="楷体"/>
          <w:color w:val="auto"/>
          <w:spacing w:val="-6"/>
          <w:sz w:val="24"/>
          <w:szCs w:val="24"/>
          <w:highlight w:val="none"/>
        </w:rPr>
        <w:t>应履行保密义务。如乙方因违反本条约定</w:t>
      </w:r>
      <w:r>
        <w:rPr>
          <w:rFonts w:eastAsia="楷体"/>
          <w:color w:val="auto"/>
          <w:spacing w:val="-1"/>
          <w:sz w:val="24"/>
          <w:szCs w:val="24"/>
          <w:highlight w:val="none"/>
        </w:rPr>
        <w:t>给甲方造成损失的，乙方应当承担相应的法律责任，并赔偿由此给甲方造成的一切损失。</w:t>
      </w:r>
    </w:p>
    <w:p w14:paraId="23B4F82F">
      <w:pPr>
        <w:numPr>
          <w:ilvl w:val="0"/>
          <w:numId w:val="12"/>
        </w:numPr>
        <w:tabs>
          <w:tab w:val="left" w:pos="1346"/>
        </w:tabs>
        <w:spacing w:line="460" w:lineRule="exact"/>
        <w:ind w:left="420" w:leftChars="200" w:right="420" w:rightChars="200" w:firstLine="464" w:firstLineChars="200"/>
        <w:jc w:val="both"/>
        <w:rPr>
          <w:rFonts w:eastAsia="楷体"/>
          <w:color w:val="auto"/>
          <w:sz w:val="24"/>
          <w:szCs w:val="24"/>
          <w:highlight w:val="none"/>
        </w:rPr>
      </w:pPr>
      <w:r>
        <w:rPr>
          <w:rFonts w:eastAsia="楷体"/>
          <w:color w:val="auto"/>
          <w:spacing w:val="-4"/>
          <w:sz w:val="24"/>
          <w:szCs w:val="24"/>
          <w:highlight w:val="none"/>
        </w:rPr>
        <w:t>乙方应履行回避义务。乙方以及乙方评审人员</w:t>
      </w:r>
      <w:r>
        <w:rPr>
          <w:rFonts w:eastAsia="楷体"/>
          <w:color w:val="auto"/>
          <w:sz w:val="24"/>
          <w:szCs w:val="24"/>
          <w:highlight w:val="none"/>
        </w:rPr>
        <w:t>（</w:t>
      </w:r>
      <w:r>
        <w:rPr>
          <w:rFonts w:eastAsia="楷体"/>
          <w:color w:val="auto"/>
          <w:spacing w:val="-5"/>
          <w:sz w:val="24"/>
          <w:szCs w:val="24"/>
          <w:highlight w:val="none"/>
        </w:rPr>
        <w:t>包括主审、协审人员</w:t>
      </w:r>
      <w:r>
        <w:rPr>
          <w:rFonts w:eastAsia="楷体"/>
          <w:color w:val="auto"/>
          <w:spacing w:val="-22"/>
          <w:sz w:val="24"/>
          <w:szCs w:val="24"/>
          <w:highlight w:val="none"/>
        </w:rPr>
        <w:t>）</w:t>
      </w:r>
      <w:r>
        <w:rPr>
          <w:rFonts w:eastAsia="楷体"/>
          <w:color w:val="auto"/>
          <w:spacing w:val="-3"/>
          <w:sz w:val="24"/>
          <w:szCs w:val="24"/>
          <w:highlight w:val="none"/>
        </w:rPr>
        <w:t>如存在可能影响本合同所安排项目评审公正性的情形，应主动告知甲方，并终止本合同或更换存在</w:t>
      </w:r>
      <w:r>
        <w:rPr>
          <w:rFonts w:eastAsia="楷体"/>
          <w:color w:val="auto"/>
          <w:spacing w:val="-1"/>
          <w:sz w:val="24"/>
          <w:szCs w:val="24"/>
          <w:highlight w:val="none"/>
        </w:rPr>
        <w:t>利益关联的评审人员。如果乙方与所评审项目</w:t>
      </w:r>
      <w:r>
        <w:rPr>
          <w:rFonts w:eastAsia="楷体"/>
          <w:color w:val="auto"/>
          <w:sz w:val="24"/>
          <w:szCs w:val="24"/>
          <w:highlight w:val="none"/>
        </w:rPr>
        <w:t>（或该项目的送审单位</w:t>
      </w:r>
      <w:r>
        <w:rPr>
          <w:rFonts w:eastAsia="楷体"/>
          <w:color w:val="auto"/>
          <w:spacing w:val="-3"/>
          <w:sz w:val="24"/>
          <w:szCs w:val="24"/>
          <w:highlight w:val="none"/>
        </w:rPr>
        <w:t>）</w:t>
      </w:r>
      <w:r>
        <w:rPr>
          <w:rFonts w:eastAsia="楷体"/>
          <w:color w:val="auto"/>
          <w:spacing w:val="-1"/>
          <w:sz w:val="24"/>
          <w:szCs w:val="24"/>
          <w:highlight w:val="none"/>
        </w:rPr>
        <w:t>存在利益关联，应主动告知甲方并终止本合同；如果所安排评审人员与所评审项目（或该项目的送审单位</w:t>
      </w:r>
      <w:r>
        <w:rPr>
          <w:rFonts w:eastAsia="楷体"/>
          <w:color w:val="auto"/>
          <w:spacing w:val="-17"/>
          <w:sz w:val="24"/>
          <w:szCs w:val="24"/>
          <w:highlight w:val="none"/>
        </w:rPr>
        <w:t xml:space="preserve">） </w:t>
      </w:r>
      <w:r>
        <w:rPr>
          <w:rFonts w:eastAsia="楷体"/>
          <w:color w:val="auto"/>
          <w:sz w:val="24"/>
          <w:szCs w:val="24"/>
          <w:highlight w:val="none"/>
        </w:rPr>
        <w:t>存在利益关联，应主动告知甲方并更换评审人员。</w:t>
      </w:r>
    </w:p>
    <w:p w14:paraId="64EE0DB7">
      <w:pPr>
        <w:numPr>
          <w:ilvl w:val="0"/>
          <w:numId w:val="12"/>
        </w:numPr>
        <w:tabs>
          <w:tab w:val="left" w:pos="1346"/>
        </w:tabs>
        <w:spacing w:before="2" w:line="460" w:lineRule="exact"/>
        <w:ind w:left="420" w:leftChars="200" w:right="420" w:rightChars="200" w:firstLine="480" w:firstLineChars="200"/>
        <w:jc w:val="both"/>
        <w:rPr>
          <w:rFonts w:eastAsia="楷体"/>
          <w:color w:val="auto"/>
          <w:sz w:val="24"/>
          <w:szCs w:val="24"/>
          <w:highlight w:val="none"/>
        </w:rPr>
      </w:pPr>
      <w:r>
        <w:rPr>
          <w:rFonts w:eastAsia="楷体"/>
          <w:color w:val="auto"/>
          <w:sz w:val="24"/>
          <w:szCs w:val="24"/>
          <w:highlight w:val="none"/>
        </w:rPr>
        <w:t>有义务妥善保管甲方提供的资料，并在审核工作完成后，完整交回甲方。</w:t>
      </w:r>
    </w:p>
    <w:p w14:paraId="46A62F2F">
      <w:pPr>
        <w:numPr>
          <w:ilvl w:val="0"/>
          <w:numId w:val="12"/>
        </w:numPr>
        <w:tabs>
          <w:tab w:val="left" w:pos="1346"/>
        </w:tabs>
        <w:spacing w:before="173" w:line="460" w:lineRule="exact"/>
        <w:ind w:left="420" w:leftChars="200" w:right="420" w:rightChars="200" w:firstLine="456" w:firstLineChars="200"/>
        <w:jc w:val="both"/>
        <w:rPr>
          <w:rFonts w:eastAsia="楷体"/>
          <w:color w:val="auto"/>
          <w:sz w:val="24"/>
          <w:szCs w:val="24"/>
          <w:highlight w:val="none"/>
        </w:rPr>
      </w:pPr>
      <w:r>
        <w:rPr>
          <w:rFonts w:eastAsia="楷体"/>
          <w:color w:val="auto"/>
          <w:spacing w:val="-6"/>
          <w:sz w:val="24"/>
          <w:szCs w:val="24"/>
          <w:highlight w:val="none"/>
        </w:rPr>
        <w:t>乙方应服从甲方对可能委托项目的指派及分配，并了解本项目签订框架协议后仅</w:t>
      </w:r>
      <w:r>
        <w:rPr>
          <w:rFonts w:eastAsia="楷体"/>
          <w:color w:val="auto"/>
          <w:spacing w:val="-9"/>
          <w:sz w:val="24"/>
          <w:szCs w:val="24"/>
          <w:highlight w:val="none"/>
        </w:rPr>
        <w:t>代表取得入围</w:t>
      </w:r>
      <w:r>
        <w:rPr>
          <w:rFonts w:hint="eastAsia" w:eastAsia="楷体"/>
          <w:color w:val="auto"/>
          <w:spacing w:val="-9"/>
          <w:sz w:val="24"/>
          <w:szCs w:val="24"/>
          <w:highlight w:val="none"/>
          <w:lang w:val="en-US" w:eastAsia="zh-CN"/>
        </w:rPr>
        <w:t>阿勒泰地区财政局</w:t>
      </w:r>
      <w:r>
        <w:rPr>
          <w:rFonts w:eastAsia="楷体"/>
          <w:color w:val="auto"/>
          <w:spacing w:val="-9"/>
          <w:sz w:val="24"/>
          <w:szCs w:val="24"/>
          <w:highlight w:val="none"/>
        </w:rPr>
        <w:t>财政投资评审服务资格，不等同于可确保直接承接相</w:t>
      </w:r>
      <w:r>
        <w:rPr>
          <w:rFonts w:eastAsia="楷体"/>
          <w:color w:val="auto"/>
          <w:sz w:val="24"/>
          <w:szCs w:val="24"/>
          <w:highlight w:val="none"/>
        </w:rPr>
        <w:t>应数量的项目评审工作并获得相应项目的服务费用。</w:t>
      </w:r>
    </w:p>
    <w:p w14:paraId="77E6F327">
      <w:pPr>
        <w:spacing w:before="173" w:line="460" w:lineRule="exact"/>
        <w:ind w:left="420" w:leftChars="200" w:right="420" w:rightChars="200" w:firstLine="482" w:firstLineChars="200"/>
        <w:jc w:val="left"/>
        <w:rPr>
          <w:rFonts w:eastAsia="楷体"/>
          <w:b/>
          <w:color w:val="auto"/>
          <w:sz w:val="24"/>
          <w:szCs w:val="24"/>
          <w:highlight w:val="none"/>
        </w:rPr>
      </w:pPr>
      <w:r>
        <w:rPr>
          <w:rFonts w:eastAsia="楷体"/>
          <w:b/>
          <w:color w:val="auto"/>
          <w:sz w:val="24"/>
          <w:szCs w:val="24"/>
          <w:highlight w:val="none"/>
        </w:rPr>
        <w:t>第九条 违约责任</w:t>
      </w:r>
    </w:p>
    <w:p w14:paraId="2214A5C8">
      <w:pPr>
        <w:numPr>
          <w:ilvl w:val="0"/>
          <w:numId w:val="13"/>
        </w:numPr>
        <w:tabs>
          <w:tab w:val="left" w:pos="1107"/>
        </w:tabs>
        <w:spacing w:before="173" w:line="460" w:lineRule="exact"/>
        <w:ind w:left="420" w:leftChars="200" w:right="420" w:rightChars="200" w:firstLine="460" w:firstLineChars="200"/>
        <w:jc w:val="both"/>
        <w:rPr>
          <w:rFonts w:eastAsia="楷体"/>
          <w:color w:val="auto"/>
          <w:sz w:val="24"/>
          <w:szCs w:val="24"/>
          <w:highlight w:val="none"/>
        </w:rPr>
      </w:pPr>
      <w:r>
        <w:rPr>
          <w:rFonts w:eastAsia="楷体"/>
          <w:color w:val="auto"/>
          <w:spacing w:val="-5"/>
          <w:sz w:val="24"/>
          <w:szCs w:val="24"/>
          <w:highlight w:val="none"/>
        </w:rPr>
        <w:t>若因乙方原因而未能履行框架协议或未达到框架协议约定的要求，甲方有权书面督促乙方履</w:t>
      </w:r>
      <w:r>
        <w:rPr>
          <w:rFonts w:eastAsia="楷体"/>
          <w:color w:val="auto"/>
          <w:spacing w:val="-3"/>
          <w:sz w:val="24"/>
          <w:szCs w:val="24"/>
          <w:highlight w:val="none"/>
        </w:rPr>
        <w:t>行</w:t>
      </w:r>
      <w:r>
        <w:rPr>
          <w:rFonts w:eastAsia="楷体"/>
          <w:color w:val="auto"/>
          <w:spacing w:val="-5"/>
          <w:sz w:val="24"/>
          <w:szCs w:val="24"/>
          <w:highlight w:val="none"/>
        </w:rPr>
        <w:t>框架协议</w:t>
      </w:r>
      <w:r>
        <w:rPr>
          <w:rFonts w:eastAsia="楷体"/>
          <w:color w:val="auto"/>
          <w:spacing w:val="-3"/>
          <w:sz w:val="24"/>
          <w:szCs w:val="24"/>
          <w:highlight w:val="none"/>
        </w:rPr>
        <w:t>，乙方应在收到甲方书面通知之日起七日内给予书面答复并进行整改；如乙方在上</w:t>
      </w:r>
      <w:r>
        <w:rPr>
          <w:rFonts w:eastAsia="楷体"/>
          <w:color w:val="auto"/>
          <w:spacing w:val="-4"/>
          <w:sz w:val="24"/>
          <w:szCs w:val="24"/>
          <w:highlight w:val="none"/>
        </w:rPr>
        <w:t>述时间未答复，或无故拖延履行</w:t>
      </w:r>
      <w:r>
        <w:rPr>
          <w:rFonts w:eastAsia="楷体"/>
          <w:color w:val="auto"/>
          <w:spacing w:val="-5"/>
          <w:sz w:val="24"/>
          <w:szCs w:val="24"/>
          <w:highlight w:val="none"/>
        </w:rPr>
        <w:t>框架协议</w:t>
      </w:r>
      <w:r>
        <w:rPr>
          <w:rFonts w:eastAsia="楷体"/>
          <w:color w:val="auto"/>
          <w:spacing w:val="-4"/>
          <w:sz w:val="24"/>
          <w:szCs w:val="24"/>
          <w:highlight w:val="none"/>
        </w:rPr>
        <w:t>，或经整改后仍未达到甲方要求，甲方有权书面通知</w:t>
      </w:r>
      <w:r>
        <w:rPr>
          <w:rFonts w:eastAsia="楷体"/>
          <w:color w:val="auto"/>
          <w:spacing w:val="-3"/>
          <w:sz w:val="24"/>
          <w:szCs w:val="24"/>
          <w:highlight w:val="none"/>
        </w:rPr>
        <w:t>乙方解除服务</w:t>
      </w:r>
      <w:r>
        <w:rPr>
          <w:rFonts w:eastAsia="楷体"/>
          <w:color w:val="auto"/>
          <w:spacing w:val="-5"/>
          <w:sz w:val="24"/>
          <w:szCs w:val="24"/>
          <w:highlight w:val="none"/>
        </w:rPr>
        <w:t>框架协议</w:t>
      </w:r>
      <w:r>
        <w:rPr>
          <w:rFonts w:eastAsia="楷体"/>
          <w:color w:val="auto"/>
          <w:spacing w:val="-3"/>
          <w:sz w:val="24"/>
          <w:szCs w:val="24"/>
          <w:highlight w:val="none"/>
        </w:rPr>
        <w:t>，且无需支付合同解除后的</w:t>
      </w:r>
      <w:r>
        <w:rPr>
          <w:rFonts w:eastAsia="楷体"/>
          <w:color w:val="auto"/>
          <w:spacing w:val="-5"/>
          <w:sz w:val="24"/>
          <w:szCs w:val="24"/>
          <w:highlight w:val="none"/>
        </w:rPr>
        <w:t>框架协议</w:t>
      </w:r>
      <w:r>
        <w:rPr>
          <w:rFonts w:eastAsia="楷体"/>
          <w:color w:val="auto"/>
          <w:spacing w:val="-3"/>
          <w:sz w:val="24"/>
          <w:szCs w:val="24"/>
          <w:highlight w:val="none"/>
        </w:rPr>
        <w:t>后续费用。同时，乙方必须退还甲方已</w:t>
      </w:r>
      <w:r>
        <w:rPr>
          <w:rFonts w:eastAsia="楷体"/>
          <w:color w:val="auto"/>
          <w:sz w:val="24"/>
          <w:szCs w:val="24"/>
          <w:highlight w:val="none"/>
        </w:rPr>
        <w:t>付出的所有服务费用，并赔偿由此给甲方造成的全部损失。</w:t>
      </w:r>
    </w:p>
    <w:p w14:paraId="5AEEE3CF">
      <w:pPr>
        <w:numPr>
          <w:ilvl w:val="0"/>
          <w:numId w:val="13"/>
        </w:numPr>
        <w:tabs>
          <w:tab w:val="left" w:pos="1107"/>
        </w:tabs>
        <w:spacing w:before="1" w:line="460" w:lineRule="exact"/>
        <w:ind w:left="420" w:leftChars="200" w:right="420" w:rightChars="200" w:firstLine="448" w:firstLineChars="200"/>
        <w:jc w:val="both"/>
        <w:rPr>
          <w:rFonts w:eastAsia="楷体"/>
          <w:color w:val="auto"/>
          <w:sz w:val="24"/>
          <w:szCs w:val="24"/>
          <w:highlight w:val="none"/>
        </w:rPr>
      </w:pPr>
      <w:r>
        <w:rPr>
          <w:rFonts w:eastAsia="楷体"/>
          <w:color w:val="auto"/>
          <w:spacing w:val="-8"/>
          <w:sz w:val="24"/>
          <w:szCs w:val="24"/>
          <w:highlight w:val="none"/>
        </w:rPr>
        <w:t>乙方未得到甲方同意，擅自更换项目负责人及服务团队成员时，甲方有权书面通知</w:t>
      </w:r>
      <w:r>
        <w:rPr>
          <w:rFonts w:eastAsia="楷体"/>
          <w:color w:val="auto"/>
          <w:spacing w:val="-3"/>
          <w:sz w:val="24"/>
          <w:szCs w:val="24"/>
          <w:highlight w:val="none"/>
        </w:rPr>
        <w:t>乙方解除服务</w:t>
      </w:r>
      <w:r>
        <w:rPr>
          <w:rFonts w:eastAsia="楷体"/>
          <w:color w:val="auto"/>
          <w:spacing w:val="-5"/>
          <w:sz w:val="24"/>
          <w:szCs w:val="24"/>
          <w:highlight w:val="none"/>
        </w:rPr>
        <w:t>框架协议</w:t>
      </w:r>
      <w:r>
        <w:rPr>
          <w:rFonts w:eastAsia="楷体"/>
          <w:color w:val="auto"/>
          <w:spacing w:val="-3"/>
          <w:sz w:val="24"/>
          <w:szCs w:val="24"/>
          <w:highlight w:val="none"/>
        </w:rPr>
        <w:t>，且无需支付框架协议解除后的</w:t>
      </w:r>
      <w:r>
        <w:rPr>
          <w:rFonts w:eastAsia="楷体"/>
          <w:color w:val="auto"/>
          <w:spacing w:val="-5"/>
          <w:sz w:val="24"/>
          <w:szCs w:val="24"/>
          <w:highlight w:val="none"/>
        </w:rPr>
        <w:t>框架协议</w:t>
      </w:r>
      <w:r>
        <w:rPr>
          <w:rFonts w:eastAsia="楷体"/>
          <w:color w:val="auto"/>
          <w:spacing w:val="-3"/>
          <w:sz w:val="24"/>
          <w:szCs w:val="24"/>
          <w:highlight w:val="none"/>
        </w:rPr>
        <w:t>后续费用。同时，乙方必须退还甲方已</w:t>
      </w:r>
      <w:r>
        <w:rPr>
          <w:rFonts w:eastAsia="楷体"/>
          <w:color w:val="auto"/>
          <w:sz w:val="24"/>
          <w:szCs w:val="24"/>
          <w:highlight w:val="none"/>
        </w:rPr>
        <w:t>付出的所有服务费用，并赔偿由此给甲方造成的全部损失。</w:t>
      </w:r>
    </w:p>
    <w:p w14:paraId="13821422">
      <w:pPr>
        <w:numPr>
          <w:ilvl w:val="0"/>
          <w:numId w:val="13"/>
        </w:numPr>
        <w:tabs>
          <w:tab w:val="left" w:pos="1107"/>
        </w:tabs>
        <w:spacing w:before="2" w:line="460" w:lineRule="exact"/>
        <w:ind w:left="420" w:leftChars="200" w:right="420" w:rightChars="200" w:firstLine="452" w:firstLineChars="200"/>
        <w:jc w:val="both"/>
        <w:rPr>
          <w:rFonts w:eastAsia="楷体"/>
          <w:color w:val="auto"/>
          <w:sz w:val="24"/>
          <w:szCs w:val="24"/>
          <w:highlight w:val="none"/>
        </w:rPr>
      </w:pPr>
      <w:r>
        <w:rPr>
          <w:rFonts w:eastAsia="楷体"/>
          <w:color w:val="auto"/>
          <w:spacing w:val="-7"/>
          <w:sz w:val="24"/>
          <w:szCs w:val="24"/>
          <w:highlight w:val="none"/>
        </w:rPr>
        <w:t>乙方或乙方人员违反保密义务时，甲方有权书面通知乙方解除咨询合同，且无需支</w:t>
      </w:r>
      <w:r>
        <w:rPr>
          <w:rFonts w:eastAsia="楷体"/>
          <w:color w:val="auto"/>
          <w:spacing w:val="-4"/>
          <w:sz w:val="24"/>
          <w:szCs w:val="24"/>
          <w:highlight w:val="none"/>
        </w:rPr>
        <w:t>付</w:t>
      </w:r>
      <w:r>
        <w:rPr>
          <w:rFonts w:eastAsia="楷体"/>
          <w:color w:val="auto"/>
          <w:spacing w:val="-5"/>
          <w:sz w:val="24"/>
          <w:szCs w:val="24"/>
          <w:highlight w:val="none"/>
        </w:rPr>
        <w:t>框架协议</w:t>
      </w:r>
      <w:r>
        <w:rPr>
          <w:rFonts w:eastAsia="楷体"/>
          <w:color w:val="auto"/>
          <w:spacing w:val="-4"/>
          <w:sz w:val="24"/>
          <w:szCs w:val="24"/>
          <w:highlight w:val="none"/>
        </w:rPr>
        <w:t>解除后的</w:t>
      </w:r>
      <w:r>
        <w:rPr>
          <w:rFonts w:eastAsia="楷体"/>
          <w:color w:val="auto"/>
          <w:spacing w:val="-5"/>
          <w:sz w:val="24"/>
          <w:szCs w:val="24"/>
          <w:highlight w:val="none"/>
        </w:rPr>
        <w:t>框架协议</w:t>
      </w:r>
      <w:r>
        <w:rPr>
          <w:rFonts w:eastAsia="楷体"/>
          <w:color w:val="auto"/>
          <w:spacing w:val="-4"/>
          <w:sz w:val="24"/>
          <w:szCs w:val="24"/>
          <w:highlight w:val="none"/>
        </w:rPr>
        <w:t>后续费用。同时，乙方必须退还甲方已付出的所有咨询费用，并赔偿</w:t>
      </w:r>
      <w:r>
        <w:rPr>
          <w:rFonts w:eastAsia="楷体"/>
          <w:color w:val="auto"/>
          <w:sz w:val="24"/>
          <w:szCs w:val="24"/>
          <w:highlight w:val="none"/>
        </w:rPr>
        <w:t>由此给甲方造成的全部损失。</w:t>
      </w:r>
    </w:p>
    <w:p w14:paraId="581539BD">
      <w:pPr>
        <w:numPr>
          <w:ilvl w:val="0"/>
          <w:numId w:val="13"/>
        </w:numPr>
        <w:tabs>
          <w:tab w:val="left" w:pos="1107"/>
        </w:tabs>
        <w:spacing w:before="1" w:line="460" w:lineRule="exact"/>
        <w:ind w:left="420" w:leftChars="200" w:right="420" w:rightChars="200" w:firstLine="460" w:firstLineChars="200"/>
        <w:rPr>
          <w:rFonts w:eastAsia="楷体"/>
          <w:color w:val="auto"/>
          <w:sz w:val="24"/>
          <w:szCs w:val="24"/>
          <w:highlight w:val="none"/>
        </w:rPr>
      </w:pPr>
      <w:r>
        <w:rPr>
          <w:rFonts w:eastAsia="楷体"/>
          <w:color w:val="auto"/>
          <w:spacing w:val="-5"/>
          <w:sz w:val="24"/>
          <w:szCs w:val="24"/>
          <w:highlight w:val="none"/>
        </w:rPr>
        <w:t>乙方提供的服务如侵犯了第三方合法权益而引发的任何纠纷或诉讼，均由乙方负责</w:t>
      </w:r>
      <w:r>
        <w:rPr>
          <w:rFonts w:eastAsia="楷体"/>
          <w:color w:val="auto"/>
          <w:sz w:val="24"/>
          <w:szCs w:val="24"/>
          <w:highlight w:val="none"/>
        </w:rPr>
        <w:t>交涉并承担全部责任。</w:t>
      </w:r>
    </w:p>
    <w:p w14:paraId="6416D2C8">
      <w:pPr>
        <w:numPr>
          <w:ilvl w:val="0"/>
          <w:numId w:val="13"/>
        </w:numPr>
        <w:tabs>
          <w:tab w:val="left" w:pos="1107"/>
        </w:tabs>
        <w:spacing w:line="460" w:lineRule="exact"/>
        <w:ind w:left="420" w:leftChars="200" w:right="420" w:rightChars="200" w:firstLine="432" w:firstLineChars="200"/>
        <w:rPr>
          <w:rFonts w:eastAsia="楷体"/>
          <w:color w:val="auto"/>
          <w:sz w:val="24"/>
          <w:szCs w:val="24"/>
          <w:highlight w:val="none"/>
        </w:rPr>
      </w:pPr>
      <w:r>
        <w:rPr>
          <w:rFonts w:eastAsia="楷体"/>
          <w:color w:val="auto"/>
          <w:spacing w:val="-12"/>
          <w:sz w:val="24"/>
          <w:szCs w:val="24"/>
          <w:highlight w:val="none"/>
        </w:rPr>
        <w:t xml:space="preserve">乙方出现 </w:t>
      </w:r>
      <w:r>
        <w:rPr>
          <w:rFonts w:eastAsia="楷体"/>
          <w:color w:val="auto"/>
          <w:sz w:val="24"/>
          <w:szCs w:val="24"/>
          <w:highlight w:val="none"/>
          <w:u w:val="single"/>
        </w:rPr>
        <w:t>1</w:t>
      </w:r>
      <w:r>
        <w:rPr>
          <w:rFonts w:eastAsia="楷体"/>
          <w:color w:val="auto"/>
          <w:spacing w:val="-17"/>
          <w:sz w:val="24"/>
          <w:szCs w:val="24"/>
          <w:highlight w:val="none"/>
        </w:rPr>
        <w:t xml:space="preserve"> 次损坏审核资料的，给予警告一次；出现 </w:t>
      </w:r>
      <w:r>
        <w:rPr>
          <w:rFonts w:eastAsia="楷体"/>
          <w:color w:val="auto"/>
          <w:sz w:val="24"/>
          <w:szCs w:val="24"/>
          <w:highlight w:val="none"/>
          <w:u w:val="single"/>
        </w:rPr>
        <w:t>2</w:t>
      </w:r>
      <w:r>
        <w:rPr>
          <w:rFonts w:eastAsia="楷体"/>
          <w:color w:val="auto"/>
          <w:spacing w:val="-14"/>
          <w:sz w:val="24"/>
          <w:szCs w:val="24"/>
          <w:highlight w:val="none"/>
        </w:rPr>
        <w:t xml:space="preserve"> 次损坏审核资料或 </w:t>
      </w:r>
      <w:r>
        <w:rPr>
          <w:rFonts w:eastAsia="楷体"/>
          <w:color w:val="auto"/>
          <w:sz w:val="24"/>
          <w:szCs w:val="24"/>
          <w:highlight w:val="none"/>
          <w:u w:val="single"/>
        </w:rPr>
        <w:t>1</w:t>
      </w:r>
      <w:r>
        <w:rPr>
          <w:rFonts w:eastAsia="楷体"/>
          <w:color w:val="auto"/>
          <w:spacing w:val="-19"/>
          <w:sz w:val="24"/>
          <w:szCs w:val="24"/>
          <w:highlight w:val="none"/>
        </w:rPr>
        <w:t xml:space="preserve"> 次丢失</w:t>
      </w:r>
      <w:r>
        <w:rPr>
          <w:rFonts w:eastAsia="楷体"/>
          <w:color w:val="auto"/>
          <w:sz w:val="24"/>
          <w:szCs w:val="24"/>
          <w:highlight w:val="none"/>
        </w:rPr>
        <w:t>审核资料，终止</w:t>
      </w:r>
      <w:r>
        <w:rPr>
          <w:rFonts w:eastAsia="楷体"/>
          <w:color w:val="auto"/>
          <w:spacing w:val="-5"/>
          <w:sz w:val="24"/>
          <w:szCs w:val="24"/>
          <w:highlight w:val="none"/>
        </w:rPr>
        <w:t>框架协议</w:t>
      </w:r>
      <w:r>
        <w:rPr>
          <w:rFonts w:eastAsia="楷体"/>
          <w:color w:val="auto"/>
          <w:sz w:val="24"/>
          <w:szCs w:val="24"/>
          <w:highlight w:val="none"/>
        </w:rPr>
        <w:t>，并按情节轻重究其责任。</w:t>
      </w:r>
    </w:p>
    <w:p w14:paraId="2B94BFEA">
      <w:pPr>
        <w:numPr>
          <w:ilvl w:val="0"/>
          <w:numId w:val="13"/>
        </w:numPr>
        <w:tabs>
          <w:tab w:val="left" w:pos="1107"/>
        </w:tabs>
        <w:spacing w:before="1" w:line="460" w:lineRule="exact"/>
        <w:ind w:left="420" w:leftChars="200" w:right="420" w:rightChars="200" w:firstLine="460" w:firstLineChars="200"/>
        <w:rPr>
          <w:rFonts w:eastAsia="楷体"/>
          <w:color w:val="auto"/>
          <w:sz w:val="24"/>
          <w:szCs w:val="24"/>
          <w:highlight w:val="none"/>
        </w:rPr>
      </w:pPr>
      <w:r>
        <w:rPr>
          <w:rFonts w:eastAsia="楷体"/>
          <w:color w:val="auto"/>
          <w:spacing w:val="-5"/>
          <w:sz w:val="24"/>
          <w:szCs w:val="24"/>
          <w:highlight w:val="none"/>
        </w:rPr>
        <w:t>乙方未按本框架协议和响应文件中规定的服务承诺提供售后服务的，乙方应按本合同合</w:t>
      </w:r>
      <w:r>
        <w:rPr>
          <w:rFonts w:eastAsia="楷体"/>
          <w:color w:val="auto"/>
          <w:sz w:val="24"/>
          <w:szCs w:val="24"/>
          <w:highlight w:val="none"/>
        </w:rPr>
        <w:t>计金额</w:t>
      </w:r>
      <w:r>
        <w:rPr>
          <w:rFonts w:eastAsia="楷体"/>
          <w:color w:val="auto"/>
          <w:spacing w:val="-1"/>
          <w:sz w:val="24"/>
          <w:szCs w:val="24"/>
          <w:highlight w:val="none"/>
          <w:u w:val="single"/>
        </w:rPr>
        <w:t xml:space="preserve"> </w:t>
      </w:r>
      <w:r>
        <w:rPr>
          <w:rFonts w:eastAsia="楷体"/>
          <w:color w:val="auto"/>
          <w:sz w:val="24"/>
          <w:szCs w:val="24"/>
          <w:highlight w:val="none"/>
          <w:u w:val="single"/>
        </w:rPr>
        <w:t>5%</w:t>
      </w:r>
      <w:r>
        <w:rPr>
          <w:rFonts w:eastAsia="楷体"/>
          <w:color w:val="auto"/>
          <w:sz w:val="24"/>
          <w:szCs w:val="24"/>
          <w:highlight w:val="none"/>
        </w:rPr>
        <w:t xml:space="preserve"> 向甲方支付违约金。</w:t>
      </w:r>
    </w:p>
    <w:p w14:paraId="33E8381C">
      <w:pPr>
        <w:pStyle w:val="32"/>
        <w:numPr>
          <w:ilvl w:val="0"/>
          <w:numId w:val="13"/>
        </w:numPr>
        <w:tabs>
          <w:tab w:val="left" w:pos="1107"/>
        </w:tabs>
        <w:spacing w:before="1" w:after="0" w:line="460" w:lineRule="exact"/>
        <w:ind w:left="420" w:leftChars="200" w:right="420" w:rightChars="200" w:firstLine="404" w:firstLineChars="200"/>
        <w:rPr>
          <w:rFonts w:ascii="Times New Roman" w:eastAsia="楷体"/>
          <w:b/>
          <w:color w:val="auto"/>
          <w:szCs w:val="24"/>
          <w:highlight w:val="none"/>
        </w:rPr>
      </w:pPr>
      <w:r>
        <w:rPr>
          <w:rFonts w:hint="eastAsia" w:ascii="Times New Roman" w:eastAsia="楷体"/>
          <w:color w:val="auto"/>
          <w:spacing w:val="-4"/>
          <w:szCs w:val="24"/>
          <w:highlight w:val="none"/>
          <w:lang w:eastAsia="zh-CN"/>
        </w:rPr>
        <w:t>其他</w:t>
      </w:r>
      <w:r>
        <w:rPr>
          <w:rFonts w:ascii="Times New Roman" w:eastAsia="楷体"/>
          <w:color w:val="auto"/>
          <w:spacing w:val="-4"/>
          <w:szCs w:val="24"/>
          <w:highlight w:val="none"/>
        </w:rPr>
        <w:t xml:space="preserve">违约行为按违约服务成果费用金额 </w:t>
      </w:r>
      <w:r>
        <w:rPr>
          <w:rFonts w:ascii="Times New Roman" w:eastAsia="楷体"/>
          <w:color w:val="auto"/>
          <w:szCs w:val="24"/>
          <w:highlight w:val="none"/>
        </w:rPr>
        <w:t>5%</w:t>
      </w:r>
      <w:r>
        <w:rPr>
          <w:rFonts w:ascii="Times New Roman" w:eastAsia="楷体"/>
          <w:color w:val="auto"/>
          <w:spacing w:val="-2"/>
          <w:szCs w:val="24"/>
          <w:highlight w:val="none"/>
        </w:rPr>
        <w:t>收取违约金并赔偿经济损失。</w:t>
      </w:r>
    </w:p>
    <w:p w14:paraId="2F5C61BD">
      <w:pPr>
        <w:pStyle w:val="32"/>
        <w:tabs>
          <w:tab w:val="left" w:pos="1107"/>
        </w:tabs>
        <w:spacing w:before="1" w:after="0" w:line="460" w:lineRule="exact"/>
        <w:ind w:left="420" w:leftChars="200" w:right="420" w:rightChars="200" w:firstLine="418" w:firstLineChars="200"/>
        <w:jc w:val="left"/>
        <w:rPr>
          <w:rFonts w:ascii="Times New Roman" w:eastAsia="楷体"/>
          <w:b/>
          <w:color w:val="auto"/>
          <w:szCs w:val="24"/>
          <w:highlight w:val="none"/>
        </w:rPr>
      </w:pPr>
      <w:r>
        <w:rPr>
          <w:rFonts w:ascii="Times New Roman" w:eastAsia="楷体"/>
          <w:b/>
          <w:color w:val="auto"/>
          <w:spacing w:val="-1"/>
          <w:szCs w:val="24"/>
          <w:highlight w:val="none"/>
        </w:rPr>
        <w:t>第</w:t>
      </w:r>
      <w:r>
        <w:rPr>
          <w:rFonts w:ascii="Times New Roman" w:eastAsia="楷体"/>
          <w:b/>
          <w:color w:val="auto"/>
          <w:szCs w:val="24"/>
          <w:highlight w:val="none"/>
        </w:rPr>
        <w:t>十条 不可抗力事件处理</w:t>
      </w:r>
    </w:p>
    <w:p w14:paraId="5987719A">
      <w:pPr>
        <w:numPr>
          <w:ilvl w:val="0"/>
          <w:numId w:val="14"/>
        </w:numPr>
        <w:tabs>
          <w:tab w:val="left" w:pos="1107"/>
        </w:tabs>
        <w:spacing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在合同有效期内，任何一方因不可抗力事件导致不能履行</w:t>
      </w:r>
      <w:r>
        <w:rPr>
          <w:rFonts w:eastAsia="楷体"/>
          <w:color w:val="auto"/>
          <w:spacing w:val="-5"/>
          <w:sz w:val="24"/>
          <w:szCs w:val="24"/>
          <w:highlight w:val="none"/>
        </w:rPr>
        <w:t>框架协议</w:t>
      </w:r>
      <w:r>
        <w:rPr>
          <w:rFonts w:eastAsia="楷体"/>
          <w:color w:val="auto"/>
          <w:spacing w:val="-9"/>
          <w:sz w:val="24"/>
          <w:szCs w:val="24"/>
          <w:highlight w:val="none"/>
        </w:rPr>
        <w:t>，则</w:t>
      </w:r>
      <w:r>
        <w:rPr>
          <w:rFonts w:eastAsia="楷体"/>
          <w:color w:val="auto"/>
          <w:spacing w:val="-5"/>
          <w:sz w:val="24"/>
          <w:szCs w:val="24"/>
          <w:highlight w:val="none"/>
        </w:rPr>
        <w:t>框架协议</w:t>
      </w:r>
      <w:r>
        <w:rPr>
          <w:rFonts w:eastAsia="楷体"/>
          <w:color w:val="auto"/>
          <w:spacing w:val="-9"/>
          <w:sz w:val="24"/>
          <w:szCs w:val="24"/>
          <w:highlight w:val="none"/>
        </w:rPr>
        <w:t>履行期可延</w:t>
      </w:r>
      <w:r>
        <w:rPr>
          <w:rFonts w:eastAsia="楷体"/>
          <w:color w:val="auto"/>
          <w:sz w:val="24"/>
          <w:szCs w:val="24"/>
          <w:highlight w:val="none"/>
        </w:rPr>
        <w:t>长，其延长期与不可抗力影响期相同。</w:t>
      </w:r>
    </w:p>
    <w:p w14:paraId="37C81784">
      <w:pPr>
        <w:numPr>
          <w:ilvl w:val="0"/>
          <w:numId w:val="14"/>
        </w:numPr>
        <w:tabs>
          <w:tab w:val="left" w:pos="1107"/>
        </w:tabs>
        <w:spacing w:before="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不可抗力事件发生后，应立即通知对方，并寄送有关权威机构出具的证明。</w:t>
      </w:r>
    </w:p>
    <w:p w14:paraId="05388254">
      <w:pPr>
        <w:pStyle w:val="32"/>
        <w:numPr>
          <w:ilvl w:val="0"/>
          <w:numId w:val="14"/>
        </w:numPr>
        <w:tabs>
          <w:tab w:val="left" w:pos="1107"/>
        </w:tabs>
        <w:spacing w:before="172" w:after="0" w:line="460" w:lineRule="exact"/>
        <w:ind w:left="420" w:leftChars="200" w:right="420" w:rightChars="200" w:firstLine="416" w:firstLineChars="200"/>
        <w:rPr>
          <w:rFonts w:ascii="Times New Roman" w:eastAsia="楷体"/>
          <w:b/>
          <w:color w:val="auto"/>
          <w:szCs w:val="24"/>
          <w:highlight w:val="none"/>
        </w:rPr>
      </w:pPr>
      <w:r>
        <w:rPr>
          <w:rFonts w:ascii="Times New Roman" w:eastAsia="楷体"/>
          <w:color w:val="auto"/>
          <w:spacing w:val="-1"/>
          <w:szCs w:val="24"/>
          <w:highlight w:val="none"/>
        </w:rPr>
        <w:t>不可抗力事件延续三十天以上，双方应通过友好协商，确定是否继续履行合同。</w:t>
      </w:r>
    </w:p>
    <w:p w14:paraId="2D0A89AA">
      <w:pPr>
        <w:pStyle w:val="32"/>
        <w:tabs>
          <w:tab w:val="left" w:pos="1107"/>
        </w:tabs>
        <w:spacing w:before="172" w:after="0" w:line="460" w:lineRule="exact"/>
        <w:ind w:left="420" w:leftChars="200" w:right="420" w:rightChars="200" w:firstLine="418" w:firstLineChars="200"/>
        <w:jc w:val="left"/>
        <w:rPr>
          <w:rFonts w:ascii="Times New Roman" w:eastAsia="楷体"/>
          <w:b/>
          <w:color w:val="auto"/>
          <w:szCs w:val="24"/>
          <w:highlight w:val="none"/>
        </w:rPr>
      </w:pPr>
      <w:r>
        <w:rPr>
          <w:rFonts w:ascii="Times New Roman" w:eastAsia="楷体"/>
          <w:b/>
          <w:color w:val="auto"/>
          <w:spacing w:val="-1"/>
          <w:szCs w:val="24"/>
          <w:highlight w:val="none"/>
        </w:rPr>
        <w:t>第十一条 争议解决</w:t>
      </w:r>
    </w:p>
    <w:p w14:paraId="15DC5F8F">
      <w:pPr>
        <w:numPr>
          <w:ilvl w:val="0"/>
          <w:numId w:val="15"/>
        </w:numPr>
        <w:tabs>
          <w:tab w:val="left" w:pos="1107"/>
        </w:tabs>
        <w:spacing w:before="1" w:line="460" w:lineRule="exact"/>
        <w:ind w:left="420" w:leftChars="200" w:right="420" w:rightChars="200" w:firstLine="448" w:firstLineChars="200"/>
        <w:jc w:val="both"/>
        <w:rPr>
          <w:rFonts w:eastAsia="楷体"/>
          <w:color w:val="auto"/>
          <w:sz w:val="24"/>
          <w:szCs w:val="24"/>
          <w:highlight w:val="none"/>
        </w:rPr>
      </w:pPr>
      <w:r>
        <w:rPr>
          <w:rFonts w:eastAsia="楷体"/>
          <w:color w:val="auto"/>
          <w:spacing w:val="-8"/>
          <w:sz w:val="24"/>
          <w:szCs w:val="24"/>
          <w:highlight w:val="none"/>
        </w:rPr>
        <w:t>因服务成果质量问题发生争议的，应邀请国家认定的评估机构按照标准对服务成果</w:t>
      </w:r>
      <w:r>
        <w:rPr>
          <w:rFonts w:eastAsia="楷体"/>
          <w:color w:val="auto"/>
          <w:spacing w:val="-4"/>
          <w:sz w:val="24"/>
          <w:szCs w:val="24"/>
          <w:highlight w:val="none"/>
        </w:rPr>
        <w:t>质量进行验收。服务成果符合标准的，鉴定费由甲方承担；服务成果不符合标准的，鉴定</w:t>
      </w:r>
      <w:r>
        <w:rPr>
          <w:rFonts w:eastAsia="楷体"/>
          <w:color w:val="auto"/>
          <w:sz w:val="24"/>
          <w:szCs w:val="24"/>
          <w:highlight w:val="none"/>
        </w:rPr>
        <w:t>费由乙方承担。</w:t>
      </w:r>
    </w:p>
    <w:p w14:paraId="2748CB5A">
      <w:pPr>
        <w:numPr>
          <w:ilvl w:val="0"/>
          <w:numId w:val="15"/>
        </w:numPr>
        <w:tabs>
          <w:tab w:val="left" w:pos="1107"/>
        </w:tabs>
        <w:spacing w:before="1" w:line="460" w:lineRule="exact"/>
        <w:ind w:left="420" w:leftChars="200" w:right="420" w:rightChars="200" w:firstLine="448" w:firstLineChars="200"/>
        <w:jc w:val="both"/>
        <w:rPr>
          <w:rFonts w:eastAsia="楷体"/>
          <w:color w:val="auto"/>
          <w:spacing w:val="-8"/>
          <w:sz w:val="24"/>
          <w:szCs w:val="24"/>
          <w:highlight w:val="none"/>
        </w:rPr>
      </w:pPr>
      <w:r>
        <w:rPr>
          <w:rFonts w:eastAsia="楷体"/>
          <w:color w:val="auto"/>
          <w:spacing w:val="-8"/>
          <w:sz w:val="24"/>
          <w:szCs w:val="24"/>
          <w:highlight w:val="none"/>
        </w:rPr>
        <w:t>因履行本合同引起的或与本合同有关的争议，甲乙双方应首先通过友好协商解决，如果协商不能解决，可向甲方所在地人民法院提起诉讼。</w:t>
      </w:r>
    </w:p>
    <w:p w14:paraId="06267E25">
      <w:pPr>
        <w:spacing w:before="21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3.诉讼期间，本框架协议继续履行。</w:t>
      </w:r>
    </w:p>
    <w:p w14:paraId="5FD19F17">
      <w:pPr>
        <w:spacing w:before="1" w:line="460" w:lineRule="exact"/>
        <w:ind w:left="420" w:leftChars="200" w:right="420" w:rightChars="200" w:firstLine="478" w:firstLineChars="200"/>
        <w:rPr>
          <w:rFonts w:eastAsia="楷体"/>
          <w:b/>
          <w:color w:val="auto"/>
          <w:spacing w:val="-1"/>
          <w:sz w:val="24"/>
          <w:szCs w:val="24"/>
          <w:highlight w:val="none"/>
        </w:rPr>
      </w:pPr>
      <w:r>
        <w:rPr>
          <w:rFonts w:eastAsia="楷体"/>
          <w:b/>
          <w:color w:val="auto"/>
          <w:spacing w:val="-1"/>
          <w:sz w:val="24"/>
          <w:szCs w:val="24"/>
          <w:highlight w:val="none"/>
        </w:rPr>
        <w:t>第十二条 其他</w:t>
      </w:r>
    </w:p>
    <w:p w14:paraId="05EEAD7F">
      <w:pPr>
        <w:numPr>
          <w:ilvl w:val="0"/>
          <w:numId w:val="16"/>
        </w:numPr>
        <w:tabs>
          <w:tab w:val="left" w:pos="1107"/>
        </w:tabs>
        <w:spacing w:before="172"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本协议原则上由双方代表人签订并加盖单位公章后生效。</w:t>
      </w:r>
    </w:p>
    <w:p w14:paraId="4F3766E2">
      <w:pPr>
        <w:numPr>
          <w:ilvl w:val="0"/>
          <w:numId w:val="16"/>
        </w:numPr>
        <w:tabs>
          <w:tab w:val="left" w:pos="1107"/>
        </w:tabs>
        <w:spacing w:before="173"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本协议为框架协议，具体项目具体事宜需在采购合同中进一步予以明确。框架协议</w:t>
      </w:r>
      <w:r>
        <w:rPr>
          <w:rFonts w:eastAsia="楷体"/>
          <w:color w:val="auto"/>
          <w:sz w:val="24"/>
          <w:szCs w:val="24"/>
          <w:highlight w:val="none"/>
        </w:rPr>
        <w:t>与采购合同构成不可分割的整体。</w:t>
      </w:r>
    </w:p>
    <w:p w14:paraId="0C951B4C">
      <w:pPr>
        <w:numPr>
          <w:ilvl w:val="0"/>
          <w:numId w:val="16"/>
        </w:numPr>
        <w:tabs>
          <w:tab w:val="left" w:pos="1107"/>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本协议一式</w:t>
      </w:r>
      <w:r>
        <w:rPr>
          <w:rFonts w:eastAsia="楷体"/>
          <w:color w:val="auto"/>
          <w:sz w:val="24"/>
          <w:szCs w:val="24"/>
          <w:highlight w:val="none"/>
          <w:u w:val="single"/>
        </w:rPr>
        <w:t>五</w:t>
      </w:r>
      <w:r>
        <w:rPr>
          <w:rFonts w:eastAsia="楷体"/>
          <w:color w:val="auto"/>
          <w:sz w:val="24"/>
          <w:szCs w:val="24"/>
          <w:highlight w:val="none"/>
        </w:rPr>
        <w:t>份，双方各执二份，采购代理机构</w:t>
      </w:r>
      <w:r>
        <w:rPr>
          <w:rFonts w:eastAsia="楷体"/>
          <w:color w:val="auto"/>
          <w:sz w:val="24"/>
          <w:szCs w:val="24"/>
          <w:highlight w:val="none"/>
          <w:u w:val="single"/>
        </w:rPr>
        <w:t>一</w:t>
      </w:r>
      <w:r>
        <w:rPr>
          <w:rFonts w:eastAsia="楷体"/>
          <w:color w:val="auto"/>
          <w:sz w:val="24"/>
          <w:szCs w:val="24"/>
          <w:highlight w:val="none"/>
        </w:rPr>
        <w:t>份，具有同等法律效力。</w:t>
      </w:r>
    </w:p>
    <w:p w14:paraId="4609D41B">
      <w:pPr>
        <w:tabs>
          <w:tab w:val="left" w:pos="464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协议甲方名称（盖章）：</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协议乙方（盖章）：</w:t>
      </w:r>
      <w:r>
        <w:rPr>
          <w:rFonts w:eastAsia="楷体"/>
          <w:color w:val="auto"/>
          <w:sz w:val="24"/>
          <w:szCs w:val="24"/>
          <w:highlight w:val="none"/>
          <w:u w:val="single"/>
        </w:rPr>
        <w:t xml:space="preserve"> </w:t>
      </w:r>
      <w:r>
        <w:rPr>
          <w:rFonts w:eastAsia="楷体"/>
          <w:color w:val="auto"/>
          <w:sz w:val="24"/>
          <w:szCs w:val="24"/>
          <w:highlight w:val="none"/>
          <w:u w:val="single"/>
        </w:rPr>
        <w:tab/>
      </w:r>
    </w:p>
    <w:p w14:paraId="0A1710B2">
      <w:pPr>
        <w:pStyle w:val="5"/>
        <w:spacing w:before="10" w:line="460" w:lineRule="exact"/>
        <w:ind w:left="420" w:leftChars="200" w:right="420" w:rightChars="200" w:firstLine="480" w:firstLineChars="200"/>
        <w:rPr>
          <w:rFonts w:eastAsia="楷体"/>
          <w:color w:val="auto"/>
          <w:sz w:val="24"/>
          <w:szCs w:val="24"/>
          <w:highlight w:val="none"/>
        </w:rPr>
      </w:pPr>
    </w:p>
    <w:p w14:paraId="3D1F3963">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地址：</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地址：</w:t>
      </w:r>
      <w:r>
        <w:rPr>
          <w:rFonts w:eastAsia="楷体"/>
          <w:color w:val="auto"/>
          <w:sz w:val="24"/>
          <w:szCs w:val="24"/>
          <w:highlight w:val="none"/>
          <w:u w:val="single"/>
        </w:rPr>
        <w:t xml:space="preserve"> </w:t>
      </w:r>
      <w:r>
        <w:rPr>
          <w:rFonts w:eastAsia="楷体"/>
          <w:color w:val="auto"/>
          <w:sz w:val="24"/>
          <w:szCs w:val="24"/>
          <w:highlight w:val="none"/>
          <w:u w:val="single"/>
        </w:rPr>
        <w:tab/>
      </w:r>
    </w:p>
    <w:p w14:paraId="239599D8">
      <w:pPr>
        <w:pStyle w:val="5"/>
        <w:spacing w:before="1" w:line="460" w:lineRule="exact"/>
        <w:ind w:left="420" w:leftChars="200" w:right="420" w:rightChars="200" w:firstLine="480" w:firstLineChars="200"/>
        <w:rPr>
          <w:rFonts w:eastAsia="楷体"/>
          <w:color w:val="auto"/>
          <w:sz w:val="24"/>
          <w:szCs w:val="24"/>
          <w:highlight w:val="none"/>
        </w:rPr>
      </w:pPr>
    </w:p>
    <w:p w14:paraId="060371FA">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联系方式：</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联系方式：</w:t>
      </w:r>
      <w:r>
        <w:rPr>
          <w:rFonts w:eastAsia="楷体"/>
          <w:color w:val="auto"/>
          <w:sz w:val="24"/>
          <w:szCs w:val="24"/>
          <w:highlight w:val="none"/>
          <w:u w:val="single"/>
        </w:rPr>
        <w:t xml:space="preserve"> </w:t>
      </w:r>
      <w:r>
        <w:rPr>
          <w:rFonts w:eastAsia="楷体"/>
          <w:color w:val="auto"/>
          <w:sz w:val="24"/>
          <w:szCs w:val="24"/>
          <w:highlight w:val="none"/>
          <w:u w:val="single"/>
        </w:rPr>
        <w:tab/>
      </w:r>
    </w:p>
    <w:p w14:paraId="581054A4">
      <w:pPr>
        <w:pStyle w:val="5"/>
        <w:spacing w:before="2" w:line="460" w:lineRule="exact"/>
        <w:ind w:left="420" w:leftChars="200" w:right="420" w:rightChars="200" w:firstLine="480" w:firstLineChars="200"/>
        <w:rPr>
          <w:rFonts w:eastAsia="楷体"/>
          <w:color w:val="auto"/>
          <w:sz w:val="24"/>
          <w:szCs w:val="24"/>
          <w:highlight w:val="none"/>
        </w:rPr>
      </w:pPr>
    </w:p>
    <w:p w14:paraId="0C29C6EB">
      <w:pPr>
        <w:tabs>
          <w:tab w:val="left" w:pos="4760"/>
          <w:tab w:val="left" w:pos="5906"/>
          <w:tab w:val="left" w:pos="9681"/>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代表签字：</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代表签字：</w:t>
      </w:r>
      <w:r>
        <w:rPr>
          <w:rFonts w:eastAsia="楷体"/>
          <w:color w:val="auto"/>
          <w:sz w:val="24"/>
          <w:szCs w:val="24"/>
          <w:highlight w:val="none"/>
          <w:u w:val="single"/>
        </w:rPr>
        <w:t xml:space="preserve"> </w:t>
      </w:r>
      <w:r>
        <w:rPr>
          <w:rFonts w:eastAsia="楷体"/>
          <w:color w:val="auto"/>
          <w:sz w:val="24"/>
          <w:szCs w:val="24"/>
          <w:highlight w:val="none"/>
          <w:u w:val="single"/>
        </w:rPr>
        <w:tab/>
      </w:r>
    </w:p>
    <w:p w14:paraId="77D03373">
      <w:pPr>
        <w:pStyle w:val="5"/>
        <w:spacing w:before="6" w:line="460" w:lineRule="exact"/>
        <w:ind w:left="420" w:leftChars="200" w:right="420" w:rightChars="200" w:firstLine="480" w:firstLineChars="200"/>
        <w:rPr>
          <w:rFonts w:eastAsia="楷体"/>
          <w:color w:val="auto"/>
          <w:sz w:val="24"/>
          <w:szCs w:val="24"/>
          <w:highlight w:val="none"/>
        </w:rPr>
      </w:pPr>
    </w:p>
    <w:p w14:paraId="71AB0432">
      <w:pPr>
        <w:tabs>
          <w:tab w:val="left" w:pos="2185"/>
          <w:tab w:val="left" w:pos="2905"/>
          <w:tab w:val="left" w:pos="3625"/>
          <w:tab w:val="left" w:pos="5906"/>
          <w:tab w:val="left" w:pos="7226"/>
          <w:tab w:val="left" w:pos="7946"/>
          <w:tab w:val="left" w:pos="8666"/>
        </w:tabs>
        <w:spacing w:before="67" w:line="460" w:lineRule="exact"/>
        <w:ind w:left="420" w:leftChars="200" w:right="420" w:rightChars="200" w:firstLine="480" w:firstLineChars="200"/>
        <w:rPr>
          <w:rFonts w:eastAsia="楷体"/>
          <w:color w:val="auto"/>
          <w:sz w:val="24"/>
          <w:szCs w:val="24"/>
          <w:highlight w:val="none"/>
        </w:rPr>
        <w:sectPr>
          <w:footerReference r:id="rId9" w:type="default"/>
          <w:pgSz w:w="11910" w:h="16840"/>
          <w:pgMar w:top="1080" w:right="1123" w:bottom="1180" w:left="1120" w:header="892" w:footer="680" w:gutter="0"/>
          <w:cols w:space="720" w:num="1"/>
        </w:sectPr>
      </w:pPr>
      <w:r>
        <w:rPr>
          <w:rFonts w:eastAsia="楷体"/>
          <w:color w:val="auto"/>
          <w:sz w:val="24"/>
          <w:szCs w:val="24"/>
          <w:highlight w:val="none"/>
        </w:rPr>
        <w:t>日</w:t>
      </w:r>
      <w:r>
        <w:rPr>
          <w:rFonts w:eastAsia="楷体"/>
          <w:color w:val="auto"/>
          <w:spacing w:val="-1"/>
          <w:sz w:val="24"/>
          <w:szCs w:val="24"/>
          <w:highlight w:val="none"/>
        </w:rPr>
        <w:t xml:space="preserve"> </w:t>
      </w:r>
      <w:r>
        <w:rPr>
          <w:rFonts w:eastAsia="楷体"/>
          <w:color w:val="auto"/>
          <w:sz w:val="24"/>
          <w:szCs w:val="24"/>
          <w:highlight w:val="none"/>
        </w:rPr>
        <w:t>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月</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日</w:t>
      </w:r>
      <w:r>
        <w:rPr>
          <w:rFonts w:eastAsia="楷体"/>
          <w:color w:val="auto"/>
          <w:sz w:val="24"/>
          <w:szCs w:val="24"/>
          <w:highlight w:val="none"/>
        </w:rPr>
        <w:tab/>
      </w:r>
      <w:r>
        <w:rPr>
          <w:rFonts w:eastAsia="楷体"/>
          <w:color w:val="auto"/>
          <w:sz w:val="24"/>
          <w:szCs w:val="24"/>
          <w:highlight w:val="none"/>
        </w:rPr>
        <w:t>日 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月</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日</w:t>
      </w:r>
    </w:p>
    <w:p w14:paraId="5D55AC36">
      <w:pPr>
        <w:spacing w:line="460" w:lineRule="exact"/>
        <w:ind w:right="420" w:rightChars="200"/>
        <w:rPr>
          <w:rFonts w:eastAsia="楷体"/>
          <w:color w:val="auto"/>
          <w:sz w:val="24"/>
          <w:szCs w:val="24"/>
          <w:highlight w:val="none"/>
        </w:rPr>
      </w:pPr>
      <w:r>
        <w:rPr>
          <w:rFonts w:eastAsia="楷体"/>
          <w:color w:val="auto"/>
          <w:spacing w:val="-21"/>
          <w:sz w:val="24"/>
          <w:szCs w:val="24"/>
          <w:highlight w:val="none"/>
        </w:rPr>
        <w:t xml:space="preserve">附件 </w:t>
      </w:r>
      <w:r>
        <w:rPr>
          <w:rFonts w:eastAsia="楷体"/>
          <w:color w:val="auto"/>
          <w:sz w:val="24"/>
          <w:szCs w:val="24"/>
          <w:highlight w:val="none"/>
        </w:rPr>
        <w:t>1</w:t>
      </w:r>
    </w:p>
    <w:p w14:paraId="7B487DB4">
      <w:pPr>
        <w:spacing w:before="1" w:line="460" w:lineRule="exact"/>
        <w:ind w:left="420" w:leftChars="200" w:right="420" w:rightChars="200" w:firstLine="480" w:firstLineChars="200"/>
        <w:jc w:val="center"/>
        <w:rPr>
          <w:rFonts w:eastAsia="楷体"/>
          <w:color w:val="auto"/>
          <w:sz w:val="24"/>
          <w:szCs w:val="24"/>
          <w:highlight w:val="none"/>
        </w:rPr>
      </w:pPr>
      <w:r>
        <w:rPr>
          <w:rFonts w:eastAsia="楷体"/>
          <w:color w:val="auto"/>
          <w:sz w:val="24"/>
          <w:szCs w:val="24"/>
          <w:highlight w:val="none"/>
        </w:rPr>
        <w:t>廉洁诚信协议</w:t>
      </w:r>
    </w:p>
    <w:p w14:paraId="632762C5">
      <w:pPr>
        <w:pStyle w:val="5"/>
        <w:spacing w:before="5" w:line="460" w:lineRule="exact"/>
        <w:ind w:left="420" w:leftChars="200" w:right="420" w:rightChars="200" w:firstLine="482" w:firstLineChars="200"/>
        <w:rPr>
          <w:rFonts w:eastAsia="楷体"/>
          <w:b/>
          <w:color w:val="auto"/>
          <w:sz w:val="24"/>
          <w:szCs w:val="24"/>
          <w:highlight w:val="none"/>
        </w:rPr>
      </w:pPr>
    </w:p>
    <w:p w14:paraId="28BCDB3C">
      <w:pPr>
        <w:tabs>
          <w:tab w:val="left" w:pos="3694"/>
          <w:tab w:val="left" w:pos="3759"/>
        </w:tabs>
        <w:spacing w:before="66"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甲</w:t>
      </w:r>
      <w:r>
        <w:rPr>
          <w:rFonts w:eastAsia="楷体"/>
          <w:color w:val="auto"/>
          <w:sz w:val="24"/>
          <w:szCs w:val="24"/>
          <w:highlight w:val="none"/>
        </w:rPr>
        <w:t>方：</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ab/>
      </w:r>
      <w:r>
        <w:rPr>
          <w:rFonts w:eastAsia="楷体"/>
          <w:color w:val="auto"/>
          <w:sz w:val="24"/>
          <w:szCs w:val="24"/>
          <w:highlight w:val="none"/>
          <w:u w:val="single"/>
        </w:rPr>
        <w:t xml:space="preserve">   </w:t>
      </w:r>
      <w:r>
        <w:rPr>
          <w:rFonts w:eastAsia="楷体"/>
          <w:color w:val="auto"/>
          <w:sz w:val="24"/>
          <w:szCs w:val="24"/>
          <w:highlight w:val="none"/>
        </w:rPr>
        <w:t xml:space="preserve">              </w:t>
      </w:r>
    </w:p>
    <w:p w14:paraId="5DD596D1">
      <w:pPr>
        <w:tabs>
          <w:tab w:val="left" w:pos="3694"/>
          <w:tab w:val="left" w:pos="3759"/>
        </w:tabs>
        <w:spacing w:before="66"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乙</w:t>
      </w:r>
      <w:r>
        <w:rPr>
          <w:rFonts w:eastAsia="楷体"/>
          <w:color w:val="auto"/>
          <w:sz w:val="24"/>
          <w:szCs w:val="24"/>
          <w:highlight w:val="none"/>
        </w:rPr>
        <w:t>方：</w:t>
      </w:r>
      <w:r>
        <w:rPr>
          <w:rFonts w:eastAsia="楷体"/>
          <w:color w:val="auto"/>
          <w:sz w:val="24"/>
          <w:szCs w:val="24"/>
          <w:highlight w:val="none"/>
          <w:u w:val="single"/>
        </w:rPr>
        <w:t xml:space="preserve">               </w:t>
      </w:r>
      <w:r>
        <w:rPr>
          <w:rFonts w:eastAsia="楷体"/>
          <w:color w:val="auto"/>
          <w:sz w:val="24"/>
          <w:szCs w:val="24"/>
          <w:highlight w:val="none"/>
          <w:u w:val="single"/>
        </w:rPr>
        <w:tab/>
      </w:r>
    </w:p>
    <w:p w14:paraId="0C86F55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为保障甲方与乙方在业务来往的合法权益，推进甲、乙双方及其工作人员的廉洁诚信</w:t>
      </w:r>
      <w:r>
        <w:rPr>
          <w:rFonts w:eastAsia="楷体"/>
          <w:color w:val="auto"/>
          <w:spacing w:val="-13"/>
          <w:sz w:val="24"/>
          <w:szCs w:val="24"/>
          <w:highlight w:val="none"/>
        </w:rPr>
        <w:t xml:space="preserve">建设，使甲、乙双方的业务往来充分体现廉洁、诚信的原则，预防商业贿赂和不正当竞争， </w:t>
      </w:r>
      <w:r>
        <w:rPr>
          <w:rFonts w:eastAsia="楷体"/>
          <w:color w:val="auto"/>
          <w:sz w:val="24"/>
          <w:szCs w:val="24"/>
          <w:highlight w:val="none"/>
        </w:rPr>
        <w:t>甲、乙双方在自愿的基础上签署本协议。</w:t>
      </w:r>
    </w:p>
    <w:p w14:paraId="25D91263">
      <w:pPr>
        <w:tabs>
          <w:tab w:val="left" w:pos="1736"/>
        </w:tabs>
        <w:spacing w:before="5"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第一条</w:t>
      </w:r>
      <w:r>
        <w:rPr>
          <w:rFonts w:eastAsia="楷体"/>
          <w:b/>
          <w:color w:val="auto"/>
          <w:sz w:val="24"/>
          <w:szCs w:val="24"/>
          <w:highlight w:val="none"/>
        </w:rPr>
        <w:tab/>
      </w:r>
      <w:r>
        <w:rPr>
          <w:rFonts w:eastAsia="楷体"/>
          <w:color w:val="auto"/>
          <w:sz w:val="24"/>
          <w:szCs w:val="24"/>
          <w:highlight w:val="none"/>
        </w:rPr>
        <w:t>本协议作为</w:t>
      </w:r>
      <w:r>
        <w:rPr>
          <w:rFonts w:eastAsia="楷体"/>
          <w:color w:val="auto"/>
          <w:spacing w:val="-3"/>
          <w:sz w:val="24"/>
          <w:szCs w:val="24"/>
          <w:highlight w:val="none"/>
        </w:rPr>
        <w:t>框</w:t>
      </w:r>
      <w:r>
        <w:rPr>
          <w:rFonts w:eastAsia="楷体"/>
          <w:color w:val="auto"/>
          <w:sz w:val="24"/>
          <w:szCs w:val="24"/>
          <w:highlight w:val="none"/>
        </w:rPr>
        <w:t>架协议的附件，经甲、乙双方签署后生效。</w:t>
      </w:r>
    </w:p>
    <w:p w14:paraId="3C2D117F">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本协议所指利害关系人是指评审项目有关工作人员、有关工作人员亲属及其他共同利益关系人。</w:t>
      </w:r>
    </w:p>
    <w:p w14:paraId="01FD5271">
      <w:pPr>
        <w:tabs>
          <w:tab w:val="left" w:pos="1738"/>
        </w:tabs>
        <w:spacing w:line="460" w:lineRule="exact"/>
        <w:ind w:left="420" w:leftChars="200" w:right="420" w:rightChars="200" w:firstLine="482" w:firstLineChars="200"/>
        <w:jc w:val="left"/>
        <w:rPr>
          <w:rFonts w:eastAsia="楷体"/>
          <w:color w:val="auto"/>
          <w:sz w:val="24"/>
          <w:szCs w:val="24"/>
          <w:highlight w:val="none"/>
        </w:rPr>
      </w:pPr>
      <w:r>
        <w:rPr>
          <w:rFonts w:eastAsia="楷体"/>
          <w:b/>
          <w:color w:val="auto"/>
          <w:sz w:val="24"/>
          <w:szCs w:val="24"/>
          <w:highlight w:val="none"/>
        </w:rPr>
        <w:t>第二条</w:t>
      </w:r>
      <w:r>
        <w:rPr>
          <w:rFonts w:eastAsia="楷体"/>
          <w:b/>
          <w:color w:val="auto"/>
          <w:sz w:val="24"/>
          <w:szCs w:val="24"/>
          <w:highlight w:val="none"/>
        </w:rPr>
        <w:tab/>
      </w:r>
      <w:r>
        <w:rPr>
          <w:rFonts w:eastAsia="楷体"/>
          <w:color w:val="auto"/>
          <w:sz w:val="24"/>
          <w:szCs w:val="24"/>
          <w:highlight w:val="none"/>
        </w:rPr>
        <w:t>甲、乙双方</w:t>
      </w:r>
      <w:r>
        <w:rPr>
          <w:rFonts w:eastAsia="楷体"/>
          <w:color w:val="auto"/>
          <w:spacing w:val="-3"/>
          <w:sz w:val="24"/>
          <w:szCs w:val="24"/>
          <w:highlight w:val="none"/>
        </w:rPr>
        <w:t>应</w:t>
      </w:r>
      <w:r>
        <w:rPr>
          <w:rFonts w:eastAsia="楷体"/>
          <w:color w:val="auto"/>
          <w:sz w:val="24"/>
          <w:szCs w:val="24"/>
          <w:highlight w:val="none"/>
        </w:rPr>
        <w:t>共同遵守下列条款：</w:t>
      </w:r>
    </w:p>
    <w:p w14:paraId="7C5D799F">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w:t>
      </w:r>
      <w:r>
        <w:rPr>
          <w:rFonts w:eastAsia="楷体"/>
          <w:color w:val="auto"/>
          <w:spacing w:val="-2"/>
          <w:sz w:val="24"/>
          <w:szCs w:val="24"/>
          <w:highlight w:val="none"/>
        </w:rPr>
        <w:t>严格遵守国家法律法规，坚持廉洁、诚信的原则，恪守公认的商业道德和职业</w:t>
      </w:r>
      <w:r>
        <w:rPr>
          <w:rFonts w:eastAsia="楷体"/>
          <w:color w:val="auto"/>
          <w:sz w:val="24"/>
          <w:szCs w:val="24"/>
          <w:highlight w:val="none"/>
        </w:rPr>
        <w:t>道德规范，不从事并抵制不廉洁、不诚信行为；</w:t>
      </w:r>
    </w:p>
    <w:p w14:paraId="7C97F99B">
      <w:pPr>
        <w:tabs>
          <w:tab w:val="left" w:pos="1738"/>
        </w:tabs>
        <w:spacing w:line="460" w:lineRule="exact"/>
        <w:ind w:left="420" w:leftChars="200" w:right="420" w:rightChars="200" w:firstLine="480" w:firstLineChars="200"/>
        <w:rPr>
          <w:rFonts w:eastAsia="楷体"/>
          <w:color w:val="auto"/>
          <w:spacing w:val="-17"/>
          <w:sz w:val="24"/>
          <w:szCs w:val="24"/>
          <w:highlight w:val="none"/>
        </w:rPr>
      </w:pPr>
      <w:r>
        <w:rPr>
          <w:rFonts w:eastAsia="楷体"/>
          <w:color w:val="auto"/>
          <w:sz w:val="24"/>
          <w:szCs w:val="24"/>
          <w:highlight w:val="none"/>
        </w:rPr>
        <w:t>（二）对各自工作人员开展廉政教育，增强相关人员廉洁自律的意识</w:t>
      </w:r>
      <w:r>
        <w:rPr>
          <w:rFonts w:eastAsia="楷体"/>
          <w:color w:val="auto"/>
          <w:spacing w:val="-17"/>
          <w:sz w:val="24"/>
          <w:szCs w:val="24"/>
          <w:highlight w:val="none"/>
        </w:rPr>
        <w:t>。</w:t>
      </w:r>
    </w:p>
    <w:p w14:paraId="1128B095">
      <w:pPr>
        <w:tabs>
          <w:tab w:val="left" w:pos="1738"/>
        </w:tabs>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第三条</w:t>
      </w:r>
      <w:r>
        <w:rPr>
          <w:rFonts w:eastAsia="楷体"/>
          <w:b/>
          <w:color w:val="auto"/>
          <w:sz w:val="24"/>
          <w:szCs w:val="24"/>
          <w:highlight w:val="none"/>
        </w:rPr>
        <w:tab/>
      </w:r>
      <w:r>
        <w:rPr>
          <w:rFonts w:eastAsia="楷体"/>
          <w:color w:val="auto"/>
          <w:sz w:val="24"/>
          <w:szCs w:val="24"/>
          <w:highlight w:val="none"/>
        </w:rPr>
        <w:t>甲方应遵守</w:t>
      </w:r>
      <w:r>
        <w:rPr>
          <w:rFonts w:eastAsia="楷体"/>
          <w:color w:val="auto"/>
          <w:spacing w:val="-3"/>
          <w:sz w:val="24"/>
          <w:szCs w:val="24"/>
          <w:highlight w:val="none"/>
        </w:rPr>
        <w:t>下</w:t>
      </w:r>
      <w:r>
        <w:rPr>
          <w:rFonts w:eastAsia="楷体"/>
          <w:color w:val="auto"/>
          <w:sz w:val="24"/>
          <w:szCs w:val="24"/>
          <w:highlight w:val="none"/>
        </w:rPr>
        <w:t>列条款：</w:t>
      </w:r>
    </w:p>
    <w:p w14:paraId="6F43821F">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（一）利害关系人不得接受或以借用等名义占用乙方或乙方工作人员的财物；</w:t>
      </w:r>
    </w:p>
    <w:p w14:paraId="00E61C1F">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（二）利害关系人不得接受乙方提供的礼品、宴请以及旅游、健身、娱乐等活动安排；</w:t>
      </w:r>
    </w:p>
    <w:p w14:paraId="15D37931">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（三）利害关系人不得接受乙方提供的礼金和各种有价证券、支付凭证；</w:t>
      </w:r>
    </w:p>
    <w:p w14:paraId="630265A9">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（四）利害关系人不得要求乙方支付应由本人负担的费用或报销票据；</w:t>
      </w:r>
    </w:p>
    <w:p w14:paraId="5033A130">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（五）利害关系人不得接受由乙方提供的其他任何可能影响本人公正执行公务的财物或服务；</w:t>
      </w:r>
    </w:p>
    <w:p w14:paraId="211D09EB">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（六）当乙方提供本条第（一）至（五）款所指的内容，或实施其他不廉洁、不诚信行为时，利害关系人应予以拒绝；对于无法拒绝的，应及时向甲方或监督检查部门举报并上缴相关财物。</w:t>
      </w:r>
    </w:p>
    <w:p w14:paraId="5E559F5D">
      <w:pPr>
        <w:tabs>
          <w:tab w:val="left" w:pos="1741"/>
        </w:tabs>
        <w:spacing w:before="5" w:line="460" w:lineRule="exact"/>
        <w:ind w:left="420" w:leftChars="200" w:right="420" w:rightChars="200" w:firstLine="482" w:firstLineChars="200"/>
        <w:jc w:val="left"/>
        <w:rPr>
          <w:rFonts w:eastAsia="楷体"/>
          <w:color w:val="auto"/>
          <w:sz w:val="24"/>
          <w:szCs w:val="24"/>
          <w:highlight w:val="none"/>
        </w:rPr>
      </w:pPr>
      <w:r>
        <w:rPr>
          <w:rFonts w:eastAsia="楷体"/>
          <w:b/>
          <w:color w:val="auto"/>
          <w:sz w:val="24"/>
          <w:szCs w:val="24"/>
          <w:highlight w:val="none"/>
        </w:rPr>
        <w:t>第四条</w:t>
      </w:r>
      <w:r>
        <w:rPr>
          <w:rFonts w:eastAsia="楷体"/>
          <w:b/>
          <w:color w:val="auto"/>
          <w:sz w:val="24"/>
          <w:szCs w:val="24"/>
          <w:highlight w:val="none"/>
        </w:rPr>
        <w:tab/>
      </w:r>
      <w:r>
        <w:rPr>
          <w:rFonts w:eastAsia="楷体"/>
          <w:color w:val="auto"/>
          <w:sz w:val="24"/>
          <w:szCs w:val="24"/>
          <w:highlight w:val="none"/>
        </w:rPr>
        <w:t>乙方应遵守</w:t>
      </w:r>
      <w:r>
        <w:rPr>
          <w:rFonts w:eastAsia="楷体"/>
          <w:color w:val="auto"/>
          <w:spacing w:val="-3"/>
          <w:sz w:val="24"/>
          <w:szCs w:val="24"/>
          <w:highlight w:val="none"/>
        </w:rPr>
        <w:t>下</w:t>
      </w:r>
      <w:r>
        <w:rPr>
          <w:rFonts w:eastAsia="楷体"/>
          <w:color w:val="auto"/>
          <w:sz w:val="24"/>
          <w:szCs w:val="24"/>
          <w:highlight w:val="none"/>
        </w:rPr>
        <w:t>列条款：</w:t>
      </w:r>
    </w:p>
    <w:p w14:paraId="26B0D2B6">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（一）不得给予或以借用等名义向利害关系人提供财物；</w:t>
      </w:r>
    </w:p>
    <w:p w14:paraId="31C01528">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（二）不得向利害关系人提供礼品、宴请以及旅游、健身、娱乐等活动安排；</w:t>
      </w:r>
    </w:p>
    <w:p w14:paraId="50846958">
      <w:pPr>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（三）不得向利害关系人提供礼金和各种有价证券、支付凭证；</w:t>
      </w:r>
    </w:p>
    <w:p w14:paraId="1960CC73">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（四）不得为利害关系人支付应由其本人承担的费用或报销票据；</w:t>
      </w:r>
    </w:p>
    <w:p w14:paraId="06EAE901">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（五）不得向利害关系人提供其他任何可能影响其公正执行公务的财物或服务；</w:t>
      </w:r>
    </w:p>
    <w:p w14:paraId="3FE9104C">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六</w:t>
      </w:r>
      <w:r>
        <w:rPr>
          <w:rFonts w:eastAsia="楷体"/>
          <w:color w:val="auto"/>
          <w:sz w:val="24"/>
          <w:szCs w:val="24"/>
          <w:highlight w:val="none"/>
        </w:rPr>
        <w:t>）</w:t>
      </w:r>
      <w:r>
        <w:rPr>
          <w:rFonts w:hint="eastAsia" w:eastAsia="楷体"/>
          <w:color w:val="auto"/>
          <w:sz w:val="24"/>
          <w:szCs w:val="24"/>
          <w:highlight w:val="none"/>
        </w:rPr>
        <w:t>禁止接受供应商、施工方等利益相关方提供或资助的宴请、健身、参观旅游及营业性娱乐活动。</w:t>
      </w:r>
    </w:p>
    <w:p w14:paraId="4049C19D">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七</w:t>
      </w:r>
      <w:r>
        <w:rPr>
          <w:rFonts w:eastAsia="楷体"/>
          <w:color w:val="auto"/>
          <w:sz w:val="24"/>
          <w:szCs w:val="24"/>
          <w:highlight w:val="none"/>
        </w:rPr>
        <w:t>）</w:t>
      </w:r>
      <w:r>
        <w:rPr>
          <w:rFonts w:hint="eastAsia" w:eastAsia="楷体"/>
          <w:color w:val="auto"/>
          <w:sz w:val="24"/>
          <w:szCs w:val="24"/>
          <w:highlight w:val="none"/>
        </w:rPr>
        <w:t>禁止向供应商、施工方等利益相关方索要通信工具、交通工具和高档办公用品。</w:t>
      </w:r>
    </w:p>
    <w:p w14:paraId="182C7B1B">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八</w:t>
      </w:r>
      <w:r>
        <w:rPr>
          <w:rFonts w:eastAsia="楷体"/>
          <w:color w:val="auto"/>
          <w:sz w:val="24"/>
          <w:szCs w:val="24"/>
          <w:highlight w:val="none"/>
        </w:rPr>
        <w:t>）</w:t>
      </w:r>
      <w:r>
        <w:rPr>
          <w:rFonts w:hint="eastAsia" w:eastAsia="楷体"/>
          <w:color w:val="auto"/>
          <w:sz w:val="24"/>
          <w:szCs w:val="24"/>
          <w:highlight w:val="none"/>
        </w:rPr>
        <w:t>禁止在供应商、施工方等利益相关方报销应由个人支付的有关票据。</w:t>
      </w:r>
    </w:p>
    <w:p w14:paraId="0CC9405E">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九</w:t>
      </w:r>
      <w:r>
        <w:rPr>
          <w:rFonts w:eastAsia="楷体"/>
          <w:color w:val="auto"/>
          <w:sz w:val="24"/>
          <w:szCs w:val="24"/>
          <w:highlight w:val="none"/>
        </w:rPr>
        <w:t>）</w:t>
      </w:r>
      <w:r>
        <w:rPr>
          <w:rFonts w:hint="eastAsia" w:eastAsia="楷体"/>
          <w:color w:val="auto"/>
          <w:sz w:val="24"/>
          <w:szCs w:val="24"/>
          <w:highlight w:val="none"/>
        </w:rPr>
        <w:t>不得要求供应商、施工方等利益相关方为其住房装修、婚丧嫁娶活动、旅游等提供方便。</w:t>
      </w:r>
    </w:p>
    <w:p w14:paraId="3D0894A2">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十</w:t>
      </w:r>
      <w:r>
        <w:rPr>
          <w:rFonts w:eastAsia="楷体"/>
          <w:color w:val="auto"/>
          <w:sz w:val="24"/>
          <w:szCs w:val="24"/>
          <w:highlight w:val="none"/>
        </w:rPr>
        <w:t>）</w:t>
      </w:r>
      <w:r>
        <w:rPr>
          <w:rFonts w:eastAsia="楷体"/>
          <w:color w:val="auto"/>
          <w:sz w:val="24"/>
          <w:szCs w:val="24"/>
          <w:highlight w:val="none"/>
          <w:lang w:eastAsia="zh-CN"/>
        </w:rPr>
        <w:t>保证工程造价审计人员不以任何理由接受被审单位的行贿或馈赠礼金、有价证券、礼品、纪念品等；</w:t>
      </w:r>
    </w:p>
    <w:p w14:paraId="1763E258">
      <w:pPr>
        <w:spacing w:before="197" w:line="460" w:lineRule="exact"/>
        <w:ind w:left="420" w:leftChars="200" w:right="420" w:rightChars="200" w:firstLine="480" w:firstLineChars="200"/>
        <w:rPr>
          <w:rFonts w:eastAsia="楷体"/>
          <w:color w:val="auto"/>
          <w:sz w:val="24"/>
          <w:szCs w:val="24"/>
          <w:highlight w:val="none"/>
          <w:lang w:eastAsia="zh-CN"/>
        </w:rPr>
      </w:pPr>
      <w:r>
        <w:rPr>
          <w:rFonts w:eastAsia="楷体"/>
          <w:color w:val="auto"/>
          <w:sz w:val="24"/>
          <w:szCs w:val="24"/>
          <w:highlight w:val="none"/>
        </w:rPr>
        <w:t>（</w:t>
      </w:r>
      <w:r>
        <w:rPr>
          <w:rFonts w:hint="eastAsia" w:eastAsia="楷体"/>
          <w:color w:val="auto"/>
          <w:sz w:val="24"/>
          <w:szCs w:val="24"/>
          <w:highlight w:val="none"/>
          <w:lang w:val="en-US" w:eastAsia="zh-CN"/>
        </w:rPr>
        <w:t>十一</w:t>
      </w:r>
      <w:r>
        <w:rPr>
          <w:rFonts w:eastAsia="楷体"/>
          <w:color w:val="auto"/>
          <w:sz w:val="24"/>
          <w:szCs w:val="24"/>
          <w:highlight w:val="none"/>
        </w:rPr>
        <w:t>）</w:t>
      </w:r>
      <w:r>
        <w:rPr>
          <w:rFonts w:eastAsia="楷体"/>
          <w:color w:val="auto"/>
          <w:sz w:val="24"/>
          <w:szCs w:val="24"/>
          <w:highlight w:val="none"/>
          <w:lang w:eastAsia="zh-CN"/>
        </w:rPr>
        <w:t>保证工程造价审计人员必须严格按照国家有关规定进行审计，维护国家及有关投资者的利益，坚决杜绝国有资产的流失。</w:t>
      </w:r>
    </w:p>
    <w:p w14:paraId="14136AFF">
      <w:pPr>
        <w:spacing w:before="197" w:line="460" w:lineRule="exact"/>
        <w:ind w:left="420" w:leftChars="200" w:right="420" w:rightChars="200" w:firstLine="480" w:firstLineChars="200"/>
        <w:rPr>
          <w:rFonts w:hint="eastAsia" w:eastAsia="楷体"/>
          <w:color w:val="auto"/>
          <w:sz w:val="24"/>
          <w:szCs w:val="24"/>
          <w:highlight w:val="none"/>
          <w:lang w:val="en-US" w:eastAsia="zh-CN"/>
        </w:rPr>
      </w:pPr>
      <w:r>
        <w:rPr>
          <w:rFonts w:hint="eastAsia" w:eastAsia="楷体"/>
          <w:color w:val="auto"/>
          <w:sz w:val="24"/>
          <w:szCs w:val="24"/>
          <w:highlight w:val="none"/>
          <w:lang w:val="en-US" w:eastAsia="zh-CN"/>
        </w:rPr>
        <w:t>（十二）法律、法规、规章禁止的其他行为。</w:t>
      </w:r>
    </w:p>
    <w:p w14:paraId="07BBDEC1">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w:t>
      </w:r>
      <w:r>
        <w:rPr>
          <w:rFonts w:hint="eastAsia" w:eastAsia="楷体"/>
          <w:color w:val="auto"/>
          <w:sz w:val="24"/>
          <w:szCs w:val="24"/>
          <w:highlight w:val="none"/>
          <w:lang w:val="en-US" w:eastAsia="zh-CN"/>
        </w:rPr>
        <w:t>十三</w:t>
      </w:r>
      <w:r>
        <w:rPr>
          <w:rFonts w:eastAsia="楷体"/>
          <w:color w:val="auto"/>
          <w:sz w:val="24"/>
          <w:szCs w:val="24"/>
          <w:highlight w:val="none"/>
        </w:rPr>
        <w:t>）利害关系人主动索取和要求本条（一）至（</w:t>
      </w:r>
      <w:r>
        <w:rPr>
          <w:rFonts w:hint="eastAsia" w:eastAsia="楷体"/>
          <w:color w:val="auto"/>
          <w:sz w:val="24"/>
          <w:szCs w:val="24"/>
          <w:highlight w:val="none"/>
          <w:lang w:val="en-US" w:eastAsia="zh-CN"/>
        </w:rPr>
        <w:t>十二</w:t>
      </w:r>
      <w:r>
        <w:rPr>
          <w:rFonts w:eastAsia="楷体"/>
          <w:color w:val="auto"/>
          <w:sz w:val="24"/>
          <w:szCs w:val="24"/>
          <w:highlight w:val="none"/>
        </w:rPr>
        <w:t>）款所指的内容，或实施其他不廉洁、不诚信行为时，乙方应拒绝，并有义务向甲方或监督检查部门举报或投诉，也可向有关部门举报。甲方应保护乙方当事人的合法权益。</w:t>
      </w:r>
    </w:p>
    <w:p w14:paraId="6DD95510">
      <w:pPr>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 xml:space="preserve">第五条 </w:t>
      </w:r>
      <w:r>
        <w:rPr>
          <w:rFonts w:eastAsia="楷体"/>
          <w:color w:val="auto"/>
          <w:sz w:val="24"/>
          <w:szCs w:val="24"/>
          <w:highlight w:val="none"/>
        </w:rPr>
        <w:t>违约责任</w:t>
      </w:r>
    </w:p>
    <w:p w14:paraId="67B1CBCC">
      <w:pPr>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甲、乙双方工作人员如违反本协议规定，由甲、乙双方依据有关规定严肃处理。如乙方违反本协议规定，甲方有权依据征集文件及相关规定，对乙方进行严肃处理。</w:t>
      </w:r>
    </w:p>
    <w:p w14:paraId="4CC77E7B">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乙方不廉洁、不诚信行为造成甲方经济损失或有损甲方形象和声誉的，由乙方予以赔偿。</w:t>
      </w:r>
    </w:p>
    <w:p w14:paraId="53BAE318">
      <w:pPr>
        <w:numPr>
          <w:ilvl w:val="0"/>
          <w:numId w:val="0"/>
        </w:numPr>
        <w:tabs>
          <w:tab w:val="left" w:pos="1325"/>
        </w:tabs>
        <w:spacing w:before="173" w:line="460" w:lineRule="exact"/>
        <w:ind w:leftChars="400" w:right="420" w:rightChars="200"/>
      </w:pPr>
      <w:r>
        <w:rPr>
          <w:rFonts w:hint="eastAsia" w:eastAsia="楷体"/>
          <w:color w:val="auto"/>
          <w:sz w:val="24"/>
          <w:szCs w:val="24"/>
          <w:highlight w:val="none"/>
        </w:rPr>
        <w:t>供应商提供的服务出现第五部分</w:t>
      </w:r>
      <w:r>
        <w:rPr>
          <w:rFonts w:hint="eastAsia" w:eastAsia="楷体"/>
          <w:color w:val="auto"/>
          <w:sz w:val="24"/>
          <w:szCs w:val="24"/>
          <w:highlight w:val="none"/>
          <w:lang w:eastAsia="zh-CN"/>
        </w:rPr>
        <w:t>—</w:t>
      </w:r>
      <w:r>
        <w:rPr>
          <w:rFonts w:hint="eastAsia" w:eastAsia="楷体"/>
          <w:color w:val="auto"/>
          <w:sz w:val="24"/>
          <w:szCs w:val="24"/>
          <w:highlight w:val="none"/>
        </w:rPr>
        <w:t>框架协议1.2服务标准（4）（5）（6）任一情形的，发现1次立即清退</w:t>
      </w:r>
      <w:r>
        <w:rPr>
          <w:rFonts w:eastAsia="楷体"/>
          <w:color w:val="auto"/>
          <w:sz w:val="24"/>
          <w:szCs w:val="24"/>
          <w:highlight w:val="none"/>
        </w:rPr>
        <w:t>。</w:t>
      </w:r>
    </w:p>
    <w:p w14:paraId="1FAF8FF9">
      <w:pPr>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 xml:space="preserve">第六条 </w:t>
      </w:r>
      <w:r>
        <w:rPr>
          <w:rFonts w:eastAsia="楷体"/>
          <w:color w:val="auto"/>
          <w:spacing w:val="-5"/>
          <w:sz w:val="24"/>
          <w:szCs w:val="24"/>
          <w:highlight w:val="none"/>
        </w:rPr>
        <w:t>甲、乙双方的监督检查部门对本廉洁诚信协议的执行情况进行监督检查，接</w:t>
      </w:r>
      <w:r>
        <w:rPr>
          <w:rFonts w:eastAsia="楷体"/>
          <w:color w:val="auto"/>
          <w:sz w:val="24"/>
          <w:szCs w:val="24"/>
          <w:highlight w:val="none"/>
        </w:rPr>
        <w:t>受有关投诉和举报。</w:t>
      </w:r>
    </w:p>
    <w:p w14:paraId="571792B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510E27C0">
      <w:pPr>
        <w:spacing w:line="460" w:lineRule="exact"/>
        <w:ind w:left="420" w:leftChars="200" w:right="420" w:rightChars="200" w:firstLine="480" w:firstLineChars="200"/>
        <w:rPr>
          <w:rFonts w:eastAsia="楷体"/>
          <w:color w:val="auto"/>
          <w:sz w:val="24"/>
          <w:szCs w:val="24"/>
          <w:highlight w:val="none"/>
        </w:rPr>
      </w:pPr>
      <w:r>
        <w:rPr>
          <w:rFonts w:hint="eastAsia" w:eastAsia="楷体"/>
          <w:color w:val="auto"/>
          <w:sz w:val="24"/>
          <w:szCs w:val="24"/>
          <w:highlight w:val="none"/>
        </w:rPr>
        <w:t>评审工作实行廉政建设一票否决制。在合同期内，供应商及相关参审人员发生任何违法、违规、违纪现象的，一经查实，立即终止服务合同，涉嫌人员移交相关机构处理。同时，将该供应商和相关人员列入</w:t>
      </w:r>
      <w:r>
        <w:rPr>
          <w:rFonts w:hint="eastAsia" w:eastAsia="楷体"/>
          <w:color w:val="auto"/>
          <w:sz w:val="24"/>
          <w:szCs w:val="24"/>
          <w:highlight w:val="none"/>
          <w:lang w:val="en-US" w:eastAsia="zh-CN"/>
        </w:rPr>
        <w:t>本单位</w:t>
      </w:r>
      <w:r>
        <w:rPr>
          <w:rFonts w:hint="eastAsia" w:eastAsia="楷体"/>
          <w:color w:val="auto"/>
          <w:sz w:val="24"/>
          <w:szCs w:val="24"/>
          <w:highlight w:val="none"/>
        </w:rPr>
        <w:t>造价咨询服务黑名单。</w:t>
      </w:r>
    </w:p>
    <w:p w14:paraId="65B995F4">
      <w:pPr>
        <w:tabs>
          <w:tab w:val="left" w:pos="1741"/>
        </w:tabs>
        <w:spacing w:before="4" w:line="460" w:lineRule="exact"/>
        <w:ind w:left="420" w:leftChars="200" w:right="420" w:rightChars="200" w:firstLine="482" w:firstLineChars="200"/>
        <w:rPr>
          <w:rFonts w:eastAsia="楷体"/>
          <w:color w:val="auto"/>
          <w:spacing w:val="-17"/>
          <w:sz w:val="24"/>
          <w:szCs w:val="24"/>
          <w:highlight w:val="none"/>
        </w:rPr>
      </w:pPr>
      <w:r>
        <w:rPr>
          <w:rFonts w:eastAsia="楷体"/>
          <w:b/>
          <w:color w:val="auto"/>
          <w:sz w:val="24"/>
          <w:szCs w:val="24"/>
          <w:highlight w:val="none"/>
        </w:rPr>
        <w:t>第七条</w:t>
      </w:r>
      <w:r>
        <w:rPr>
          <w:rFonts w:eastAsia="楷体"/>
          <w:b/>
          <w:color w:val="auto"/>
          <w:sz w:val="24"/>
          <w:szCs w:val="24"/>
          <w:highlight w:val="none"/>
        </w:rPr>
        <w:tab/>
      </w:r>
      <w:r>
        <w:rPr>
          <w:rFonts w:eastAsia="楷体"/>
          <w:color w:val="auto"/>
          <w:sz w:val="24"/>
          <w:szCs w:val="24"/>
          <w:highlight w:val="none"/>
        </w:rPr>
        <w:t>本协议为采</w:t>
      </w:r>
      <w:r>
        <w:rPr>
          <w:rFonts w:eastAsia="楷体"/>
          <w:color w:val="auto"/>
          <w:spacing w:val="-3"/>
          <w:sz w:val="24"/>
          <w:szCs w:val="24"/>
          <w:highlight w:val="none"/>
        </w:rPr>
        <w:t>购</w:t>
      </w:r>
      <w:r>
        <w:rPr>
          <w:rFonts w:eastAsia="楷体"/>
          <w:color w:val="auto"/>
          <w:sz w:val="24"/>
          <w:szCs w:val="24"/>
          <w:highlight w:val="none"/>
        </w:rPr>
        <w:t>合同附件，与采购合同一并签署</w:t>
      </w:r>
      <w:r>
        <w:rPr>
          <w:rFonts w:eastAsia="楷体"/>
          <w:color w:val="auto"/>
          <w:spacing w:val="-17"/>
          <w:sz w:val="24"/>
          <w:szCs w:val="24"/>
          <w:highlight w:val="none"/>
        </w:rPr>
        <w:t>。</w:t>
      </w:r>
    </w:p>
    <w:p w14:paraId="266562CE">
      <w:pPr>
        <w:tabs>
          <w:tab w:val="left" w:pos="1741"/>
        </w:tabs>
        <w:spacing w:before="4"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第八条</w:t>
      </w:r>
      <w:r>
        <w:rPr>
          <w:rFonts w:eastAsia="楷体"/>
          <w:b/>
          <w:color w:val="auto"/>
          <w:sz w:val="24"/>
          <w:szCs w:val="24"/>
          <w:highlight w:val="none"/>
        </w:rPr>
        <w:tab/>
      </w:r>
      <w:r>
        <w:rPr>
          <w:rFonts w:eastAsia="楷体"/>
          <w:color w:val="auto"/>
          <w:sz w:val="24"/>
          <w:szCs w:val="24"/>
          <w:highlight w:val="none"/>
        </w:rPr>
        <w:t>本协议由甲</w:t>
      </w:r>
      <w:r>
        <w:rPr>
          <w:rFonts w:eastAsia="楷体"/>
          <w:color w:val="auto"/>
          <w:spacing w:val="-3"/>
          <w:sz w:val="24"/>
          <w:szCs w:val="24"/>
          <w:highlight w:val="none"/>
        </w:rPr>
        <w:t>方</w:t>
      </w:r>
      <w:r>
        <w:rPr>
          <w:rFonts w:eastAsia="楷体"/>
          <w:color w:val="auto"/>
          <w:sz w:val="24"/>
          <w:szCs w:val="24"/>
          <w:highlight w:val="none"/>
        </w:rPr>
        <w:t>负责解释。</w:t>
      </w:r>
    </w:p>
    <w:p w14:paraId="68CA3EEE">
      <w:pPr>
        <w:tabs>
          <w:tab w:val="left" w:pos="1745"/>
        </w:tabs>
        <w:spacing w:line="460" w:lineRule="exact"/>
        <w:ind w:left="420" w:leftChars="200" w:right="420" w:rightChars="200" w:firstLine="482" w:firstLineChars="200"/>
        <w:rPr>
          <w:rFonts w:eastAsia="楷体"/>
          <w:color w:val="auto"/>
          <w:sz w:val="24"/>
          <w:szCs w:val="24"/>
          <w:highlight w:val="none"/>
        </w:rPr>
      </w:pPr>
      <w:r>
        <w:rPr>
          <w:rFonts w:eastAsia="楷体"/>
          <w:b/>
          <w:color w:val="auto"/>
          <w:sz w:val="24"/>
          <w:szCs w:val="24"/>
          <w:highlight w:val="none"/>
        </w:rPr>
        <w:t>第九条</w:t>
      </w:r>
      <w:r>
        <w:rPr>
          <w:rFonts w:eastAsia="楷体"/>
          <w:b/>
          <w:color w:val="auto"/>
          <w:sz w:val="24"/>
          <w:szCs w:val="24"/>
          <w:highlight w:val="none"/>
        </w:rPr>
        <w:tab/>
      </w:r>
      <w:r>
        <w:rPr>
          <w:rFonts w:eastAsia="楷体"/>
          <w:color w:val="auto"/>
          <w:sz w:val="24"/>
          <w:szCs w:val="24"/>
          <w:highlight w:val="none"/>
        </w:rPr>
        <w:t>监督检查部</w:t>
      </w:r>
      <w:r>
        <w:rPr>
          <w:rFonts w:eastAsia="楷体"/>
          <w:color w:val="auto"/>
          <w:spacing w:val="-3"/>
          <w:sz w:val="24"/>
          <w:szCs w:val="24"/>
          <w:highlight w:val="none"/>
        </w:rPr>
        <w:t>门</w:t>
      </w:r>
      <w:r>
        <w:rPr>
          <w:rFonts w:eastAsia="楷体"/>
          <w:color w:val="auto"/>
          <w:sz w:val="24"/>
          <w:szCs w:val="24"/>
          <w:highlight w:val="none"/>
        </w:rPr>
        <w:t>举报及投诉渠</w:t>
      </w:r>
      <w:r>
        <w:rPr>
          <w:rFonts w:eastAsia="楷体"/>
          <w:color w:val="auto"/>
          <w:spacing w:val="-16"/>
          <w:sz w:val="24"/>
          <w:szCs w:val="24"/>
          <w:highlight w:val="none"/>
        </w:rPr>
        <w:t>道</w:t>
      </w:r>
      <w:r>
        <w:rPr>
          <w:rFonts w:eastAsia="楷体"/>
          <w:color w:val="auto"/>
          <w:sz w:val="24"/>
          <w:szCs w:val="24"/>
          <w:highlight w:val="none"/>
        </w:rPr>
        <w:t>名称：</w:t>
      </w:r>
    </w:p>
    <w:p w14:paraId="53991AB6">
      <w:pPr>
        <w:spacing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 xml:space="preserve">地址： </w:t>
      </w:r>
    </w:p>
    <w:p w14:paraId="5EB8F45F">
      <w:pPr>
        <w:spacing w:line="460" w:lineRule="exact"/>
        <w:ind w:left="420" w:leftChars="200" w:right="420" w:rightChars="200" w:firstLine="452" w:firstLineChars="200"/>
        <w:rPr>
          <w:rFonts w:eastAsia="楷体"/>
          <w:color w:val="auto"/>
          <w:spacing w:val="-7"/>
          <w:sz w:val="24"/>
          <w:szCs w:val="24"/>
          <w:highlight w:val="none"/>
        </w:rPr>
      </w:pPr>
      <w:r>
        <w:rPr>
          <w:rFonts w:eastAsia="楷体"/>
          <w:color w:val="auto"/>
          <w:spacing w:val="-7"/>
          <w:sz w:val="24"/>
          <w:szCs w:val="24"/>
          <w:highlight w:val="none"/>
        </w:rPr>
        <w:t xml:space="preserve">电话： </w:t>
      </w:r>
    </w:p>
    <w:p w14:paraId="10544602">
      <w:pPr>
        <w:spacing w:line="460" w:lineRule="exact"/>
        <w:ind w:left="420" w:leftChars="200" w:right="420" w:rightChars="200" w:firstLine="452" w:firstLineChars="200"/>
        <w:rPr>
          <w:rFonts w:eastAsia="楷体"/>
          <w:color w:val="auto"/>
          <w:sz w:val="24"/>
          <w:szCs w:val="24"/>
          <w:highlight w:val="none"/>
        </w:rPr>
      </w:pPr>
      <w:r>
        <w:rPr>
          <w:rFonts w:eastAsia="楷体"/>
          <w:color w:val="auto"/>
          <w:spacing w:val="-7"/>
          <w:sz w:val="24"/>
          <w:szCs w:val="24"/>
          <w:highlight w:val="none"/>
        </w:rPr>
        <w:t>邮箱：</w:t>
      </w:r>
    </w:p>
    <w:p w14:paraId="4B45A4DA">
      <w:pPr>
        <w:tabs>
          <w:tab w:val="left" w:pos="4194"/>
          <w:tab w:val="left" w:pos="4979"/>
          <w:tab w:val="left" w:pos="8875"/>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甲方（盖章）：</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 xml:space="preserve">乙方（盖章）： </w:t>
      </w:r>
      <w:r>
        <w:rPr>
          <w:rFonts w:eastAsia="楷体"/>
          <w:color w:val="auto"/>
          <w:sz w:val="24"/>
          <w:szCs w:val="24"/>
          <w:highlight w:val="none"/>
          <w:u w:val="single"/>
        </w:rPr>
        <w:t xml:space="preserve"> </w:t>
      </w:r>
      <w:r>
        <w:rPr>
          <w:rFonts w:eastAsia="楷体"/>
          <w:color w:val="auto"/>
          <w:sz w:val="24"/>
          <w:szCs w:val="24"/>
          <w:highlight w:val="none"/>
          <w:u w:val="single"/>
        </w:rPr>
        <w:tab/>
      </w:r>
    </w:p>
    <w:p w14:paraId="6DA324C7">
      <w:pPr>
        <w:tabs>
          <w:tab w:val="left" w:pos="4194"/>
          <w:tab w:val="left" w:pos="4979"/>
          <w:tab w:val="left" w:pos="7620"/>
          <w:tab w:val="left" w:pos="8875"/>
        </w:tabs>
        <w:spacing w:before="7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法定代表（委托）人：</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ab/>
      </w:r>
      <w:r>
        <w:rPr>
          <w:rFonts w:eastAsia="楷体"/>
          <w:color w:val="auto"/>
          <w:sz w:val="24"/>
          <w:szCs w:val="24"/>
          <w:highlight w:val="none"/>
        </w:rPr>
        <w:t>法定代表（委托）人：</w:t>
      </w:r>
      <w:r>
        <w:rPr>
          <w:rFonts w:eastAsia="楷体"/>
          <w:color w:val="auto"/>
          <w:sz w:val="24"/>
          <w:szCs w:val="24"/>
          <w:highlight w:val="none"/>
        </w:rPr>
        <w:tab/>
      </w:r>
      <w:r>
        <w:rPr>
          <w:rFonts w:eastAsia="楷体"/>
          <w:color w:val="auto"/>
          <w:sz w:val="24"/>
          <w:szCs w:val="24"/>
          <w:highlight w:val="none"/>
          <w:u w:val="single"/>
        </w:rPr>
        <w:t xml:space="preserve"> </w:t>
      </w:r>
      <w:r>
        <w:rPr>
          <w:rFonts w:eastAsia="楷体"/>
          <w:color w:val="auto"/>
          <w:sz w:val="24"/>
          <w:szCs w:val="24"/>
          <w:highlight w:val="none"/>
          <w:u w:val="single"/>
        </w:rPr>
        <w:tab/>
      </w:r>
    </w:p>
    <w:p w14:paraId="46FC04DF">
      <w:pPr>
        <w:tabs>
          <w:tab w:val="left" w:pos="1498"/>
          <w:tab w:val="left" w:pos="2338"/>
          <w:tab w:val="left" w:pos="3179"/>
          <w:tab w:val="left" w:pos="4979"/>
          <w:tab w:val="left" w:pos="6179"/>
          <w:tab w:val="left" w:pos="7019"/>
          <w:tab w:val="left" w:pos="7860"/>
        </w:tabs>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日期：</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r>
        <w:rPr>
          <w:rFonts w:eastAsia="楷体"/>
          <w:color w:val="auto"/>
          <w:sz w:val="24"/>
          <w:szCs w:val="24"/>
          <w:highlight w:val="none"/>
        </w:rPr>
        <w:t>日</w:t>
      </w:r>
      <w:r>
        <w:rPr>
          <w:rFonts w:eastAsia="楷体"/>
          <w:color w:val="auto"/>
          <w:sz w:val="24"/>
          <w:szCs w:val="24"/>
          <w:highlight w:val="none"/>
        </w:rPr>
        <w:tab/>
      </w:r>
      <w:r>
        <w:rPr>
          <w:rFonts w:eastAsia="楷体"/>
          <w:color w:val="auto"/>
          <w:sz w:val="24"/>
          <w:szCs w:val="24"/>
          <w:highlight w:val="none"/>
        </w:rPr>
        <w:t>日 期：</w:t>
      </w:r>
      <w:r>
        <w:rPr>
          <w:rFonts w:eastAsia="楷体"/>
          <w:color w:val="auto"/>
          <w:sz w:val="24"/>
          <w:szCs w:val="24"/>
          <w:highlight w:val="none"/>
        </w:rPr>
        <w:tab/>
      </w:r>
      <w:r>
        <w:rPr>
          <w:rFonts w:eastAsia="楷体"/>
          <w:color w:val="auto"/>
          <w:sz w:val="24"/>
          <w:szCs w:val="24"/>
          <w:highlight w:val="none"/>
        </w:rPr>
        <w:t>年</w:t>
      </w:r>
      <w:r>
        <w:rPr>
          <w:rFonts w:eastAsia="楷体"/>
          <w:color w:val="auto"/>
          <w:sz w:val="24"/>
          <w:szCs w:val="24"/>
          <w:highlight w:val="none"/>
        </w:rPr>
        <w:tab/>
      </w:r>
      <w:r>
        <w:rPr>
          <w:rFonts w:eastAsia="楷体"/>
          <w:color w:val="auto"/>
          <w:sz w:val="24"/>
          <w:szCs w:val="24"/>
          <w:highlight w:val="none"/>
        </w:rPr>
        <w:t>月</w:t>
      </w:r>
      <w:r>
        <w:rPr>
          <w:rFonts w:eastAsia="楷体"/>
          <w:color w:val="auto"/>
          <w:sz w:val="24"/>
          <w:szCs w:val="24"/>
          <w:highlight w:val="none"/>
        </w:rPr>
        <w:tab/>
      </w:r>
    </w:p>
    <w:p w14:paraId="65CB9F9B">
      <w:pPr>
        <w:tabs>
          <w:tab w:val="left" w:pos="1498"/>
          <w:tab w:val="left" w:pos="2338"/>
          <w:tab w:val="left" w:pos="3179"/>
          <w:tab w:val="left" w:pos="4979"/>
          <w:tab w:val="left" w:pos="6179"/>
          <w:tab w:val="left" w:pos="7019"/>
          <w:tab w:val="left" w:pos="7860"/>
        </w:tabs>
        <w:spacing w:before="6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br w:type="page"/>
      </w:r>
      <w:r>
        <w:rPr>
          <w:rFonts w:eastAsia="楷体"/>
          <w:color w:val="auto"/>
          <w:spacing w:val="-21"/>
          <w:sz w:val="24"/>
          <w:szCs w:val="24"/>
          <w:highlight w:val="none"/>
        </w:rPr>
        <w:t xml:space="preserve">附件 </w:t>
      </w:r>
      <w:r>
        <w:rPr>
          <w:rFonts w:eastAsia="楷体"/>
          <w:color w:val="auto"/>
          <w:sz w:val="24"/>
          <w:szCs w:val="24"/>
          <w:highlight w:val="none"/>
        </w:rPr>
        <w:t>2</w:t>
      </w:r>
    </w:p>
    <w:p w14:paraId="3EA60326">
      <w:pPr>
        <w:spacing w:before="197" w:line="460" w:lineRule="exact"/>
        <w:ind w:right="420" w:rightChars="200"/>
        <w:jc w:val="center"/>
        <w:rPr>
          <w:rFonts w:eastAsia="楷体"/>
          <w:color w:val="auto"/>
          <w:sz w:val="24"/>
          <w:szCs w:val="24"/>
          <w:highlight w:val="none"/>
        </w:rPr>
      </w:pPr>
      <w:r>
        <w:rPr>
          <w:rFonts w:eastAsia="楷体"/>
          <w:color w:val="auto"/>
          <w:sz w:val="24"/>
          <w:szCs w:val="24"/>
          <w:highlight w:val="none"/>
        </w:rPr>
        <w:t>履约验收方案</w:t>
      </w:r>
    </w:p>
    <w:p w14:paraId="336E0B4D">
      <w:pPr>
        <w:pStyle w:val="5"/>
        <w:spacing w:before="2" w:line="460" w:lineRule="exact"/>
        <w:ind w:left="420" w:leftChars="200" w:right="420" w:rightChars="200" w:firstLine="482" w:firstLineChars="200"/>
        <w:rPr>
          <w:rFonts w:eastAsia="楷体"/>
          <w:b/>
          <w:color w:val="auto"/>
          <w:sz w:val="24"/>
          <w:szCs w:val="24"/>
          <w:highlight w:val="none"/>
        </w:rPr>
      </w:pPr>
    </w:p>
    <w:p w14:paraId="13DCEA0A">
      <w:pPr>
        <w:numPr>
          <w:ilvl w:val="0"/>
          <w:numId w:val="17"/>
        </w:numPr>
        <w:tabs>
          <w:tab w:val="left" w:pos="1028"/>
        </w:tabs>
        <w:spacing w:before="40"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履约验收工作参加人员</w:t>
      </w:r>
    </w:p>
    <w:p w14:paraId="556FC2B8">
      <w:pPr>
        <w:numPr>
          <w:ilvl w:val="1"/>
          <w:numId w:val="17"/>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履约验收主体单位</w:t>
      </w:r>
    </w:p>
    <w:p w14:paraId="624A7F07">
      <w:pPr>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采购人或采购人委托的机构</w:t>
      </w:r>
    </w:p>
    <w:p w14:paraId="1147B35B">
      <w:pPr>
        <w:numPr>
          <w:ilvl w:val="1"/>
          <w:numId w:val="17"/>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履约验收参加人员</w:t>
      </w:r>
    </w:p>
    <w:p w14:paraId="6513F71A">
      <w:pPr>
        <w:tabs>
          <w:tab w:val="left" w:pos="3433"/>
          <w:tab w:val="left" w:pos="4033"/>
          <w:tab w:val="left" w:pos="4633"/>
        </w:tabs>
        <w:spacing w:before="153" w:line="460" w:lineRule="exact"/>
        <w:ind w:left="420" w:leftChars="200" w:right="420" w:rightChars="200" w:firstLine="480" w:firstLineChars="200"/>
        <w:rPr>
          <w:rFonts w:eastAsia="楷体"/>
          <w:b/>
          <w:bCs/>
          <w:color w:val="auto"/>
          <w:sz w:val="24"/>
          <w:szCs w:val="24"/>
          <w:highlight w:val="none"/>
        </w:rPr>
      </w:pPr>
      <w:r>
        <w:rPr>
          <w:rFonts w:eastAsia="楷体"/>
          <w:color w:val="auto"/>
          <w:sz w:val="24"/>
          <w:szCs w:val="24"/>
          <w:highlight w:val="none"/>
        </w:rPr>
        <w:t>采购人</w:t>
      </w:r>
      <w:r>
        <w:rPr>
          <w:rFonts w:eastAsia="楷体"/>
          <w:b/>
          <w:bCs/>
          <w:color w:val="auto"/>
          <w:sz w:val="24"/>
          <w:szCs w:val="24"/>
          <w:highlight w:val="none"/>
        </w:rPr>
        <w:t>代表、委托机构代表、成交供应商代表及采购人邀请的其他人员</w:t>
      </w:r>
    </w:p>
    <w:p w14:paraId="5E43E9E8">
      <w:pPr>
        <w:pStyle w:val="32"/>
        <w:tabs>
          <w:tab w:val="left" w:pos="1028"/>
        </w:tabs>
        <w:spacing w:before="154" w:after="0" w:line="460" w:lineRule="exact"/>
        <w:ind w:left="420" w:leftChars="200" w:right="420" w:rightChars="200" w:firstLine="420" w:firstLineChars="200"/>
        <w:jc w:val="left"/>
        <w:rPr>
          <w:rFonts w:ascii="Times New Roman" w:eastAsia="楷体"/>
          <w:b/>
          <w:bCs/>
          <w:color w:val="auto"/>
          <w:szCs w:val="24"/>
          <w:highlight w:val="none"/>
        </w:rPr>
      </w:pPr>
      <w:r>
        <w:rPr>
          <w:rFonts w:ascii="Times New Roman" w:eastAsia="楷体"/>
          <w:color w:val="auto"/>
          <w:szCs w:val="24"/>
          <w:highlight w:val="none"/>
        </w:rPr>
        <w:t>2</w:t>
      </w:r>
      <w:r>
        <w:rPr>
          <w:rFonts w:ascii="Times New Roman" w:eastAsia="楷体"/>
          <w:b/>
          <w:bCs/>
          <w:color w:val="auto"/>
          <w:szCs w:val="24"/>
          <w:highlight w:val="none"/>
        </w:rPr>
        <w:t xml:space="preserve">.履约验收时间：20 </w:t>
      </w:r>
      <w:r>
        <w:rPr>
          <w:rFonts w:ascii="Times New Roman" w:eastAsia="楷体"/>
          <w:b/>
          <w:bCs/>
          <w:color w:val="auto"/>
          <w:szCs w:val="24"/>
          <w:highlight w:val="none"/>
        </w:rPr>
        <w:tab/>
      </w:r>
      <w:r>
        <w:rPr>
          <w:rFonts w:ascii="Times New Roman" w:eastAsia="楷体"/>
          <w:b/>
          <w:bCs/>
          <w:color w:val="auto"/>
          <w:szCs w:val="24"/>
          <w:highlight w:val="none"/>
        </w:rPr>
        <w:t xml:space="preserve">年 </w:t>
      </w:r>
      <w:r>
        <w:rPr>
          <w:rFonts w:ascii="Times New Roman" w:eastAsia="楷体"/>
          <w:b/>
          <w:bCs/>
          <w:color w:val="auto"/>
          <w:szCs w:val="24"/>
          <w:highlight w:val="none"/>
        </w:rPr>
        <w:tab/>
      </w:r>
      <w:r>
        <w:rPr>
          <w:rFonts w:ascii="Times New Roman" w:eastAsia="楷体"/>
          <w:b/>
          <w:bCs/>
          <w:color w:val="auto"/>
          <w:szCs w:val="24"/>
          <w:highlight w:val="none"/>
        </w:rPr>
        <w:t xml:space="preserve">月 </w:t>
      </w:r>
      <w:r>
        <w:rPr>
          <w:rFonts w:ascii="Times New Roman" w:eastAsia="楷体"/>
          <w:b/>
          <w:bCs/>
          <w:color w:val="auto"/>
          <w:szCs w:val="24"/>
          <w:highlight w:val="none"/>
        </w:rPr>
        <w:tab/>
      </w:r>
      <w:r>
        <w:rPr>
          <w:rFonts w:ascii="Times New Roman" w:eastAsia="楷体"/>
          <w:b/>
          <w:bCs/>
          <w:color w:val="auto"/>
          <w:szCs w:val="24"/>
          <w:highlight w:val="none"/>
        </w:rPr>
        <w:t>日</w:t>
      </w:r>
    </w:p>
    <w:p w14:paraId="5B03C5B1">
      <w:pPr>
        <w:pStyle w:val="32"/>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 xml:space="preserve">履约验收地点： </w:t>
      </w:r>
    </w:p>
    <w:p w14:paraId="128BBCE4">
      <w:pPr>
        <w:pStyle w:val="32"/>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履约验收方式：采购人自行验收</w:t>
      </w:r>
    </w:p>
    <w:p w14:paraId="797EAA32">
      <w:pPr>
        <w:numPr>
          <w:ilvl w:val="0"/>
          <w:numId w:val="18"/>
        </w:numPr>
        <w:tabs>
          <w:tab w:val="left" w:pos="1028"/>
        </w:tabs>
        <w:spacing w:before="153" w:line="460" w:lineRule="exact"/>
        <w:ind w:left="420" w:leftChars="200" w:right="420" w:rightChars="200" w:firstLine="482" w:firstLineChars="200"/>
        <w:rPr>
          <w:rFonts w:eastAsia="楷体"/>
          <w:b/>
          <w:bCs/>
          <w:color w:val="auto"/>
          <w:sz w:val="24"/>
          <w:szCs w:val="24"/>
          <w:highlight w:val="none"/>
        </w:rPr>
      </w:pPr>
      <w:r>
        <w:rPr>
          <w:rFonts w:eastAsia="楷体"/>
          <w:b/>
          <w:bCs/>
          <w:color w:val="auto"/>
          <w:sz w:val="24"/>
          <w:szCs w:val="24"/>
          <w:highlight w:val="none"/>
        </w:rPr>
        <w:t>履约验收程序</w:t>
      </w:r>
    </w:p>
    <w:p w14:paraId="1A0BEF7F">
      <w:pPr>
        <w:numPr>
          <w:ilvl w:val="1"/>
          <w:numId w:val="18"/>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成立验收小组</w:t>
      </w:r>
    </w:p>
    <w:p w14:paraId="428A0AA5">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量化验收标准</w:t>
      </w:r>
    </w:p>
    <w:p w14:paraId="75748A11">
      <w:pPr>
        <w:numPr>
          <w:ilvl w:val="1"/>
          <w:numId w:val="18"/>
        </w:numPr>
        <w:tabs>
          <w:tab w:val="left" w:pos="1367"/>
        </w:tabs>
        <w:spacing w:before="15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组织验收</w:t>
      </w:r>
    </w:p>
    <w:p w14:paraId="36413E5A">
      <w:pPr>
        <w:numPr>
          <w:ilvl w:val="1"/>
          <w:numId w:val="18"/>
        </w:numPr>
        <w:tabs>
          <w:tab w:val="left" w:pos="1367"/>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出具验收报告</w:t>
      </w:r>
    </w:p>
    <w:p w14:paraId="30832603">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验收结果公告</w:t>
      </w:r>
    </w:p>
    <w:p w14:paraId="025FE420">
      <w:pPr>
        <w:numPr>
          <w:ilvl w:val="1"/>
          <w:numId w:val="18"/>
        </w:numPr>
        <w:tabs>
          <w:tab w:val="left" w:pos="1367"/>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验收资料归档</w:t>
      </w:r>
    </w:p>
    <w:p w14:paraId="6180AD1B">
      <w:pPr>
        <w:spacing w:before="151" w:line="460" w:lineRule="exact"/>
        <w:ind w:left="420" w:leftChars="200" w:right="420" w:rightChars="200" w:firstLine="444" w:firstLineChars="200"/>
        <w:rPr>
          <w:rFonts w:eastAsia="楷体"/>
          <w:color w:val="auto"/>
          <w:sz w:val="24"/>
          <w:szCs w:val="24"/>
          <w:highlight w:val="none"/>
        </w:rPr>
      </w:pPr>
      <w:r>
        <w:rPr>
          <w:rFonts w:eastAsia="楷体"/>
          <w:color w:val="auto"/>
          <w:spacing w:val="-9"/>
          <w:sz w:val="24"/>
          <w:szCs w:val="24"/>
          <w:highlight w:val="none"/>
        </w:rPr>
        <w:t>采购合同项目完成验收后，采购人整理好验收原始记录等资料后妥善保管，不得变造、</w:t>
      </w:r>
      <w:r>
        <w:rPr>
          <w:rFonts w:eastAsia="楷体"/>
          <w:color w:val="auto"/>
          <w:spacing w:val="-3"/>
          <w:sz w:val="24"/>
          <w:szCs w:val="24"/>
          <w:highlight w:val="none"/>
        </w:rPr>
        <w:t xml:space="preserve">隐匿或者销毁，验收资料保存期为采购结束之日起至少保存 </w:t>
      </w:r>
      <w:r>
        <w:rPr>
          <w:rFonts w:eastAsia="楷体"/>
          <w:color w:val="auto"/>
          <w:sz w:val="24"/>
          <w:szCs w:val="24"/>
          <w:highlight w:val="none"/>
        </w:rPr>
        <w:t>15</w:t>
      </w:r>
      <w:r>
        <w:rPr>
          <w:rFonts w:eastAsia="楷体"/>
          <w:color w:val="auto"/>
          <w:spacing w:val="-20"/>
          <w:sz w:val="24"/>
          <w:szCs w:val="24"/>
          <w:highlight w:val="none"/>
        </w:rPr>
        <w:t xml:space="preserve"> 年。</w:t>
      </w:r>
    </w:p>
    <w:p w14:paraId="0FA92CF1">
      <w:pPr>
        <w:pStyle w:val="32"/>
        <w:numPr>
          <w:ilvl w:val="0"/>
          <w:numId w:val="18"/>
        </w:numPr>
        <w:tabs>
          <w:tab w:val="left" w:pos="1028"/>
        </w:tabs>
        <w:spacing w:before="154" w:after="0" w:line="460" w:lineRule="exact"/>
        <w:ind w:left="420" w:leftChars="200" w:right="420" w:rightChars="200" w:firstLine="422" w:firstLineChars="200"/>
        <w:rPr>
          <w:rFonts w:ascii="Times New Roman" w:eastAsia="楷体"/>
          <w:b/>
          <w:bCs/>
          <w:color w:val="auto"/>
          <w:szCs w:val="24"/>
          <w:highlight w:val="none"/>
        </w:rPr>
      </w:pPr>
      <w:r>
        <w:rPr>
          <w:rFonts w:ascii="Times New Roman" w:eastAsia="楷体"/>
          <w:b/>
          <w:bCs/>
          <w:color w:val="auto"/>
          <w:szCs w:val="24"/>
          <w:highlight w:val="none"/>
        </w:rPr>
        <w:t>履约验收内容</w:t>
      </w:r>
    </w:p>
    <w:p w14:paraId="0EAC5812">
      <w:pPr>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对采购服务的人员选派及工作配合情况、评审时效、评审质量、评审报告编写及文本情况、急件项目加分、质量时效问题、廉政职业道德等进行验收。</w:t>
      </w:r>
    </w:p>
    <w:p w14:paraId="77A9D3C0">
      <w:pPr>
        <w:pStyle w:val="32"/>
        <w:numPr>
          <w:ilvl w:val="0"/>
          <w:numId w:val="18"/>
        </w:numPr>
        <w:tabs>
          <w:tab w:val="left" w:pos="1028"/>
        </w:tabs>
        <w:spacing w:before="0" w:after="0" w:line="460" w:lineRule="exact"/>
        <w:ind w:left="420" w:leftChars="200" w:right="420" w:rightChars="200" w:firstLine="422" w:firstLineChars="200"/>
        <w:rPr>
          <w:rFonts w:ascii="Times New Roman" w:eastAsia="楷体"/>
          <w:color w:val="auto"/>
          <w:szCs w:val="24"/>
          <w:highlight w:val="none"/>
        </w:rPr>
      </w:pPr>
      <w:r>
        <w:rPr>
          <w:rFonts w:ascii="Times New Roman" w:eastAsia="楷体"/>
          <w:b/>
          <w:bCs/>
          <w:color w:val="auto"/>
          <w:szCs w:val="24"/>
          <w:highlight w:val="none"/>
        </w:rPr>
        <w:t>履约验收标准</w:t>
      </w:r>
    </w:p>
    <w:p w14:paraId="0F391D69">
      <w:pPr>
        <w:pStyle w:val="32"/>
        <w:tabs>
          <w:tab w:val="left" w:pos="1028"/>
        </w:tabs>
        <w:spacing w:before="0" w:after="0" w:line="460" w:lineRule="exact"/>
        <w:ind w:left="420" w:leftChars="200" w:right="420" w:rightChars="200" w:firstLine="420" w:firstLineChars="200"/>
        <w:jc w:val="left"/>
        <w:rPr>
          <w:rFonts w:ascii="Times New Roman" w:eastAsia="楷体"/>
          <w:color w:val="auto"/>
          <w:szCs w:val="24"/>
          <w:highlight w:val="none"/>
        </w:rPr>
      </w:pPr>
      <w:r>
        <w:rPr>
          <w:rFonts w:ascii="Times New Roman" w:eastAsia="楷体"/>
          <w:color w:val="auto"/>
          <w:szCs w:val="24"/>
          <w:highlight w:val="none"/>
        </w:rPr>
        <w:t>验收标准：</w:t>
      </w:r>
    </w:p>
    <w:p w14:paraId="01AE293C">
      <w:pPr>
        <w:numPr>
          <w:ilvl w:val="0"/>
          <w:numId w:val="19"/>
        </w:numPr>
        <w:tabs>
          <w:tab w:val="left" w:pos="1389"/>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成交供应商应提供完备的技术或服务资料等，并派遣坐班人员进行驻场服务。验收合格条件如下：服务技术参数与响应文件中响应表或证明材料一致，性能或指标达到规定的标准。否则，以实际服务技术参数与响应文件响应表参数或证明材料比较，按如下情况处理：</w:t>
      </w:r>
    </w:p>
    <w:p w14:paraId="24CD2146">
      <w:pPr>
        <w:spacing w:before="197"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①供应商响应文件响应表或证明材料中满足或优于的技术参数，在验收时实际不满足技术参数要求的，视为供货商违约，采购人有权终止合同，并追究供应商责任，同时报财政部门备案。</w:t>
      </w:r>
    </w:p>
    <w:p w14:paraId="5178A7DA">
      <w:pPr>
        <w:spacing w:before="6"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②供应商响应文件响应表或证明材料中优于的技术参数，在验收时实际仅满足并未优于技术参数要求的，视为供货商违约，采购人有权终止合同，并追究供应商责任，同时报财政部门备案。</w:t>
      </w:r>
    </w:p>
    <w:p w14:paraId="5C8AF1FC">
      <w:pPr>
        <w:spacing w:before="5"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③供应商响应文件响应表或证明材料中不满足的技术参数，在验收时实际满足技术参数的要求，以满足技术参数的要求验收。</w:t>
      </w:r>
    </w:p>
    <w:p w14:paraId="527E338B">
      <w:pPr>
        <w:spacing w:before="4"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④供应商响应文件响应表或证明材料中满足的技术参数，在验收时实际优于技术参数的要求，以满足技术参数的要求验收。</w:t>
      </w:r>
    </w:p>
    <w:p w14:paraId="7B0A9278">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7D70668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⑥实际投入人员与响应拟投入人员不一致的，验收时不论实际是优于还是满足技术参数的要求，采购人均有权终止合同。如影响服务的使用、质量、档次及采购人需求的，还可视为供货商违约，追究供应商责任，同时报财政部门备案。</w:t>
      </w:r>
    </w:p>
    <w:p w14:paraId="716D5C6B">
      <w:pPr>
        <w:numPr>
          <w:ilvl w:val="0"/>
          <w:numId w:val="19"/>
        </w:numPr>
        <w:tabs>
          <w:tab w:val="left" w:pos="1383"/>
        </w:tabs>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技术资料、评审报告等资料齐全。</w:t>
      </w:r>
    </w:p>
    <w:p w14:paraId="3E0A8D52">
      <w:pPr>
        <w:numPr>
          <w:ilvl w:val="0"/>
          <w:numId w:val="19"/>
        </w:numPr>
        <w:tabs>
          <w:tab w:val="left" w:pos="1383"/>
        </w:tabs>
        <w:spacing w:before="146"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在服务期间所出现的问题得到解决，并工作正常。</w:t>
      </w:r>
    </w:p>
    <w:p w14:paraId="1D0B6513">
      <w:pPr>
        <w:numPr>
          <w:ilvl w:val="0"/>
          <w:numId w:val="19"/>
        </w:numPr>
        <w:tabs>
          <w:tab w:val="left" w:pos="1383"/>
        </w:tabs>
        <w:spacing w:before="153"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在规定时间内完成服务及验收，并经采购人确认。</w:t>
      </w:r>
    </w:p>
    <w:p w14:paraId="702A4D14">
      <w:pPr>
        <w:numPr>
          <w:ilvl w:val="0"/>
          <w:numId w:val="19"/>
        </w:numPr>
        <w:tabs>
          <w:tab w:val="left" w:pos="1383"/>
        </w:tabs>
        <w:spacing w:before="151"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服务在符合采购人要求后，才作为最终验收。</w:t>
      </w:r>
    </w:p>
    <w:p w14:paraId="5A78B9EA">
      <w:pPr>
        <w:numPr>
          <w:ilvl w:val="0"/>
          <w:numId w:val="19"/>
        </w:numPr>
        <w:tabs>
          <w:tab w:val="left" w:pos="1383"/>
        </w:tabs>
        <w:spacing w:before="154"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成交供应商提供的服务未达到征集文件规定要求，且对采购人造成损失的，由</w:t>
      </w:r>
      <w:r>
        <w:rPr>
          <w:rFonts w:eastAsia="楷体"/>
          <w:color w:val="auto"/>
          <w:sz w:val="24"/>
          <w:szCs w:val="24"/>
          <w:highlight w:val="none"/>
        </w:rPr>
        <w:t>成交供应商承担一切责任，并赔偿所造成的损失。</w:t>
      </w:r>
    </w:p>
    <w:p w14:paraId="0F4E8DA0">
      <w:pPr>
        <w:numPr>
          <w:ilvl w:val="0"/>
          <w:numId w:val="19"/>
        </w:numPr>
        <w:tabs>
          <w:tab w:val="left" w:pos="1383"/>
        </w:tabs>
        <w:spacing w:line="460" w:lineRule="exact"/>
        <w:ind w:left="420" w:leftChars="200" w:right="420" w:rightChars="200" w:firstLine="476" w:firstLineChars="200"/>
        <w:rPr>
          <w:rFonts w:eastAsia="楷体"/>
          <w:color w:val="auto"/>
          <w:sz w:val="24"/>
          <w:szCs w:val="24"/>
          <w:highlight w:val="none"/>
        </w:rPr>
      </w:pPr>
      <w:r>
        <w:rPr>
          <w:rFonts w:eastAsia="楷体"/>
          <w:color w:val="auto"/>
          <w:spacing w:val="-1"/>
          <w:sz w:val="24"/>
          <w:szCs w:val="24"/>
          <w:highlight w:val="none"/>
        </w:rPr>
        <w:t>采购人需要其他有关单位对成交供应商交付的产品或服务进行确认的，相关配</w:t>
      </w:r>
      <w:r>
        <w:rPr>
          <w:rFonts w:eastAsia="楷体"/>
          <w:color w:val="auto"/>
          <w:sz w:val="24"/>
          <w:szCs w:val="24"/>
          <w:highlight w:val="none"/>
        </w:rPr>
        <w:t>合事项由成交供应商与其他有关单位协调。</w:t>
      </w:r>
    </w:p>
    <w:p w14:paraId="42828AF7">
      <w:pPr>
        <w:pStyle w:val="32"/>
        <w:numPr>
          <w:ilvl w:val="0"/>
          <w:numId w:val="19"/>
        </w:numPr>
        <w:tabs>
          <w:tab w:val="left" w:pos="1383"/>
        </w:tabs>
        <w:spacing w:before="0" w:after="0" w:line="460" w:lineRule="exact"/>
        <w:ind w:left="420" w:leftChars="200" w:right="420" w:rightChars="200" w:firstLine="416" w:firstLineChars="200"/>
        <w:rPr>
          <w:rFonts w:ascii="Times New Roman" w:eastAsia="楷体"/>
          <w:b/>
          <w:color w:val="auto"/>
          <w:szCs w:val="24"/>
          <w:highlight w:val="none"/>
        </w:rPr>
      </w:pPr>
      <w:r>
        <w:rPr>
          <w:rFonts w:ascii="Times New Roman" w:eastAsia="楷体"/>
          <w:color w:val="auto"/>
          <w:spacing w:val="-1"/>
          <w:szCs w:val="24"/>
          <w:highlight w:val="none"/>
        </w:rPr>
        <w:t>政府采购合同约定的其他要求及响应文件响应的其他标准。</w:t>
      </w:r>
    </w:p>
    <w:p w14:paraId="498BB712">
      <w:pPr>
        <w:pStyle w:val="32"/>
        <w:tabs>
          <w:tab w:val="left" w:pos="1383"/>
        </w:tabs>
        <w:spacing w:before="0" w:after="0" w:line="460" w:lineRule="exact"/>
        <w:ind w:left="420" w:leftChars="200" w:right="420" w:rightChars="200" w:firstLine="422" w:firstLineChars="200"/>
        <w:jc w:val="left"/>
        <w:rPr>
          <w:rFonts w:ascii="Times New Roman" w:eastAsia="楷体"/>
          <w:b/>
          <w:color w:val="auto"/>
          <w:szCs w:val="24"/>
          <w:highlight w:val="none"/>
        </w:rPr>
      </w:pPr>
      <w:r>
        <w:rPr>
          <w:rFonts w:ascii="Times New Roman" w:eastAsia="楷体"/>
          <w:b/>
          <w:color w:val="auto"/>
          <w:szCs w:val="24"/>
          <w:highlight w:val="none"/>
        </w:rPr>
        <w:t>8.</w:t>
      </w:r>
      <w:r>
        <w:rPr>
          <w:rFonts w:ascii="Times New Roman" w:eastAsia="楷体"/>
          <w:b/>
          <w:bCs/>
          <w:color w:val="auto"/>
          <w:szCs w:val="24"/>
          <w:highlight w:val="none"/>
        </w:rPr>
        <w:t>履约验收其他事项</w:t>
      </w:r>
    </w:p>
    <w:p w14:paraId="4B3C34A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无。</w:t>
      </w:r>
    </w:p>
    <w:p w14:paraId="27284439">
      <w:pPr>
        <w:spacing w:line="460" w:lineRule="exact"/>
        <w:ind w:left="420" w:leftChars="200" w:right="420" w:rightChars="200" w:firstLine="480" w:firstLineChars="200"/>
        <w:rPr>
          <w:rFonts w:eastAsia="楷体"/>
          <w:color w:val="auto"/>
          <w:spacing w:val="-21"/>
          <w:sz w:val="24"/>
          <w:szCs w:val="24"/>
          <w:highlight w:val="none"/>
        </w:rPr>
      </w:pPr>
      <w:r>
        <w:rPr>
          <w:rFonts w:eastAsia="楷体"/>
          <w:color w:val="auto"/>
          <w:sz w:val="24"/>
          <w:szCs w:val="24"/>
          <w:highlight w:val="none"/>
        </w:rPr>
        <w:br w:type="page"/>
      </w:r>
      <w:r>
        <w:rPr>
          <w:rFonts w:eastAsia="楷体"/>
          <w:color w:val="auto"/>
          <w:spacing w:val="-21"/>
          <w:sz w:val="24"/>
          <w:szCs w:val="24"/>
          <w:highlight w:val="none"/>
        </w:rPr>
        <w:t>附件3</w:t>
      </w:r>
    </w:p>
    <w:p w14:paraId="50A47F08">
      <w:pPr>
        <w:spacing w:before="1" w:line="460" w:lineRule="exact"/>
        <w:ind w:left="420" w:leftChars="200" w:right="420" w:rightChars="200" w:firstLine="480" w:firstLineChars="200"/>
        <w:jc w:val="center"/>
        <w:rPr>
          <w:rFonts w:eastAsia="楷体"/>
          <w:color w:val="auto"/>
          <w:sz w:val="24"/>
          <w:szCs w:val="24"/>
          <w:highlight w:val="none"/>
        </w:rPr>
      </w:pPr>
      <w:r>
        <w:rPr>
          <w:rFonts w:eastAsia="楷体"/>
          <w:color w:val="auto"/>
          <w:sz w:val="24"/>
          <w:szCs w:val="24"/>
          <w:highlight w:val="none"/>
        </w:rPr>
        <w:t>保密协议</w:t>
      </w:r>
    </w:p>
    <w:p w14:paraId="102F4F44">
      <w:pPr>
        <w:spacing w:line="460" w:lineRule="exact"/>
        <w:ind w:left="420" w:leftChars="200" w:right="420" w:rightChars="200" w:firstLine="480" w:firstLineChars="200"/>
        <w:rPr>
          <w:rFonts w:hint="eastAsia" w:eastAsia="楷体"/>
          <w:color w:val="auto"/>
          <w:sz w:val="24"/>
          <w:szCs w:val="24"/>
          <w:highlight w:val="none"/>
          <w:lang w:eastAsia="zh-CN"/>
        </w:rPr>
      </w:pPr>
      <w:r>
        <w:rPr>
          <w:rFonts w:eastAsia="楷体"/>
          <w:color w:val="auto"/>
          <w:sz w:val="24"/>
          <w:szCs w:val="24"/>
          <w:highlight w:val="none"/>
        </w:rPr>
        <w:t>甲方名称：</w:t>
      </w:r>
      <w:r>
        <w:rPr>
          <w:rFonts w:hint="eastAsia" w:eastAsia="楷体"/>
          <w:color w:val="auto"/>
          <w:sz w:val="24"/>
          <w:szCs w:val="24"/>
          <w:highlight w:val="none"/>
          <w:lang w:eastAsia="zh-CN"/>
        </w:rPr>
        <w:t>阿勒泰地区财政局</w:t>
      </w:r>
    </w:p>
    <w:p w14:paraId="27E04AB0">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乙方名称：xxx公司</w:t>
      </w:r>
    </w:p>
    <w:p w14:paraId="6A7D4DF3">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为实现甲、乙双方公平合作，互利互惠的目的，经双方平等协商，就信息、技术秘密保护达成如下协议，自愿签署本协议，共同遵守本协议的所列条款。</w:t>
      </w:r>
    </w:p>
    <w:p w14:paraId="1D126A51">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一、保密的内容和范围、泄密的界定</w:t>
      </w:r>
    </w:p>
    <w:p w14:paraId="026F59B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本协议提及的商业秘密包括但不限于技术秘密、交易秘密、管理秘密等。</w:t>
      </w:r>
    </w:p>
    <w:p w14:paraId="2183F701">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1、技术秘密包括但不限于工作进度、技术原理、技术方案、产品流程、技术指标、数据库、研究开发记录、技术报告、检测报告、实验数据、试验结果、图纸、样品、技术文档、相关的函电等。</w:t>
      </w:r>
    </w:p>
    <w:p w14:paraId="71E50E38">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2、交易秘密包括但不限于与有合作关系企业和客户名单、客户资料、合作意向、投资合同条款、营销网络和渠道、客户抵押物信息、成本价格、拍卖标的底价、收费标准、购买理财产品的客户资料、成交或商谈的价格等；</w:t>
      </w:r>
    </w:p>
    <w:p w14:paraId="2ECC6337">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14:paraId="71DF961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4、乙方在甲方工作期间所创造的与以上内容有关的资料，甲方拥有所有权和处置权，均属本协议规定保密范围内。</w:t>
      </w:r>
    </w:p>
    <w:p w14:paraId="14AEC21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二、双方的权利与义务、责任</w:t>
      </w:r>
    </w:p>
    <w:p w14:paraId="58926F0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1.甲方为乙方提供良好的服务所需具备的资料、信息。</w:t>
      </w:r>
    </w:p>
    <w:p w14:paraId="754D741C">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2.甲方对乙方的服务过程</w:t>
      </w:r>
      <w:r>
        <w:rPr>
          <w:rFonts w:hint="eastAsia" w:eastAsia="楷体"/>
          <w:color w:val="auto"/>
          <w:sz w:val="24"/>
          <w:szCs w:val="24"/>
          <w:highlight w:val="none"/>
          <w:lang w:eastAsia="zh-CN"/>
        </w:rPr>
        <w:t>及</w:t>
      </w:r>
      <w:r>
        <w:rPr>
          <w:rFonts w:eastAsia="楷体"/>
          <w:color w:val="auto"/>
          <w:sz w:val="24"/>
          <w:szCs w:val="24"/>
          <w:highlight w:val="none"/>
        </w:rPr>
        <w:t>人员信息予以保密，并承诺不用于本方生产应用之外</w:t>
      </w:r>
      <w:r>
        <w:rPr>
          <w:rFonts w:hint="eastAsia" w:eastAsia="楷体"/>
          <w:color w:val="auto"/>
          <w:sz w:val="24"/>
          <w:szCs w:val="24"/>
          <w:highlight w:val="none"/>
          <w:lang w:eastAsia="zh-CN"/>
        </w:rPr>
        <w:t>的其他</w:t>
      </w:r>
      <w:r>
        <w:rPr>
          <w:rFonts w:eastAsia="楷体"/>
          <w:color w:val="auto"/>
          <w:sz w:val="24"/>
          <w:szCs w:val="24"/>
          <w:highlight w:val="none"/>
        </w:rPr>
        <w:t>商业用途。</w:t>
      </w:r>
    </w:p>
    <w:p w14:paraId="3AFE6EA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3.乙方应自觉维护甲方的利益，严格遵守甲方的保密规定，防止泄露甲方的信息、资料秘密。</w:t>
      </w:r>
    </w:p>
    <w:p w14:paraId="02726FE7">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4. 乙方同意并承诺，对所有保密信息予以严格保密，在未得到甲方书面许可的情况下，乙方不得向任何单位和个人泄露甲方的任何资料信息；</w:t>
      </w:r>
    </w:p>
    <w:p w14:paraId="37899308">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5.乙方不得利用所掌握的甲方技术资料、信息、商业秘密牟取私利；</w:t>
      </w:r>
    </w:p>
    <w:p w14:paraId="5BB1A90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6. 乙方同意并承诺，如果这些数据未经甲方许可披露给他人，所造成对甲方的直接损失，乙方愿意承担索赔责任。</w:t>
      </w:r>
    </w:p>
    <w:p w14:paraId="00AD19E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7. 乙方承诺，无论任何原因，为甲方提供服务终止后，乙方保证退回甲方保存在乙方处的任何含有保密信息的文件或资料</w:t>
      </w:r>
      <w:r>
        <w:rPr>
          <w:rFonts w:hint="eastAsia" w:eastAsia="楷体"/>
          <w:color w:val="auto"/>
          <w:sz w:val="24"/>
          <w:szCs w:val="24"/>
          <w:highlight w:val="none"/>
          <w:lang w:eastAsia="zh-CN"/>
        </w:rPr>
        <w:t>（</w:t>
      </w:r>
      <w:r>
        <w:rPr>
          <w:rFonts w:eastAsia="楷体"/>
          <w:color w:val="auto"/>
          <w:sz w:val="24"/>
          <w:szCs w:val="24"/>
          <w:highlight w:val="none"/>
        </w:rPr>
        <w:t>如有</w:t>
      </w:r>
      <w:r>
        <w:rPr>
          <w:rFonts w:hint="eastAsia" w:eastAsia="楷体"/>
          <w:color w:val="auto"/>
          <w:sz w:val="24"/>
          <w:szCs w:val="24"/>
          <w:highlight w:val="none"/>
          <w:lang w:eastAsia="zh-CN"/>
        </w:rPr>
        <w:t>）</w:t>
      </w:r>
      <w:r>
        <w:rPr>
          <w:rFonts w:eastAsia="楷体"/>
          <w:color w:val="auto"/>
          <w:sz w:val="24"/>
          <w:szCs w:val="24"/>
          <w:highlight w:val="none"/>
        </w:rPr>
        <w:t>。</w:t>
      </w:r>
    </w:p>
    <w:p w14:paraId="799966E2">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8. 乙方同意并承诺，恶意泄露其所有保密信息，一经查实愿意承担相关的法律责任。</w:t>
      </w:r>
    </w:p>
    <w:p w14:paraId="39857F6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9. 乙方必须按甲方的合同和内控管理规定从事项目的研究与开发，并将研究开发的所有资料交甲方保存。</w:t>
      </w:r>
    </w:p>
    <w:p w14:paraId="32376E4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10. 若乙方所派工作人员有泄密行为，乙方负有法律责任。</w:t>
      </w:r>
    </w:p>
    <w:p w14:paraId="4FC0CD9F">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三、保密的义务不适用于如下信息：</w:t>
      </w:r>
    </w:p>
    <w:p w14:paraId="0CFEDDC2">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非由于乙方的原因已经为公众所知的信息；</w:t>
      </w:r>
    </w:p>
    <w:p w14:paraId="214F175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由于法律的适用、法院或其他国家有权机关的要求而披露的信息。</w:t>
      </w:r>
    </w:p>
    <w:p w14:paraId="3CBE1D23">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四、保密期限</w:t>
      </w:r>
    </w:p>
    <w:p w14:paraId="02971435">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本协议涉及客户信息的保密期限为十五年，</w:t>
      </w:r>
      <w:r>
        <w:rPr>
          <w:rFonts w:hint="eastAsia" w:eastAsia="楷体"/>
          <w:color w:val="auto"/>
          <w:sz w:val="24"/>
          <w:szCs w:val="24"/>
          <w:highlight w:val="none"/>
          <w:lang w:eastAsia="zh-CN"/>
        </w:rPr>
        <w:t>其他项</w:t>
      </w:r>
      <w:r>
        <w:rPr>
          <w:rFonts w:eastAsia="楷体"/>
          <w:color w:val="auto"/>
          <w:sz w:val="24"/>
          <w:szCs w:val="24"/>
          <w:highlight w:val="none"/>
        </w:rPr>
        <w:t>保密期限自项目实施完毕之日算起为期五年。</w:t>
      </w:r>
    </w:p>
    <w:p w14:paraId="6C450FD9">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五、本协议自签字之日起生效。</w:t>
      </w:r>
    </w:p>
    <w:p w14:paraId="01C599CB">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本合同于       年    月   日由上述甲、乙双方（授权代表）签署。</w:t>
      </w:r>
    </w:p>
    <w:p w14:paraId="19BE60AC">
      <w:pPr>
        <w:spacing w:line="460" w:lineRule="exact"/>
        <w:ind w:left="420" w:leftChars="200" w:right="420" w:rightChars="200" w:firstLine="480" w:firstLineChars="200"/>
        <w:rPr>
          <w:rFonts w:eastAsia="楷体"/>
          <w:color w:val="auto"/>
          <w:sz w:val="24"/>
          <w:szCs w:val="24"/>
          <w:highlight w:val="none"/>
        </w:rPr>
      </w:pPr>
    </w:p>
    <w:p w14:paraId="007F0416">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甲方盖章：                              乙方盖章：</w:t>
      </w:r>
    </w:p>
    <w:p w14:paraId="7D813473">
      <w:pPr>
        <w:spacing w:line="460" w:lineRule="exact"/>
        <w:ind w:left="420" w:leftChars="200" w:right="420" w:rightChars="200" w:firstLine="480" w:firstLineChars="200"/>
        <w:rPr>
          <w:rFonts w:eastAsia="楷体"/>
          <w:color w:val="auto"/>
          <w:sz w:val="24"/>
          <w:szCs w:val="24"/>
          <w:highlight w:val="none"/>
        </w:rPr>
      </w:pPr>
    </w:p>
    <w:p w14:paraId="19C78CC1">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代表签字：                              代表签字：</w:t>
      </w:r>
    </w:p>
    <w:p w14:paraId="15569BDA">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 xml:space="preserve">     </w:t>
      </w:r>
    </w:p>
    <w:p w14:paraId="47E4D084">
      <w:pPr>
        <w:spacing w:line="460" w:lineRule="exact"/>
        <w:ind w:left="420" w:leftChars="200" w:right="420" w:rightChars="200" w:firstLine="480" w:firstLineChars="200"/>
        <w:rPr>
          <w:rFonts w:eastAsia="楷体"/>
          <w:color w:val="auto"/>
          <w:sz w:val="24"/>
          <w:szCs w:val="24"/>
          <w:highlight w:val="none"/>
        </w:rPr>
      </w:pPr>
      <w:r>
        <w:rPr>
          <w:rFonts w:eastAsia="楷体"/>
          <w:color w:val="auto"/>
          <w:sz w:val="24"/>
          <w:szCs w:val="24"/>
          <w:highlight w:val="none"/>
        </w:rPr>
        <w:t>年   月   日                           年   月   日</w:t>
      </w:r>
    </w:p>
    <w:p w14:paraId="734F98D7">
      <w:pPr>
        <w:spacing w:line="460" w:lineRule="exact"/>
        <w:ind w:left="420" w:leftChars="200" w:right="420" w:rightChars="200" w:firstLine="480" w:firstLineChars="200"/>
        <w:rPr>
          <w:rFonts w:eastAsia="楷体"/>
          <w:color w:val="auto"/>
          <w:sz w:val="24"/>
          <w:szCs w:val="24"/>
          <w:highlight w:val="none"/>
        </w:rPr>
      </w:pPr>
    </w:p>
    <w:p w14:paraId="2F687350">
      <w:pPr>
        <w:rPr>
          <w:rFonts w:eastAsia="楷体"/>
          <w:color w:val="auto"/>
          <w:highlight w:val="none"/>
        </w:rPr>
        <w:sectPr>
          <w:pgSz w:w="11910" w:h="16840"/>
          <w:pgMar w:top="1080" w:right="1123" w:bottom="1180" w:left="1120" w:header="892" w:footer="888" w:gutter="0"/>
          <w:cols w:space="720" w:num="1"/>
        </w:sectPr>
      </w:pPr>
    </w:p>
    <w:p w14:paraId="1E1686B2">
      <w:pPr>
        <w:keepNext w:val="0"/>
        <w:keepLines w:val="0"/>
        <w:pageBreakBefore w:val="0"/>
        <w:wordWrap/>
        <w:overflowPunct/>
        <w:topLinePunct w:val="0"/>
        <w:bidi w:val="0"/>
        <w:spacing w:before="313" w:line="240" w:lineRule="auto"/>
        <w:ind w:left="0" w:leftChars="0" w:firstLine="0" w:firstLineChars="0"/>
        <w:jc w:val="center"/>
        <w:outlineLvl w:val="0"/>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4"/>
          <w:sz w:val="31"/>
          <w:szCs w:val="31"/>
          <w:lang w:val="en-US" w:eastAsia="zh-CN"/>
          <w14:textOutline w14:w="5793" w14:cap="sq" w14:cmpd="sng">
            <w14:solidFill>
              <w14:srgbClr w14:val="000000"/>
            </w14:solidFill>
            <w14:prstDash w14:val="solid"/>
            <w14:bevel/>
          </w14:textOutline>
        </w:rPr>
        <w:t>（二）采购合同文本</w:t>
      </w:r>
      <w:bookmarkEnd w:id="28"/>
      <w:bookmarkEnd w:id="29"/>
    </w:p>
    <w:p w14:paraId="516BF25A">
      <w:pPr>
        <w:spacing w:before="266" w:line="416" w:lineRule="auto"/>
        <w:ind w:right="391"/>
        <w:jc w:val="center"/>
        <w:rPr>
          <w:rFonts w:eastAsia="楷体"/>
          <w:color w:val="auto"/>
          <w:sz w:val="24"/>
          <w:szCs w:val="24"/>
          <w:highlight w:val="none"/>
        </w:rPr>
      </w:pPr>
      <w:bookmarkStart w:id="30" w:name="_Toc331685783"/>
      <w:r>
        <w:rPr>
          <w:rFonts w:eastAsia="楷体"/>
          <w:color w:val="auto"/>
          <w:sz w:val="24"/>
          <w:szCs w:val="24"/>
          <w:highlight w:val="none"/>
          <w:u w:val="single"/>
        </w:rPr>
        <w:t>（项目名称及编号）</w:t>
      </w:r>
      <w:r>
        <w:rPr>
          <w:rFonts w:eastAsia="楷体"/>
          <w:color w:val="auto"/>
          <w:sz w:val="24"/>
          <w:szCs w:val="24"/>
          <w:highlight w:val="none"/>
        </w:rPr>
        <w:t>项目评审服务合同</w:t>
      </w:r>
    </w:p>
    <w:p w14:paraId="56DF65AD">
      <w:pPr>
        <w:tabs>
          <w:tab w:val="left" w:pos="4674"/>
        </w:tabs>
        <w:spacing w:before="173" w:line="374" w:lineRule="auto"/>
        <w:ind w:right="5670"/>
        <w:rPr>
          <w:rFonts w:eastAsia="楷体"/>
          <w:color w:val="auto"/>
          <w:sz w:val="24"/>
          <w:szCs w:val="24"/>
          <w:highlight w:val="none"/>
        </w:rPr>
      </w:pPr>
      <w:r>
        <w:rPr>
          <w:rFonts w:eastAsia="楷体"/>
          <w:color w:val="auto"/>
          <w:sz w:val="24"/>
          <w:szCs w:val="24"/>
          <w:highlight w:val="none"/>
        </w:rPr>
        <w:t>合同编号：</w:t>
      </w:r>
    </w:p>
    <w:p w14:paraId="338D86BF">
      <w:pPr>
        <w:tabs>
          <w:tab w:val="left" w:pos="4674"/>
        </w:tabs>
        <w:spacing w:before="173" w:line="374" w:lineRule="auto"/>
        <w:ind w:right="5670"/>
        <w:rPr>
          <w:rFonts w:eastAsia="楷体"/>
          <w:color w:val="auto"/>
          <w:sz w:val="24"/>
          <w:szCs w:val="24"/>
          <w:highlight w:val="none"/>
        </w:rPr>
      </w:pPr>
      <w:r>
        <w:rPr>
          <w:rFonts w:eastAsia="楷体"/>
          <w:color w:val="auto"/>
          <w:sz w:val="24"/>
          <w:szCs w:val="24"/>
          <w:highlight w:val="none"/>
        </w:rPr>
        <w:t>采购人（甲方）</w:t>
      </w:r>
      <w:r>
        <w:rPr>
          <w:rFonts w:hint="eastAsia" w:eastAsia="楷体"/>
          <w:color w:val="auto"/>
          <w:sz w:val="24"/>
          <w:szCs w:val="24"/>
          <w:highlight w:val="none"/>
          <w:u w:val="single"/>
          <w:lang w:eastAsia="zh-CN"/>
        </w:rPr>
        <w:t>阿勒泰地区财政局</w:t>
      </w:r>
      <w:r>
        <w:rPr>
          <w:rFonts w:eastAsia="楷体"/>
          <w:color w:val="auto"/>
          <w:sz w:val="24"/>
          <w:szCs w:val="24"/>
          <w:highlight w:val="none"/>
          <w:u w:val="single"/>
        </w:rPr>
        <w:tab/>
      </w:r>
    </w:p>
    <w:p w14:paraId="25E61650">
      <w:pPr>
        <w:tabs>
          <w:tab w:val="left" w:pos="4674"/>
        </w:tabs>
        <w:spacing w:before="173" w:line="374" w:lineRule="auto"/>
        <w:ind w:right="5670"/>
        <w:rPr>
          <w:rFonts w:eastAsia="楷体"/>
          <w:color w:val="auto"/>
          <w:sz w:val="24"/>
          <w:szCs w:val="24"/>
          <w:highlight w:val="none"/>
          <w:u w:val="single"/>
        </w:rPr>
      </w:pPr>
      <w:r>
        <w:rPr>
          <w:rFonts w:eastAsia="楷体"/>
          <w:color w:val="auto"/>
          <w:spacing w:val="-1"/>
          <w:sz w:val="24"/>
          <w:szCs w:val="24"/>
          <w:highlight w:val="none"/>
        </w:rPr>
        <w:t>成</w:t>
      </w:r>
      <w:r>
        <w:rPr>
          <w:rFonts w:eastAsia="楷体"/>
          <w:color w:val="auto"/>
          <w:sz w:val="24"/>
          <w:szCs w:val="24"/>
          <w:highlight w:val="none"/>
        </w:rPr>
        <w:t>交供应商（乙方）</w:t>
      </w:r>
      <w:r>
        <w:rPr>
          <w:rFonts w:eastAsia="楷体"/>
          <w:color w:val="auto"/>
          <w:sz w:val="24"/>
          <w:szCs w:val="24"/>
          <w:highlight w:val="none"/>
          <w:u w:val="single"/>
        </w:rPr>
        <w:t xml:space="preserve"> </w:t>
      </w:r>
      <w:r>
        <w:rPr>
          <w:rFonts w:eastAsia="楷体"/>
          <w:color w:val="auto"/>
          <w:sz w:val="24"/>
          <w:szCs w:val="24"/>
          <w:highlight w:val="none"/>
          <w:u w:val="single"/>
        </w:rPr>
        <w:tab/>
      </w:r>
    </w:p>
    <w:p w14:paraId="52AB533D">
      <w:pPr>
        <w:tabs>
          <w:tab w:val="left" w:pos="4674"/>
        </w:tabs>
        <w:spacing w:before="173" w:line="374" w:lineRule="auto"/>
        <w:ind w:right="5670"/>
        <w:rPr>
          <w:rFonts w:eastAsia="楷体"/>
          <w:color w:val="auto"/>
          <w:spacing w:val="-1"/>
          <w:sz w:val="24"/>
          <w:szCs w:val="24"/>
          <w:highlight w:val="none"/>
          <w:u w:val="single"/>
        </w:rPr>
      </w:pPr>
      <w:r>
        <w:rPr>
          <w:rFonts w:eastAsia="楷体"/>
          <w:color w:val="auto"/>
          <w:sz w:val="24"/>
          <w:szCs w:val="24"/>
          <w:highlight w:val="none"/>
        </w:rPr>
        <w:t xml:space="preserve">签订地点 </w:t>
      </w:r>
      <w:r>
        <w:rPr>
          <w:rFonts w:eastAsia="楷体"/>
          <w:color w:val="auto"/>
          <w:spacing w:val="-1"/>
          <w:sz w:val="24"/>
          <w:szCs w:val="24"/>
          <w:highlight w:val="none"/>
        </w:rPr>
        <w:t xml:space="preserve"> </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pacing w:val="-1"/>
          <w:sz w:val="24"/>
          <w:szCs w:val="24"/>
          <w:highlight w:val="none"/>
          <w:u w:val="single"/>
        </w:rPr>
        <w:t xml:space="preserve"> </w:t>
      </w:r>
    </w:p>
    <w:p w14:paraId="543FB4AF">
      <w:pPr>
        <w:tabs>
          <w:tab w:val="left" w:pos="4674"/>
        </w:tabs>
        <w:spacing w:before="173" w:line="374" w:lineRule="auto"/>
        <w:ind w:right="5670"/>
        <w:rPr>
          <w:rFonts w:eastAsia="楷体"/>
          <w:color w:val="auto"/>
          <w:sz w:val="24"/>
          <w:szCs w:val="24"/>
          <w:highlight w:val="none"/>
        </w:rPr>
      </w:pPr>
      <w:r>
        <w:rPr>
          <w:rFonts w:eastAsia="楷体"/>
          <w:color w:val="auto"/>
          <w:spacing w:val="-1"/>
          <w:sz w:val="24"/>
          <w:szCs w:val="24"/>
          <w:highlight w:val="none"/>
        </w:rPr>
        <w:t>签</w:t>
      </w:r>
      <w:r>
        <w:rPr>
          <w:rFonts w:eastAsia="楷体"/>
          <w:color w:val="auto"/>
          <w:sz w:val="24"/>
          <w:szCs w:val="24"/>
          <w:highlight w:val="none"/>
        </w:rPr>
        <w:t>订时间</w:t>
      </w:r>
      <w:r>
        <w:rPr>
          <w:rFonts w:eastAsia="楷体"/>
          <w:color w:val="auto"/>
          <w:sz w:val="24"/>
          <w:szCs w:val="24"/>
          <w:highlight w:val="none"/>
          <w:u w:val="single"/>
        </w:rPr>
        <w:t xml:space="preserve"> </w:t>
      </w:r>
      <w:r>
        <w:rPr>
          <w:rFonts w:eastAsia="楷体"/>
          <w:color w:val="auto"/>
          <w:sz w:val="24"/>
          <w:szCs w:val="24"/>
          <w:highlight w:val="none"/>
          <w:u w:val="single"/>
        </w:rPr>
        <w:tab/>
      </w:r>
    </w:p>
    <w:p w14:paraId="52580963">
      <w:pPr>
        <w:pStyle w:val="5"/>
        <w:rPr>
          <w:rFonts w:eastAsia="楷体"/>
          <w:color w:val="auto"/>
          <w:sz w:val="24"/>
          <w:szCs w:val="24"/>
          <w:highlight w:val="none"/>
        </w:rPr>
      </w:pPr>
    </w:p>
    <w:p w14:paraId="459D3EBC">
      <w:pPr>
        <w:pStyle w:val="5"/>
        <w:spacing w:before="1"/>
        <w:rPr>
          <w:rFonts w:eastAsia="楷体"/>
          <w:color w:val="auto"/>
          <w:sz w:val="24"/>
          <w:szCs w:val="24"/>
          <w:highlight w:val="none"/>
        </w:rPr>
      </w:pPr>
    </w:p>
    <w:p w14:paraId="55695F82">
      <w:pPr>
        <w:spacing w:before="66" w:line="374" w:lineRule="auto"/>
        <w:ind w:right="686" w:firstLine="480"/>
        <w:rPr>
          <w:rFonts w:eastAsia="楷体"/>
          <w:color w:val="auto"/>
          <w:sz w:val="24"/>
          <w:szCs w:val="24"/>
          <w:highlight w:val="none"/>
        </w:rPr>
      </w:pPr>
      <w:r>
        <w:rPr>
          <w:rFonts w:eastAsia="楷体"/>
          <w:color w:val="auto"/>
          <w:sz w:val="24"/>
          <w:szCs w:val="24"/>
          <w:highlight w:val="none"/>
        </w:rPr>
        <w:t>根据《中华人民共和国政府采购法》等法律、法规规定，按照征集文件及框架协议规定条款和乙方响应文件及其承诺，甲乙双方签订本合同。</w:t>
      </w:r>
    </w:p>
    <w:p w14:paraId="36BC9353">
      <w:pPr>
        <w:tabs>
          <w:tab w:val="left" w:pos="1745"/>
        </w:tabs>
        <w:spacing w:before="1"/>
        <w:ind w:left="781"/>
        <w:rPr>
          <w:rFonts w:eastAsia="楷体"/>
          <w:b/>
          <w:bCs/>
          <w:color w:val="auto"/>
          <w:sz w:val="24"/>
          <w:szCs w:val="24"/>
          <w:highlight w:val="none"/>
        </w:rPr>
      </w:pPr>
      <w:r>
        <w:rPr>
          <w:rFonts w:eastAsia="楷体"/>
          <w:b/>
          <w:bCs/>
          <w:color w:val="auto"/>
          <w:sz w:val="24"/>
          <w:szCs w:val="24"/>
          <w:highlight w:val="none"/>
        </w:rPr>
        <w:t>第一条</w:t>
      </w:r>
      <w:r>
        <w:rPr>
          <w:rFonts w:eastAsia="楷体"/>
          <w:b/>
          <w:bCs/>
          <w:color w:val="auto"/>
          <w:sz w:val="24"/>
          <w:szCs w:val="24"/>
          <w:highlight w:val="none"/>
        </w:rPr>
        <w:tab/>
      </w:r>
      <w:r>
        <w:rPr>
          <w:rFonts w:eastAsia="楷体"/>
          <w:b/>
          <w:bCs/>
          <w:color w:val="auto"/>
          <w:sz w:val="24"/>
          <w:szCs w:val="24"/>
          <w:highlight w:val="none"/>
        </w:rPr>
        <w:t>项目概况及服务范围</w:t>
      </w:r>
    </w:p>
    <w:p w14:paraId="03BEA63E">
      <w:pPr>
        <w:numPr>
          <w:ilvl w:val="0"/>
          <w:numId w:val="20"/>
        </w:numPr>
        <w:tabs>
          <w:tab w:val="left" w:pos="1020"/>
          <w:tab w:val="left" w:pos="8580"/>
        </w:tabs>
        <w:spacing w:before="172"/>
        <w:ind w:hanging="242"/>
        <w:rPr>
          <w:rFonts w:eastAsia="楷体"/>
          <w:color w:val="auto"/>
          <w:sz w:val="24"/>
          <w:szCs w:val="24"/>
          <w:highlight w:val="none"/>
        </w:rPr>
      </w:pPr>
      <w:r>
        <w:rPr>
          <w:rFonts w:eastAsia="楷体"/>
          <w:color w:val="auto"/>
          <w:sz w:val="24"/>
          <w:szCs w:val="24"/>
          <w:highlight w:val="none"/>
        </w:rPr>
        <w:t>项目名称编号：</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3EB6858A">
      <w:pPr>
        <w:numPr>
          <w:ilvl w:val="0"/>
          <w:numId w:val="20"/>
        </w:numPr>
        <w:tabs>
          <w:tab w:val="left" w:pos="1020"/>
          <w:tab w:val="left" w:pos="8580"/>
        </w:tabs>
        <w:spacing w:before="173"/>
        <w:ind w:hanging="242"/>
        <w:rPr>
          <w:rFonts w:eastAsia="楷体"/>
          <w:color w:val="auto"/>
          <w:sz w:val="24"/>
          <w:szCs w:val="24"/>
          <w:highlight w:val="none"/>
        </w:rPr>
      </w:pPr>
      <w:r>
        <w:rPr>
          <w:rFonts w:eastAsia="楷体"/>
          <w:color w:val="auto"/>
          <w:sz w:val="24"/>
          <w:szCs w:val="24"/>
          <w:highlight w:val="none"/>
        </w:rPr>
        <w:t>服务内容：</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237AB592">
      <w:pPr>
        <w:numPr>
          <w:ilvl w:val="0"/>
          <w:numId w:val="20"/>
        </w:numPr>
        <w:tabs>
          <w:tab w:val="left" w:pos="1020"/>
          <w:tab w:val="left" w:pos="8580"/>
        </w:tabs>
        <w:spacing w:before="172"/>
        <w:ind w:hanging="242"/>
        <w:rPr>
          <w:rFonts w:eastAsia="楷体"/>
          <w:color w:val="auto"/>
          <w:sz w:val="24"/>
          <w:szCs w:val="24"/>
          <w:highlight w:val="none"/>
        </w:rPr>
      </w:pPr>
      <w:r>
        <w:rPr>
          <w:rFonts w:eastAsia="楷体"/>
          <w:color w:val="auto"/>
          <w:sz w:val="24"/>
          <w:szCs w:val="24"/>
          <w:highlight w:val="none"/>
        </w:rPr>
        <w:t>服务期：</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715D9BEA">
      <w:pPr>
        <w:numPr>
          <w:ilvl w:val="0"/>
          <w:numId w:val="20"/>
        </w:numPr>
        <w:tabs>
          <w:tab w:val="left" w:pos="1020"/>
          <w:tab w:val="left" w:pos="8580"/>
        </w:tabs>
        <w:spacing w:before="173"/>
        <w:ind w:hanging="242"/>
        <w:rPr>
          <w:rFonts w:eastAsia="楷体"/>
          <w:color w:val="auto"/>
          <w:sz w:val="24"/>
          <w:szCs w:val="24"/>
          <w:highlight w:val="none"/>
        </w:rPr>
      </w:pPr>
      <w:r>
        <w:rPr>
          <w:rFonts w:eastAsia="楷体"/>
          <w:color w:val="auto"/>
          <w:sz w:val="24"/>
          <w:szCs w:val="24"/>
          <w:highlight w:val="none"/>
        </w:rPr>
        <w:t>履行合同的地域范围：</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w:t>
      </w:r>
    </w:p>
    <w:p w14:paraId="3E451C99">
      <w:pPr>
        <w:pStyle w:val="32"/>
        <w:numPr>
          <w:ilvl w:val="0"/>
          <w:numId w:val="20"/>
        </w:numPr>
        <w:tabs>
          <w:tab w:val="left" w:pos="1020"/>
          <w:tab w:val="left" w:pos="1745"/>
        </w:tabs>
        <w:spacing w:before="172" w:after="0" w:line="375" w:lineRule="auto"/>
        <w:ind w:left="782" w:right="1123" w:hanging="6"/>
        <w:rPr>
          <w:rFonts w:ascii="Times New Roman" w:eastAsia="楷体"/>
          <w:b/>
          <w:color w:val="auto"/>
          <w:szCs w:val="24"/>
          <w:highlight w:val="none"/>
        </w:rPr>
      </w:pPr>
      <w:r>
        <w:rPr>
          <w:rFonts w:ascii="Times New Roman" w:eastAsia="楷体"/>
          <w:color w:val="auto"/>
          <w:szCs w:val="24"/>
          <w:highlight w:val="none"/>
        </w:rPr>
        <w:t>协议价格：</w:t>
      </w:r>
      <w:r>
        <w:rPr>
          <w:rFonts w:ascii="Times New Roman" w:eastAsia="楷体"/>
          <w:color w:val="auto"/>
          <w:szCs w:val="24"/>
          <w:highlight w:val="none"/>
          <w:u w:val="single"/>
        </w:rPr>
        <w:t>按框架协议规定执行</w:t>
      </w:r>
      <w:r>
        <w:rPr>
          <w:rFonts w:ascii="Times New Roman" w:eastAsia="楷体"/>
          <w:color w:val="auto"/>
          <w:spacing w:val="-16"/>
          <w:szCs w:val="24"/>
          <w:highlight w:val="none"/>
        </w:rPr>
        <w:t>。</w:t>
      </w:r>
    </w:p>
    <w:p w14:paraId="48B01E7B">
      <w:pPr>
        <w:pStyle w:val="32"/>
        <w:tabs>
          <w:tab w:val="left" w:pos="1020"/>
          <w:tab w:val="left" w:pos="1745"/>
        </w:tabs>
        <w:spacing w:before="172" w:after="0" w:line="374" w:lineRule="auto"/>
        <w:ind w:left="778" w:right="5725" w:firstLine="0"/>
        <w:jc w:val="left"/>
        <w:rPr>
          <w:rFonts w:ascii="Times New Roman" w:eastAsia="楷体"/>
          <w:b/>
          <w:color w:val="auto"/>
          <w:szCs w:val="24"/>
          <w:highlight w:val="none"/>
        </w:rPr>
      </w:pPr>
      <w:r>
        <w:rPr>
          <w:rFonts w:ascii="Times New Roman" w:eastAsia="楷体"/>
          <w:b/>
          <w:color w:val="auto"/>
          <w:szCs w:val="24"/>
          <w:highlight w:val="none"/>
        </w:rPr>
        <w:t>第二条</w:t>
      </w:r>
      <w:r>
        <w:rPr>
          <w:rFonts w:ascii="Times New Roman" w:eastAsia="楷体"/>
          <w:b/>
          <w:color w:val="auto"/>
          <w:szCs w:val="24"/>
          <w:highlight w:val="none"/>
        </w:rPr>
        <w:tab/>
      </w:r>
      <w:r>
        <w:rPr>
          <w:rFonts w:ascii="Times New Roman" w:eastAsia="楷体"/>
          <w:b/>
          <w:color w:val="auto"/>
          <w:szCs w:val="24"/>
          <w:highlight w:val="none"/>
        </w:rPr>
        <w:t>签订本合同依据</w:t>
      </w:r>
    </w:p>
    <w:p w14:paraId="22A28847">
      <w:pPr>
        <w:spacing w:line="375" w:lineRule="auto"/>
        <w:ind w:left="782" w:right="1123" w:hanging="6"/>
        <w:rPr>
          <w:rFonts w:eastAsia="楷体"/>
          <w:color w:val="auto"/>
          <w:sz w:val="24"/>
          <w:szCs w:val="24"/>
          <w:highlight w:val="none"/>
        </w:rPr>
      </w:pPr>
      <w:r>
        <w:rPr>
          <w:rFonts w:eastAsia="楷体"/>
          <w:color w:val="auto"/>
          <w:sz w:val="24"/>
          <w:szCs w:val="24"/>
          <w:highlight w:val="none"/>
        </w:rPr>
        <w:t>1.框架协议；2.采购征集文件；3.乙方提供的响应文件； 4.入围通知书。</w:t>
      </w:r>
    </w:p>
    <w:p w14:paraId="392A82FE">
      <w:pPr>
        <w:spacing w:line="374" w:lineRule="auto"/>
        <w:ind w:left="781" w:right="1764" w:hanging="3"/>
        <w:rPr>
          <w:rFonts w:eastAsia="楷体"/>
          <w:b/>
          <w:color w:val="auto"/>
          <w:sz w:val="24"/>
          <w:szCs w:val="24"/>
          <w:highlight w:val="none"/>
        </w:rPr>
      </w:pPr>
      <w:r>
        <w:rPr>
          <w:rFonts w:eastAsia="楷体"/>
          <w:b/>
          <w:color w:val="auto"/>
          <w:sz w:val="24"/>
          <w:szCs w:val="24"/>
          <w:highlight w:val="none"/>
        </w:rPr>
        <w:t>第三条 其他约定</w:t>
      </w:r>
    </w:p>
    <w:p w14:paraId="0B826283">
      <w:pPr>
        <w:numPr>
          <w:ilvl w:val="0"/>
          <w:numId w:val="21"/>
        </w:numPr>
        <w:tabs>
          <w:tab w:val="left" w:pos="1020"/>
        </w:tabs>
        <w:spacing w:before="1" w:line="374" w:lineRule="auto"/>
        <w:ind w:right="688" w:firstLine="480"/>
        <w:rPr>
          <w:rFonts w:eastAsia="楷体"/>
          <w:color w:val="auto"/>
          <w:sz w:val="24"/>
          <w:szCs w:val="24"/>
          <w:highlight w:val="none"/>
        </w:rPr>
      </w:pPr>
      <w:r>
        <w:rPr>
          <w:rFonts w:eastAsia="楷体"/>
          <w:color w:val="auto"/>
          <w:spacing w:val="-5"/>
          <w:sz w:val="24"/>
          <w:szCs w:val="24"/>
          <w:highlight w:val="none"/>
        </w:rPr>
        <w:t>本合同基于甲乙双方签订的</w:t>
      </w:r>
      <w:r>
        <w:rPr>
          <w:rFonts w:hint="eastAsia" w:eastAsia="楷体"/>
          <w:color w:val="auto"/>
          <w:spacing w:val="-5"/>
          <w:sz w:val="24"/>
          <w:szCs w:val="24"/>
          <w:highlight w:val="none"/>
          <w:lang w:eastAsia="zh-CN"/>
        </w:rPr>
        <w:t>阿勒泰地区财政局</w:t>
      </w:r>
      <w:r>
        <w:rPr>
          <w:rFonts w:eastAsia="楷体"/>
          <w:color w:val="auto"/>
          <w:spacing w:val="-5"/>
          <w:sz w:val="24"/>
          <w:szCs w:val="24"/>
          <w:highlight w:val="none"/>
        </w:rPr>
        <w:t>财政评审咨询服务委托采购项目</w:t>
      </w:r>
      <w:r>
        <w:rPr>
          <w:rFonts w:hint="eastAsia" w:eastAsia="楷体"/>
          <w:color w:val="auto"/>
          <w:spacing w:val="-5"/>
          <w:sz w:val="24"/>
          <w:szCs w:val="24"/>
          <w:highlight w:val="none"/>
        </w:rPr>
        <w:t>框架协议</w:t>
      </w:r>
      <w:r>
        <w:rPr>
          <w:rFonts w:eastAsia="楷体"/>
          <w:color w:val="auto"/>
          <w:spacing w:val="-9"/>
          <w:sz w:val="24"/>
          <w:szCs w:val="24"/>
          <w:highlight w:val="none"/>
        </w:rPr>
        <w:t>授</w:t>
      </w:r>
      <w:r>
        <w:rPr>
          <w:rFonts w:eastAsia="楷体"/>
          <w:color w:val="auto"/>
          <w:sz w:val="24"/>
          <w:szCs w:val="24"/>
          <w:highlight w:val="none"/>
        </w:rPr>
        <w:t>予。</w:t>
      </w:r>
    </w:p>
    <w:p w14:paraId="52E97871">
      <w:pPr>
        <w:numPr>
          <w:ilvl w:val="0"/>
          <w:numId w:val="21"/>
        </w:numPr>
        <w:tabs>
          <w:tab w:val="left" w:pos="1020"/>
        </w:tabs>
        <w:spacing w:before="1"/>
        <w:ind w:left="1019" w:hanging="242"/>
        <w:rPr>
          <w:rFonts w:eastAsia="楷体"/>
          <w:color w:val="auto"/>
          <w:sz w:val="24"/>
          <w:szCs w:val="24"/>
          <w:highlight w:val="none"/>
        </w:rPr>
      </w:pPr>
      <w:r>
        <w:rPr>
          <w:rFonts w:eastAsia="楷体"/>
          <w:color w:val="auto"/>
          <w:sz w:val="24"/>
          <w:szCs w:val="24"/>
          <w:highlight w:val="none"/>
        </w:rPr>
        <w:t>本合同未尽事宜，遵照《中华人民共和国民法典》有关条文执行。</w:t>
      </w:r>
    </w:p>
    <w:p w14:paraId="54DB2E97">
      <w:pPr>
        <w:numPr>
          <w:ilvl w:val="0"/>
          <w:numId w:val="21"/>
        </w:numPr>
        <w:tabs>
          <w:tab w:val="left" w:pos="1020"/>
        </w:tabs>
        <w:spacing w:before="172" w:line="374" w:lineRule="auto"/>
        <w:ind w:right="685" w:firstLine="480"/>
        <w:rPr>
          <w:rFonts w:eastAsia="楷体"/>
          <w:color w:val="auto"/>
          <w:sz w:val="24"/>
          <w:szCs w:val="24"/>
          <w:highlight w:val="none"/>
        </w:rPr>
      </w:pPr>
      <w:r>
        <w:rPr>
          <w:rFonts w:eastAsia="楷体"/>
          <w:color w:val="auto"/>
          <w:spacing w:val="-1"/>
          <w:sz w:val="24"/>
          <w:szCs w:val="24"/>
          <w:highlight w:val="none"/>
        </w:rPr>
        <w:t>合同执行中，如需修改或补充合同内容，由双方协商另签署书面修改或补充合同。</w:t>
      </w:r>
      <w:r>
        <w:rPr>
          <w:rFonts w:eastAsia="楷体"/>
          <w:color w:val="auto"/>
          <w:sz w:val="24"/>
          <w:szCs w:val="24"/>
          <w:highlight w:val="none"/>
        </w:rPr>
        <w:t>但补充内容不得改变框架协议约定的合同实质性条款。</w:t>
      </w:r>
    </w:p>
    <w:p w14:paraId="1E54CC89">
      <w:pPr>
        <w:numPr>
          <w:ilvl w:val="0"/>
          <w:numId w:val="21"/>
        </w:numPr>
        <w:tabs>
          <w:tab w:val="left" w:pos="1020"/>
        </w:tabs>
        <w:spacing w:before="1" w:line="374" w:lineRule="auto"/>
        <w:ind w:right="691" w:firstLine="480"/>
        <w:rPr>
          <w:rFonts w:eastAsia="楷体"/>
          <w:color w:val="auto"/>
          <w:sz w:val="24"/>
          <w:szCs w:val="24"/>
          <w:highlight w:val="none"/>
        </w:rPr>
      </w:pPr>
      <w:r>
        <w:rPr>
          <w:rFonts w:eastAsia="楷体"/>
          <w:color w:val="auto"/>
          <w:spacing w:val="-4"/>
          <w:sz w:val="24"/>
          <w:szCs w:val="24"/>
          <w:highlight w:val="none"/>
        </w:rPr>
        <w:t>除《中华人民共和国政府采购法》第五十条规定的情形外，本合同一经签订，甲乙</w:t>
      </w:r>
      <w:r>
        <w:rPr>
          <w:rFonts w:eastAsia="楷体"/>
          <w:color w:val="auto"/>
          <w:sz w:val="24"/>
          <w:szCs w:val="24"/>
          <w:highlight w:val="none"/>
        </w:rPr>
        <w:t>双方不得擅自变更、中止或终止。</w:t>
      </w:r>
    </w:p>
    <w:p w14:paraId="5AE24038">
      <w:pPr>
        <w:numPr>
          <w:ilvl w:val="0"/>
          <w:numId w:val="21"/>
        </w:numPr>
        <w:tabs>
          <w:tab w:val="left" w:pos="1020"/>
        </w:tabs>
        <w:spacing w:before="214"/>
        <w:ind w:left="1019" w:hanging="242"/>
        <w:rPr>
          <w:rFonts w:eastAsia="楷体"/>
          <w:color w:val="auto"/>
          <w:sz w:val="24"/>
          <w:szCs w:val="24"/>
          <w:highlight w:val="none"/>
        </w:rPr>
      </w:pPr>
      <w:r>
        <w:rPr>
          <w:rFonts w:eastAsia="楷体"/>
          <w:color w:val="auto"/>
          <w:sz w:val="24"/>
          <w:szCs w:val="24"/>
          <w:highlight w:val="none"/>
        </w:rPr>
        <w:t>未经甲方书面同意，乙方不得擅自转让其应履行的合同义务。</w:t>
      </w:r>
    </w:p>
    <w:p w14:paraId="3E77E9F3">
      <w:pPr>
        <w:tabs>
          <w:tab w:val="left" w:pos="1748"/>
          <w:tab w:val="left" w:pos="3426"/>
          <w:tab w:val="left" w:pos="5226"/>
        </w:tabs>
        <w:spacing w:before="173"/>
        <w:ind w:left="781"/>
        <w:rPr>
          <w:rFonts w:eastAsia="楷体"/>
          <w:color w:val="auto"/>
          <w:sz w:val="24"/>
          <w:szCs w:val="24"/>
          <w:highlight w:val="none"/>
        </w:rPr>
      </w:pPr>
      <w:r>
        <w:rPr>
          <w:rFonts w:eastAsia="楷体"/>
          <w:b/>
          <w:color w:val="auto"/>
          <w:sz w:val="24"/>
          <w:szCs w:val="24"/>
          <w:highlight w:val="none"/>
        </w:rPr>
        <w:t>第四条</w:t>
      </w:r>
      <w:r>
        <w:rPr>
          <w:rFonts w:eastAsia="楷体"/>
          <w:b/>
          <w:color w:val="auto"/>
          <w:sz w:val="24"/>
          <w:szCs w:val="24"/>
          <w:highlight w:val="none"/>
        </w:rPr>
        <w:tab/>
      </w:r>
      <w:r>
        <w:rPr>
          <w:rFonts w:eastAsia="楷体"/>
          <w:color w:val="auto"/>
          <w:sz w:val="24"/>
          <w:szCs w:val="24"/>
          <w:highlight w:val="none"/>
        </w:rPr>
        <w:t>本合同一式</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份，双方各</w:t>
      </w:r>
      <w:r>
        <w:rPr>
          <w:rFonts w:eastAsia="楷体"/>
          <w:color w:val="auto"/>
          <w:sz w:val="24"/>
          <w:szCs w:val="24"/>
          <w:highlight w:val="none"/>
          <w:u w:val="single"/>
        </w:rPr>
        <w:t xml:space="preserve"> </w:t>
      </w:r>
      <w:r>
        <w:rPr>
          <w:rFonts w:eastAsia="楷体"/>
          <w:color w:val="auto"/>
          <w:sz w:val="24"/>
          <w:szCs w:val="24"/>
          <w:highlight w:val="none"/>
          <w:u w:val="single"/>
        </w:rPr>
        <w:tab/>
      </w:r>
      <w:r>
        <w:rPr>
          <w:rFonts w:eastAsia="楷体"/>
          <w:color w:val="auto"/>
          <w:sz w:val="24"/>
          <w:szCs w:val="24"/>
          <w:highlight w:val="none"/>
        </w:rPr>
        <w:t>份，具有同等法律效力。</w:t>
      </w:r>
    </w:p>
    <w:p w14:paraId="4F3506D7">
      <w:pPr>
        <w:spacing w:before="172" w:after="29"/>
        <w:ind w:left="778"/>
        <w:rPr>
          <w:rFonts w:eastAsia="楷体"/>
          <w:color w:val="auto"/>
          <w:sz w:val="24"/>
          <w:szCs w:val="24"/>
          <w:highlight w:val="none"/>
        </w:rPr>
      </w:pPr>
      <w:r>
        <w:rPr>
          <w:rFonts w:eastAsia="楷体"/>
          <w:color w:val="auto"/>
          <w:sz w:val="24"/>
          <w:szCs w:val="24"/>
          <w:highlight w:val="none"/>
        </w:rPr>
        <w:t>本合同经甲乙双方法定代表人或被授权代表签字并加盖单位公章后生效。</w:t>
      </w:r>
    </w:p>
    <w:tbl>
      <w:tblPr>
        <w:tblStyle w:val="24"/>
        <w:tblW w:w="9502"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1"/>
        <w:gridCol w:w="4881"/>
      </w:tblGrid>
      <w:tr w14:paraId="5421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4621" w:type="dxa"/>
          </w:tcPr>
          <w:p w14:paraId="1B6383B4">
            <w:pPr>
              <w:pStyle w:val="40"/>
              <w:spacing w:before="144"/>
              <w:ind w:left="107"/>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甲方（</w:t>
            </w:r>
            <w:r>
              <w:rPr>
                <w:rFonts w:hint="eastAsia" w:ascii="Times New Roman" w:hAnsi="Times New Roman" w:eastAsia="楷体" w:cs="Times New Roman"/>
                <w:color w:val="auto"/>
                <w:szCs w:val="24"/>
                <w:highlight w:val="none"/>
                <w:lang w:val="en-US"/>
              </w:rPr>
              <w:t>公</w:t>
            </w:r>
            <w:r>
              <w:rPr>
                <w:rFonts w:ascii="Times New Roman" w:hAnsi="Times New Roman" w:eastAsia="楷体" w:cs="Times New Roman"/>
                <w:color w:val="auto"/>
                <w:szCs w:val="24"/>
                <w:highlight w:val="none"/>
              </w:rPr>
              <w:t>章）</w:t>
            </w:r>
          </w:p>
          <w:p w14:paraId="3103B8D4">
            <w:pPr>
              <w:pStyle w:val="40"/>
              <w:rPr>
                <w:rFonts w:ascii="Times New Roman" w:hAnsi="Times New Roman" w:eastAsia="楷体" w:cs="Times New Roman"/>
                <w:color w:val="auto"/>
                <w:szCs w:val="24"/>
                <w:highlight w:val="none"/>
              </w:rPr>
            </w:pPr>
          </w:p>
          <w:p w14:paraId="20A4032C">
            <w:pPr>
              <w:pStyle w:val="40"/>
              <w:spacing w:before="11"/>
              <w:rPr>
                <w:rFonts w:ascii="Times New Roman" w:hAnsi="Times New Roman" w:eastAsia="楷体" w:cs="Times New Roman"/>
                <w:color w:val="auto"/>
                <w:szCs w:val="24"/>
                <w:highlight w:val="none"/>
              </w:rPr>
            </w:pPr>
          </w:p>
          <w:p w14:paraId="776DDC61">
            <w:pPr>
              <w:pStyle w:val="40"/>
              <w:tabs>
                <w:tab w:val="left" w:pos="3552"/>
                <w:tab w:val="left" w:pos="4272"/>
              </w:tabs>
              <w:ind w:left="2832"/>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年</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月</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日</w:t>
            </w:r>
          </w:p>
        </w:tc>
        <w:tc>
          <w:tcPr>
            <w:tcW w:w="4881" w:type="dxa"/>
          </w:tcPr>
          <w:p w14:paraId="0F569770">
            <w:pPr>
              <w:pStyle w:val="40"/>
              <w:spacing w:before="144"/>
              <w:ind w:left="105"/>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乙方（</w:t>
            </w:r>
            <w:r>
              <w:rPr>
                <w:rFonts w:hint="eastAsia" w:ascii="Times New Roman" w:hAnsi="Times New Roman" w:eastAsia="楷体" w:cs="Times New Roman"/>
                <w:color w:val="auto"/>
                <w:szCs w:val="24"/>
                <w:highlight w:val="none"/>
                <w:lang w:val="en-US"/>
              </w:rPr>
              <w:t>公</w:t>
            </w:r>
            <w:r>
              <w:rPr>
                <w:rFonts w:ascii="Times New Roman" w:hAnsi="Times New Roman" w:eastAsia="楷体" w:cs="Times New Roman"/>
                <w:color w:val="auto"/>
                <w:szCs w:val="24"/>
                <w:highlight w:val="none"/>
              </w:rPr>
              <w:t>章）</w:t>
            </w:r>
          </w:p>
          <w:p w14:paraId="2941D4B5">
            <w:pPr>
              <w:pStyle w:val="40"/>
              <w:rPr>
                <w:rFonts w:ascii="Times New Roman" w:hAnsi="Times New Roman" w:eastAsia="楷体" w:cs="Times New Roman"/>
                <w:color w:val="auto"/>
                <w:szCs w:val="24"/>
                <w:highlight w:val="none"/>
              </w:rPr>
            </w:pPr>
          </w:p>
          <w:p w14:paraId="7DCF521A">
            <w:pPr>
              <w:pStyle w:val="40"/>
              <w:spacing w:before="11"/>
              <w:rPr>
                <w:rFonts w:ascii="Times New Roman" w:hAnsi="Times New Roman" w:eastAsia="楷体" w:cs="Times New Roman"/>
                <w:color w:val="auto"/>
                <w:szCs w:val="24"/>
                <w:highlight w:val="none"/>
              </w:rPr>
            </w:pPr>
          </w:p>
          <w:p w14:paraId="412D5936">
            <w:pPr>
              <w:pStyle w:val="40"/>
              <w:tabs>
                <w:tab w:val="left" w:pos="3809"/>
                <w:tab w:val="left" w:pos="4529"/>
              </w:tabs>
              <w:ind w:left="3089"/>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年</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月</w:t>
            </w:r>
            <w:r>
              <w:rPr>
                <w:rFonts w:ascii="Times New Roman" w:hAnsi="Times New Roman" w:eastAsia="楷体" w:cs="Times New Roman"/>
                <w:color w:val="auto"/>
                <w:szCs w:val="24"/>
                <w:highlight w:val="none"/>
              </w:rPr>
              <w:tab/>
            </w:r>
            <w:r>
              <w:rPr>
                <w:rFonts w:ascii="Times New Roman" w:hAnsi="Times New Roman" w:eastAsia="楷体" w:cs="Times New Roman"/>
                <w:color w:val="auto"/>
                <w:szCs w:val="24"/>
                <w:highlight w:val="none"/>
              </w:rPr>
              <w:t>日</w:t>
            </w:r>
          </w:p>
        </w:tc>
      </w:tr>
      <w:tr w14:paraId="4B24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621" w:type="dxa"/>
          </w:tcPr>
          <w:p w14:paraId="1F0347CE">
            <w:pPr>
              <w:pStyle w:val="40"/>
              <w:rPr>
                <w:rFonts w:ascii="Times New Roman" w:hAnsi="Times New Roman" w:eastAsia="楷体" w:cs="Times New Roman"/>
                <w:color w:val="auto"/>
                <w:szCs w:val="24"/>
                <w:highlight w:val="none"/>
              </w:rPr>
            </w:pPr>
          </w:p>
          <w:p w14:paraId="7CBAFD14">
            <w:pPr>
              <w:pStyle w:val="40"/>
              <w:spacing w:before="1"/>
              <w:rPr>
                <w:rFonts w:ascii="Times New Roman" w:hAnsi="Times New Roman" w:eastAsia="楷体" w:cs="Times New Roman"/>
                <w:color w:val="auto"/>
                <w:szCs w:val="24"/>
                <w:highlight w:val="none"/>
              </w:rPr>
            </w:pPr>
          </w:p>
          <w:p w14:paraId="0EFA72B9">
            <w:pPr>
              <w:pStyle w:val="40"/>
              <w:ind w:left="107"/>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法定代表人或委托代理人</w:t>
            </w:r>
            <w:r>
              <w:rPr>
                <w:rFonts w:hint="eastAsia" w:ascii="Times New Roman" w:hAnsi="Times New Roman" w:eastAsia="楷体" w:cs="Times New Roman"/>
                <w:color w:val="auto"/>
                <w:szCs w:val="24"/>
                <w:highlight w:val="none"/>
              </w:rPr>
              <w:t>（</w:t>
            </w:r>
            <w:r>
              <w:rPr>
                <w:rFonts w:hint="eastAsia" w:ascii="Times New Roman" w:hAnsi="Times New Roman" w:eastAsia="楷体" w:cs="Times New Roman"/>
                <w:color w:val="auto"/>
                <w:szCs w:val="24"/>
                <w:highlight w:val="none"/>
                <w:lang w:val="en-US"/>
              </w:rPr>
              <w:t>签字</w:t>
            </w:r>
            <w:r>
              <w:rPr>
                <w:rFonts w:hint="eastAsia" w:ascii="Times New Roman" w:hAnsi="Times New Roman" w:eastAsia="楷体" w:cs="Times New Roman"/>
                <w:color w:val="auto"/>
                <w:szCs w:val="24"/>
                <w:highlight w:val="none"/>
              </w:rPr>
              <w:t>）</w:t>
            </w:r>
            <w:r>
              <w:rPr>
                <w:rFonts w:ascii="Times New Roman" w:hAnsi="Times New Roman" w:eastAsia="楷体" w:cs="Times New Roman"/>
                <w:color w:val="auto"/>
                <w:szCs w:val="24"/>
                <w:highlight w:val="none"/>
              </w:rPr>
              <w:t>：</w:t>
            </w:r>
          </w:p>
        </w:tc>
        <w:tc>
          <w:tcPr>
            <w:tcW w:w="4881" w:type="dxa"/>
          </w:tcPr>
          <w:p w14:paraId="21A32488">
            <w:pPr>
              <w:pStyle w:val="40"/>
              <w:rPr>
                <w:rFonts w:ascii="Times New Roman" w:hAnsi="Times New Roman" w:eastAsia="楷体" w:cs="Times New Roman"/>
                <w:color w:val="auto"/>
                <w:szCs w:val="24"/>
                <w:highlight w:val="none"/>
              </w:rPr>
            </w:pPr>
          </w:p>
          <w:p w14:paraId="656281E1">
            <w:pPr>
              <w:pStyle w:val="40"/>
              <w:spacing w:before="1"/>
              <w:rPr>
                <w:rFonts w:ascii="Times New Roman" w:hAnsi="Times New Roman" w:eastAsia="楷体" w:cs="Times New Roman"/>
                <w:color w:val="auto"/>
                <w:szCs w:val="24"/>
                <w:highlight w:val="none"/>
              </w:rPr>
            </w:pPr>
          </w:p>
          <w:p w14:paraId="5EB43BA0">
            <w:pPr>
              <w:pStyle w:val="40"/>
              <w:ind w:left="105"/>
              <w:rPr>
                <w:rFonts w:ascii="Times New Roman" w:hAnsi="Times New Roman" w:eastAsia="楷体" w:cs="Times New Roman"/>
                <w:color w:val="auto"/>
                <w:szCs w:val="24"/>
                <w:highlight w:val="none"/>
              </w:rPr>
            </w:pPr>
            <w:r>
              <w:rPr>
                <w:rFonts w:ascii="Times New Roman" w:hAnsi="Times New Roman" w:eastAsia="楷体" w:cs="Times New Roman"/>
                <w:color w:val="auto"/>
                <w:szCs w:val="24"/>
                <w:highlight w:val="none"/>
              </w:rPr>
              <w:t>法定代表人或委托代理人</w:t>
            </w:r>
            <w:r>
              <w:rPr>
                <w:rFonts w:hint="eastAsia" w:ascii="Times New Roman" w:hAnsi="Times New Roman" w:eastAsia="楷体" w:cs="Times New Roman"/>
                <w:color w:val="auto"/>
                <w:szCs w:val="24"/>
                <w:highlight w:val="none"/>
              </w:rPr>
              <w:t>（</w:t>
            </w:r>
            <w:r>
              <w:rPr>
                <w:rFonts w:hint="eastAsia" w:ascii="Times New Roman" w:hAnsi="Times New Roman" w:eastAsia="楷体" w:cs="Times New Roman"/>
                <w:color w:val="auto"/>
                <w:szCs w:val="24"/>
                <w:highlight w:val="none"/>
                <w:lang w:val="en-US"/>
              </w:rPr>
              <w:t>签字</w:t>
            </w:r>
            <w:r>
              <w:rPr>
                <w:rFonts w:hint="eastAsia" w:ascii="Times New Roman" w:hAnsi="Times New Roman" w:eastAsia="楷体" w:cs="Times New Roman"/>
                <w:color w:val="auto"/>
                <w:szCs w:val="24"/>
                <w:highlight w:val="none"/>
              </w:rPr>
              <w:t>）</w:t>
            </w:r>
            <w:r>
              <w:rPr>
                <w:rFonts w:ascii="Times New Roman" w:hAnsi="Times New Roman" w:eastAsia="楷体" w:cs="Times New Roman"/>
                <w:color w:val="auto"/>
                <w:szCs w:val="24"/>
                <w:highlight w:val="none"/>
              </w:rPr>
              <w:t>：</w:t>
            </w:r>
          </w:p>
        </w:tc>
      </w:tr>
    </w:tbl>
    <w:p w14:paraId="460C5891">
      <w:pPr>
        <w:spacing w:line="460" w:lineRule="exact"/>
        <w:ind w:firstLine="480" w:firstLineChars="200"/>
        <w:rPr>
          <w:rFonts w:eastAsia="楷体"/>
          <w:color w:val="auto"/>
          <w:sz w:val="24"/>
          <w:szCs w:val="24"/>
          <w:highlight w:val="none"/>
        </w:rPr>
      </w:pPr>
    </w:p>
    <w:p w14:paraId="58B45F76">
      <w:pPr>
        <w:rPr>
          <w:rFonts w:eastAsia="楷体"/>
          <w:b/>
          <w:color w:val="auto"/>
          <w:szCs w:val="28"/>
          <w:highlight w:val="none"/>
        </w:rPr>
      </w:pPr>
    </w:p>
    <w:p w14:paraId="1CDDDD1D">
      <w:pPr>
        <w:pStyle w:val="19"/>
        <w:ind w:firstLine="0"/>
        <w:jc w:val="center"/>
        <w:rPr>
          <w:rFonts w:ascii="Times New Roman" w:eastAsia="楷体"/>
          <w:b/>
          <w:color w:val="auto"/>
          <w:szCs w:val="28"/>
          <w:highlight w:val="none"/>
        </w:rPr>
        <w:sectPr>
          <w:footerReference r:id="rId10" w:type="default"/>
          <w:pgSz w:w="11906" w:h="16838"/>
          <w:pgMar w:top="1134" w:right="1123" w:bottom="1134" w:left="1123" w:header="794" w:footer="794" w:gutter="0"/>
          <w:cols w:space="720" w:num="1"/>
          <w:docGrid w:type="lines" w:linePitch="312" w:charSpace="0"/>
        </w:sectPr>
      </w:pPr>
      <w:r>
        <w:rPr>
          <w:rFonts w:ascii="Times New Roman" w:eastAsia="楷体"/>
          <w:b/>
          <w:color w:val="auto"/>
          <w:szCs w:val="28"/>
          <w:highlight w:val="none"/>
        </w:rPr>
        <w:t>本合同仅供参考，以后期签订合同为准！</w:t>
      </w:r>
    </w:p>
    <w:bookmarkEnd w:id="30"/>
    <w:p w14:paraId="65924B67">
      <w:pPr>
        <w:pStyle w:val="4"/>
      </w:pPr>
    </w:p>
    <w:p w14:paraId="12A727B3">
      <w:pPr>
        <w:spacing w:line="248" w:lineRule="auto"/>
      </w:pPr>
    </w:p>
    <w:p w14:paraId="575C5188">
      <w:pPr>
        <w:spacing w:before="91" w:line="219" w:lineRule="auto"/>
        <w:jc w:val="center"/>
        <w:outlineLvl w:val="0"/>
        <w:rPr>
          <w:rFonts w:ascii="宋体" w:hAnsi="宋体" w:eastAsia="宋体" w:cs="宋体"/>
          <w:b/>
          <w:bCs/>
          <w:sz w:val="32"/>
          <w:szCs w:val="32"/>
        </w:rPr>
      </w:pPr>
      <w:bookmarkStart w:id="31" w:name="_Toc17970"/>
      <w:r>
        <w:rPr>
          <w:rFonts w:ascii="宋体" w:hAnsi="宋体" w:eastAsia="宋体" w:cs="宋体"/>
          <w:b/>
          <w:bCs/>
          <w:sz w:val="32"/>
          <w:szCs w:val="32"/>
        </w:rPr>
        <w:t>第六章  响应文件格式</w:t>
      </w:r>
      <w:bookmarkEnd w:id="31"/>
    </w:p>
    <w:p w14:paraId="6C99C8EE">
      <w:pPr>
        <w:spacing w:before="91" w:line="219" w:lineRule="auto"/>
        <w:jc w:val="center"/>
        <w:outlineLvl w:val="0"/>
        <w:rPr>
          <w:rFonts w:hint="eastAsia" w:ascii="宋体" w:hAnsi="宋体" w:eastAsia="宋体" w:cs="宋体"/>
          <w:spacing w:val="2"/>
          <w:sz w:val="31"/>
          <w:szCs w:val="31"/>
        </w:rPr>
      </w:pPr>
      <w:r>
        <w:rPr>
          <w:rFonts w:hint="eastAsia" w:ascii="宋体" w:hAnsi="宋体" w:eastAsia="宋体" w:cs="宋体"/>
          <w:spacing w:val="2"/>
          <w:sz w:val="31"/>
          <w:szCs w:val="31"/>
        </w:rPr>
        <w:t xml:space="preserve">    </w:t>
      </w:r>
    </w:p>
    <w:p w14:paraId="5BF9BCD0">
      <w:pPr>
        <w:spacing w:before="91" w:line="219" w:lineRule="auto"/>
        <w:jc w:val="center"/>
        <w:outlineLvl w:val="0"/>
        <w:rPr>
          <w:rFonts w:hint="eastAsia" w:ascii="宋体" w:hAnsi="宋体" w:eastAsia="宋体" w:cs="宋体"/>
          <w:b/>
          <w:bCs/>
          <w:sz w:val="32"/>
          <w:szCs w:val="32"/>
          <w:lang w:val="en-US" w:eastAsia="zh-CN"/>
        </w:rPr>
      </w:pPr>
      <w:r>
        <w:rPr>
          <w:rFonts w:hint="eastAsia" w:ascii="宋体" w:hAnsi="宋体" w:eastAsia="宋体" w:cs="宋体"/>
          <w:spacing w:val="2"/>
          <w:sz w:val="31"/>
          <w:szCs w:val="31"/>
        </w:rPr>
        <w:t xml:space="preserve"> </w:t>
      </w:r>
      <w:r>
        <w:rPr>
          <w:rFonts w:hint="eastAsia" w:ascii="宋体" w:hAnsi="宋体" w:eastAsia="宋体" w:cs="宋体"/>
          <w:b/>
          <w:bCs/>
          <w:sz w:val="32"/>
          <w:szCs w:val="32"/>
          <w:lang w:val="en-US" w:eastAsia="zh-CN"/>
        </w:rPr>
        <w:t>阿勒泰地区本级</w:t>
      </w:r>
      <w:r>
        <w:rPr>
          <w:rFonts w:hint="eastAsia" w:ascii="宋体" w:hAnsi="宋体" w:eastAsia="宋体" w:cs="宋体"/>
          <w:b/>
          <w:bCs/>
          <w:sz w:val="32"/>
          <w:szCs w:val="32"/>
          <w:highlight w:val="none"/>
          <w:lang w:val="en-US" w:eastAsia="zh-CN"/>
        </w:rPr>
        <w:t>2025-2027年</w:t>
      </w:r>
      <w:r>
        <w:rPr>
          <w:rFonts w:hint="eastAsia" w:ascii="宋体" w:hAnsi="宋体" w:eastAsia="宋体" w:cs="宋体"/>
          <w:b/>
          <w:bCs/>
          <w:sz w:val="32"/>
          <w:szCs w:val="32"/>
          <w:lang w:val="en-US" w:eastAsia="zh-CN"/>
        </w:rPr>
        <w:t>度政府投资项目竣工财务决算审核服务框架协议采购</w:t>
      </w:r>
    </w:p>
    <w:p w14:paraId="749C2BC8">
      <w:pPr>
        <w:spacing w:line="248" w:lineRule="auto"/>
      </w:pPr>
    </w:p>
    <w:p w14:paraId="5E24DE73">
      <w:pPr>
        <w:spacing w:line="248" w:lineRule="auto"/>
      </w:pPr>
    </w:p>
    <w:p w14:paraId="71BB4981">
      <w:pPr>
        <w:spacing w:line="248" w:lineRule="auto"/>
      </w:pPr>
    </w:p>
    <w:p w14:paraId="54FDBFD9">
      <w:pPr>
        <w:spacing w:line="248" w:lineRule="auto"/>
      </w:pPr>
    </w:p>
    <w:p w14:paraId="4D44677F">
      <w:pPr>
        <w:spacing w:before="237" w:line="208" w:lineRule="auto"/>
        <w:jc w:val="center"/>
        <w:rPr>
          <w:rFonts w:ascii="宋体" w:hAnsi="宋体" w:eastAsia="宋体" w:cs="宋体"/>
          <w:spacing w:val="36"/>
          <w:position w:val="1"/>
          <w:sz w:val="71"/>
          <w:szCs w:val="71"/>
        </w:rPr>
      </w:pPr>
      <w:r>
        <w:rPr>
          <w:rFonts w:ascii="宋体" w:hAnsi="宋体" w:eastAsia="宋体" w:cs="宋体"/>
          <w:spacing w:val="39"/>
          <w:position w:val="1"/>
          <w:sz w:val="71"/>
          <w:szCs w:val="71"/>
        </w:rPr>
        <w:t>响</w:t>
      </w:r>
    </w:p>
    <w:p w14:paraId="76B9AC3E">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应</w:t>
      </w:r>
    </w:p>
    <w:p w14:paraId="301D9DF1">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14:paraId="3F0B1037">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14:paraId="775C4110"/>
    <w:p w14:paraId="349A4A17"/>
    <w:p w14:paraId="708E2647"/>
    <w:p w14:paraId="1B05AE4E"/>
    <w:p w14:paraId="0EAA1822"/>
    <w:p w14:paraId="501D7408"/>
    <w:p w14:paraId="4785FBEA"/>
    <w:p w14:paraId="2A45D489"/>
    <w:p w14:paraId="7ECB2219"/>
    <w:p w14:paraId="666855D8"/>
    <w:p w14:paraId="59149842"/>
    <w:p w14:paraId="1F77DA0B"/>
    <w:p w14:paraId="7275A88F"/>
    <w:p w14:paraId="09A1FFD7"/>
    <w:p w14:paraId="2A9A2B65">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14:paraId="21A6CC88">
      <w:pPr>
        <w:jc w:val="center"/>
        <w:rPr>
          <w:rFonts w:eastAsia="宋体"/>
          <w:sz w:val="32"/>
          <w:szCs w:val="32"/>
        </w:rPr>
      </w:pPr>
      <w:r>
        <w:rPr>
          <w:rFonts w:hint="eastAsia" w:eastAsia="宋体"/>
          <w:sz w:val="32"/>
          <w:szCs w:val="32"/>
        </w:rPr>
        <w:t xml:space="preserve">          </w:t>
      </w:r>
    </w:p>
    <w:p w14:paraId="22315ECA">
      <w:pPr>
        <w:jc w:val="center"/>
        <w:rPr>
          <w:rFonts w:eastAsia="宋体"/>
          <w:sz w:val="32"/>
          <w:szCs w:val="32"/>
        </w:rPr>
        <w:sectPr>
          <w:headerReference r:id="rId11" w:type="default"/>
          <w:footerReference r:id="rId12" w:type="default"/>
          <w:pgSz w:w="11906" w:h="16839"/>
          <w:pgMar w:top="1136" w:right="1012" w:bottom="1414" w:left="840" w:header="878" w:footer="1167" w:gutter="0"/>
          <w:cols w:space="720" w:num="1"/>
        </w:sectPr>
      </w:pPr>
      <w:r>
        <w:rPr>
          <w:rFonts w:hint="eastAsia" w:eastAsia="宋体"/>
          <w:sz w:val="32"/>
          <w:szCs w:val="32"/>
          <w:highlight w:val="none"/>
        </w:rPr>
        <w:t>20</w:t>
      </w:r>
      <w:r>
        <w:rPr>
          <w:rFonts w:hint="eastAsia" w:eastAsia="宋体"/>
          <w:sz w:val="32"/>
          <w:szCs w:val="32"/>
          <w:highlight w:val="none"/>
          <w:lang w:val="en-US" w:eastAsia="zh-CN"/>
        </w:rPr>
        <w:t>25</w:t>
      </w:r>
      <w:r>
        <w:rPr>
          <w:rFonts w:hint="eastAsia" w:eastAsia="宋体"/>
          <w:sz w:val="32"/>
          <w:szCs w:val="32"/>
        </w:rPr>
        <w:t>年</w:t>
      </w:r>
      <w:r>
        <w:rPr>
          <w:rFonts w:hint="eastAsia" w:eastAsia="宋体"/>
          <w:sz w:val="32"/>
          <w:szCs w:val="32"/>
          <w:u w:val="single"/>
        </w:rPr>
        <w:t xml:space="preserve"> </w:t>
      </w:r>
      <w:r>
        <w:rPr>
          <w:rFonts w:hint="eastAsia" w:eastAsia="宋体"/>
          <w:sz w:val="32"/>
          <w:szCs w:val="32"/>
          <w:u w:val="single"/>
          <w:lang w:val="en-US" w:eastAsia="zh-CN"/>
        </w:rPr>
        <w:t xml:space="preserve">7 </w:t>
      </w:r>
      <w:r>
        <w:rPr>
          <w:rFonts w:hint="eastAsia" w:eastAsia="宋体"/>
          <w:sz w:val="32"/>
          <w:szCs w:val="32"/>
        </w:rPr>
        <w:t>月</w:t>
      </w:r>
      <w:r>
        <w:rPr>
          <w:rFonts w:hint="eastAsia" w:eastAsia="宋体"/>
          <w:sz w:val="32"/>
          <w:szCs w:val="32"/>
          <w:u w:val="single"/>
        </w:rPr>
        <w:t xml:space="preserve">    </w:t>
      </w:r>
      <w:r>
        <w:rPr>
          <w:rFonts w:hint="eastAsia" w:eastAsia="宋体"/>
          <w:sz w:val="32"/>
          <w:szCs w:val="32"/>
        </w:rPr>
        <w:t>日</w:t>
      </w:r>
    </w:p>
    <w:p w14:paraId="7BB9AB3C">
      <w:pPr>
        <w:numPr>
          <w:ilvl w:val="0"/>
          <w:numId w:val="22"/>
        </w:numPr>
        <w:spacing w:before="75" w:line="394" w:lineRule="exact"/>
        <w:jc w:val="center"/>
        <w:outlineLvl w:val="1"/>
        <w:rPr>
          <w:rFonts w:ascii="黑体" w:hAnsi="黑体" w:eastAsia="黑体" w:cs="黑体"/>
          <w:b/>
          <w:bCs/>
          <w:spacing w:val="8"/>
          <w:position w:val="2"/>
          <w:sz w:val="28"/>
          <w:szCs w:val="28"/>
        </w:rPr>
      </w:pPr>
      <w:bookmarkStart w:id="32" w:name="_Toc15721"/>
      <w:r>
        <w:rPr>
          <w:rFonts w:hint="eastAsia" w:ascii="黑体" w:hAnsi="黑体" w:eastAsia="黑体" w:cs="黑体"/>
          <w:b/>
          <w:bCs/>
          <w:spacing w:val="8"/>
          <w:position w:val="2"/>
          <w:sz w:val="28"/>
          <w:szCs w:val="28"/>
        </w:rPr>
        <w:t>报价表</w:t>
      </w:r>
      <w:bookmarkEnd w:id="32"/>
    </w:p>
    <w:p w14:paraId="16378E3F">
      <w:pPr>
        <w:pStyle w:val="4"/>
        <w:ind w:left="0"/>
      </w:pPr>
    </w:p>
    <w:p w14:paraId="26EBBD1C">
      <w:pPr>
        <w:spacing w:line="52" w:lineRule="exact"/>
        <w:rPr>
          <w:rFonts w:ascii="宋体" w:hAnsi="宋体" w:eastAsia="宋体" w:cs="宋体"/>
        </w:rPr>
      </w:pPr>
    </w:p>
    <w:p w14:paraId="63A04381">
      <w:pPr>
        <w:spacing w:before="75" w:line="227" w:lineRule="auto"/>
        <w:ind w:left="490"/>
        <w:rPr>
          <w:rFonts w:hint="eastAsia" w:ascii="宋体" w:hAnsi="宋体" w:eastAsia="宋体" w:cs="宋体"/>
          <w:spacing w:val="7"/>
          <w:sz w:val="23"/>
          <w:szCs w:val="23"/>
          <w:lang w:eastAsia="zh-CN"/>
        </w:rPr>
      </w:pPr>
      <w:r>
        <w:rPr>
          <w:rFonts w:hint="eastAsia" w:ascii="宋体" w:hAnsi="宋体" w:eastAsia="宋体" w:cs="宋体"/>
          <w:spacing w:val="7"/>
          <w:sz w:val="23"/>
          <w:szCs w:val="23"/>
          <w:lang w:eastAsia="zh-CN"/>
        </w:rPr>
        <w:t>项目名称：</w:t>
      </w:r>
    </w:p>
    <w:p w14:paraId="5C8081DB">
      <w:pPr>
        <w:spacing w:before="75" w:line="227" w:lineRule="auto"/>
        <w:ind w:left="490"/>
        <w:rPr>
          <w:rFonts w:hint="default" w:ascii="宋体" w:hAnsi="宋体" w:eastAsia="宋体" w:cs="宋体"/>
          <w:spacing w:val="7"/>
          <w:sz w:val="23"/>
          <w:szCs w:val="23"/>
          <w:lang w:val="en-US" w:eastAsia="zh-CN"/>
        </w:rPr>
      </w:pPr>
    </w:p>
    <w:p w14:paraId="6211ADC8">
      <w:pPr>
        <w:spacing w:before="75" w:line="227" w:lineRule="auto"/>
        <w:ind w:left="490"/>
        <w:rPr>
          <w:rFonts w:hint="eastAsia" w:ascii="宋体" w:hAnsi="宋体" w:eastAsia="宋体" w:cs="宋体"/>
          <w:spacing w:val="7"/>
          <w:sz w:val="23"/>
          <w:szCs w:val="23"/>
          <w:lang w:val="en-US" w:eastAsia="zh-CN"/>
        </w:rPr>
      </w:pPr>
      <w:r>
        <w:rPr>
          <w:rFonts w:hint="eastAsia" w:ascii="宋体" w:hAnsi="宋体" w:eastAsia="宋体" w:cs="宋体"/>
          <w:spacing w:val="7"/>
          <w:sz w:val="23"/>
          <w:szCs w:val="23"/>
          <w:lang w:val="en-US" w:eastAsia="zh-CN"/>
        </w:rPr>
        <w:t>项目编号：</w:t>
      </w:r>
    </w:p>
    <w:p w14:paraId="7AA6B37C">
      <w:pPr>
        <w:rPr>
          <w:rFonts w:hint="eastAsia" w:ascii="宋体" w:hAnsi="宋体" w:eastAsia="宋体" w:cs="宋体"/>
          <w:spacing w:val="7"/>
          <w:sz w:val="23"/>
          <w:szCs w:val="23"/>
          <w:lang w:val="en-US" w:eastAsia="zh-CN"/>
        </w:rPr>
      </w:pPr>
    </w:p>
    <w:tbl>
      <w:tblPr>
        <w:tblStyle w:val="2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14:paraId="31B9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280" w:type="dxa"/>
          </w:tcPr>
          <w:p w14:paraId="5FEDCC51">
            <w:pPr>
              <w:pStyle w:val="4"/>
              <w:spacing w:line="360" w:lineRule="auto"/>
              <w:ind w:left="0" w:leftChars="0" w:firstLine="0" w:firstLineChars="0"/>
              <w:jc w:val="left"/>
              <w:rPr>
                <w:rFonts w:hint="eastAsia"/>
                <w:vertAlign w:val="baseline"/>
                <w:lang w:val="en-US" w:eastAsia="zh-CN"/>
              </w:rPr>
            </w:pPr>
            <w:r>
              <w:rPr>
                <w:rFonts w:hint="eastAsia"/>
                <w:vertAlign w:val="baseline"/>
                <w:lang w:val="en-US" w:eastAsia="zh-CN"/>
              </w:rPr>
              <w:t>最高限价：1、竣工财务决算审核、会计事务服务委托服务费根据委托评审服务费计算标准参照中国建设工程造价管理协会《关于规范工程造价咨询服务收费的通知》（中价协[2013]35号）所列示标准按八折测算委托费用，并以委托合同为准。</w:t>
            </w:r>
          </w:p>
          <w:p w14:paraId="12C4B6A1">
            <w:pPr>
              <w:pStyle w:val="4"/>
              <w:spacing w:line="360" w:lineRule="auto"/>
              <w:ind w:left="0" w:leftChars="0" w:firstLine="420" w:firstLineChars="200"/>
              <w:jc w:val="left"/>
              <w:rPr>
                <w:rFonts w:hint="default"/>
                <w:lang w:val="en-US" w:eastAsia="zh-CN"/>
              </w:rPr>
            </w:pPr>
            <w:r>
              <w:rPr>
                <w:rFonts w:hint="eastAsia"/>
                <w:highlight w:val="none"/>
                <w:vertAlign w:val="baseline"/>
                <w:lang w:val="en-US" w:eastAsia="zh-CN"/>
              </w:rPr>
              <w:t>2、对于一些专业技术复杂的特殊项目，审核时需协审服务（聘请专家）服务费参照新疆维吾尔自治区审计厅《自治区审计厅聘请社会审计力量参与审计工作管理办法（试行）》的通知（新审投﹝2020﹞66号）所列费用：</w:t>
            </w:r>
            <w:r>
              <w:rPr>
                <w:rFonts w:hint="default"/>
                <w:highlight w:val="none"/>
                <w:vertAlign w:val="baseline"/>
                <w:lang w:val="en-US" w:eastAsia="zh-CN"/>
              </w:rPr>
              <w:t>①</w:t>
            </w:r>
            <w:r>
              <w:rPr>
                <w:rFonts w:hint="eastAsia"/>
                <w:highlight w:val="none"/>
                <w:vertAlign w:val="baseline"/>
                <w:lang w:val="en-US" w:eastAsia="zh-CN"/>
              </w:rPr>
              <w:t>具有高级职称的人员1200元/日；</w:t>
            </w:r>
            <w:r>
              <w:rPr>
                <w:rFonts w:hint="default"/>
                <w:highlight w:val="none"/>
                <w:vertAlign w:val="baseline"/>
                <w:lang w:val="en-US" w:eastAsia="zh-CN"/>
              </w:rPr>
              <w:t>②</w:t>
            </w:r>
            <w:r>
              <w:rPr>
                <w:rFonts w:hint="eastAsia"/>
                <w:highlight w:val="none"/>
                <w:vertAlign w:val="baseline"/>
                <w:lang w:val="en-US" w:eastAsia="zh-CN"/>
              </w:rPr>
              <w:t>具有中级职称的人员800元/日；</w:t>
            </w:r>
            <w:r>
              <w:rPr>
                <w:rFonts w:hint="default"/>
                <w:highlight w:val="none"/>
                <w:vertAlign w:val="baseline"/>
                <w:lang w:val="en-US" w:eastAsia="zh-CN"/>
              </w:rPr>
              <w:t>③</w:t>
            </w:r>
            <w:r>
              <w:rPr>
                <w:rFonts w:hint="eastAsia"/>
                <w:highlight w:val="none"/>
                <w:vertAlign w:val="baseline"/>
                <w:lang w:val="en-US" w:eastAsia="zh-CN"/>
              </w:rPr>
              <w:t>具有初级职称或无职称但有工作经验和能力的人员500元/日；特</w:t>
            </w:r>
            <w:r>
              <w:rPr>
                <w:rFonts w:hint="eastAsia"/>
                <w:vertAlign w:val="baseline"/>
                <w:lang w:val="en-US" w:eastAsia="zh-CN"/>
              </w:rPr>
              <w:t>别说明：以上标准均不含协审人员伙食补助费、住宿费、交通费，相关费用按照审计外勤经费标准另行支付。</w:t>
            </w:r>
          </w:p>
        </w:tc>
      </w:tr>
      <w:tr w14:paraId="7543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280" w:type="dxa"/>
          </w:tcPr>
          <w:p w14:paraId="15F24DAC">
            <w:pPr>
              <w:rPr>
                <w:rFonts w:hint="eastAsia"/>
                <w:vertAlign w:val="baseline"/>
                <w:lang w:val="en-US" w:eastAsia="zh-CN"/>
              </w:rPr>
            </w:pPr>
          </w:p>
          <w:p w14:paraId="3B9B376D">
            <w:pPr>
              <w:rPr>
                <w:rFonts w:hint="default"/>
                <w:lang w:val="en-US" w:eastAsia="zh-CN"/>
              </w:rPr>
            </w:pPr>
            <w:r>
              <w:rPr>
                <w:rFonts w:hint="eastAsia"/>
                <w:vertAlign w:val="baseline"/>
                <w:lang w:val="en-US" w:eastAsia="zh-CN"/>
              </w:rPr>
              <w:t>是否响应：</w:t>
            </w:r>
          </w:p>
        </w:tc>
      </w:tr>
    </w:tbl>
    <w:p w14:paraId="5ACF70FE">
      <w:pPr>
        <w:pStyle w:val="4"/>
        <w:rPr>
          <w:rFonts w:hint="default"/>
          <w:lang w:val="en-US" w:eastAsia="zh-CN"/>
        </w:rPr>
      </w:pPr>
    </w:p>
    <w:p w14:paraId="424B47DE">
      <w:pPr>
        <w:spacing w:line="299" w:lineRule="auto"/>
        <w:rPr>
          <w:rFonts w:ascii="宋体" w:hAnsi="宋体" w:eastAsia="宋体" w:cs="宋体"/>
          <w:sz w:val="28"/>
          <w:szCs w:val="28"/>
        </w:rPr>
      </w:pPr>
    </w:p>
    <w:p w14:paraId="7832D6E9">
      <w:pPr>
        <w:spacing w:before="75" w:line="227" w:lineRule="auto"/>
        <w:ind w:left="490"/>
        <w:rPr>
          <w:rFonts w:ascii="宋体" w:hAnsi="宋体" w:eastAsia="宋体" w:cs="宋体"/>
          <w:sz w:val="23"/>
          <w:szCs w:val="23"/>
        </w:rPr>
      </w:pPr>
      <w:r>
        <w:rPr>
          <w:rFonts w:hint="eastAsia" w:ascii="宋体" w:hAnsi="宋体" w:eastAsia="宋体" w:cs="宋体"/>
          <w:spacing w:val="11"/>
          <w:sz w:val="23"/>
          <w:szCs w:val="23"/>
        </w:rPr>
        <w:t>供</w:t>
      </w:r>
      <w:r>
        <w:rPr>
          <w:rFonts w:hint="eastAsia" w:ascii="宋体" w:hAnsi="宋体" w:eastAsia="宋体" w:cs="宋体"/>
          <w:spacing w:val="7"/>
          <w:sz w:val="23"/>
          <w:szCs w:val="23"/>
        </w:rPr>
        <w:t>应商电子签章：</w:t>
      </w:r>
    </w:p>
    <w:p w14:paraId="13FAE32D">
      <w:pPr>
        <w:spacing w:before="276" w:line="229" w:lineRule="auto"/>
        <w:ind w:left="493"/>
        <w:rPr>
          <w:rFonts w:ascii="宋体" w:hAnsi="宋体" w:eastAsia="宋体" w:cs="宋体"/>
          <w:sz w:val="23"/>
          <w:szCs w:val="23"/>
        </w:rPr>
      </w:pPr>
      <w:r>
        <w:rPr>
          <w:rFonts w:hint="eastAsia" w:ascii="宋体" w:hAnsi="宋体" w:eastAsia="宋体" w:cs="宋体"/>
          <w:spacing w:val="3"/>
          <w:sz w:val="23"/>
          <w:szCs w:val="23"/>
        </w:rPr>
        <w:t>备</w:t>
      </w:r>
      <w:r>
        <w:rPr>
          <w:rFonts w:hint="eastAsia" w:ascii="宋体" w:hAnsi="宋体" w:eastAsia="宋体" w:cs="宋体"/>
          <w:spacing w:val="2"/>
          <w:sz w:val="23"/>
          <w:szCs w:val="23"/>
        </w:rPr>
        <w:t>注：</w:t>
      </w:r>
    </w:p>
    <w:p w14:paraId="6391FEEE">
      <w:pPr>
        <w:spacing w:before="274" w:line="310" w:lineRule="exact"/>
        <w:ind w:left="942"/>
        <w:rPr>
          <w:rFonts w:ascii="宋体" w:hAnsi="宋体" w:eastAsia="宋体" w:cs="宋体"/>
          <w:sz w:val="23"/>
          <w:szCs w:val="23"/>
        </w:rPr>
      </w:pPr>
      <w:r>
        <w:rPr>
          <w:rFonts w:hint="eastAsia" w:ascii="宋体" w:hAnsi="宋体" w:eastAsia="宋体" w:cs="宋体"/>
          <w:spacing w:val="10"/>
          <w:position w:val="1"/>
          <w:sz w:val="23"/>
          <w:szCs w:val="23"/>
        </w:rPr>
        <w:t>1</w:t>
      </w:r>
      <w:r>
        <w:rPr>
          <w:rFonts w:hint="eastAsia" w:ascii="宋体" w:hAnsi="宋体" w:eastAsia="宋体" w:cs="宋体"/>
          <w:spacing w:val="7"/>
          <w:position w:val="1"/>
          <w:sz w:val="23"/>
          <w:szCs w:val="23"/>
        </w:rPr>
        <w:t>.此表用于响应文件开启唱标之用。</w:t>
      </w:r>
    </w:p>
    <w:p w14:paraId="520513A6">
      <w:pPr>
        <w:spacing w:before="251" w:line="331" w:lineRule="auto"/>
        <w:ind w:left="494" w:right="480" w:firstLine="433"/>
        <w:rPr>
          <w:rFonts w:ascii="宋体" w:hAnsi="宋体" w:eastAsia="宋体" w:cs="宋体"/>
          <w:sz w:val="23"/>
          <w:szCs w:val="23"/>
        </w:rPr>
      </w:pPr>
      <w:r>
        <w:rPr>
          <w:rFonts w:hint="eastAsia" w:ascii="宋体" w:hAnsi="宋体" w:eastAsia="宋体" w:cs="宋体"/>
          <w:spacing w:val="8"/>
          <w:sz w:val="23"/>
          <w:szCs w:val="23"/>
        </w:rPr>
        <w:t>2.响应人不得对上表的产品信息进行修改，否则由此产生的后果由响应人</w:t>
      </w:r>
      <w:r>
        <w:rPr>
          <w:rFonts w:hint="eastAsia" w:ascii="宋体" w:hAnsi="宋体" w:eastAsia="宋体" w:cs="宋体"/>
          <w:spacing w:val="5"/>
          <w:sz w:val="23"/>
          <w:szCs w:val="23"/>
        </w:rPr>
        <w:t>自</w:t>
      </w:r>
      <w:r>
        <w:rPr>
          <w:rFonts w:hint="eastAsia" w:ascii="宋体" w:hAnsi="宋体" w:eastAsia="宋体" w:cs="宋体"/>
          <w:spacing w:val="4"/>
          <w:sz w:val="23"/>
          <w:szCs w:val="23"/>
        </w:rPr>
        <w:t>行承担。</w:t>
      </w:r>
    </w:p>
    <w:p w14:paraId="12F53DAF">
      <w:pPr>
        <w:spacing w:before="135" w:line="330" w:lineRule="auto"/>
        <w:ind w:left="492" w:right="480" w:firstLine="437"/>
        <w:rPr>
          <w:rFonts w:ascii="宋体" w:hAnsi="宋体" w:eastAsia="宋体" w:cs="宋体"/>
          <w:sz w:val="23"/>
          <w:szCs w:val="23"/>
        </w:rPr>
      </w:pPr>
      <w:r>
        <w:rPr>
          <w:rFonts w:hint="eastAsia" w:ascii="宋体" w:hAnsi="宋体" w:eastAsia="宋体" w:cs="宋体"/>
          <w:spacing w:val="8"/>
          <w:sz w:val="23"/>
          <w:szCs w:val="23"/>
        </w:rPr>
        <w:t>3.表中响应报价即为优惠后报价，并作为评审及定标依据。任何有选择或</w:t>
      </w:r>
      <w:r>
        <w:rPr>
          <w:rFonts w:hint="eastAsia" w:ascii="宋体" w:hAnsi="宋体" w:eastAsia="宋体" w:cs="宋体"/>
          <w:spacing w:val="3"/>
          <w:sz w:val="23"/>
          <w:szCs w:val="23"/>
        </w:rPr>
        <w:t>有</w:t>
      </w:r>
      <w:r>
        <w:rPr>
          <w:rFonts w:hint="eastAsia" w:ascii="宋体" w:hAnsi="宋体" w:eastAsia="宋体" w:cs="宋体"/>
          <w:spacing w:val="18"/>
          <w:sz w:val="23"/>
          <w:szCs w:val="23"/>
        </w:rPr>
        <w:t>条</w:t>
      </w:r>
      <w:r>
        <w:rPr>
          <w:rFonts w:hint="eastAsia" w:ascii="宋体" w:hAnsi="宋体" w:eastAsia="宋体" w:cs="宋体"/>
          <w:spacing w:val="10"/>
          <w:sz w:val="23"/>
          <w:szCs w:val="23"/>
        </w:rPr>
        <w:t>件</w:t>
      </w:r>
      <w:r>
        <w:rPr>
          <w:rFonts w:hint="eastAsia" w:ascii="宋体" w:hAnsi="宋体" w:eastAsia="宋体" w:cs="宋体"/>
          <w:spacing w:val="9"/>
          <w:sz w:val="23"/>
          <w:szCs w:val="23"/>
        </w:rPr>
        <w:t>的响应报价，或者表中某一商品型号填写多个报价，均为无效报价。</w:t>
      </w:r>
    </w:p>
    <w:p w14:paraId="68A3A319"/>
    <w:p w14:paraId="2E5CEF06">
      <w:pPr>
        <w:pStyle w:val="2"/>
        <w:numPr>
          <w:ilvl w:val="1"/>
          <w:numId w:val="0"/>
        </w:numPr>
      </w:pPr>
    </w:p>
    <w:p w14:paraId="4D3C454F"/>
    <w:p w14:paraId="03B2F0F5">
      <w:pPr>
        <w:pStyle w:val="2"/>
        <w:numPr>
          <w:ilvl w:val="1"/>
          <w:numId w:val="0"/>
        </w:numPr>
        <w:ind w:left="420" w:leftChars="0"/>
      </w:pPr>
    </w:p>
    <w:p w14:paraId="4C496EC5"/>
    <w:p w14:paraId="77075425"/>
    <w:p w14:paraId="4B2E968D">
      <w:pPr>
        <w:spacing w:line="340" w:lineRule="auto"/>
      </w:pPr>
    </w:p>
    <w:p w14:paraId="2218E338">
      <w:pPr>
        <w:spacing w:before="75" w:line="314" w:lineRule="exact"/>
        <w:ind w:left="3579"/>
        <w:outlineLvl w:val="1"/>
        <w:rPr>
          <w:rFonts w:ascii="宋体" w:hAnsi="宋体" w:eastAsia="宋体" w:cs="宋体"/>
          <w:sz w:val="23"/>
          <w:szCs w:val="23"/>
        </w:rPr>
      </w:pPr>
      <w:bookmarkStart w:id="33" w:name="_Toc16235"/>
      <w:r>
        <w:rPr>
          <w:rFonts w:hint="eastAsia" w:ascii="黑体" w:hAnsi="黑体" w:eastAsia="黑体" w:cs="黑体"/>
          <w:b/>
          <w:bCs/>
          <w:spacing w:val="9"/>
          <w:position w:val="1"/>
          <w:sz w:val="28"/>
          <w:szCs w:val="28"/>
        </w:rPr>
        <w:t>二</w:t>
      </w:r>
      <w:r>
        <w:rPr>
          <w:rFonts w:hint="eastAsia" w:ascii="黑体" w:hAnsi="黑体" w:eastAsia="黑体" w:cs="黑体"/>
          <w:b/>
          <w:bCs/>
          <w:spacing w:val="8"/>
          <w:position w:val="1"/>
          <w:sz w:val="28"/>
          <w:szCs w:val="28"/>
        </w:rPr>
        <w:t>、响应函</w:t>
      </w:r>
      <w:bookmarkEnd w:id="33"/>
    </w:p>
    <w:p w14:paraId="5E26B485">
      <w:pPr>
        <w:spacing w:line="242" w:lineRule="auto"/>
      </w:pPr>
    </w:p>
    <w:p w14:paraId="6721936A">
      <w:pPr>
        <w:spacing w:line="242" w:lineRule="auto"/>
      </w:pPr>
    </w:p>
    <w:p w14:paraId="276CCC55">
      <w:pPr>
        <w:spacing w:line="243" w:lineRule="auto"/>
      </w:pPr>
    </w:p>
    <w:p w14:paraId="3A18BE3E">
      <w:pPr>
        <w:spacing w:before="274" w:line="227" w:lineRule="auto"/>
        <w:ind w:left="498"/>
        <w:rPr>
          <w:rFonts w:ascii="宋体" w:hAnsi="宋体" w:eastAsia="宋体" w:cs="宋体"/>
          <w:sz w:val="23"/>
          <w:szCs w:val="23"/>
          <w:u w:val="single"/>
        </w:rPr>
      </w:pPr>
      <w:r>
        <w:rPr>
          <w:rFonts w:ascii="宋体" w:hAnsi="宋体" w:eastAsia="宋体" w:cs="宋体"/>
          <w:spacing w:val="10"/>
          <w:sz w:val="23"/>
          <w:szCs w:val="23"/>
        </w:rPr>
        <w:t>致：</w:t>
      </w:r>
      <w:r>
        <w:rPr>
          <w:rFonts w:hint="eastAsia" w:ascii="宋体" w:hAnsi="宋体" w:eastAsia="宋体" w:cs="宋体"/>
          <w:spacing w:val="10"/>
          <w:sz w:val="23"/>
          <w:szCs w:val="23"/>
          <w:u w:val="single"/>
        </w:rPr>
        <w:t xml:space="preserve">                          </w:t>
      </w:r>
    </w:p>
    <w:p w14:paraId="5CA45807">
      <w:pPr>
        <w:spacing w:before="278" w:line="449" w:lineRule="auto"/>
        <w:ind w:left="474" w:right="1031" w:hanging="17"/>
        <w:rPr>
          <w:rFonts w:ascii="宋体" w:hAnsi="宋体" w:eastAsia="宋体" w:cs="宋体"/>
          <w:sz w:val="23"/>
          <w:szCs w:val="23"/>
        </w:rPr>
      </w:pPr>
      <w:r>
        <w:rPr>
          <w:rFonts w:ascii="宋体" w:hAnsi="宋体" w:eastAsia="宋体" w:cs="宋体"/>
          <w:spacing w:val="14"/>
          <w:sz w:val="23"/>
          <w:szCs w:val="23"/>
        </w:rPr>
        <w:t>根</w:t>
      </w:r>
      <w:r>
        <w:rPr>
          <w:rFonts w:ascii="宋体" w:hAnsi="宋体" w:eastAsia="宋体" w:cs="宋体"/>
          <w:spacing w:val="9"/>
          <w:sz w:val="23"/>
          <w:szCs w:val="23"/>
        </w:rPr>
        <w:t>据贵方的征集公告和征集邀请，我方兹宣布同意如下：</w:t>
      </w:r>
      <w:r>
        <w:rPr>
          <w:rFonts w:ascii="宋体" w:hAnsi="宋体" w:eastAsia="宋体" w:cs="宋体"/>
          <w:sz w:val="23"/>
          <w:szCs w:val="23"/>
        </w:rPr>
        <w:t xml:space="preserve">        </w:t>
      </w:r>
      <w:r>
        <w:rPr>
          <w:rFonts w:ascii="宋体" w:hAnsi="宋体" w:eastAsia="宋体" w:cs="宋体"/>
          <w:spacing w:val="14"/>
          <w:sz w:val="23"/>
          <w:szCs w:val="23"/>
        </w:rPr>
        <w:t>1</w:t>
      </w:r>
      <w:r>
        <w:rPr>
          <w:rFonts w:ascii="宋体" w:hAnsi="宋体" w:eastAsia="宋体" w:cs="宋体"/>
          <w:spacing w:val="13"/>
          <w:sz w:val="23"/>
          <w:szCs w:val="23"/>
        </w:rPr>
        <w:t>.</w:t>
      </w:r>
      <w:r>
        <w:rPr>
          <w:rFonts w:ascii="宋体" w:hAnsi="宋体" w:eastAsia="宋体" w:cs="宋体"/>
          <w:spacing w:val="7"/>
          <w:sz w:val="23"/>
          <w:szCs w:val="23"/>
        </w:rPr>
        <w:t>按征集文件规定提供的全部采购标的的最终响应报价见报价表。</w:t>
      </w:r>
    </w:p>
    <w:p w14:paraId="423030BB">
      <w:pPr>
        <w:spacing w:before="2" w:line="332" w:lineRule="auto"/>
        <w:ind w:left="25" w:right="80" w:firstLine="435"/>
        <w:rPr>
          <w:rFonts w:ascii="宋体" w:hAnsi="宋体" w:eastAsia="宋体" w:cs="宋体"/>
          <w:sz w:val="23"/>
          <w:szCs w:val="23"/>
        </w:rPr>
      </w:pPr>
      <w:r>
        <w:rPr>
          <w:rFonts w:ascii="宋体" w:hAnsi="宋体" w:eastAsia="宋体" w:cs="宋体"/>
          <w:spacing w:val="21"/>
          <w:sz w:val="23"/>
          <w:szCs w:val="23"/>
        </w:rPr>
        <w:t>2</w:t>
      </w:r>
      <w:r>
        <w:rPr>
          <w:rFonts w:ascii="宋体" w:hAnsi="宋体" w:eastAsia="宋体" w:cs="宋体"/>
          <w:spacing w:val="11"/>
          <w:sz w:val="23"/>
          <w:szCs w:val="23"/>
        </w:rPr>
        <w:t>.我方根据征集文件的规定，严格履行合同的责任和义务，并保证于买方要</w:t>
      </w:r>
      <w:r>
        <w:rPr>
          <w:rFonts w:ascii="宋体" w:hAnsi="宋体" w:eastAsia="宋体" w:cs="宋体"/>
          <w:spacing w:val="9"/>
          <w:sz w:val="23"/>
          <w:szCs w:val="23"/>
        </w:rPr>
        <w:t>求的日期内完成履约，并通过买方验收</w:t>
      </w:r>
      <w:r>
        <w:rPr>
          <w:rFonts w:ascii="宋体" w:hAnsi="宋体" w:eastAsia="宋体" w:cs="宋体"/>
          <w:spacing w:val="5"/>
          <w:sz w:val="23"/>
          <w:szCs w:val="23"/>
        </w:rPr>
        <w:t>。</w:t>
      </w:r>
    </w:p>
    <w:p w14:paraId="70F84557">
      <w:pPr>
        <w:spacing w:before="129" w:line="329" w:lineRule="auto"/>
        <w:ind w:left="22" w:right="49" w:firstLine="440"/>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11"/>
          <w:sz w:val="23"/>
          <w:szCs w:val="23"/>
        </w:rPr>
        <w:t>我</w:t>
      </w:r>
      <w:r>
        <w:rPr>
          <w:rFonts w:ascii="宋体" w:hAnsi="宋体" w:eastAsia="宋体" w:cs="宋体"/>
          <w:spacing w:val="8"/>
          <w:sz w:val="23"/>
          <w:szCs w:val="23"/>
        </w:rPr>
        <w:t>方承诺入围后在框架协议有效期内，确保销售给</w:t>
      </w:r>
      <w:r>
        <w:rPr>
          <w:rFonts w:hint="eastAsia" w:ascii="宋体" w:hAnsi="宋体" w:eastAsia="宋体" w:cs="宋体"/>
          <w:spacing w:val="8"/>
          <w:sz w:val="23"/>
          <w:szCs w:val="23"/>
        </w:rPr>
        <w:t>新疆维吾尔自治区</w:t>
      </w:r>
      <w:r>
        <w:rPr>
          <w:rFonts w:ascii="宋体" w:hAnsi="宋体" w:eastAsia="宋体" w:cs="宋体"/>
          <w:spacing w:val="8"/>
          <w:sz w:val="23"/>
          <w:szCs w:val="23"/>
        </w:rPr>
        <w:t>全省各级党政机</w:t>
      </w:r>
      <w:r>
        <w:rPr>
          <w:rFonts w:ascii="宋体" w:hAnsi="宋体" w:eastAsia="宋体" w:cs="宋体"/>
          <w:spacing w:val="15"/>
          <w:sz w:val="23"/>
          <w:szCs w:val="23"/>
        </w:rPr>
        <w:t>关、事业单位及团体组织的</w:t>
      </w:r>
      <w:r>
        <w:rPr>
          <w:rFonts w:hint="eastAsia" w:ascii="宋体" w:hAnsi="宋体" w:eastAsia="宋体" w:cs="宋体"/>
          <w:spacing w:val="15"/>
          <w:sz w:val="23"/>
          <w:szCs w:val="23"/>
        </w:rPr>
        <w:t>服务</w:t>
      </w:r>
      <w:r>
        <w:rPr>
          <w:rFonts w:ascii="宋体" w:hAnsi="宋体" w:eastAsia="宋体" w:cs="宋体"/>
          <w:spacing w:val="15"/>
          <w:sz w:val="23"/>
          <w:szCs w:val="23"/>
        </w:rPr>
        <w:t>价格不高于同时期销售给任何使用方的价格</w:t>
      </w:r>
      <w:r>
        <w:rPr>
          <w:rFonts w:ascii="宋体" w:hAnsi="宋体" w:eastAsia="宋体" w:cs="宋体"/>
          <w:spacing w:val="14"/>
          <w:sz w:val="23"/>
          <w:szCs w:val="23"/>
        </w:rPr>
        <w:t>以</w:t>
      </w:r>
      <w:r>
        <w:rPr>
          <w:rFonts w:ascii="宋体" w:hAnsi="宋体" w:eastAsia="宋体" w:cs="宋体"/>
          <w:spacing w:val="13"/>
          <w:sz w:val="23"/>
          <w:szCs w:val="23"/>
        </w:rPr>
        <w:t>及</w:t>
      </w:r>
      <w:r>
        <w:rPr>
          <w:rFonts w:ascii="宋体" w:hAnsi="宋体" w:eastAsia="宋体" w:cs="宋体"/>
          <w:spacing w:val="10"/>
          <w:sz w:val="23"/>
          <w:szCs w:val="23"/>
        </w:rPr>
        <w:t>向任何其他集采机构协议供货提供的优惠后的价格。</w:t>
      </w:r>
    </w:p>
    <w:p w14:paraId="201F1CF3">
      <w:pPr>
        <w:spacing w:before="133" w:line="328" w:lineRule="auto"/>
        <w:ind w:left="23" w:firstLine="433"/>
        <w:rPr>
          <w:rFonts w:ascii="宋体" w:hAnsi="宋体" w:eastAsia="宋体" w:cs="宋体"/>
          <w:sz w:val="23"/>
          <w:szCs w:val="23"/>
        </w:rPr>
      </w:pPr>
      <w:r>
        <w:rPr>
          <w:rFonts w:ascii="宋体" w:hAnsi="宋体" w:eastAsia="宋体" w:cs="宋体"/>
          <w:spacing w:val="14"/>
          <w:sz w:val="23"/>
          <w:szCs w:val="23"/>
        </w:rPr>
        <w:t>4.我</w:t>
      </w:r>
      <w:r>
        <w:rPr>
          <w:rFonts w:ascii="宋体" w:hAnsi="宋体" w:eastAsia="宋体" w:cs="宋体"/>
          <w:spacing w:val="10"/>
          <w:sz w:val="23"/>
          <w:szCs w:val="23"/>
        </w:rPr>
        <w:t>方</w:t>
      </w:r>
      <w:r>
        <w:rPr>
          <w:rFonts w:ascii="宋体" w:hAnsi="宋体" w:eastAsia="宋体" w:cs="宋体"/>
          <w:spacing w:val="7"/>
          <w:sz w:val="23"/>
          <w:szCs w:val="23"/>
        </w:rPr>
        <w:t>已详细审核全部征集文件，包括征集文件的澄清或修改（如有），参</w:t>
      </w:r>
      <w:r>
        <w:rPr>
          <w:rFonts w:ascii="宋体" w:hAnsi="宋体" w:eastAsia="宋体" w:cs="宋体"/>
          <w:spacing w:val="4"/>
          <w:sz w:val="23"/>
          <w:szCs w:val="23"/>
        </w:rPr>
        <w:t>考资料及有关附件，我方正</w:t>
      </w:r>
      <w:r>
        <w:rPr>
          <w:rFonts w:ascii="宋体" w:hAnsi="宋体" w:eastAsia="宋体" w:cs="宋体"/>
          <w:spacing w:val="3"/>
          <w:sz w:val="23"/>
          <w:szCs w:val="23"/>
        </w:rPr>
        <w:t>式</w:t>
      </w:r>
      <w:r>
        <w:rPr>
          <w:rFonts w:ascii="宋体" w:hAnsi="宋体" w:eastAsia="宋体" w:cs="宋体"/>
          <w:spacing w:val="2"/>
          <w:sz w:val="23"/>
          <w:szCs w:val="23"/>
        </w:rPr>
        <w:t>认可并遵守本次征集文件，并对征集文件各项条款、</w:t>
      </w:r>
      <w:r>
        <w:rPr>
          <w:rFonts w:ascii="宋体" w:hAnsi="宋体" w:eastAsia="宋体" w:cs="宋体"/>
          <w:spacing w:val="18"/>
          <w:sz w:val="23"/>
          <w:szCs w:val="23"/>
        </w:rPr>
        <w:t>规</w:t>
      </w:r>
      <w:r>
        <w:rPr>
          <w:rFonts w:ascii="宋体" w:hAnsi="宋体" w:eastAsia="宋体" w:cs="宋体"/>
          <w:spacing w:val="13"/>
          <w:sz w:val="23"/>
          <w:szCs w:val="23"/>
        </w:rPr>
        <w:t>定</w:t>
      </w:r>
      <w:r>
        <w:rPr>
          <w:rFonts w:ascii="宋体" w:hAnsi="宋体" w:eastAsia="宋体" w:cs="宋体"/>
          <w:spacing w:val="9"/>
          <w:sz w:val="23"/>
          <w:szCs w:val="23"/>
        </w:rPr>
        <w:t>及要求均无异议。我方知道必须放弃提出含糊不清或误解问题的权利。</w:t>
      </w:r>
    </w:p>
    <w:p w14:paraId="16493E3D">
      <w:pPr>
        <w:spacing w:before="134" w:line="331" w:lineRule="auto"/>
        <w:ind w:left="23" w:right="80" w:firstLine="439"/>
        <w:rPr>
          <w:rFonts w:ascii="宋体" w:hAnsi="宋体" w:eastAsia="宋体" w:cs="宋体"/>
          <w:sz w:val="23"/>
          <w:szCs w:val="23"/>
        </w:rPr>
      </w:pPr>
      <w:r>
        <w:rPr>
          <w:rFonts w:ascii="宋体" w:hAnsi="宋体" w:eastAsia="宋体" w:cs="宋体"/>
          <w:spacing w:val="8"/>
          <w:sz w:val="23"/>
          <w:szCs w:val="23"/>
        </w:rPr>
        <w:t>5.我方同意从征集文件规定的响应文件开启日期起遵循本征集文件，并在征集文件规定的响应文件有效</w:t>
      </w:r>
      <w:r>
        <w:rPr>
          <w:rFonts w:ascii="宋体" w:hAnsi="宋体" w:eastAsia="宋体" w:cs="宋体"/>
          <w:spacing w:val="9"/>
          <w:sz w:val="23"/>
          <w:szCs w:val="23"/>
        </w:rPr>
        <w:t>期之前均具有约束力。</w:t>
      </w:r>
    </w:p>
    <w:p w14:paraId="00621B9E">
      <w:pPr>
        <w:spacing w:before="137" w:line="328" w:lineRule="auto"/>
        <w:ind w:left="24" w:right="80" w:firstLine="435"/>
        <w:rPr>
          <w:rFonts w:ascii="宋体" w:hAnsi="宋体" w:eastAsia="宋体" w:cs="宋体"/>
          <w:spacing w:val="8"/>
          <w:sz w:val="23"/>
          <w:szCs w:val="23"/>
        </w:rPr>
      </w:pPr>
      <w:r>
        <w:rPr>
          <w:rFonts w:ascii="宋体" w:hAnsi="宋体" w:eastAsia="宋体" w:cs="宋体"/>
          <w:spacing w:val="8"/>
          <w:sz w:val="23"/>
          <w:szCs w:val="23"/>
        </w:rPr>
        <w:t>6.我方声明响应文件所提供的一切资料均真实无误、及时、有效，企业运营正常。由于我方提供资料不实而造成的责任和后果由我方承担。我方同意按照贵方提出的要求，提供与响应有关的任何证据、数据或资料。</w:t>
      </w:r>
    </w:p>
    <w:p w14:paraId="41CF549C">
      <w:pPr>
        <w:spacing w:before="132" w:line="561" w:lineRule="exact"/>
        <w:ind w:left="463"/>
        <w:rPr>
          <w:rFonts w:ascii="宋体" w:hAnsi="宋体" w:eastAsia="宋体" w:cs="宋体"/>
          <w:spacing w:val="8"/>
          <w:position w:val="25"/>
          <w:sz w:val="23"/>
          <w:szCs w:val="23"/>
        </w:rPr>
      </w:pPr>
      <w:r>
        <w:rPr>
          <w:rFonts w:ascii="宋体" w:hAnsi="宋体" w:eastAsia="宋体" w:cs="宋体"/>
          <w:spacing w:val="16"/>
          <w:position w:val="25"/>
          <w:sz w:val="23"/>
          <w:szCs w:val="23"/>
        </w:rPr>
        <w:t>7</w:t>
      </w:r>
      <w:r>
        <w:rPr>
          <w:rFonts w:ascii="宋体" w:hAnsi="宋体" w:eastAsia="宋体" w:cs="宋体"/>
          <w:spacing w:val="10"/>
          <w:position w:val="25"/>
          <w:sz w:val="23"/>
          <w:szCs w:val="23"/>
        </w:rPr>
        <w:t>.</w:t>
      </w:r>
      <w:r>
        <w:rPr>
          <w:rFonts w:ascii="宋体" w:hAnsi="宋体" w:eastAsia="宋体" w:cs="宋体"/>
          <w:spacing w:val="8"/>
          <w:position w:val="25"/>
          <w:sz w:val="23"/>
          <w:szCs w:val="23"/>
        </w:rPr>
        <w:t>我方完全理解贵方不一定接受最低报价的响应。</w:t>
      </w:r>
    </w:p>
    <w:p w14:paraId="65BE10EE">
      <w:pPr>
        <w:spacing w:before="132" w:line="561" w:lineRule="exact"/>
        <w:ind w:left="463"/>
        <w:rPr>
          <w:rFonts w:ascii="宋体" w:hAnsi="宋体" w:eastAsia="宋体" w:cs="宋体"/>
          <w:spacing w:val="8"/>
          <w:position w:val="25"/>
          <w:sz w:val="23"/>
          <w:szCs w:val="23"/>
        </w:rPr>
      </w:pPr>
      <w:r>
        <w:rPr>
          <w:rFonts w:ascii="宋体" w:hAnsi="宋体" w:eastAsia="宋体" w:cs="宋体"/>
          <w:spacing w:val="8"/>
          <w:position w:val="25"/>
          <w:sz w:val="23"/>
          <w:szCs w:val="23"/>
        </w:rPr>
        <w:t>8.我方接受征集文件规定的付款、期限要求。</w:t>
      </w:r>
    </w:p>
    <w:p w14:paraId="5714A7BD">
      <w:pPr>
        <w:spacing w:before="132" w:line="561" w:lineRule="exact"/>
        <w:ind w:left="463"/>
        <w:rPr>
          <w:rFonts w:ascii="宋体" w:hAnsi="宋体" w:eastAsia="宋体" w:cs="宋体"/>
          <w:spacing w:val="8"/>
          <w:position w:val="25"/>
          <w:sz w:val="23"/>
          <w:szCs w:val="23"/>
        </w:rPr>
      </w:pPr>
      <w:r>
        <w:rPr>
          <w:rFonts w:hint="eastAsia" w:ascii="宋体" w:hAnsi="宋体" w:eastAsia="宋体" w:cs="宋体"/>
          <w:spacing w:val="8"/>
          <w:position w:val="25"/>
          <w:sz w:val="23"/>
          <w:szCs w:val="23"/>
          <w:lang w:val="en-US" w:eastAsia="zh-CN"/>
        </w:rPr>
        <w:t>9.</w:t>
      </w:r>
      <w:r>
        <w:rPr>
          <w:rFonts w:hint="eastAsia" w:ascii="宋体" w:hAnsi="宋体" w:eastAsia="宋体" w:cs="宋体"/>
          <w:spacing w:val="8"/>
          <w:position w:val="25"/>
          <w:sz w:val="23"/>
          <w:szCs w:val="23"/>
        </w:rPr>
        <w:t>响应文件有效期</w:t>
      </w:r>
      <w:r>
        <w:rPr>
          <w:rFonts w:hint="eastAsia" w:ascii="宋体" w:hAnsi="宋体" w:eastAsia="宋体" w:cs="宋体"/>
          <w:spacing w:val="8"/>
          <w:position w:val="25"/>
          <w:sz w:val="23"/>
          <w:szCs w:val="23"/>
          <w:lang w:val="en-US" w:eastAsia="zh-CN"/>
        </w:rPr>
        <w:t>为90日历日。</w:t>
      </w:r>
    </w:p>
    <w:p w14:paraId="4C9A421C">
      <w:pPr>
        <w:spacing w:before="132" w:line="561" w:lineRule="exact"/>
        <w:ind w:left="463"/>
        <w:rPr>
          <w:rFonts w:ascii="宋体" w:hAnsi="宋体" w:eastAsia="宋体" w:cs="宋体"/>
          <w:spacing w:val="8"/>
          <w:position w:val="25"/>
          <w:sz w:val="23"/>
          <w:szCs w:val="23"/>
        </w:rPr>
      </w:pPr>
    </w:p>
    <w:p w14:paraId="38FB4FAA">
      <w:pPr>
        <w:spacing w:line="243" w:lineRule="auto"/>
      </w:pPr>
    </w:p>
    <w:p w14:paraId="672FEDCE">
      <w:pPr>
        <w:spacing w:line="244" w:lineRule="auto"/>
      </w:pPr>
    </w:p>
    <w:p w14:paraId="79219756">
      <w:pPr>
        <w:spacing w:before="75"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424F6831">
      <w:pPr>
        <w:spacing w:before="279"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659C306F">
      <w:pPr>
        <w:sectPr>
          <w:headerReference r:id="rId13" w:type="default"/>
          <w:footerReference r:id="rId14" w:type="default"/>
          <w:pgSz w:w="11906" w:h="16839"/>
          <w:pgMar w:top="1136" w:right="1719" w:bottom="1414" w:left="1785" w:header="878" w:footer="1167" w:gutter="0"/>
          <w:cols w:space="720" w:num="1"/>
        </w:sectPr>
      </w:pPr>
    </w:p>
    <w:p w14:paraId="6B19064C">
      <w:pPr>
        <w:spacing w:line="340" w:lineRule="auto"/>
      </w:pPr>
    </w:p>
    <w:p w14:paraId="205C0830">
      <w:pPr>
        <w:spacing w:before="75" w:line="305" w:lineRule="exact"/>
        <w:jc w:val="center"/>
        <w:outlineLvl w:val="1"/>
        <w:rPr>
          <w:rFonts w:ascii="宋体" w:hAnsi="宋体" w:eastAsia="宋体" w:cs="宋体"/>
          <w:sz w:val="23"/>
          <w:szCs w:val="23"/>
        </w:rPr>
      </w:pPr>
      <w:bookmarkStart w:id="34" w:name="_Toc23175"/>
      <w:r>
        <w:rPr>
          <w:rFonts w:hint="eastAsia" w:ascii="黑体" w:hAnsi="黑体" w:eastAsia="黑体" w:cs="黑体"/>
          <w:b/>
          <w:bCs/>
          <w:spacing w:val="20"/>
          <w:position w:val="1"/>
          <w:sz w:val="28"/>
          <w:szCs w:val="28"/>
        </w:rPr>
        <w:t>三</w:t>
      </w:r>
      <w:r>
        <w:rPr>
          <w:rFonts w:hint="eastAsia" w:ascii="黑体" w:hAnsi="黑体" w:eastAsia="黑体" w:cs="黑体"/>
          <w:b/>
          <w:bCs/>
          <w:spacing w:val="12"/>
          <w:position w:val="1"/>
          <w:sz w:val="28"/>
          <w:szCs w:val="28"/>
        </w:rPr>
        <w:t>、</w:t>
      </w:r>
      <w:r>
        <w:rPr>
          <w:rFonts w:hint="eastAsia" w:ascii="黑体" w:hAnsi="黑体" w:eastAsia="黑体" w:cs="黑体"/>
          <w:b/>
          <w:bCs/>
          <w:spacing w:val="10"/>
          <w:position w:val="1"/>
          <w:sz w:val="28"/>
          <w:szCs w:val="28"/>
        </w:rPr>
        <w:t>无重大违法记录声明函、无不良信用记录声明函</w:t>
      </w:r>
      <w:bookmarkEnd w:id="34"/>
    </w:p>
    <w:p w14:paraId="29BCF5ED">
      <w:pPr>
        <w:spacing w:line="244" w:lineRule="auto"/>
      </w:pPr>
    </w:p>
    <w:p w14:paraId="4C988112">
      <w:pPr>
        <w:spacing w:line="245" w:lineRule="auto"/>
      </w:pPr>
    </w:p>
    <w:p w14:paraId="3FE61F50">
      <w:pPr>
        <w:spacing w:line="245" w:lineRule="auto"/>
      </w:pPr>
    </w:p>
    <w:p w14:paraId="5CEC9903">
      <w:pPr>
        <w:spacing w:before="75" w:line="326" w:lineRule="auto"/>
        <w:ind w:left="24" w:right="11" w:firstLine="45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本</w:t>
      </w:r>
      <w:r>
        <w:rPr>
          <w:rFonts w:ascii="宋体" w:hAnsi="宋体" w:eastAsia="宋体" w:cs="宋体"/>
          <w:spacing w:val="7"/>
          <w:sz w:val="23"/>
          <w:szCs w:val="23"/>
        </w:rPr>
        <w:t>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w:t>
      </w:r>
      <w:r>
        <w:rPr>
          <w:rFonts w:ascii="宋体" w:hAnsi="宋体" w:eastAsia="宋体" w:cs="宋体"/>
          <w:spacing w:val="9"/>
          <w:sz w:val="23"/>
          <w:szCs w:val="23"/>
        </w:rPr>
        <w:t>处</w:t>
      </w:r>
      <w:r>
        <w:rPr>
          <w:rFonts w:ascii="宋体" w:hAnsi="宋体" w:eastAsia="宋体" w:cs="宋体"/>
          <w:spacing w:val="6"/>
          <w:sz w:val="23"/>
          <w:szCs w:val="23"/>
        </w:rPr>
        <w:t>罚期限内。</w:t>
      </w:r>
    </w:p>
    <w:p w14:paraId="3CABC849">
      <w:pPr>
        <w:spacing w:before="131" w:line="310" w:lineRule="exact"/>
        <w:ind w:left="46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14:paraId="02DF5F91">
      <w:pPr>
        <w:spacing w:before="249" w:line="227" w:lineRule="auto"/>
        <w:ind w:left="469"/>
        <w:rPr>
          <w:rFonts w:ascii="宋体" w:hAnsi="宋体" w:eastAsia="宋体" w:cs="宋体"/>
          <w:sz w:val="23"/>
          <w:szCs w:val="23"/>
        </w:rPr>
      </w:pPr>
      <w:r>
        <w:rPr>
          <w:rFonts w:ascii="宋体" w:hAnsi="宋体" w:eastAsia="宋体" w:cs="宋体"/>
          <w:spacing w:val="14"/>
          <w:sz w:val="23"/>
          <w:szCs w:val="23"/>
        </w:rPr>
        <w:t>(1) 被人民法院列入失信被执行人</w:t>
      </w:r>
      <w:r>
        <w:rPr>
          <w:rFonts w:ascii="宋体" w:hAnsi="宋体" w:eastAsia="宋体" w:cs="宋体"/>
          <w:spacing w:val="11"/>
          <w:sz w:val="23"/>
          <w:szCs w:val="23"/>
        </w:rPr>
        <w:t>；</w:t>
      </w:r>
    </w:p>
    <w:p w14:paraId="4C8F7DD7">
      <w:pPr>
        <w:spacing w:before="278" w:line="331" w:lineRule="auto"/>
        <w:ind w:left="27" w:right="13" w:firstLine="44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2"/>
          <w:sz w:val="23"/>
          <w:szCs w:val="23"/>
        </w:rPr>
        <w:t>2</w:t>
      </w:r>
      <w:r>
        <w:rPr>
          <w:rFonts w:ascii="宋体" w:hAnsi="宋体" w:eastAsia="宋体" w:cs="宋体"/>
          <w:spacing w:val="13"/>
          <w:sz w:val="23"/>
          <w:szCs w:val="23"/>
        </w:rPr>
        <w:t>) 单位、法定代表人或拟派项目经理（项目负责人）被人民检察院列入</w:t>
      </w:r>
      <w:r>
        <w:rPr>
          <w:rFonts w:ascii="宋体" w:hAnsi="宋体" w:eastAsia="宋体" w:cs="宋体"/>
          <w:spacing w:val="10"/>
          <w:sz w:val="23"/>
          <w:szCs w:val="23"/>
        </w:rPr>
        <w:t>行</w:t>
      </w:r>
      <w:r>
        <w:rPr>
          <w:rFonts w:ascii="宋体" w:hAnsi="宋体" w:eastAsia="宋体" w:cs="宋体"/>
          <w:spacing w:val="6"/>
          <w:sz w:val="23"/>
          <w:szCs w:val="23"/>
        </w:rPr>
        <w:t>贿犯罪档案；</w:t>
      </w:r>
    </w:p>
    <w:p w14:paraId="7B92CB36">
      <w:pPr>
        <w:spacing w:before="136" w:line="227" w:lineRule="auto"/>
        <w:ind w:left="469"/>
        <w:rPr>
          <w:rFonts w:ascii="宋体" w:hAnsi="宋体" w:eastAsia="宋体" w:cs="宋体"/>
          <w:sz w:val="23"/>
          <w:szCs w:val="23"/>
        </w:rPr>
      </w:pPr>
      <w:r>
        <w:rPr>
          <w:rFonts w:ascii="宋体" w:hAnsi="宋体" w:eastAsia="宋体" w:cs="宋体"/>
          <w:spacing w:val="13"/>
          <w:sz w:val="23"/>
          <w:szCs w:val="23"/>
        </w:rPr>
        <w:t>(3) 被工商行政管理部门列入企业经营异常名录</w:t>
      </w:r>
      <w:r>
        <w:rPr>
          <w:rFonts w:ascii="宋体" w:hAnsi="宋体" w:eastAsia="宋体" w:cs="宋体"/>
          <w:spacing w:val="10"/>
          <w:sz w:val="23"/>
          <w:szCs w:val="23"/>
        </w:rPr>
        <w:t>；</w:t>
      </w:r>
    </w:p>
    <w:p w14:paraId="7D05B598">
      <w:pPr>
        <w:spacing w:before="276" w:line="227" w:lineRule="auto"/>
        <w:ind w:left="46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被税务部门列入重大税收违法案件当事人名单；</w:t>
      </w:r>
    </w:p>
    <w:p w14:paraId="291BB292">
      <w:pPr>
        <w:spacing w:before="275" w:line="227" w:lineRule="auto"/>
        <w:ind w:left="46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被政府采购监管部门列入政府采购严重违法失信行为记录名单。</w:t>
      </w:r>
    </w:p>
    <w:p w14:paraId="3EB3B8D6">
      <w:pPr>
        <w:spacing w:before="279" w:line="227" w:lineRule="auto"/>
        <w:ind w:left="45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14:paraId="4C79B39E">
      <w:pPr>
        <w:spacing w:before="276"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038FBD6B">
      <w:pPr>
        <w:spacing w:before="277"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15E966B6">
      <w:pPr>
        <w:sectPr>
          <w:headerReference r:id="rId15" w:type="default"/>
          <w:footerReference r:id="rId16" w:type="default"/>
          <w:pgSz w:w="11906" w:h="16839"/>
          <w:pgMar w:top="1136" w:right="1785" w:bottom="1414" w:left="1785" w:header="878" w:footer="1167" w:gutter="0"/>
          <w:cols w:space="720" w:num="1"/>
        </w:sectPr>
      </w:pPr>
    </w:p>
    <w:p w14:paraId="6B5BB802">
      <w:pPr>
        <w:spacing w:line="341" w:lineRule="auto"/>
      </w:pPr>
    </w:p>
    <w:p w14:paraId="65DEC2DD">
      <w:pPr>
        <w:spacing w:before="74" w:line="230" w:lineRule="auto"/>
        <w:ind w:left="3862"/>
        <w:outlineLvl w:val="1"/>
        <w:rPr>
          <w:rFonts w:ascii="宋体" w:hAnsi="宋体" w:eastAsia="宋体" w:cs="宋体"/>
          <w:sz w:val="23"/>
          <w:szCs w:val="23"/>
        </w:rPr>
      </w:pPr>
      <w:bookmarkStart w:id="35" w:name="_Toc19769"/>
      <w:r>
        <w:rPr>
          <w:rFonts w:hint="eastAsia" w:ascii="黑体" w:hAnsi="黑体" w:eastAsia="黑体" w:cs="黑体"/>
          <w:b/>
          <w:bCs/>
          <w:spacing w:val="6"/>
          <w:sz w:val="28"/>
          <w:szCs w:val="28"/>
        </w:rPr>
        <w:t>四</w:t>
      </w:r>
      <w:r>
        <w:rPr>
          <w:rFonts w:hint="eastAsia" w:ascii="黑体" w:hAnsi="黑体" w:eastAsia="黑体" w:cs="黑体"/>
          <w:b/>
          <w:bCs/>
          <w:spacing w:val="4"/>
          <w:sz w:val="28"/>
          <w:szCs w:val="28"/>
        </w:rPr>
        <w:t>、授权书</w:t>
      </w:r>
      <w:bookmarkEnd w:id="35"/>
    </w:p>
    <w:p w14:paraId="29598A1A">
      <w:pPr>
        <w:spacing w:line="250" w:lineRule="auto"/>
      </w:pPr>
    </w:p>
    <w:p w14:paraId="3FA5C019">
      <w:pPr>
        <w:spacing w:line="251" w:lineRule="auto"/>
      </w:pPr>
    </w:p>
    <w:p w14:paraId="7C361D46">
      <w:pPr>
        <w:spacing w:line="251" w:lineRule="auto"/>
      </w:pPr>
    </w:p>
    <w:p w14:paraId="45620496">
      <w:pPr>
        <w:spacing w:before="75" w:line="326" w:lineRule="auto"/>
        <w:ind w:left="286" w:right="555" w:firstLine="436"/>
        <w:rPr>
          <w:rFonts w:ascii="宋体" w:hAnsi="宋体" w:eastAsia="宋体" w:cs="宋体"/>
          <w:sz w:val="23"/>
          <w:szCs w:val="23"/>
        </w:rPr>
      </w:pPr>
      <w:r>
        <w:rPr>
          <w:rFonts w:ascii="宋体" w:hAnsi="宋体" w:eastAsia="宋体" w:cs="宋体"/>
          <w:spacing w:val="6"/>
          <w:sz w:val="23"/>
          <w:szCs w:val="23"/>
        </w:rPr>
        <w:t>本授权书声明：</w:t>
      </w:r>
      <w:r>
        <w:rPr>
          <w:rFonts w:ascii="宋体" w:hAnsi="宋体" w:eastAsia="宋体" w:cs="宋体"/>
          <w:spacing w:val="3"/>
          <w:sz w:val="23"/>
          <w:szCs w:val="23"/>
          <w:u w:val="single"/>
        </w:rPr>
        <w:t xml:space="preserve">             （</w:t>
      </w:r>
      <w:r>
        <w:rPr>
          <w:rFonts w:ascii="宋体" w:hAnsi="宋体" w:eastAsia="宋体" w:cs="宋体"/>
          <w:spacing w:val="3"/>
          <w:sz w:val="23"/>
          <w:szCs w:val="23"/>
        </w:rPr>
        <w:t>供应商名称）授权</w:t>
      </w:r>
      <w:r>
        <w:rPr>
          <w:rFonts w:ascii="宋体" w:hAnsi="宋体" w:eastAsia="宋体" w:cs="宋体"/>
          <w:spacing w:val="3"/>
          <w:sz w:val="23"/>
          <w:szCs w:val="23"/>
          <w:u w:val="single"/>
        </w:rPr>
        <w:t xml:space="preserve">       </w:t>
      </w:r>
      <w:r>
        <w:rPr>
          <w:rFonts w:ascii="宋体" w:hAnsi="宋体" w:eastAsia="宋体" w:cs="宋体"/>
          <w:spacing w:val="3"/>
          <w:sz w:val="23"/>
          <w:szCs w:val="23"/>
        </w:rPr>
        <w:t xml:space="preserve"> （供应商授权代表</w:t>
      </w:r>
      <w:r>
        <w:rPr>
          <w:rFonts w:ascii="宋体" w:hAnsi="宋体" w:eastAsia="宋体" w:cs="宋体"/>
          <w:spacing w:val="7"/>
          <w:sz w:val="23"/>
          <w:szCs w:val="23"/>
        </w:rPr>
        <w:t>姓名、职务）代表我方参加本项目采购活动，全权代表我方处理征集响应过程的一切事宜，包括但不限于：征集响应、参与文件澄清、谈判、签约等。供应商授权代表在征集响应过程中所签署的一切文件和处理与之有关的一切事务，我方均予以认可并对此承担责任。供应</w:t>
      </w:r>
      <w:r>
        <w:rPr>
          <w:rFonts w:ascii="宋体" w:hAnsi="宋体" w:eastAsia="宋体" w:cs="宋体"/>
          <w:spacing w:val="9"/>
          <w:sz w:val="23"/>
          <w:szCs w:val="23"/>
        </w:rPr>
        <w:t>商授权代表无转委托权。特此授权。</w:t>
      </w:r>
    </w:p>
    <w:p w14:paraId="7E7FB859">
      <w:pPr>
        <w:spacing w:before="131" w:line="559" w:lineRule="exact"/>
        <w:ind w:left="723"/>
        <w:rPr>
          <w:rFonts w:ascii="宋体" w:hAnsi="宋体" w:eastAsia="宋体" w:cs="宋体"/>
          <w:sz w:val="23"/>
          <w:szCs w:val="23"/>
        </w:rPr>
      </w:pPr>
      <w:r>
        <w:rPr>
          <w:rFonts w:ascii="宋体" w:hAnsi="宋体" w:eastAsia="宋体" w:cs="宋体"/>
          <w:spacing w:val="13"/>
          <w:position w:val="25"/>
          <w:sz w:val="23"/>
          <w:szCs w:val="23"/>
        </w:rPr>
        <w:t>本</w:t>
      </w:r>
      <w:r>
        <w:rPr>
          <w:rFonts w:ascii="宋体" w:hAnsi="宋体" w:eastAsia="宋体" w:cs="宋体"/>
          <w:spacing w:val="8"/>
          <w:position w:val="25"/>
          <w:sz w:val="23"/>
          <w:szCs w:val="23"/>
        </w:rPr>
        <w:t>授权书自出具之日起生效。</w:t>
      </w:r>
    </w:p>
    <w:p w14:paraId="30F0E162">
      <w:pPr>
        <w:spacing w:line="227" w:lineRule="auto"/>
        <w:ind w:left="721"/>
        <w:rPr>
          <w:rFonts w:ascii="宋体" w:hAnsi="宋体" w:eastAsia="宋体" w:cs="宋体"/>
          <w:sz w:val="23"/>
          <w:szCs w:val="23"/>
        </w:rPr>
      </w:pPr>
      <w:r>
        <w:rPr>
          <w:rFonts w:ascii="宋体" w:hAnsi="宋体" w:eastAsia="宋体" w:cs="宋体"/>
          <w:spacing w:val="13"/>
          <w:sz w:val="23"/>
          <w:szCs w:val="23"/>
        </w:rPr>
        <w:t>授</w:t>
      </w:r>
      <w:r>
        <w:rPr>
          <w:rFonts w:ascii="宋体" w:hAnsi="宋体" w:eastAsia="宋体" w:cs="宋体"/>
          <w:spacing w:val="8"/>
          <w:sz w:val="23"/>
          <w:szCs w:val="23"/>
        </w:rPr>
        <w:t>权代表身份证明扫描件：</w:t>
      </w:r>
    </w:p>
    <w:p w14:paraId="7CD5DBBE">
      <w:pPr>
        <w:spacing w:line="249" w:lineRule="auto"/>
      </w:pPr>
    </w:p>
    <w:p w14:paraId="0C26C302">
      <w:pPr>
        <w:spacing w:line="249" w:lineRule="auto"/>
      </w:pPr>
    </w:p>
    <w:p w14:paraId="11E57E8A">
      <w:pPr>
        <w:spacing w:line="249" w:lineRule="auto"/>
      </w:pPr>
    </w:p>
    <w:p w14:paraId="312FC4F4">
      <w:pPr>
        <w:spacing w:line="249" w:lineRule="auto"/>
      </w:pPr>
    </w:p>
    <w:p w14:paraId="2EA51017">
      <w:pPr>
        <w:spacing w:line="249" w:lineRule="auto"/>
      </w:pPr>
    </w:p>
    <w:p w14:paraId="183642B5">
      <w:pPr>
        <w:spacing w:line="249" w:lineRule="auto"/>
      </w:pPr>
    </w:p>
    <w:p w14:paraId="1A26CFB8">
      <w:pPr>
        <w:spacing w:line="249" w:lineRule="auto"/>
      </w:pPr>
    </w:p>
    <w:p w14:paraId="1E9E4CF4">
      <w:pPr>
        <w:spacing w:line="249" w:lineRule="auto"/>
      </w:pPr>
    </w:p>
    <w:p w14:paraId="71E44BCE">
      <w:pPr>
        <w:spacing w:line="249" w:lineRule="auto"/>
      </w:pPr>
    </w:p>
    <w:p w14:paraId="5F05F84C">
      <w:pPr>
        <w:spacing w:line="250" w:lineRule="auto"/>
      </w:pPr>
    </w:p>
    <w:p w14:paraId="7B2BD929">
      <w:pPr>
        <w:spacing w:line="250" w:lineRule="auto"/>
      </w:pPr>
    </w:p>
    <w:p w14:paraId="28827A5A">
      <w:pPr>
        <w:spacing w:line="250" w:lineRule="auto"/>
      </w:pPr>
    </w:p>
    <w:p w14:paraId="2163EBCA">
      <w:pPr>
        <w:spacing w:line="250" w:lineRule="auto"/>
      </w:pPr>
    </w:p>
    <w:p w14:paraId="104C8DD1">
      <w:pPr>
        <w:spacing w:before="75" w:line="449" w:lineRule="auto"/>
        <w:ind w:left="721"/>
        <w:rPr>
          <w:rFonts w:ascii="宋体" w:hAnsi="宋体" w:eastAsia="宋体" w:cs="宋体"/>
          <w:sz w:val="23"/>
          <w:szCs w:val="23"/>
        </w:rPr>
      </w:pPr>
      <w:r>
        <w:rPr>
          <w:rFonts w:ascii="宋体" w:hAnsi="宋体" w:eastAsia="宋体" w:cs="宋体"/>
          <w:spacing w:val="7"/>
          <w:sz w:val="23"/>
          <w:szCs w:val="23"/>
        </w:rPr>
        <w:t>授权代表联系方式：</w:t>
      </w:r>
      <w:r>
        <w:rPr>
          <w:rFonts w:ascii="宋体" w:hAnsi="宋体" w:eastAsia="宋体" w:cs="宋体"/>
          <w:spacing w:val="7"/>
          <w:sz w:val="23"/>
          <w:szCs w:val="23"/>
          <w:u w:val="single"/>
        </w:rPr>
        <w:t xml:space="preserve">           （请填写手机号码）</w:t>
      </w:r>
      <w:r>
        <w:rPr>
          <w:rFonts w:ascii="宋体" w:hAnsi="宋体" w:eastAsia="宋体" w:cs="宋体"/>
          <w:sz w:val="23"/>
          <w:szCs w:val="23"/>
          <w:u w:val="single"/>
        </w:rPr>
        <w:t xml:space="preserve"> </w:t>
      </w:r>
    </w:p>
    <w:p w14:paraId="56DD0374">
      <w:pPr>
        <w:spacing w:line="227" w:lineRule="auto"/>
        <w:ind w:left="722"/>
        <w:rPr>
          <w:rFonts w:ascii="宋体" w:hAnsi="宋体" w:eastAsia="宋体" w:cs="宋体"/>
          <w:sz w:val="23"/>
          <w:szCs w:val="23"/>
        </w:rPr>
      </w:pPr>
      <w:r>
        <w:rPr>
          <w:rFonts w:ascii="宋体" w:hAnsi="宋体" w:eastAsia="宋体" w:cs="宋体"/>
          <w:spacing w:val="6"/>
          <w:sz w:val="23"/>
          <w:szCs w:val="23"/>
        </w:rPr>
        <w:t>特此声明。</w:t>
      </w:r>
    </w:p>
    <w:p w14:paraId="010C6D77">
      <w:pPr>
        <w:spacing w:line="252" w:lineRule="auto"/>
      </w:pPr>
    </w:p>
    <w:p w14:paraId="1C718427">
      <w:pPr>
        <w:spacing w:line="252" w:lineRule="auto"/>
      </w:pPr>
    </w:p>
    <w:p w14:paraId="56548A58">
      <w:pPr>
        <w:spacing w:line="253" w:lineRule="auto"/>
      </w:pPr>
    </w:p>
    <w:p w14:paraId="110D222E">
      <w:pPr>
        <w:spacing w:before="76" w:line="227" w:lineRule="auto"/>
        <w:ind w:left="72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098E5FB7">
      <w:pPr>
        <w:spacing w:before="277" w:line="228" w:lineRule="auto"/>
        <w:ind w:left="763"/>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51FFE51F">
      <w:pPr>
        <w:spacing w:line="252" w:lineRule="auto"/>
      </w:pPr>
    </w:p>
    <w:p w14:paraId="11BE2785">
      <w:pPr>
        <w:spacing w:line="252" w:lineRule="auto"/>
      </w:pPr>
    </w:p>
    <w:p w14:paraId="21C384B5">
      <w:pPr>
        <w:spacing w:line="252" w:lineRule="auto"/>
      </w:pPr>
    </w:p>
    <w:p w14:paraId="2C4613F1">
      <w:pPr>
        <w:spacing w:before="75" w:line="232" w:lineRule="auto"/>
        <w:ind w:left="287"/>
        <w:rPr>
          <w:rFonts w:ascii="宋体" w:hAnsi="宋体" w:eastAsia="宋体" w:cs="宋体"/>
          <w:sz w:val="23"/>
          <w:szCs w:val="23"/>
        </w:rPr>
      </w:pPr>
      <w:r>
        <w:rPr>
          <w:rFonts w:ascii="宋体" w:hAnsi="宋体" w:eastAsia="宋体" w:cs="宋体"/>
          <w:sz w:val="23"/>
          <w:szCs w:val="23"/>
        </w:rPr>
        <w:t>注：</w:t>
      </w:r>
    </w:p>
    <w:p w14:paraId="45404B3E">
      <w:pPr>
        <w:spacing w:before="271" w:line="466" w:lineRule="auto"/>
        <w:ind w:left="739" w:right="1164"/>
        <w:rPr>
          <w:rFonts w:ascii="宋体" w:hAnsi="宋体" w:eastAsia="宋体" w:cs="宋体"/>
          <w:sz w:val="23"/>
          <w:szCs w:val="23"/>
        </w:rPr>
      </w:pPr>
      <w:r>
        <w:rPr>
          <w:rFonts w:hint="eastAsia" w:ascii="宋体" w:hAnsi="宋体" w:eastAsia="宋体" w:cs="宋体"/>
          <w:spacing w:val="7"/>
          <w:sz w:val="23"/>
          <w:szCs w:val="23"/>
        </w:rPr>
        <w:t>1.</w:t>
      </w:r>
      <w:r>
        <w:rPr>
          <w:rFonts w:ascii="宋体" w:hAnsi="宋体" w:eastAsia="宋体" w:cs="宋体"/>
          <w:spacing w:val="7"/>
          <w:sz w:val="23"/>
          <w:szCs w:val="23"/>
        </w:rPr>
        <w:t>本项目只允许有唯一的供应商授权代表，提供身份证明扫描件；</w:t>
      </w:r>
      <w:r>
        <w:rPr>
          <w:rFonts w:ascii="宋体" w:hAnsi="宋体" w:eastAsia="宋体" w:cs="宋体"/>
          <w:sz w:val="23"/>
          <w:szCs w:val="23"/>
        </w:rPr>
        <w:t xml:space="preserve"> </w:t>
      </w:r>
    </w:p>
    <w:p w14:paraId="44331513">
      <w:pPr>
        <w:spacing w:before="271" w:line="466" w:lineRule="auto"/>
        <w:ind w:left="739" w:right="1164"/>
        <w:rPr>
          <w:rFonts w:ascii="宋体" w:hAnsi="宋体" w:eastAsia="宋体" w:cs="宋体"/>
          <w:sz w:val="23"/>
          <w:szCs w:val="23"/>
        </w:rPr>
      </w:pPr>
      <w:r>
        <w:rPr>
          <w:rFonts w:ascii="宋体" w:hAnsi="宋体" w:eastAsia="宋体" w:cs="宋体"/>
          <w:spacing w:val="8"/>
          <w:sz w:val="23"/>
          <w:szCs w:val="23"/>
        </w:rPr>
        <w:t>2.法定代表人参加响应的无需提供授权书，提供身份证明扫描件</w:t>
      </w:r>
      <w:r>
        <w:rPr>
          <w:rFonts w:ascii="宋体" w:hAnsi="宋体" w:eastAsia="宋体" w:cs="宋体"/>
          <w:spacing w:val="5"/>
          <w:sz w:val="23"/>
          <w:szCs w:val="23"/>
        </w:rPr>
        <w:t>。</w:t>
      </w:r>
    </w:p>
    <w:p w14:paraId="011A4BEE">
      <w:pPr>
        <w:sectPr>
          <w:headerReference r:id="rId17" w:type="default"/>
          <w:footerReference r:id="rId18" w:type="default"/>
          <w:pgSz w:w="11906" w:h="16839"/>
          <w:pgMar w:top="1136" w:right="1241" w:bottom="1414" w:left="1521" w:header="878" w:footer="1167" w:gutter="0"/>
          <w:cols w:space="720" w:num="1"/>
        </w:sectPr>
      </w:pPr>
    </w:p>
    <w:p w14:paraId="43509FAB">
      <w:pPr>
        <w:spacing w:line="341" w:lineRule="auto"/>
      </w:pPr>
    </w:p>
    <w:p w14:paraId="0A36CA3E">
      <w:pPr>
        <w:spacing w:before="75" w:line="237" w:lineRule="auto"/>
        <w:jc w:val="center"/>
        <w:outlineLvl w:val="1"/>
        <w:rPr>
          <w:rFonts w:ascii="宋体" w:hAnsi="宋体" w:eastAsia="宋体" w:cs="宋体"/>
          <w:spacing w:val="8"/>
          <w:sz w:val="23"/>
          <w:szCs w:val="23"/>
        </w:rPr>
      </w:pPr>
      <w:bookmarkStart w:id="36" w:name="_Toc29374"/>
      <w:r>
        <w:rPr>
          <w:rFonts w:hint="eastAsia" w:ascii="黑体" w:hAnsi="黑体" w:eastAsia="黑体" w:cs="黑体"/>
          <w:b/>
          <w:bCs/>
          <w:spacing w:val="8"/>
          <w:sz w:val="28"/>
          <w:szCs w:val="28"/>
        </w:rPr>
        <w:t>五、响应表</w:t>
      </w:r>
      <w:bookmarkEnd w:id="36"/>
    </w:p>
    <w:p w14:paraId="5D186434">
      <w:pPr>
        <w:spacing w:before="75" w:line="237" w:lineRule="auto"/>
        <w:rPr>
          <w:rFonts w:ascii="宋体" w:hAnsi="宋体" w:eastAsia="宋体" w:cs="宋体"/>
          <w:spacing w:val="8"/>
          <w:sz w:val="23"/>
          <w:szCs w:val="23"/>
        </w:rPr>
      </w:pPr>
    </w:p>
    <w:p w14:paraId="7396069A">
      <w:pPr>
        <w:spacing w:before="75" w:line="237" w:lineRule="auto"/>
        <w:rPr>
          <w:rFonts w:ascii="宋体" w:hAnsi="宋体" w:eastAsia="宋体" w:cs="宋体"/>
          <w:spacing w:val="8"/>
          <w:sz w:val="23"/>
          <w:szCs w:val="23"/>
        </w:rPr>
      </w:pPr>
    </w:p>
    <w:p w14:paraId="1E61E29F">
      <w:pPr>
        <w:jc w:val="center"/>
        <w:rPr>
          <w:rFonts w:ascii="黑体" w:eastAsia="黑体"/>
          <w:bCs/>
          <w:sz w:val="28"/>
          <w:szCs w:val="28"/>
        </w:rPr>
      </w:pPr>
      <w:r>
        <w:rPr>
          <w:rFonts w:hint="eastAsia" w:ascii="黑体" w:eastAsia="黑体"/>
          <w:bCs/>
          <w:sz w:val="28"/>
          <w:szCs w:val="28"/>
        </w:rPr>
        <w:t>征集文件需求偏离表</w:t>
      </w:r>
    </w:p>
    <w:p w14:paraId="62D07C3C">
      <w:pPr>
        <w:spacing w:line="400" w:lineRule="exact"/>
        <w:jc w:val="center"/>
        <w:rPr>
          <w:rFonts w:ascii="黑体" w:eastAsia="黑体"/>
          <w:bCs/>
          <w:sz w:val="28"/>
          <w:szCs w:val="28"/>
        </w:rPr>
      </w:pPr>
    </w:p>
    <w:p w14:paraId="5915E392">
      <w:pPr>
        <w:spacing w:line="400" w:lineRule="exact"/>
        <w:jc w:val="center"/>
        <w:rPr>
          <w:rFonts w:ascii="黑体" w:eastAsia="黑体"/>
          <w:bCs/>
          <w:sz w:val="28"/>
          <w:szCs w:val="28"/>
        </w:rPr>
      </w:pPr>
    </w:p>
    <w:p w14:paraId="2887987C">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p>
    <w:p w14:paraId="6585CAAD">
      <w:pPr>
        <w:spacing w:line="400" w:lineRule="exact"/>
        <w:rPr>
          <w:rFonts w:ascii="黑体" w:eastAsia="黑体"/>
          <w:bCs/>
          <w:sz w:val="24"/>
          <w:szCs w:val="24"/>
        </w:rPr>
      </w:pPr>
    </w:p>
    <w:tbl>
      <w:tblPr>
        <w:tblStyle w:val="24"/>
        <w:tblW w:w="8508" w:type="dxa"/>
        <w:tblInd w:w="0" w:type="dxa"/>
        <w:tblLayout w:type="fixed"/>
        <w:tblCellMar>
          <w:top w:w="0" w:type="dxa"/>
          <w:left w:w="0" w:type="dxa"/>
          <w:bottom w:w="0" w:type="dxa"/>
          <w:right w:w="0" w:type="dxa"/>
        </w:tblCellMar>
      </w:tblPr>
      <w:tblGrid>
        <w:gridCol w:w="1518"/>
        <w:gridCol w:w="2625"/>
        <w:gridCol w:w="2475"/>
        <w:gridCol w:w="1890"/>
      </w:tblGrid>
      <w:tr w14:paraId="5FDF2B3A">
        <w:tblPrEx>
          <w:tblCellMar>
            <w:top w:w="0" w:type="dxa"/>
            <w:left w:w="0" w:type="dxa"/>
            <w:bottom w:w="0" w:type="dxa"/>
            <w:right w:w="0" w:type="dxa"/>
          </w:tblCellMar>
        </w:tblPrEx>
        <w:trPr>
          <w:cantSplit/>
          <w:trHeight w:val="555" w:hRule="atLeast"/>
        </w:trPr>
        <w:tc>
          <w:tcPr>
            <w:tcW w:w="15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51D5AD">
            <w:pPr>
              <w:jc w:val="center"/>
              <w:rPr>
                <w:rFonts w:ascii="宋体"/>
                <w:b/>
                <w:bCs/>
                <w:sz w:val="24"/>
                <w:szCs w:val="24"/>
              </w:rPr>
            </w:pPr>
            <w:r>
              <w:rPr>
                <w:rFonts w:hint="eastAsia" w:ascii="宋体" w:hAnsi="宋体"/>
                <w:b/>
                <w:bCs/>
                <w:sz w:val="24"/>
                <w:szCs w:val="24"/>
              </w:rPr>
              <w:t>序号</w:t>
            </w:r>
          </w:p>
        </w:tc>
        <w:tc>
          <w:tcPr>
            <w:tcW w:w="2625" w:type="dxa"/>
            <w:tcBorders>
              <w:top w:val="single" w:color="auto" w:sz="4" w:space="0"/>
              <w:left w:val="single" w:color="auto" w:sz="4" w:space="0"/>
              <w:bottom w:val="single" w:color="auto" w:sz="4" w:space="0"/>
              <w:right w:val="single" w:color="auto" w:sz="4" w:space="0"/>
            </w:tcBorders>
            <w:vAlign w:val="center"/>
          </w:tcPr>
          <w:p w14:paraId="241BA883">
            <w:pPr>
              <w:jc w:val="center"/>
              <w:rPr>
                <w:rFonts w:ascii="宋体"/>
                <w:b/>
                <w:bCs/>
                <w:sz w:val="24"/>
                <w:szCs w:val="24"/>
              </w:rPr>
            </w:pPr>
            <w:r>
              <w:rPr>
                <w:rFonts w:hint="eastAsia" w:ascii="宋体" w:hAnsi="宋体"/>
                <w:b/>
                <w:bCs/>
                <w:sz w:val="24"/>
                <w:szCs w:val="24"/>
              </w:rPr>
              <w:t>采购要求</w:t>
            </w:r>
          </w:p>
        </w:tc>
        <w:tc>
          <w:tcPr>
            <w:tcW w:w="2475" w:type="dxa"/>
            <w:tcBorders>
              <w:top w:val="single" w:color="auto" w:sz="4" w:space="0"/>
              <w:left w:val="single" w:color="auto" w:sz="4" w:space="0"/>
              <w:bottom w:val="single" w:color="auto" w:sz="4" w:space="0"/>
              <w:right w:val="single" w:color="auto" w:sz="4" w:space="0"/>
            </w:tcBorders>
            <w:vAlign w:val="center"/>
          </w:tcPr>
          <w:p w14:paraId="521530A6">
            <w:pPr>
              <w:jc w:val="center"/>
              <w:rPr>
                <w:rFonts w:ascii="宋体"/>
                <w:b/>
                <w:bCs/>
                <w:sz w:val="24"/>
                <w:szCs w:val="24"/>
              </w:rPr>
            </w:pPr>
            <w:r>
              <w:rPr>
                <w:rFonts w:hint="eastAsia" w:ascii="宋体" w:hAnsi="宋体"/>
                <w:b/>
                <w:bCs/>
                <w:sz w:val="24"/>
                <w:szCs w:val="24"/>
              </w:rPr>
              <w:t>响应情况</w:t>
            </w:r>
          </w:p>
        </w:tc>
        <w:tc>
          <w:tcPr>
            <w:tcW w:w="1890" w:type="dxa"/>
            <w:tcBorders>
              <w:top w:val="single" w:color="auto" w:sz="4" w:space="0"/>
              <w:left w:val="single" w:color="auto" w:sz="4" w:space="0"/>
              <w:bottom w:val="single" w:color="auto" w:sz="4" w:space="0"/>
              <w:right w:val="single" w:color="auto" w:sz="4" w:space="0"/>
            </w:tcBorders>
            <w:vAlign w:val="center"/>
          </w:tcPr>
          <w:p w14:paraId="599CB731">
            <w:pPr>
              <w:jc w:val="center"/>
              <w:rPr>
                <w:rFonts w:ascii="宋体"/>
                <w:b/>
                <w:bCs/>
                <w:sz w:val="24"/>
                <w:szCs w:val="24"/>
              </w:rPr>
            </w:pPr>
            <w:r>
              <w:rPr>
                <w:rFonts w:hint="eastAsia" w:ascii="宋体" w:hAnsi="宋体"/>
                <w:b/>
                <w:bCs/>
                <w:sz w:val="24"/>
                <w:szCs w:val="24"/>
              </w:rPr>
              <w:t>偏离情况</w:t>
            </w:r>
          </w:p>
        </w:tc>
      </w:tr>
      <w:tr w14:paraId="63E77A53">
        <w:tblPrEx>
          <w:tblCellMar>
            <w:top w:w="0" w:type="dxa"/>
            <w:left w:w="0" w:type="dxa"/>
            <w:bottom w:w="0" w:type="dxa"/>
            <w:right w:w="0" w:type="dxa"/>
          </w:tblCellMar>
        </w:tblPrEx>
        <w:trPr>
          <w:cantSplit/>
          <w:trHeight w:val="510" w:hRule="atLeast"/>
        </w:trPr>
        <w:tc>
          <w:tcPr>
            <w:tcW w:w="151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3B58EB">
            <w:pPr>
              <w:jc w:val="center"/>
              <w:rPr>
                <w:rFonts w:ascii="宋体"/>
                <w:bCs/>
              </w:rPr>
            </w:pPr>
          </w:p>
        </w:tc>
        <w:tc>
          <w:tcPr>
            <w:tcW w:w="2625" w:type="dxa"/>
            <w:tcBorders>
              <w:top w:val="single" w:color="auto" w:sz="4" w:space="0"/>
              <w:left w:val="single" w:color="auto" w:sz="4" w:space="0"/>
              <w:bottom w:val="single" w:color="auto" w:sz="4" w:space="0"/>
              <w:right w:val="single" w:color="auto" w:sz="4" w:space="0"/>
            </w:tcBorders>
            <w:vAlign w:val="center"/>
          </w:tcPr>
          <w:p w14:paraId="43F15E8D">
            <w:pPr>
              <w:jc w:val="center"/>
              <w:rPr>
                <w:rFonts w:ascii="宋体"/>
                <w:bCs/>
              </w:rPr>
            </w:pPr>
          </w:p>
        </w:tc>
        <w:tc>
          <w:tcPr>
            <w:tcW w:w="2475" w:type="dxa"/>
            <w:tcBorders>
              <w:top w:val="single" w:color="auto" w:sz="4" w:space="0"/>
              <w:left w:val="single" w:color="auto" w:sz="4" w:space="0"/>
              <w:bottom w:val="single" w:color="auto" w:sz="4" w:space="0"/>
              <w:right w:val="single" w:color="auto" w:sz="4" w:space="0"/>
            </w:tcBorders>
            <w:vAlign w:val="center"/>
          </w:tcPr>
          <w:p w14:paraId="7E5659FD">
            <w:pPr>
              <w:jc w:val="center"/>
              <w:rPr>
                <w:rFonts w:ascii="宋体"/>
                <w:bCs/>
              </w:rPr>
            </w:pPr>
          </w:p>
        </w:tc>
        <w:tc>
          <w:tcPr>
            <w:tcW w:w="1890" w:type="dxa"/>
            <w:tcBorders>
              <w:top w:val="single" w:color="auto" w:sz="4" w:space="0"/>
              <w:left w:val="single" w:color="auto" w:sz="4" w:space="0"/>
              <w:bottom w:val="single" w:color="auto" w:sz="4" w:space="0"/>
              <w:right w:val="single" w:color="auto" w:sz="4" w:space="0"/>
            </w:tcBorders>
            <w:vAlign w:val="center"/>
          </w:tcPr>
          <w:p w14:paraId="5510755A">
            <w:pPr>
              <w:jc w:val="center"/>
              <w:rPr>
                <w:rFonts w:ascii="宋体"/>
                <w:bCs/>
              </w:rPr>
            </w:pPr>
          </w:p>
        </w:tc>
      </w:tr>
    </w:tbl>
    <w:p w14:paraId="0F6B12B8">
      <w:pPr>
        <w:rPr>
          <w:rFonts w:ascii="宋体"/>
          <w:b/>
          <w:sz w:val="24"/>
          <w:szCs w:val="24"/>
        </w:rPr>
      </w:pPr>
    </w:p>
    <w:p w14:paraId="7CF39D1A">
      <w:pPr>
        <w:rPr>
          <w:b/>
          <w:bCs/>
          <w:sz w:val="24"/>
          <w:szCs w:val="24"/>
        </w:rPr>
      </w:pPr>
      <w:r>
        <w:rPr>
          <w:rFonts w:hint="eastAsia"/>
          <w:b/>
          <w:bCs/>
          <w:sz w:val="24"/>
          <w:szCs w:val="24"/>
        </w:rPr>
        <w:t>法定代表人或法定代表人授权代表签字或盖章：</w:t>
      </w:r>
    </w:p>
    <w:p w14:paraId="0A579C7A">
      <w:pPr>
        <w:rPr>
          <w:rFonts w:ascii="宋体"/>
          <w:bCs/>
          <w:sz w:val="30"/>
        </w:rPr>
      </w:pPr>
    </w:p>
    <w:p w14:paraId="3676D715">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注：（</w:t>
      </w:r>
      <w:r>
        <w:rPr>
          <w:rFonts w:ascii="宋体" w:hAnsi="宋体" w:eastAsia="宋体" w:cs="宋体"/>
          <w:spacing w:val="8"/>
          <w:sz w:val="20"/>
          <w:szCs w:val="20"/>
        </w:rPr>
        <w:t>1</w:t>
      </w:r>
      <w:r>
        <w:rPr>
          <w:rFonts w:hint="eastAsia" w:ascii="宋体" w:hAnsi="宋体" w:eastAsia="宋体" w:cs="宋体"/>
          <w:spacing w:val="8"/>
          <w:sz w:val="20"/>
          <w:szCs w:val="20"/>
        </w:rPr>
        <w:t>）本表不得删除。</w:t>
      </w:r>
    </w:p>
    <w:p w14:paraId="57BDDFFD">
      <w:pPr>
        <w:spacing w:before="65" w:line="517" w:lineRule="auto"/>
        <w:ind w:left="24" w:firstLine="12"/>
        <w:rPr>
          <w:rFonts w:ascii="宋体" w:hAnsi="宋体" w:eastAsia="宋体" w:cs="宋体"/>
          <w:spacing w:val="8"/>
          <w:sz w:val="20"/>
          <w:szCs w:val="20"/>
        </w:rPr>
      </w:pPr>
      <w:r>
        <w:rPr>
          <w:rFonts w:ascii="宋体" w:hAnsi="宋体" w:eastAsia="宋体" w:cs="宋体"/>
          <w:spacing w:val="8"/>
          <w:sz w:val="20"/>
          <w:szCs w:val="20"/>
        </w:rPr>
        <w:t xml:space="preserve">   </w:t>
      </w:r>
      <w:r>
        <w:rPr>
          <w:rFonts w:hint="eastAsia" w:ascii="宋体" w:hAnsi="宋体" w:eastAsia="宋体" w:cs="宋体"/>
          <w:spacing w:val="8"/>
          <w:sz w:val="20"/>
          <w:szCs w:val="20"/>
        </w:rPr>
        <w:t xml:space="preserve"> （</w:t>
      </w:r>
      <w:r>
        <w:rPr>
          <w:rFonts w:ascii="宋体" w:hAnsi="宋体" w:eastAsia="宋体" w:cs="宋体"/>
          <w:spacing w:val="8"/>
          <w:sz w:val="20"/>
          <w:szCs w:val="20"/>
        </w:rPr>
        <w:t>2</w:t>
      </w:r>
      <w:r>
        <w:rPr>
          <w:rFonts w:hint="eastAsia" w:ascii="宋体" w:hAnsi="宋体" w:eastAsia="宋体" w:cs="宋体"/>
          <w:spacing w:val="8"/>
          <w:sz w:val="20"/>
          <w:szCs w:val="20"/>
        </w:rPr>
        <w:t>）对本征集文件中所有要求如无任何偏离情况，请于本表“响应情况”中注明“响应”，于“偏离情况”中注明“无偏离”。</w:t>
      </w:r>
    </w:p>
    <w:p w14:paraId="13A01A89">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（3）如有偏离项，请于本表“响应情况”中写明实报内容，于“偏离情况”中注明实际偏离情况（比如“正偏离”），本项目采购要求均不接受负偏离。其余无偏离内容不须赘述。</w:t>
      </w:r>
    </w:p>
    <w:p w14:paraId="02552DFD">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（4）表格不够可自行延长。</w:t>
      </w:r>
    </w:p>
    <w:p w14:paraId="024DDC7A">
      <w:pPr>
        <w:spacing w:before="130" w:line="227" w:lineRule="auto"/>
        <w:ind w:left="119"/>
        <w:rPr>
          <w:rFonts w:ascii="宋体" w:hAnsi="宋体" w:eastAsia="宋体" w:cs="宋体"/>
          <w:sz w:val="23"/>
          <w:szCs w:val="23"/>
        </w:rPr>
      </w:pPr>
    </w:p>
    <w:p w14:paraId="001C506D">
      <w:pPr>
        <w:sectPr>
          <w:headerReference r:id="rId19" w:type="default"/>
          <w:footerReference r:id="rId20" w:type="default"/>
          <w:pgSz w:w="11906" w:h="16839"/>
          <w:pgMar w:top="1136" w:right="1691" w:bottom="1414" w:left="1690" w:header="878" w:footer="1167" w:gutter="0"/>
          <w:cols w:space="720" w:num="1"/>
        </w:sectPr>
      </w:pPr>
    </w:p>
    <w:p w14:paraId="1AEB3636">
      <w:pPr>
        <w:spacing w:line="340" w:lineRule="auto"/>
      </w:pPr>
    </w:p>
    <w:p w14:paraId="2CBC1057">
      <w:pPr>
        <w:spacing w:before="75" w:line="228" w:lineRule="auto"/>
        <w:ind w:left="2737"/>
        <w:outlineLvl w:val="1"/>
        <w:rPr>
          <w:rFonts w:ascii="黑体" w:hAnsi="黑体" w:eastAsia="黑体" w:cs="黑体"/>
          <w:b/>
          <w:bCs/>
          <w:sz w:val="28"/>
          <w:szCs w:val="28"/>
        </w:rPr>
      </w:pPr>
      <w:bookmarkStart w:id="37" w:name="_Toc27724"/>
      <w:r>
        <w:rPr>
          <w:rFonts w:hint="eastAsia" w:ascii="黑体" w:hAnsi="黑体" w:eastAsia="黑体" w:cs="黑体"/>
          <w:b/>
          <w:bCs/>
          <w:spacing w:val="14"/>
          <w:sz w:val="28"/>
          <w:szCs w:val="28"/>
        </w:rPr>
        <w:t>六</w:t>
      </w:r>
      <w:r>
        <w:rPr>
          <w:rFonts w:hint="eastAsia" w:ascii="黑体" w:hAnsi="黑体" w:eastAsia="黑体" w:cs="黑体"/>
          <w:b/>
          <w:bCs/>
          <w:spacing w:val="8"/>
          <w:sz w:val="28"/>
          <w:szCs w:val="28"/>
        </w:rPr>
        <w:t>、服务方案</w:t>
      </w:r>
      <w:bookmarkEnd w:id="37"/>
    </w:p>
    <w:p w14:paraId="065D68A3">
      <w:pPr>
        <w:spacing w:before="277" w:line="211" w:lineRule="auto"/>
        <w:ind w:left="2886"/>
        <w:rPr>
          <w:rFonts w:ascii="宋体" w:hAnsi="宋体" w:eastAsia="宋体" w:cs="宋体"/>
          <w:sz w:val="25"/>
          <w:szCs w:val="25"/>
        </w:rPr>
      </w:pPr>
      <w:r>
        <w:rPr>
          <w:rFonts w:ascii="宋体" w:hAnsi="宋体" w:eastAsia="宋体" w:cs="宋体"/>
          <w:i/>
          <w:iCs/>
          <w:spacing w:val="-12"/>
          <w:sz w:val="25"/>
          <w:szCs w:val="25"/>
        </w:rPr>
        <w:t>（</w:t>
      </w:r>
      <w:r>
        <w:rPr>
          <w:rFonts w:ascii="宋体" w:hAnsi="宋体" w:eastAsia="宋体" w:cs="宋体"/>
          <w:i/>
          <w:iCs/>
          <w:spacing w:val="-8"/>
          <w:sz w:val="25"/>
          <w:szCs w:val="25"/>
        </w:rPr>
        <w:t>供</w:t>
      </w:r>
      <w:r>
        <w:rPr>
          <w:rFonts w:ascii="宋体" w:hAnsi="宋体" w:eastAsia="宋体" w:cs="宋体"/>
          <w:i/>
          <w:iCs/>
          <w:spacing w:val="-6"/>
          <w:sz w:val="25"/>
          <w:szCs w:val="25"/>
        </w:rPr>
        <w:t>应商可自行制作格式）</w:t>
      </w:r>
    </w:p>
    <w:p w14:paraId="1E3D01C9">
      <w:pPr>
        <w:sectPr>
          <w:headerReference r:id="rId21" w:type="default"/>
          <w:footerReference r:id="rId22" w:type="default"/>
          <w:pgSz w:w="11906" w:h="16839"/>
          <w:pgMar w:top="1136" w:right="1785" w:bottom="1414" w:left="1785" w:header="878" w:footer="1167" w:gutter="0"/>
          <w:cols w:space="720" w:num="1"/>
        </w:sectPr>
      </w:pPr>
    </w:p>
    <w:p w14:paraId="0735CEDC">
      <w:pPr>
        <w:spacing w:line="341" w:lineRule="auto"/>
      </w:pPr>
    </w:p>
    <w:p w14:paraId="0DB14597">
      <w:pPr>
        <w:spacing w:before="74" w:line="230" w:lineRule="auto"/>
        <w:ind w:left="3101"/>
        <w:outlineLvl w:val="1"/>
        <w:rPr>
          <w:rFonts w:ascii="黑体" w:hAnsi="黑体" w:eastAsia="黑体" w:cs="黑体"/>
          <w:b/>
          <w:bCs/>
          <w:sz w:val="28"/>
          <w:szCs w:val="28"/>
        </w:rPr>
      </w:pPr>
      <w:bookmarkStart w:id="38" w:name="_Toc22655"/>
      <w:r>
        <w:rPr>
          <w:rFonts w:hint="eastAsia" w:ascii="黑体" w:hAnsi="黑体" w:eastAsia="黑体" w:cs="黑体"/>
          <w:b/>
          <w:bCs/>
          <w:spacing w:val="10"/>
          <w:sz w:val="28"/>
          <w:szCs w:val="28"/>
        </w:rPr>
        <w:t>七</w:t>
      </w:r>
      <w:r>
        <w:rPr>
          <w:rFonts w:hint="eastAsia" w:ascii="黑体" w:hAnsi="黑体" w:eastAsia="黑体" w:cs="黑体"/>
          <w:b/>
          <w:bCs/>
          <w:spacing w:val="9"/>
          <w:sz w:val="28"/>
          <w:szCs w:val="28"/>
        </w:rPr>
        <w:t>、中小企业声明函</w:t>
      </w:r>
      <w:bookmarkEnd w:id="38"/>
    </w:p>
    <w:p w14:paraId="4EC7AB25">
      <w:pPr>
        <w:spacing w:before="274" w:line="213" w:lineRule="auto"/>
        <w:ind w:left="2486"/>
        <w:rPr>
          <w:rFonts w:ascii="宋体" w:hAnsi="宋体" w:eastAsia="宋体" w:cs="宋体"/>
          <w:sz w:val="25"/>
          <w:szCs w:val="25"/>
        </w:rPr>
      </w:pPr>
      <w:r>
        <w:rPr>
          <w:rFonts w:ascii="宋体" w:hAnsi="宋体" w:eastAsia="宋体" w:cs="宋体"/>
          <w:i/>
          <w:iCs/>
          <w:spacing w:val="8"/>
          <w:sz w:val="25"/>
          <w:szCs w:val="25"/>
        </w:rPr>
        <w:t>（</w:t>
      </w:r>
      <w:r>
        <w:rPr>
          <w:rFonts w:ascii="宋体" w:hAnsi="宋体" w:eastAsia="宋体" w:cs="宋体"/>
          <w:i/>
          <w:iCs/>
          <w:spacing w:val="4"/>
          <w:sz w:val="25"/>
          <w:szCs w:val="25"/>
        </w:rPr>
        <w:t>非中小企业投标，不需此件）</w:t>
      </w:r>
    </w:p>
    <w:p w14:paraId="471F6DC1">
      <w:pPr>
        <w:spacing w:line="250" w:lineRule="auto"/>
        <w:jc w:val="both"/>
      </w:pPr>
    </w:p>
    <w:p w14:paraId="1A8D514C">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4AE3998">
      <w:pPr>
        <w:spacing w:before="75" w:line="325" w:lineRule="auto"/>
        <w:ind w:left="22" w:right="77" w:firstLine="436"/>
        <w:rPr>
          <w:rFonts w:hint="eastAsia" w:ascii="宋体" w:hAnsi="宋体" w:eastAsia="宋体" w:cs="宋体"/>
          <w:spacing w:val="22"/>
          <w:sz w:val="23"/>
          <w:szCs w:val="23"/>
          <w:highlight w:val="none"/>
        </w:rPr>
      </w:pPr>
      <w:r>
        <w:rPr>
          <w:rFonts w:hint="eastAsia" w:ascii="宋体" w:hAnsi="宋体" w:eastAsia="宋体" w:cs="宋体"/>
          <w:spacing w:val="22"/>
          <w:sz w:val="23"/>
          <w:szCs w:val="23"/>
          <w:highlight w:val="none"/>
        </w:rPr>
        <w:t xml:space="preserve">1. </w:t>
      </w:r>
      <w:r>
        <w:rPr>
          <w:rFonts w:hint="eastAsia" w:ascii="宋体" w:hAnsi="宋体" w:eastAsia="宋体" w:cs="宋体"/>
          <w:spacing w:val="22"/>
          <w:sz w:val="23"/>
          <w:szCs w:val="23"/>
          <w:highlight w:val="none"/>
          <w:u w:val="single"/>
        </w:rPr>
        <w:t xml:space="preserve">（标的名称） </w:t>
      </w:r>
      <w:r>
        <w:rPr>
          <w:rFonts w:hint="eastAsia" w:ascii="宋体" w:hAnsi="宋体" w:eastAsia="宋体" w:cs="宋体"/>
          <w:spacing w:val="22"/>
          <w:sz w:val="23"/>
          <w:szCs w:val="23"/>
          <w:highlight w:val="none"/>
        </w:rPr>
        <w:t>，属于</w:t>
      </w:r>
      <w:r>
        <w:rPr>
          <w:rFonts w:hint="eastAsia" w:ascii="宋体" w:hAnsi="宋体" w:eastAsia="宋体" w:cs="宋体"/>
          <w:spacing w:val="22"/>
          <w:sz w:val="23"/>
          <w:szCs w:val="23"/>
          <w:highlight w:val="none"/>
          <w:u w:val="single"/>
        </w:rPr>
        <w:t>（采购文件中明确的所属行业）</w:t>
      </w:r>
      <w:r>
        <w:rPr>
          <w:rFonts w:hint="eastAsia" w:ascii="宋体" w:hAnsi="宋体" w:eastAsia="宋体" w:cs="宋体"/>
          <w:spacing w:val="22"/>
          <w:sz w:val="23"/>
          <w:szCs w:val="23"/>
          <w:highlight w:val="none"/>
        </w:rPr>
        <w:t>；承建（承接）企业为</w:t>
      </w:r>
      <w:r>
        <w:rPr>
          <w:rFonts w:hint="eastAsia" w:ascii="宋体" w:hAnsi="宋体" w:eastAsia="宋体" w:cs="宋体"/>
          <w:spacing w:val="22"/>
          <w:sz w:val="23"/>
          <w:szCs w:val="23"/>
          <w:highlight w:val="none"/>
          <w:u w:val="single"/>
        </w:rPr>
        <w:t>（企业名称）</w:t>
      </w:r>
      <w:r>
        <w:rPr>
          <w:rFonts w:hint="eastAsia" w:ascii="宋体" w:hAnsi="宋体" w:eastAsia="宋体" w:cs="宋体"/>
          <w:spacing w:val="22"/>
          <w:sz w:val="23"/>
          <w:szCs w:val="23"/>
          <w:highlight w:val="none"/>
        </w:rPr>
        <w:t>，从业人员</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人，营业收入为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万元，资产总额为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万元，属于</w:t>
      </w:r>
      <w:r>
        <w:rPr>
          <w:rFonts w:hint="eastAsia" w:ascii="宋体" w:hAnsi="宋体" w:eastAsia="宋体" w:cs="宋体"/>
          <w:spacing w:val="22"/>
          <w:sz w:val="23"/>
          <w:szCs w:val="23"/>
          <w:highlight w:val="none"/>
          <w:u w:val="single"/>
        </w:rPr>
        <w:t>（中型企业、小型企业、微型企业）</w:t>
      </w:r>
      <w:r>
        <w:rPr>
          <w:rFonts w:hint="eastAsia" w:ascii="宋体" w:hAnsi="宋体" w:eastAsia="宋体" w:cs="宋体"/>
          <w:spacing w:val="22"/>
          <w:sz w:val="23"/>
          <w:szCs w:val="23"/>
          <w:highlight w:val="none"/>
        </w:rPr>
        <w:t>；</w:t>
      </w:r>
    </w:p>
    <w:p w14:paraId="66A454A1">
      <w:pPr>
        <w:spacing w:before="75" w:line="325" w:lineRule="auto"/>
        <w:ind w:left="22" w:right="77" w:firstLine="436"/>
        <w:rPr>
          <w:rFonts w:hint="eastAsia" w:ascii="宋体" w:hAnsi="宋体" w:eastAsia="宋体" w:cs="宋体"/>
          <w:spacing w:val="22"/>
          <w:sz w:val="23"/>
          <w:szCs w:val="23"/>
          <w:highlight w:val="none"/>
        </w:rPr>
      </w:pPr>
      <w:r>
        <w:rPr>
          <w:rFonts w:hint="eastAsia" w:ascii="宋体" w:hAnsi="宋体" w:eastAsia="宋体" w:cs="宋体"/>
          <w:spacing w:val="22"/>
          <w:sz w:val="23"/>
          <w:szCs w:val="23"/>
          <w:highlight w:val="none"/>
        </w:rPr>
        <w:t xml:space="preserve">2. </w:t>
      </w:r>
      <w:r>
        <w:rPr>
          <w:rFonts w:hint="eastAsia" w:ascii="宋体" w:hAnsi="宋体" w:eastAsia="宋体" w:cs="宋体"/>
          <w:spacing w:val="22"/>
          <w:sz w:val="23"/>
          <w:szCs w:val="23"/>
          <w:highlight w:val="none"/>
          <w:u w:val="single"/>
        </w:rPr>
        <w:t xml:space="preserve">（标的名称） </w:t>
      </w:r>
      <w:r>
        <w:rPr>
          <w:rFonts w:hint="eastAsia" w:ascii="宋体" w:hAnsi="宋体" w:eastAsia="宋体" w:cs="宋体"/>
          <w:spacing w:val="22"/>
          <w:sz w:val="23"/>
          <w:szCs w:val="23"/>
          <w:highlight w:val="none"/>
        </w:rPr>
        <w:t>，属于</w:t>
      </w:r>
      <w:r>
        <w:rPr>
          <w:rFonts w:hint="eastAsia" w:ascii="宋体" w:hAnsi="宋体" w:eastAsia="宋体" w:cs="宋体"/>
          <w:spacing w:val="22"/>
          <w:sz w:val="23"/>
          <w:szCs w:val="23"/>
          <w:highlight w:val="none"/>
          <w:u w:val="single"/>
        </w:rPr>
        <w:t>（采购文件中明确的所属行业）</w:t>
      </w:r>
      <w:r>
        <w:rPr>
          <w:rFonts w:hint="eastAsia" w:ascii="宋体" w:hAnsi="宋体" w:eastAsia="宋体" w:cs="宋体"/>
          <w:spacing w:val="22"/>
          <w:sz w:val="23"/>
          <w:szCs w:val="23"/>
          <w:highlight w:val="none"/>
        </w:rPr>
        <w:t>；承建（承接）企业为</w:t>
      </w:r>
      <w:r>
        <w:rPr>
          <w:rFonts w:hint="eastAsia" w:ascii="宋体" w:hAnsi="宋体" w:eastAsia="宋体" w:cs="宋体"/>
          <w:spacing w:val="22"/>
          <w:sz w:val="23"/>
          <w:szCs w:val="23"/>
          <w:highlight w:val="none"/>
          <w:u w:val="single"/>
        </w:rPr>
        <w:t>（企业名称）</w:t>
      </w:r>
      <w:r>
        <w:rPr>
          <w:rFonts w:hint="eastAsia" w:ascii="宋体" w:hAnsi="宋体" w:eastAsia="宋体" w:cs="宋体"/>
          <w:spacing w:val="22"/>
          <w:sz w:val="23"/>
          <w:szCs w:val="23"/>
          <w:highlight w:val="none"/>
        </w:rPr>
        <w:t>，从业人员</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人，营业收入为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万元，资产总额为</w:t>
      </w:r>
      <w:r>
        <w:rPr>
          <w:rFonts w:hint="eastAsia" w:ascii="宋体" w:hAnsi="宋体" w:eastAsia="宋体" w:cs="宋体"/>
          <w:spacing w:val="22"/>
          <w:sz w:val="23"/>
          <w:szCs w:val="23"/>
          <w:highlight w:val="none"/>
          <w:u w:val="single"/>
          <w:lang w:val="en-US" w:eastAsia="zh-CN"/>
        </w:rPr>
        <w:t xml:space="preserve">  </w:t>
      </w:r>
      <w:r>
        <w:rPr>
          <w:rFonts w:hint="eastAsia" w:ascii="宋体" w:hAnsi="宋体" w:eastAsia="宋体" w:cs="宋体"/>
          <w:spacing w:val="22"/>
          <w:sz w:val="23"/>
          <w:szCs w:val="23"/>
          <w:highlight w:val="none"/>
        </w:rPr>
        <w:t>万元，属于</w:t>
      </w:r>
      <w:r>
        <w:rPr>
          <w:rFonts w:hint="eastAsia" w:ascii="宋体" w:hAnsi="宋体" w:eastAsia="宋体" w:cs="宋体"/>
          <w:spacing w:val="22"/>
          <w:sz w:val="23"/>
          <w:szCs w:val="23"/>
          <w:highlight w:val="none"/>
          <w:u w:val="single"/>
        </w:rPr>
        <w:t>（中型企业、小型企业、微型企业）</w:t>
      </w:r>
      <w:r>
        <w:rPr>
          <w:rFonts w:hint="eastAsia" w:ascii="宋体" w:hAnsi="宋体" w:eastAsia="宋体" w:cs="宋体"/>
          <w:spacing w:val="22"/>
          <w:sz w:val="23"/>
          <w:szCs w:val="23"/>
          <w:highlight w:val="none"/>
        </w:rPr>
        <w:t>；</w:t>
      </w:r>
    </w:p>
    <w:p w14:paraId="3F623128">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w:t>
      </w:r>
    </w:p>
    <w:p w14:paraId="475210A8">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以上企业，不属于大企业的分支机构，不存在控股股东为大企业的情形，也不存在与大企业的负责人为同一人的情形。</w:t>
      </w:r>
    </w:p>
    <w:p w14:paraId="0DDC7846">
      <w:pPr>
        <w:spacing w:before="75" w:line="325" w:lineRule="auto"/>
        <w:ind w:left="22" w:right="77" w:firstLine="436"/>
        <w:rPr>
          <w:rFonts w:hint="eastAsia" w:ascii="宋体" w:hAnsi="宋体" w:eastAsia="宋体" w:cs="宋体"/>
          <w:spacing w:val="22"/>
          <w:sz w:val="23"/>
          <w:szCs w:val="23"/>
        </w:rPr>
      </w:pPr>
      <w:r>
        <w:rPr>
          <w:rFonts w:hint="eastAsia" w:ascii="宋体" w:hAnsi="宋体" w:eastAsia="宋体" w:cs="宋体"/>
          <w:spacing w:val="22"/>
          <w:sz w:val="23"/>
          <w:szCs w:val="23"/>
        </w:rPr>
        <w:t>本企业对上述声明内容的真实性负责。如有虚假，将依法承担相应责任。</w:t>
      </w:r>
    </w:p>
    <w:p w14:paraId="68D34182">
      <w:pPr>
        <w:pStyle w:val="2"/>
        <w:numPr>
          <w:ilvl w:val="1"/>
          <w:numId w:val="0"/>
        </w:numPr>
        <w:ind w:left="420" w:leftChars="0"/>
        <w:rPr>
          <w:rFonts w:hint="eastAsia"/>
        </w:rPr>
      </w:pPr>
    </w:p>
    <w:p w14:paraId="1E5F98B6">
      <w:pPr>
        <w:rPr>
          <w:rFonts w:hint="eastAsia" w:ascii="宋体" w:hAnsi="宋体" w:eastAsia="宋体" w:cs="宋体"/>
          <w:spacing w:val="22"/>
          <w:sz w:val="23"/>
          <w:szCs w:val="23"/>
        </w:rPr>
      </w:pPr>
    </w:p>
    <w:p w14:paraId="5128493D">
      <w:pPr>
        <w:pStyle w:val="2"/>
        <w:numPr>
          <w:ilvl w:val="1"/>
          <w:numId w:val="0"/>
        </w:numPr>
        <w:ind w:left="420" w:leftChars="0"/>
        <w:rPr>
          <w:rFonts w:hint="eastAsia"/>
        </w:rPr>
      </w:pPr>
    </w:p>
    <w:p w14:paraId="55269B4E">
      <w:pPr>
        <w:rPr>
          <w:rFonts w:hint="eastAsia"/>
        </w:rPr>
      </w:pPr>
    </w:p>
    <w:p w14:paraId="070EC7E6">
      <w:pPr>
        <w:pStyle w:val="2"/>
        <w:numPr>
          <w:ilvl w:val="1"/>
          <w:numId w:val="0"/>
        </w:numPr>
        <w:ind w:left="420" w:leftChars="0"/>
        <w:rPr>
          <w:rFonts w:hint="eastAsia"/>
        </w:rPr>
      </w:pPr>
    </w:p>
    <w:p w14:paraId="0592B3A3">
      <w:pPr>
        <w:spacing w:before="75" w:line="325" w:lineRule="auto"/>
        <w:ind w:left="22" w:right="77" w:firstLine="436"/>
        <w:jc w:val="right"/>
        <w:rPr>
          <w:rFonts w:hint="eastAsia" w:ascii="宋体" w:hAnsi="宋体" w:eastAsia="宋体" w:cs="宋体"/>
          <w:spacing w:val="22"/>
          <w:sz w:val="23"/>
          <w:szCs w:val="23"/>
        </w:rPr>
      </w:pPr>
      <w:r>
        <w:rPr>
          <w:rFonts w:hint="eastAsia" w:ascii="宋体" w:hAnsi="宋体" w:eastAsia="宋体" w:cs="宋体"/>
          <w:spacing w:val="22"/>
          <w:sz w:val="23"/>
          <w:szCs w:val="23"/>
        </w:rPr>
        <w:t>企业名称（盖章）：</w:t>
      </w:r>
    </w:p>
    <w:p w14:paraId="6FAE611C">
      <w:pPr>
        <w:spacing w:before="75" w:line="325" w:lineRule="auto"/>
        <w:ind w:left="22" w:right="77" w:firstLine="436"/>
        <w:jc w:val="center"/>
      </w:pPr>
      <w:r>
        <w:rPr>
          <w:rFonts w:hint="eastAsia" w:ascii="宋体" w:hAnsi="宋体" w:eastAsia="宋体" w:cs="宋体"/>
          <w:spacing w:val="22"/>
          <w:sz w:val="23"/>
          <w:szCs w:val="23"/>
          <w:lang w:val="en-US" w:eastAsia="zh-CN"/>
        </w:rPr>
        <w:t xml:space="preserve">                        </w:t>
      </w:r>
      <w:r>
        <w:rPr>
          <w:rFonts w:hint="eastAsia" w:ascii="宋体" w:hAnsi="宋体" w:eastAsia="宋体" w:cs="宋体"/>
          <w:spacing w:val="22"/>
          <w:sz w:val="23"/>
          <w:szCs w:val="23"/>
        </w:rPr>
        <w:t>日期：</w:t>
      </w:r>
    </w:p>
    <w:p w14:paraId="2437CFA4">
      <w:pPr>
        <w:spacing w:line="340" w:lineRule="auto"/>
      </w:pPr>
    </w:p>
    <w:p w14:paraId="45149D15">
      <w:pPr>
        <w:pStyle w:val="2"/>
        <w:numPr>
          <w:ilvl w:val="1"/>
          <w:numId w:val="0"/>
        </w:numPr>
        <w:ind w:left="420" w:leftChars="0"/>
      </w:pPr>
    </w:p>
    <w:p w14:paraId="1F029F78">
      <w:pPr>
        <w:spacing w:before="75" w:line="229" w:lineRule="auto"/>
        <w:ind w:left="2616"/>
        <w:outlineLvl w:val="1"/>
        <w:rPr>
          <w:rFonts w:ascii="黑体" w:hAnsi="黑体" w:eastAsia="黑体" w:cs="黑体"/>
          <w:b/>
          <w:bCs/>
          <w:sz w:val="28"/>
          <w:szCs w:val="28"/>
        </w:rPr>
      </w:pPr>
      <w:bookmarkStart w:id="39" w:name="_Toc961"/>
      <w:r>
        <w:rPr>
          <w:rFonts w:hint="eastAsia" w:ascii="黑体" w:hAnsi="黑体" w:eastAsia="黑体" w:cs="黑体"/>
          <w:b/>
          <w:bCs/>
          <w:spacing w:val="11"/>
          <w:sz w:val="28"/>
          <w:szCs w:val="28"/>
        </w:rPr>
        <w:t>八</w:t>
      </w:r>
      <w:r>
        <w:rPr>
          <w:rFonts w:hint="eastAsia" w:ascii="黑体" w:hAnsi="黑体" w:eastAsia="黑体" w:cs="黑体"/>
          <w:b/>
          <w:bCs/>
          <w:spacing w:val="10"/>
          <w:sz w:val="28"/>
          <w:szCs w:val="28"/>
        </w:rPr>
        <w:t>、残疾人福利性单位声明函</w:t>
      </w:r>
      <w:bookmarkEnd w:id="39"/>
    </w:p>
    <w:p w14:paraId="2C6AA345">
      <w:pPr>
        <w:spacing w:before="275" w:line="306" w:lineRule="auto"/>
        <w:ind w:left="3805" w:hanging="3316"/>
        <w:rPr>
          <w:rFonts w:ascii="宋体" w:hAnsi="宋体" w:eastAsia="宋体" w:cs="宋体"/>
          <w:sz w:val="25"/>
          <w:szCs w:val="25"/>
        </w:rPr>
      </w:pPr>
      <w:r>
        <w:rPr>
          <w:rFonts w:ascii="宋体" w:hAnsi="宋体" w:eastAsia="宋体" w:cs="宋体"/>
          <w:i/>
          <w:iCs/>
          <w:spacing w:val="-12"/>
          <w:sz w:val="25"/>
          <w:szCs w:val="25"/>
        </w:rPr>
        <w:t>（请完</w:t>
      </w:r>
      <w:r>
        <w:rPr>
          <w:rFonts w:ascii="宋体" w:hAnsi="宋体" w:eastAsia="宋体" w:cs="宋体"/>
          <w:i/>
          <w:iCs/>
          <w:spacing w:val="-6"/>
          <w:sz w:val="25"/>
          <w:szCs w:val="25"/>
        </w:rPr>
        <w:t>整填写声明函内容，否则不予认可；非残疾人福利性单位投标，不需</w:t>
      </w:r>
      <w:r>
        <w:rPr>
          <w:rFonts w:ascii="宋体" w:hAnsi="宋体" w:eastAsia="宋体" w:cs="宋体"/>
          <w:i/>
          <w:iCs/>
          <w:spacing w:val="16"/>
          <w:sz w:val="25"/>
          <w:szCs w:val="25"/>
        </w:rPr>
        <w:t>此</w:t>
      </w:r>
      <w:r>
        <w:rPr>
          <w:rFonts w:ascii="宋体" w:hAnsi="宋体" w:eastAsia="宋体" w:cs="宋体"/>
          <w:i/>
          <w:iCs/>
          <w:spacing w:val="15"/>
          <w:sz w:val="25"/>
          <w:szCs w:val="25"/>
        </w:rPr>
        <w:t>件）</w:t>
      </w:r>
    </w:p>
    <w:p w14:paraId="67F37B14">
      <w:pPr>
        <w:spacing w:line="307" w:lineRule="auto"/>
      </w:pPr>
    </w:p>
    <w:p w14:paraId="74516118">
      <w:pPr>
        <w:spacing w:line="308" w:lineRule="auto"/>
      </w:pPr>
    </w:p>
    <w:p w14:paraId="212C6CD3">
      <w:pPr>
        <w:spacing w:before="75" w:line="325" w:lineRule="auto"/>
        <w:ind w:left="22" w:right="77" w:firstLine="436"/>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2"/>
          <w:sz w:val="23"/>
          <w:szCs w:val="23"/>
        </w:rPr>
        <w:t>单位郑重声明，根据《财政部民政部中国残疾人联合会关于促进残</w:t>
      </w:r>
      <w:r>
        <w:rPr>
          <w:rFonts w:ascii="宋体" w:hAnsi="宋体" w:eastAsia="宋体" w:cs="宋体"/>
          <w:spacing w:val="9"/>
          <w:sz w:val="23"/>
          <w:szCs w:val="23"/>
        </w:rPr>
        <w:t>疾人就业政府采购政策的通知》（财库〔2017〕141号）的规定，本单位为</w:t>
      </w:r>
      <w:r>
        <w:rPr>
          <w:rFonts w:ascii="宋体" w:hAnsi="宋体" w:eastAsia="宋体" w:cs="宋体"/>
          <w:spacing w:val="2"/>
          <w:sz w:val="23"/>
          <w:szCs w:val="23"/>
        </w:rPr>
        <w:t>符</w:t>
      </w:r>
      <w:r>
        <w:rPr>
          <w:rFonts w:ascii="宋体" w:hAnsi="宋体" w:eastAsia="宋体" w:cs="宋体"/>
          <w:spacing w:val="22"/>
          <w:sz w:val="23"/>
          <w:szCs w:val="23"/>
        </w:rPr>
        <w:t>合</w:t>
      </w:r>
      <w:r>
        <w:rPr>
          <w:rFonts w:ascii="宋体" w:hAnsi="宋体" w:eastAsia="宋体" w:cs="宋体"/>
          <w:spacing w:val="14"/>
          <w:sz w:val="23"/>
          <w:szCs w:val="23"/>
        </w:rPr>
        <w:t>条</w:t>
      </w:r>
      <w:r>
        <w:rPr>
          <w:rFonts w:ascii="宋体" w:hAnsi="宋体" w:eastAsia="宋体" w:cs="宋体"/>
          <w:spacing w:val="11"/>
          <w:sz w:val="23"/>
          <w:szCs w:val="23"/>
        </w:rPr>
        <w:t>件的残疾人福利性单位，且本单位参加</w:t>
      </w:r>
      <w:r>
        <w:rPr>
          <w:rFonts w:ascii="宋体" w:hAnsi="宋体" w:eastAsia="宋体" w:cs="宋体"/>
          <w:spacing w:val="11"/>
          <w:sz w:val="23"/>
          <w:szCs w:val="23"/>
          <w:u w:val="single"/>
        </w:rPr>
        <w:t xml:space="preserve">       </w:t>
      </w:r>
      <w:r>
        <w:rPr>
          <w:rFonts w:ascii="宋体" w:hAnsi="宋体" w:eastAsia="宋体" w:cs="宋体"/>
          <w:spacing w:val="11"/>
          <w:sz w:val="23"/>
          <w:szCs w:val="23"/>
        </w:rPr>
        <w:t>单位的</w:t>
      </w:r>
      <w:r>
        <w:rPr>
          <w:rFonts w:ascii="宋体" w:hAnsi="宋体" w:eastAsia="宋体" w:cs="宋体"/>
          <w:spacing w:val="11"/>
          <w:sz w:val="23"/>
          <w:szCs w:val="23"/>
          <w:u w:val="single"/>
        </w:rPr>
        <w:t xml:space="preserve">       </w:t>
      </w:r>
      <w:r>
        <w:rPr>
          <w:rFonts w:ascii="宋体" w:hAnsi="宋体" w:eastAsia="宋体" w:cs="宋体"/>
          <w:spacing w:val="11"/>
          <w:sz w:val="23"/>
          <w:szCs w:val="23"/>
        </w:rPr>
        <w:t>项目采</w:t>
      </w:r>
      <w:r>
        <w:rPr>
          <w:rFonts w:ascii="宋体" w:hAnsi="宋体" w:eastAsia="宋体" w:cs="宋体"/>
          <w:spacing w:val="22"/>
          <w:sz w:val="23"/>
          <w:szCs w:val="23"/>
        </w:rPr>
        <w:t>购活动提供本单位制造的</w:t>
      </w:r>
      <w:r>
        <w:rPr>
          <w:rFonts w:hint="eastAsia" w:ascii="宋体" w:hAnsi="宋体" w:eastAsia="宋体" w:cs="宋体"/>
          <w:spacing w:val="22"/>
          <w:sz w:val="23"/>
          <w:szCs w:val="23"/>
          <w:lang w:val="en-US" w:eastAsia="zh-CN"/>
        </w:rPr>
        <w:t>服务和产品</w:t>
      </w:r>
      <w:r>
        <w:rPr>
          <w:rFonts w:ascii="宋体" w:hAnsi="宋体" w:eastAsia="宋体" w:cs="宋体"/>
          <w:spacing w:val="22"/>
          <w:sz w:val="23"/>
          <w:szCs w:val="23"/>
        </w:rPr>
        <w:t>，或者提供其他残疾人福利性单位制造的</w:t>
      </w:r>
      <w:r>
        <w:rPr>
          <w:rFonts w:hint="eastAsia" w:ascii="宋体" w:hAnsi="宋体" w:eastAsia="宋体" w:cs="宋体"/>
          <w:spacing w:val="22"/>
          <w:sz w:val="23"/>
          <w:szCs w:val="23"/>
          <w:lang w:val="en-US" w:eastAsia="zh-CN"/>
        </w:rPr>
        <w:t>服务和产品</w:t>
      </w:r>
      <w:r>
        <w:rPr>
          <w:rFonts w:ascii="宋体" w:hAnsi="宋体" w:eastAsia="宋体" w:cs="宋体"/>
          <w:spacing w:val="22"/>
          <w:sz w:val="23"/>
          <w:szCs w:val="23"/>
        </w:rPr>
        <w:t>（不包括使用非</w:t>
      </w:r>
      <w:r>
        <w:rPr>
          <w:rFonts w:ascii="宋体" w:hAnsi="宋体" w:eastAsia="宋体" w:cs="宋体"/>
          <w:spacing w:val="19"/>
          <w:sz w:val="23"/>
          <w:szCs w:val="23"/>
        </w:rPr>
        <w:t>残疾人福利性单位注册商标的</w:t>
      </w:r>
      <w:r>
        <w:rPr>
          <w:rFonts w:hint="eastAsia" w:ascii="宋体" w:hAnsi="宋体" w:eastAsia="宋体" w:cs="宋体"/>
          <w:spacing w:val="19"/>
          <w:sz w:val="23"/>
          <w:szCs w:val="23"/>
          <w:lang w:val="en-US" w:eastAsia="zh-CN"/>
        </w:rPr>
        <w:t>服务和产品</w:t>
      </w:r>
      <w:r>
        <w:rPr>
          <w:rFonts w:ascii="宋体" w:hAnsi="宋体" w:eastAsia="宋体" w:cs="宋体"/>
          <w:spacing w:val="19"/>
          <w:sz w:val="23"/>
          <w:szCs w:val="23"/>
        </w:rPr>
        <w:t>）。</w:t>
      </w:r>
    </w:p>
    <w:p w14:paraId="5E1A2535">
      <w:pPr>
        <w:spacing w:before="132" w:line="227" w:lineRule="auto"/>
        <w:ind w:left="458"/>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r>
        <w:rPr>
          <w:rFonts w:hint="eastAsia" w:ascii="宋体" w:hAnsi="宋体" w:eastAsia="宋体" w:cs="宋体"/>
          <w:spacing w:val="20"/>
          <w:sz w:val="23"/>
          <w:szCs w:val="23"/>
        </w:rPr>
        <w:t>。</w:t>
      </w:r>
    </w:p>
    <w:p w14:paraId="0C40C247">
      <w:pPr>
        <w:spacing w:line="263" w:lineRule="auto"/>
      </w:pPr>
    </w:p>
    <w:p w14:paraId="0FDA6959">
      <w:pPr>
        <w:spacing w:line="263" w:lineRule="auto"/>
      </w:pPr>
    </w:p>
    <w:p w14:paraId="2E10F945">
      <w:pPr>
        <w:spacing w:line="263" w:lineRule="auto"/>
      </w:pPr>
    </w:p>
    <w:p w14:paraId="1DC59573">
      <w:pPr>
        <w:spacing w:line="263" w:lineRule="auto"/>
      </w:pPr>
    </w:p>
    <w:p w14:paraId="0056D183">
      <w:pPr>
        <w:spacing w:before="75" w:line="227" w:lineRule="auto"/>
        <w:ind w:left="425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4C62393F">
      <w:pPr>
        <w:spacing w:before="276" w:line="228" w:lineRule="auto"/>
        <w:ind w:left="4317"/>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5FF9030D">
      <w:pPr>
        <w:sectPr>
          <w:headerReference r:id="rId23" w:type="default"/>
          <w:footerReference r:id="rId24" w:type="default"/>
          <w:pgSz w:w="11906" w:h="16839"/>
          <w:pgMar w:top="1136" w:right="1721" w:bottom="1414" w:left="1785" w:header="878" w:footer="1167" w:gutter="0"/>
          <w:cols w:space="720" w:num="1"/>
        </w:sectPr>
      </w:pPr>
    </w:p>
    <w:p w14:paraId="558AC519">
      <w:pPr>
        <w:spacing w:line="340" w:lineRule="auto"/>
      </w:pPr>
    </w:p>
    <w:p w14:paraId="168BBF3D">
      <w:pPr>
        <w:spacing w:before="75" w:line="229" w:lineRule="auto"/>
        <w:ind w:left="2976"/>
        <w:outlineLvl w:val="1"/>
        <w:rPr>
          <w:rFonts w:ascii="黑体" w:hAnsi="黑体" w:eastAsia="黑体" w:cs="黑体"/>
          <w:b/>
          <w:bCs/>
          <w:sz w:val="28"/>
          <w:szCs w:val="28"/>
        </w:rPr>
      </w:pPr>
      <w:bookmarkStart w:id="40" w:name="_Toc791"/>
      <w:r>
        <w:rPr>
          <w:rFonts w:hint="eastAsia" w:ascii="黑体" w:hAnsi="黑体" w:eastAsia="黑体" w:cs="黑体"/>
          <w:b/>
          <w:bCs/>
          <w:spacing w:val="10"/>
          <w:sz w:val="28"/>
          <w:szCs w:val="28"/>
        </w:rPr>
        <w:t>九、诚信履约承诺</w:t>
      </w:r>
      <w:r>
        <w:rPr>
          <w:rFonts w:hint="eastAsia" w:ascii="黑体" w:hAnsi="黑体" w:eastAsia="黑体" w:cs="黑体"/>
          <w:b/>
          <w:bCs/>
          <w:spacing w:val="9"/>
          <w:sz w:val="28"/>
          <w:szCs w:val="28"/>
        </w:rPr>
        <w:t>函</w:t>
      </w:r>
      <w:bookmarkEnd w:id="40"/>
    </w:p>
    <w:p w14:paraId="1E323898">
      <w:pPr>
        <w:spacing w:line="252" w:lineRule="auto"/>
      </w:pPr>
    </w:p>
    <w:p w14:paraId="005A1467">
      <w:pPr>
        <w:spacing w:line="252" w:lineRule="auto"/>
      </w:pPr>
    </w:p>
    <w:p w14:paraId="7A7D9340">
      <w:pPr>
        <w:spacing w:line="252" w:lineRule="auto"/>
      </w:pPr>
    </w:p>
    <w:p w14:paraId="25F9CEEF">
      <w:pPr>
        <w:spacing w:before="274" w:line="227" w:lineRule="auto"/>
        <w:ind w:left="508"/>
        <w:rPr>
          <w:rFonts w:ascii="宋体" w:hAnsi="宋体" w:eastAsia="宋体" w:cs="宋体"/>
          <w:sz w:val="23"/>
          <w:szCs w:val="23"/>
        </w:rPr>
      </w:pPr>
      <w:r>
        <w:rPr>
          <w:rFonts w:ascii="宋体" w:hAnsi="宋体" w:eastAsia="宋体" w:cs="宋体"/>
          <w:spacing w:val="10"/>
          <w:sz w:val="23"/>
          <w:szCs w:val="23"/>
        </w:rPr>
        <w:t>致：</w:t>
      </w:r>
    </w:p>
    <w:p w14:paraId="2B7DE459">
      <w:pPr>
        <w:spacing w:before="277" w:line="327" w:lineRule="auto"/>
        <w:ind w:left="21" w:right="59" w:firstLine="485"/>
        <w:rPr>
          <w:rFonts w:ascii="宋体" w:hAnsi="宋体" w:eastAsia="宋体" w:cs="宋体"/>
          <w:sz w:val="23"/>
          <w:szCs w:val="23"/>
        </w:rPr>
      </w:pPr>
      <w:r>
        <w:rPr>
          <w:rFonts w:ascii="宋体" w:hAnsi="宋体" w:eastAsia="宋体" w:cs="宋体"/>
          <w:spacing w:val="12"/>
          <w:sz w:val="23"/>
          <w:szCs w:val="23"/>
        </w:rPr>
        <w:t>如我单位</w:t>
      </w:r>
      <w:r>
        <w:rPr>
          <w:rFonts w:ascii="宋体" w:hAnsi="宋体" w:eastAsia="宋体" w:cs="宋体"/>
          <w:spacing w:val="7"/>
          <w:sz w:val="23"/>
          <w:szCs w:val="23"/>
        </w:rPr>
        <w:t>被</w:t>
      </w:r>
      <w:r>
        <w:rPr>
          <w:rFonts w:ascii="宋体" w:hAnsi="宋体" w:eastAsia="宋体" w:cs="宋体"/>
          <w:spacing w:val="6"/>
          <w:sz w:val="23"/>
          <w:szCs w:val="23"/>
        </w:rPr>
        <w:t>确定为本项目入围供应商，我单位承诺在框架协议、合同签订及</w:t>
      </w:r>
      <w:r>
        <w:rPr>
          <w:rFonts w:ascii="宋体" w:hAnsi="宋体" w:eastAsia="宋体" w:cs="宋体"/>
          <w:spacing w:val="10"/>
          <w:sz w:val="23"/>
          <w:szCs w:val="23"/>
        </w:rPr>
        <w:t>履</w:t>
      </w:r>
      <w:r>
        <w:rPr>
          <w:rFonts w:ascii="宋体" w:hAnsi="宋体" w:eastAsia="宋体" w:cs="宋体"/>
          <w:spacing w:val="7"/>
          <w:sz w:val="23"/>
          <w:szCs w:val="23"/>
        </w:rPr>
        <w:t>约过程中将严格执行《中华人民共和国政府采购法》《中华人民共和国政府采</w:t>
      </w:r>
      <w:r>
        <w:rPr>
          <w:rFonts w:ascii="宋体" w:hAnsi="宋体" w:eastAsia="宋体" w:cs="宋体"/>
          <w:spacing w:val="10"/>
          <w:sz w:val="23"/>
          <w:szCs w:val="23"/>
        </w:rPr>
        <w:t>购</w:t>
      </w:r>
      <w:r>
        <w:rPr>
          <w:rFonts w:ascii="宋体" w:hAnsi="宋体" w:eastAsia="宋体" w:cs="宋体"/>
          <w:spacing w:val="7"/>
          <w:sz w:val="23"/>
          <w:szCs w:val="23"/>
        </w:rPr>
        <w:t>法实施条例》《政府采购框架协议采购方式管理暂行办法》及本项目征集文件</w:t>
      </w:r>
      <w:r>
        <w:rPr>
          <w:rFonts w:ascii="宋体" w:hAnsi="宋体" w:eastAsia="宋体" w:cs="宋体"/>
          <w:spacing w:val="18"/>
          <w:sz w:val="23"/>
          <w:szCs w:val="23"/>
        </w:rPr>
        <w:t>中</w:t>
      </w:r>
      <w:r>
        <w:rPr>
          <w:rFonts w:ascii="宋体" w:hAnsi="宋体" w:eastAsia="宋体" w:cs="宋体"/>
          <w:spacing w:val="11"/>
          <w:sz w:val="23"/>
          <w:szCs w:val="23"/>
        </w:rPr>
        <w:t>关</w:t>
      </w:r>
      <w:r>
        <w:rPr>
          <w:rFonts w:ascii="宋体" w:hAnsi="宋体" w:eastAsia="宋体" w:cs="宋体"/>
          <w:spacing w:val="9"/>
          <w:sz w:val="23"/>
          <w:szCs w:val="23"/>
        </w:rPr>
        <w:t>于框架协议、合同签订及履约的相关规定，不出现以下情形：</w:t>
      </w:r>
    </w:p>
    <w:p w14:paraId="2C53DA41">
      <w:pPr>
        <w:spacing w:before="132" w:line="332" w:lineRule="auto"/>
        <w:ind w:left="23" w:right="62" w:firstLine="491"/>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13"/>
          <w:sz w:val="23"/>
          <w:szCs w:val="23"/>
        </w:rPr>
        <w:t>1) 入围或者成交后无正当理由拒不与征集人签订框架协议或不与采购人</w:t>
      </w:r>
      <w:r>
        <w:rPr>
          <w:rFonts w:ascii="宋体" w:hAnsi="宋体" w:eastAsia="宋体" w:cs="宋体"/>
          <w:spacing w:val="8"/>
          <w:sz w:val="23"/>
          <w:szCs w:val="23"/>
        </w:rPr>
        <w:t>签订政府采购合同</w:t>
      </w:r>
      <w:r>
        <w:rPr>
          <w:rFonts w:ascii="宋体" w:hAnsi="宋体" w:eastAsia="宋体" w:cs="宋体"/>
          <w:spacing w:val="6"/>
          <w:sz w:val="23"/>
          <w:szCs w:val="23"/>
        </w:rPr>
        <w:t>；</w:t>
      </w:r>
    </w:p>
    <w:p w14:paraId="34779323">
      <w:pPr>
        <w:spacing w:before="131" w:line="227" w:lineRule="auto"/>
        <w:ind w:left="514"/>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未按照征集文件确定的事项签订框架协议和政府采购合同；</w:t>
      </w:r>
    </w:p>
    <w:p w14:paraId="6AF857F0">
      <w:pPr>
        <w:spacing w:before="276" w:line="227" w:lineRule="auto"/>
        <w:ind w:left="514"/>
        <w:rPr>
          <w:rFonts w:ascii="宋体" w:hAnsi="宋体" w:eastAsia="宋体" w:cs="宋体"/>
          <w:sz w:val="23"/>
          <w:szCs w:val="23"/>
        </w:rPr>
      </w:pPr>
      <w:r>
        <w:rPr>
          <w:rFonts w:ascii="宋体" w:hAnsi="宋体" w:eastAsia="宋体" w:cs="宋体"/>
          <w:spacing w:val="15"/>
          <w:sz w:val="23"/>
          <w:szCs w:val="23"/>
        </w:rPr>
        <w:t>(3) 将政府采购合同转包</w:t>
      </w:r>
      <w:r>
        <w:rPr>
          <w:rFonts w:ascii="宋体" w:hAnsi="宋体" w:eastAsia="宋体" w:cs="宋体"/>
          <w:spacing w:val="14"/>
          <w:sz w:val="23"/>
          <w:szCs w:val="23"/>
        </w:rPr>
        <w:t>；</w:t>
      </w:r>
    </w:p>
    <w:p w14:paraId="45F69CE5">
      <w:pPr>
        <w:spacing w:before="279" w:line="227" w:lineRule="auto"/>
        <w:ind w:left="514"/>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4) 提供假冒伪劣产品；</w:t>
      </w:r>
    </w:p>
    <w:p w14:paraId="2A717CCB">
      <w:pPr>
        <w:spacing w:before="277" w:line="228" w:lineRule="auto"/>
        <w:ind w:left="51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5</w:t>
      </w:r>
      <w:r>
        <w:rPr>
          <w:rFonts w:ascii="宋体" w:hAnsi="宋体" w:eastAsia="宋体" w:cs="宋体"/>
          <w:spacing w:val="12"/>
          <w:sz w:val="23"/>
          <w:szCs w:val="23"/>
        </w:rPr>
        <w:t>) 擅自变更、中止或者终止框架协议和政府采购合同。</w:t>
      </w:r>
    </w:p>
    <w:p w14:paraId="25805058">
      <w:pPr>
        <w:spacing w:before="276" w:line="327" w:lineRule="auto"/>
        <w:ind w:left="25" w:firstLine="479"/>
        <w:rPr>
          <w:rFonts w:ascii="宋体" w:hAnsi="宋体" w:eastAsia="宋体" w:cs="宋体"/>
          <w:sz w:val="23"/>
          <w:szCs w:val="23"/>
        </w:rPr>
      </w:pPr>
      <w:r>
        <w:rPr>
          <w:rFonts w:ascii="宋体" w:hAnsi="宋体" w:eastAsia="宋体" w:cs="宋体"/>
          <w:spacing w:val="2"/>
          <w:sz w:val="23"/>
          <w:szCs w:val="23"/>
        </w:rPr>
        <w:t>本单位知悉如出现上述情形，将会被依法追究法</w:t>
      </w:r>
      <w:r>
        <w:rPr>
          <w:rFonts w:ascii="宋体" w:hAnsi="宋体" w:eastAsia="宋体" w:cs="宋体"/>
          <w:spacing w:val="1"/>
          <w:sz w:val="23"/>
          <w:szCs w:val="23"/>
        </w:rPr>
        <w:t>律责任，可能的处理结果有：</w:t>
      </w:r>
      <w:r>
        <w:rPr>
          <w:rFonts w:ascii="宋体" w:hAnsi="宋体" w:eastAsia="宋体" w:cs="宋体"/>
          <w:spacing w:val="7"/>
          <w:sz w:val="23"/>
          <w:szCs w:val="23"/>
        </w:rPr>
        <w:t>处以采购金额千分之五以上千分之十以下的罚款，列入不良行为记录名单，在一至三年内禁止参加政府采购活动，有违法所得的，并处没收违法所得，情节严重</w:t>
      </w:r>
      <w:r>
        <w:rPr>
          <w:rFonts w:ascii="宋体" w:hAnsi="宋体" w:eastAsia="宋体" w:cs="宋体"/>
          <w:spacing w:val="18"/>
          <w:sz w:val="23"/>
          <w:szCs w:val="23"/>
        </w:rPr>
        <w:t>的</w:t>
      </w:r>
      <w:r>
        <w:rPr>
          <w:rFonts w:ascii="宋体" w:hAnsi="宋体" w:eastAsia="宋体" w:cs="宋体"/>
          <w:spacing w:val="11"/>
          <w:sz w:val="23"/>
          <w:szCs w:val="23"/>
        </w:rPr>
        <w:t>，</w:t>
      </w:r>
      <w:r>
        <w:rPr>
          <w:rFonts w:ascii="宋体" w:hAnsi="宋体" w:eastAsia="宋体" w:cs="宋体"/>
          <w:spacing w:val="9"/>
          <w:sz w:val="23"/>
          <w:szCs w:val="23"/>
        </w:rPr>
        <w:t>由工商行政管理机关吊销营业执照；构成犯罪的，依法追究刑事责任。</w:t>
      </w:r>
    </w:p>
    <w:p w14:paraId="76B36FFC">
      <w:pPr>
        <w:spacing w:line="291" w:lineRule="auto"/>
      </w:pPr>
    </w:p>
    <w:p w14:paraId="1C3AAAB1">
      <w:pPr>
        <w:spacing w:line="291" w:lineRule="auto"/>
      </w:pPr>
    </w:p>
    <w:p w14:paraId="407639F2">
      <w:pPr>
        <w:spacing w:line="292" w:lineRule="auto"/>
      </w:pPr>
    </w:p>
    <w:p w14:paraId="177573F8">
      <w:pPr>
        <w:spacing w:line="292" w:lineRule="auto"/>
      </w:pPr>
    </w:p>
    <w:p w14:paraId="2FB7FF32">
      <w:pPr>
        <w:spacing w:before="76" w:line="227" w:lineRule="auto"/>
        <w:ind w:left="434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14:paraId="2B46AA1B">
      <w:pPr>
        <w:spacing w:before="279" w:line="228" w:lineRule="auto"/>
        <w:ind w:left="438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14:paraId="1E515E32">
      <w:pPr>
        <w:sectPr>
          <w:headerReference r:id="rId25" w:type="default"/>
          <w:footerReference r:id="rId26" w:type="default"/>
          <w:pgSz w:w="11906" w:h="16839"/>
          <w:pgMar w:top="1136" w:right="1739" w:bottom="1414" w:left="1785" w:header="878" w:footer="1167" w:gutter="0"/>
          <w:cols w:space="720" w:num="1"/>
        </w:sectPr>
      </w:pPr>
    </w:p>
    <w:p w14:paraId="4E6B47CC">
      <w:pPr>
        <w:spacing w:line="340" w:lineRule="auto"/>
      </w:pPr>
    </w:p>
    <w:p w14:paraId="5A95B8A7">
      <w:pPr>
        <w:spacing w:before="75" w:line="229" w:lineRule="auto"/>
        <w:ind w:left="2856"/>
        <w:outlineLvl w:val="1"/>
        <w:rPr>
          <w:rFonts w:ascii="黑体" w:hAnsi="黑体" w:eastAsia="黑体" w:cs="黑体"/>
          <w:b/>
          <w:bCs/>
          <w:sz w:val="28"/>
          <w:szCs w:val="28"/>
        </w:rPr>
      </w:pPr>
      <w:bookmarkStart w:id="41" w:name="_Toc20405"/>
      <w:r>
        <w:rPr>
          <w:rFonts w:hint="eastAsia" w:ascii="黑体" w:hAnsi="黑体" w:eastAsia="黑体" w:cs="黑体"/>
          <w:b/>
          <w:bCs/>
          <w:spacing w:val="10"/>
          <w:sz w:val="28"/>
          <w:szCs w:val="28"/>
        </w:rPr>
        <w:t>十、其他相关证明材</w:t>
      </w:r>
      <w:r>
        <w:rPr>
          <w:rFonts w:hint="eastAsia" w:ascii="黑体" w:hAnsi="黑体" w:eastAsia="黑体" w:cs="黑体"/>
          <w:b/>
          <w:bCs/>
          <w:spacing w:val="9"/>
          <w:sz w:val="28"/>
          <w:szCs w:val="28"/>
        </w:rPr>
        <w:t>料</w:t>
      </w:r>
      <w:bookmarkEnd w:id="41"/>
    </w:p>
    <w:p w14:paraId="64F21F4B">
      <w:pPr>
        <w:spacing w:before="276" w:line="227" w:lineRule="auto"/>
        <w:ind w:left="458"/>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14:paraId="52025EB7">
      <w:pPr>
        <w:spacing w:line="252" w:lineRule="auto"/>
      </w:pPr>
    </w:p>
    <w:p w14:paraId="68508A10">
      <w:pPr>
        <w:spacing w:line="252" w:lineRule="auto"/>
      </w:pPr>
    </w:p>
    <w:p w14:paraId="31CA16C7">
      <w:pPr>
        <w:spacing w:line="253" w:lineRule="auto"/>
      </w:pPr>
    </w:p>
    <w:p w14:paraId="0807B874">
      <w:pPr>
        <w:spacing w:before="74" w:line="227" w:lineRule="auto"/>
        <w:ind w:left="457"/>
        <w:rPr>
          <w:rFonts w:ascii="宋体" w:hAnsi="宋体" w:eastAsia="宋体" w:cs="宋体"/>
          <w:sz w:val="23"/>
          <w:szCs w:val="23"/>
        </w:rPr>
      </w:pPr>
      <w:r>
        <w:rPr>
          <w:rFonts w:ascii="宋体" w:hAnsi="宋体" w:eastAsia="宋体" w:cs="宋体"/>
          <w:spacing w:val="9"/>
          <w:sz w:val="23"/>
          <w:szCs w:val="23"/>
        </w:rPr>
        <w:t>特</w:t>
      </w:r>
      <w:r>
        <w:rPr>
          <w:rFonts w:ascii="宋体" w:hAnsi="宋体" w:eastAsia="宋体" w:cs="宋体"/>
          <w:spacing w:val="6"/>
          <w:sz w:val="23"/>
          <w:szCs w:val="23"/>
        </w:rPr>
        <w:t>别提示：</w:t>
      </w:r>
    </w:p>
    <w:p w14:paraId="28AA5A78">
      <w:pPr>
        <w:spacing w:before="278" w:line="331" w:lineRule="auto"/>
        <w:ind w:left="30" w:right="13" w:firstLine="426"/>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8"/>
          <w:sz w:val="23"/>
          <w:szCs w:val="23"/>
        </w:rPr>
        <w:t>应商在响应文件制作时可在此栏内上传征集文件要求上传的证明资料，如</w:t>
      </w:r>
      <w:r>
        <w:rPr>
          <w:rFonts w:ascii="宋体" w:hAnsi="宋体" w:eastAsia="宋体" w:cs="宋体"/>
          <w:spacing w:val="16"/>
          <w:sz w:val="23"/>
          <w:szCs w:val="23"/>
        </w:rPr>
        <w:t>营</w:t>
      </w:r>
      <w:r>
        <w:rPr>
          <w:rFonts w:ascii="宋体" w:hAnsi="宋体" w:eastAsia="宋体" w:cs="宋体"/>
          <w:spacing w:val="9"/>
          <w:sz w:val="23"/>
          <w:szCs w:val="23"/>
        </w:rPr>
        <w:t>业执照、税务登记证、资质证书等，应将上述证明材料制作成扫描件上传。</w:t>
      </w:r>
    </w:p>
    <w:p w14:paraId="112F56C9">
      <w:pPr>
        <w:sectPr>
          <w:headerReference r:id="rId27" w:type="default"/>
          <w:footerReference r:id="rId28" w:type="default"/>
          <w:pgSz w:w="11906" w:h="16839"/>
          <w:pgMar w:top="1136" w:right="1785" w:bottom="1414" w:left="1785" w:header="878" w:footer="1167" w:gutter="0"/>
          <w:cols w:space="720" w:num="1"/>
        </w:sectPr>
      </w:pPr>
    </w:p>
    <w:p w14:paraId="52DF5283">
      <w:pPr>
        <w:spacing w:before="91" w:line="219" w:lineRule="auto"/>
        <w:jc w:val="center"/>
        <w:outlineLvl w:val="0"/>
        <w:rPr>
          <w:rFonts w:ascii="宋体" w:hAnsi="宋体" w:eastAsia="宋体" w:cs="宋体"/>
          <w:b/>
          <w:bCs/>
          <w:sz w:val="32"/>
          <w:szCs w:val="32"/>
        </w:rPr>
      </w:pPr>
      <w:bookmarkStart w:id="42" w:name="_bookmark7"/>
      <w:bookmarkEnd w:id="42"/>
      <w:bookmarkStart w:id="43" w:name="_Toc24618"/>
      <w:r>
        <w:rPr>
          <w:rFonts w:ascii="宋体" w:hAnsi="宋体" w:eastAsia="宋体" w:cs="宋体"/>
          <w:b/>
          <w:bCs/>
          <w:sz w:val="32"/>
          <w:szCs w:val="32"/>
        </w:rPr>
        <w:t>第七章  政府采购供应商质疑函范本</w:t>
      </w:r>
      <w:bookmarkEnd w:id="43"/>
    </w:p>
    <w:p w14:paraId="475EBD98">
      <w:pPr>
        <w:spacing w:before="196" w:line="228" w:lineRule="auto"/>
        <w:ind w:left="3393"/>
        <w:outlineLvl w:val="1"/>
        <w:rPr>
          <w:rFonts w:ascii="仿宋" w:hAnsi="仿宋" w:eastAsia="仿宋" w:cs="仿宋"/>
          <w:sz w:val="31"/>
          <w:szCs w:val="31"/>
        </w:rPr>
      </w:pPr>
      <w:bookmarkStart w:id="44" w:name="_Toc2379"/>
      <w:r>
        <w:rPr>
          <w:rFonts w:ascii="仿宋" w:hAnsi="仿宋" w:eastAsia="仿宋" w:cs="仿宋"/>
          <w:spacing w:val="5"/>
          <w:sz w:val="31"/>
          <w:szCs w:val="31"/>
        </w:rPr>
        <w:t>质疑函范</w:t>
      </w:r>
      <w:r>
        <w:rPr>
          <w:rFonts w:ascii="仿宋" w:hAnsi="仿宋" w:eastAsia="仿宋" w:cs="仿宋"/>
          <w:spacing w:val="4"/>
          <w:sz w:val="31"/>
          <w:szCs w:val="31"/>
        </w:rPr>
        <w:t>本</w:t>
      </w:r>
      <w:bookmarkEnd w:id="44"/>
    </w:p>
    <w:p w14:paraId="53760D4D">
      <w:pPr>
        <w:spacing w:line="319" w:lineRule="auto"/>
      </w:pPr>
    </w:p>
    <w:p w14:paraId="6AD68C61">
      <w:pPr>
        <w:spacing w:before="74" w:line="394" w:lineRule="exact"/>
        <w:ind w:left="27"/>
        <w:outlineLvl w:val="1"/>
        <w:rPr>
          <w:rFonts w:ascii="宋体" w:hAnsi="宋体" w:eastAsia="宋体" w:cs="宋体"/>
          <w:sz w:val="23"/>
          <w:szCs w:val="23"/>
        </w:rPr>
      </w:pPr>
      <w:bookmarkStart w:id="45" w:name="_Toc1565"/>
      <w:r>
        <w:rPr>
          <w:rFonts w:ascii="宋体" w:hAnsi="宋体" w:eastAsia="宋体" w:cs="宋体"/>
          <w:spacing w:val="16"/>
          <w:position w:val="2"/>
          <w:sz w:val="23"/>
          <w:szCs w:val="23"/>
        </w:rPr>
        <w:t>一</w:t>
      </w:r>
      <w:r>
        <w:rPr>
          <w:rFonts w:ascii="宋体" w:hAnsi="宋体" w:eastAsia="宋体" w:cs="宋体"/>
          <w:spacing w:val="9"/>
          <w:position w:val="2"/>
          <w:sz w:val="23"/>
          <w:szCs w:val="23"/>
        </w:rPr>
        <w:t>、质疑供应商基本信息</w:t>
      </w:r>
      <w:bookmarkEnd w:id="45"/>
    </w:p>
    <w:p w14:paraId="35AFAC3D">
      <w:pPr>
        <w:spacing w:before="167" w:line="227" w:lineRule="auto"/>
        <w:ind w:left="24"/>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dotted"/>
        </w:rPr>
        <w:t xml:space="preserve">                                           </w:t>
      </w:r>
    </w:p>
    <w:p w14:paraId="51EBDD8F">
      <w:pPr>
        <w:spacing w:before="277"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邮编：</w:t>
      </w:r>
      <w:r>
        <w:rPr>
          <w:rFonts w:ascii="宋体" w:hAnsi="宋体" w:eastAsia="宋体" w:cs="宋体"/>
          <w:sz w:val="23"/>
          <w:szCs w:val="23"/>
          <w:u w:val="dotted"/>
        </w:rPr>
        <w:t xml:space="preserve">                </w:t>
      </w:r>
    </w:p>
    <w:p w14:paraId="05E38987">
      <w:pPr>
        <w:spacing w:before="275" w:line="230" w:lineRule="auto"/>
        <w:ind w:left="24"/>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联系电话：</w:t>
      </w:r>
      <w:r>
        <w:rPr>
          <w:rFonts w:ascii="宋体" w:hAnsi="宋体" w:eastAsia="宋体" w:cs="宋体"/>
          <w:sz w:val="23"/>
          <w:szCs w:val="23"/>
          <w:u w:val="dotted"/>
        </w:rPr>
        <w:t xml:space="preserve">              </w:t>
      </w:r>
    </w:p>
    <w:p w14:paraId="428672C7">
      <w:pPr>
        <w:spacing w:before="276" w:line="227" w:lineRule="auto"/>
        <w:ind w:left="22"/>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dotted"/>
        </w:rPr>
        <w:t xml:space="preserve">                                             </w:t>
      </w:r>
    </w:p>
    <w:p w14:paraId="25BED18D">
      <w:pPr>
        <w:spacing w:before="275" w:line="230" w:lineRule="auto"/>
        <w:ind w:left="24"/>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dotted"/>
        </w:rPr>
        <w:t xml:space="preserve">                                              </w:t>
      </w:r>
    </w:p>
    <w:p w14:paraId="7A4E0BE6">
      <w:pPr>
        <w:spacing w:before="273"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2"/>
          <w:sz w:val="23"/>
          <w:szCs w:val="23"/>
        </w:rPr>
        <w:t>邮编</w:t>
      </w:r>
      <w:r>
        <w:rPr>
          <w:rFonts w:ascii="宋体" w:hAnsi="宋体" w:eastAsia="宋体" w:cs="宋体"/>
          <w:spacing w:val="-1"/>
          <w:sz w:val="23"/>
          <w:szCs w:val="23"/>
        </w:rPr>
        <w:t>：</w:t>
      </w:r>
      <w:r>
        <w:rPr>
          <w:rFonts w:ascii="宋体" w:hAnsi="宋体" w:eastAsia="宋体" w:cs="宋体"/>
          <w:sz w:val="23"/>
          <w:szCs w:val="23"/>
          <w:u w:val="dotted"/>
        </w:rPr>
        <w:t xml:space="preserve">                  </w:t>
      </w:r>
    </w:p>
    <w:p w14:paraId="27047409">
      <w:pPr>
        <w:spacing w:before="279" w:line="313" w:lineRule="exact"/>
        <w:ind w:left="27"/>
        <w:outlineLvl w:val="1"/>
        <w:rPr>
          <w:rFonts w:ascii="宋体" w:hAnsi="宋体" w:eastAsia="宋体" w:cs="宋体"/>
          <w:sz w:val="23"/>
          <w:szCs w:val="23"/>
        </w:rPr>
      </w:pPr>
      <w:bookmarkStart w:id="46" w:name="_Toc20471"/>
      <w:r>
        <w:rPr>
          <w:rFonts w:ascii="宋体" w:hAnsi="宋体" w:eastAsia="宋体" w:cs="宋体"/>
          <w:spacing w:val="15"/>
          <w:position w:val="1"/>
          <w:sz w:val="23"/>
          <w:szCs w:val="23"/>
        </w:rPr>
        <w:t>二</w:t>
      </w:r>
      <w:r>
        <w:rPr>
          <w:rFonts w:ascii="宋体" w:hAnsi="宋体" w:eastAsia="宋体" w:cs="宋体"/>
          <w:spacing w:val="9"/>
          <w:position w:val="1"/>
          <w:sz w:val="23"/>
          <w:szCs w:val="23"/>
        </w:rPr>
        <w:t>、质疑项目基本情况</w:t>
      </w:r>
      <w:bookmarkEnd w:id="46"/>
    </w:p>
    <w:p w14:paraId="420910B6">
      <w:pPr>
        <w:spacing w:before="246" w:line="228" w:lineRule="auto"/>
        <w:ind w:left="24"/>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dotted"/>
        </w:rPr>
        <w:t xml:space="preserve">                                         </w:t>
      </w:r>
    </w:p>
    <w:p w14:paraId="5D9970A0">
      <w:pPr>
        <w:spacing w:before="275" w:line="227" w:lineRule="auto"/>
        <w:ind w:left="24"/>
        <w:rPr>
          <w:rFonts w:ascii="宋体" w:hAnsi="宋体" w:eastAsia="宋体" w:cs="宋体"/>
          <w:sz w:val="23"/>
          <w:szCs w:val="23"/>
        </w:rPr>
      </w:pPr>
      <w:r>
        <w:rPr>
          <w:rFonts w:ascii="宋体" w:hAnsi="宋体" w:eastAsia="宋体" w:cs="宋体"/>
          <w:spacing w:val="-4"/>
          <w:sz w:val="23"/>
          <w:szCs w:val="23"/>
        </w:rPr>
        <w:t>质疑项目的</w:t>
      </w:r>
      <w:r>
        <w:rPr>
          <w:rFonts w:ascii="宋体" w:hAnsi="宋体" w:eastAsia="宋体" w:cs="宋体"/>
          <w:spacing w:val="-2"/>
          <w:sz w:val="23"/>
          <w:szCs w:val="23"/>
        </w:rPr>
        <w:t>编号：</w:t>
      </w:r>
      <w:r>
        <w:rPr>
          <w:rFonts w:ascii="宋体" w:hAnsi="宋体" w:eastAsia="宋体" w:cs="宋体"/>
          <w:spacing w:val="-2"/>
          <w:sz w:val="23"/>
          <w:szCs w:val="23"/>
          <w:u w:val="dotted"/>
        </w:rPr>
        <w:t xml:space="preserve">                 </w:t>
      </w:r>
      <w:r>
        <w:rPr>
          <w:rFonts w:ascii="宋体" w:hAnsi="宋体" w:eastAsia="宋体" w:cs="宋体"/>
          <w:spacing w:val="-2"/>
          <w:sz w:val="23"/>
          <w:szCs w:val="23"/>
        </w:rPr>
        <w:t>包号：</w:t>
      </w:r>
      <w:r>
        <w:rPr>
          <w:rFonts w:ascii="宋体" w:hAnsi="宋体" w:eastAsia="宋体" w:cs="宋体"/>
          <w:sz w:val="23"/>
          <w:szCs w:val="23"/>
          <w:u w:val="dotted"/>
        </w:rPr>
        <w:t xml:space="preserve">                   </w:t>
      </w:r>
    </w:p>
    <w:p w14:paraId="2E79F175">
      <w:pPr>
        <w:spacing w:before="279" w:line="227" w:lineRule="auto"/>
        <w:ind w:left="26"/>
        <w:rPr>
          <w:rFonts w:ascii="宋体" w:hAnsi="宋体" w:eastAsia="宋体" w:cs="宋体"/>
          <w:sz w:val="23"/>
          <w:szCs w:val="23"/>
        </w:rPr>
      </w:pPr>
      <w:r>
        <w:rPr>
          <w:rFonts w:ascii="宋体" w:hAnsi="宋体" w:eastAsia="宋体" w:cs="宋体"/>
          <w:spacing w:val="7"/>
          <w:sz w:val="23"/>
          <w:szCs w:val="23"/>
        </w:rPr>
        <w:t>征</w:t>
      </w:r>
      <w:r>
        <w:rPr>
          <w:rFonts w:ascii="宋体" w:hAnsi="宋体" w:eastAsia="宋体" w:cs="宋体"/>
          <w:spacing w:val="6"/>
          <w:sz w:val="23"/>
          <w:szCs w:val="23"/>
        </w:rPr>
        <w:t>集人名称：</w:t>
      </w:r>
      <w:r>
        <w:rPr>
          <w:rFonts w:ascii="宋体" w:hAnsi="宋体" w:eastAsia="宋体" w:cs="宋体"/>
          <w:sz w:val="23"/>
          <w:szCs w:val="23"/>
          <w:u w:val="dotted"/>
        </w:rPr>
        <w:t xml:space="preserve">                                             </w:t>
      </w:r>
    </w:p>
    <w:p w14:paraId="4DFAD4E5">
      <w:pPr>
        <w:spacing w:before="277" w:line="227" w:lineRule="auto"/>
        <w:ind w:left="26"/>
        <w:rPr>
          <w:rFonts w:ascii="宋体" w:hAnsi="宋体" w:eastAsia="宋体" w:cs="宋体"/>
          <w:sz w:val="23"/>
          <w:szCs w:val="23"/>
        </w:rPr>
      </w:pPr>
      <w:r>
        <w:rPr>
          <w:rFonts w:ascii="宋体" w:hAnsi="宋体" w:eastAsia="宋体" w:cs="宋体"/>
          <w:spacing w:val="11"/>
          <w:sz w:val="23"/>
          <w:szCs w:val="23"/>
        </w:rPr>
        <w:t>征</w:t>
      </w:r>
      <w:r>
        <w:rPr>
          <w:rFonts w:ascii="宋体" w:hAnsi="宋体" w:eastAsia="宋体" w:cs="宋体"/>
          <w:spacing w:val="7"/>
          <w:sz w:val="23"/>
          <w:szCs w:val="23"/>
        </w:rPr>
        <w:t>集文件获取日期：</w:t>
      </w:r>
      <w:r>
        <w:rPr>
          <w:rFonts w:ascii="宋体" w:hAnsi="宋体" w:eastAsia="宋体" w:cs="宋体"/>
          <w:sz w:val="23"/>
          <w:szCs w:val="23"/>
          <w:u w:val="dotted"/>
        </w:rPr>
        <w:t xml:space="preserve">                                       </w:t>
      </w:r>
    </w:p>
    <w:p w14:paraId="6EF01B4C">
      <w:pPr>
        <w:spacing w:before="276" w:line="304" w:lineRule="exact"/>
        <w:ind w:left="23"/>
        <w:outlineLvl w:val="1"/>
        <w:rPr>
          <w:rFonts w:ascii="宋体" w:hAnsi="宋体" w:eastAsia="宋体" w:cs="宋体"/>
          <w:sz w:val="23"/>
          <w:szCs w:val="23"/>
        </w:rPr>
      </w:pPr>
      <w:bookmarkStart w:id="47" w:name="_Toc30378"/>
      <w:r>
        <w:rPr>
          <w:rFonts w:ascii="宋体" w:hAnsi="宋体" w:eastAsia="宋体" w:cs="宋体"/>
          <w:spacing w:val="10"/>
          <w:position w:val="1"/>
          <w:sz w:val="23"/>
          <w:szCs w:val="23"/>
        </w:rPr>
        <w:t>三、质疑事项具体内容</w:t>
      </w:r>
      <w:bookmarkEnd w:id="47"/>
    </w:p>
    <w:p w14:paraId="167FFDAD">
      <w:pPr>
        <w:spacing w:before="257" w:line="228" w:lineRule="auto"/>
        <w:ind w:left="24"/>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dotted"/>
        </w:rPr>
        <w:t xml:space="preserve">                                              </w:t>
      </w:r>
    </w:p>
    <w:p w14:paraId="08521AD1">
      <w:pPr>
        <w:spacing w:before="275" w:line="227" w:lineRule="auto"/>
        <w:ind w:left="23"/>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dotted"/>
        </w:rPr>
        <w:t xml:space="preserve">                                               </w:t>
      </w:r>
    </w:p>
    <w:p w14:paraId="36209A17">
      <w:pPr>
        <w:spacing w:line="251" w:lineRule="auto"/>
      </w:pPr>
    </w:p>
    <w:p w14:paraId="5C2B47EA">
      <w:pPr>
        <w:tabs>
          <w:tab w:val="left" w:pos="6494"/>
        </w:tabs>
        <w:spacing w:before="61" w:line="242" w:lineRule="exact"/>
        <w:ind w:left="14"/>
      </w:pPr>
      <w:r>
        <w:rPr>
          <w:u w:val="single"/>
        </w:rPr>
        <w:tab/>
      </w:r>
    </w:p>
    <w:p w14:paraId="105767B0">
      <w:pPr>
        <w:spacing w:before="282" w:line="227" w:lineRule="auto"/>
        <w:ind w:left="24"/>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dotted"/>
        </w:rPr>
        <w:t xml:space="preserve">                                               </w:t>
      </w:r>
    </w:p>
    <w:p w14:paraId="435775C4">
      <w:pPr>
        <w:spacing w:line="251" w:lineRule="auto"/>
      </w:pPr>
    </w:p>
    <w:p w14:paraId="72F22020">
      <w:pPr>
        <w:tabs>
          <w:tab w:val="left" w:pos="6494"/>
        </w:tabs>
        <w:spacing w:before="61" w:line="241" w:lineRule="exact"/>
        <w:ind w:left="14"/>
      </w:pPr>
      <w:r>
        <w:rPr>
          <w:u w:val="single"/>
        </w:rPr>
        <w:tab/>
      </w:r>
    </w:p>
    <w:p w14:paraId="4C43FADF">
      <w:pPr>
        <w:spacing w:before="282" w:line="561" w:lineRule="exact"/>
        <w:ind w:left="24"/>
        <w:rPr>
          <w:rFonts w:ascii="宋体" w:hAnsi="宋体" w:eastAsia="宋体" w:cs="宋体"/>
          <w:sz w:val="23"/>
          <w:szCs w:val="23"/>
        </w:rPr>
      </w:pPr>
      <w:r>
        <w:rPr>
          <w:rFonts w:ascii="宋体" w:hAnsi="宋体" w:eastAsia="宋体" w:cs="宋体"/>
          <w:spacing w:val="-4"/>
          <w:position w:val="25"/>
          <w:sz w:val="23"/>
          <w:szCs w:val="23"/>
        </w:rPr>
        <w:t>质</w:t>
      </w:r>
      <w:r>
        <w:rPr>
          <w:rFonts w:ascii="宋体" w:hAnsi="宋体" w:eastAsia="宋体" w:cs="宋体"/>
          <w:spacing w:val="-2"/>
          <w:position w:val="25"/>
          <w:sz w:val="23"/>
          <w:szCs w:val="23"/>
        </w:rPr>
        <w:t>疑事项 2</w:t>
      </w:r>
    </w:p>
    <w:p w14:paraId="3AEF6A16">
      <w:pPr>
        <w:spacing w:line="373" w:lineRule="exact"/>
        <w:ind w:left="38"/>
        <w:rPr>
          <w:rFonts w:ascii="宋体" w:hAnsi="宋体" w:eastAsia="宋体" w:cs="宋体"/>
          <w:sz w:val="23"/>
          <w:szCs w:val="23"/>
        </w:rPr>
      </w:pPr>
      <w:r>
        <w:rPr>
          <w:rFonts w:ascii="宋体" w:hAnsi="宋体" w:eastAsia="宋体" w:cs="宋体"/>
          <w:spacing w:val="5"/>
          <w:position w:val="3"/>
          <w:sz w:val="23"/>
          <w:szCs w:val="23"/>
        </w:rPr>
        <w:t>……</w:t>
      </w:r>
    </w:p>
    <w:p w14:paraId="435F79FC">
      <w:pPr>
        <w:spacing w:before="187" w:line="230" w:lineRule="auto"/>
        <w:ind w:left="46"/>
        <w:outlineLvl w:val="1"/>
        <w:rPr>
          <w:rFonts w:ascii="宋体" w:hAnsi="宋体" w:eastAsia="宋体" w:cs="宋体"/>
          <w:sz w:val="23"/>
          <w:szCs w:val="23"/>
        </w:rPr>
      </w:pPr>
      <w:bookmarkStart w:id="48" w:name="_Toc26172"/>
      <w:r>
        <w:rPr>
          <w:rFonts w:ascii="宋体" w:hAnsi="宋体" w:eastAsia="宋体" w:cs="宋体"/>
          <w:spacing w:val="16"/>
          <w:sz w:val="23"/>
          <w:szCs w:val="23"/>
        </w:rPr>
        <w:t>四</w:t>
      </w:r>
      <w:r>
        <w:rPr>
          <w:rFonts w:ascii="宋体" w:hAnsi="宋体" w:eastAsia="宋体" w:cs="宋体"/>
          <w:spacing w:val="8"/>
          <w:sz w:val="23"/>
          <w:szCs w:val="23"/>
        </w:rPr>
        <w:t>、与质疑事项相关的质疑请求</w:t>
      </w:r>
      <w:bookmarkEnd w:id="48"/>
    </w:p>
    <w:p w14:paraId="4CEA6598">
      <w:pPr>
        <w:spacing w:before="272" w:line="228" w:lineRule="auto"/>
        <w:ind w:left="21"/>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dotted"/>
        </w:rPr>
        <w:t xml:space="preserve">                                                  </w:t>
      </w:r>
    </w:p>
    <w:p w14:paraId="3312F25F">
      <w:pPr>
        <w:sectPr>
          <w:headerReference r:id="rId29" w:type="default"/>
          <w:footerReference r:id="rId30" w:type="default"/>
          <w:pgSz w:w="11906" w:h="16839"/>
          <w:pgMar w:top="1136" w:right="1785" w:bottom="1414" w:left="1785" w:header="878" w:footer="1167" w:gutter="0"/>
          <w:cols w:space="720" w:num="1"/>
        </w:sectPr>
      </w:pPr>
    </w:p>
    <w:p w14:paraId="4ECC818F"/>
    <w:p w14:paraId="482BE172">
      <w:pPr>
        <w:spacing w:line="128" w:lineRule="exact"/>
      </w:pPr>
    </w:p>
    <w:p w14:paraId="6553881E">
      <w:pPr>
        <w:sectPr>
          <w:footerReference r:id="rId31" w:type="default"/>
          <w:pgSz w:w="11906" w:h="16839"/>
          <w:pgMar w:top="1136" w:right="1785" w:bottom="1414" w:left="1785" w:header="878" w:footer="1167" w:gutter="0"/>
          <w:cols w:space="720" w:num="1"/>
        </w:sectPr>
      </w:pPr>
    </w:p>
    <w:p w14:paraId="4567A074">
      <w:pPr>
        <w:spacing w:before="47" w:line="562" w:lineRule="exact"/>
        <w:ind w:left="23"/>
        <w:rPr>
          <w:rFonts w:ascii="宋体" w:hAnsi="宋体" w:eastAsia="宋体" w:cs="宋体"/>
          <w:sz w:val="23"/>
          <w:szCs w:val="23"/>
        </w:rPr>
      </w:pPr>
      <w:r>
        <w:rPr>
          <w:rFonts w:ascii="宋体" w:hAnsi="宋体" w:eastAsia="宋体" w:cs="宋体"/>
          <w:spacing w:val="6"/>
          <w:position w:val="25"/>
          <w:sz w:val="23"/>
          <w:szCs w:val="23"/>
        </w:rPr>
        <w:t>签字（签章）</w:t>
      </w:r>
      <w:r>
        <w:rPr>
          <w:rFonts w:ascii="宋体" w:hAnsi="宋体" w:eastAsia="宋体" w:cs="宋体"/>
          <w:spacing w:val="4"/>
          <w:position w:val="25"/>
          <w:sz w:val="23"/>
          <w:szCs w:val="23"/>
        </w:rPr>
        <w:t>：</w:t>
      </w:r>
    </w:p>
    <w:p w14:paraId="28AFB4E4">
      <w:pPr>
        <w:spacing w:line="192" w:lineRule="auto"/>
        <w:ind w:left="64"/>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14:paraId="07FC1BF3">
      <w:pPr>
        <w:spacing w:line="14" w:lineRule="auto"/>
        <w:rPr>
          <w:sz w:val="2"/>
        </w:rPr>
      </w:pPr>
      <w:r>
        <w:rPr>
          <w:sz w:val="2"/>
          <w:szCs w:val="2"/>
        </w:rPr>
        <w:br w:type="column"/>
      </w:r>
    </w:p>
    <w:p w14:paraId="34635646">
      <w:pPr>
        <w:spacing w:before="46" w:line="227" w:lineRule="auto"/>
        <w:rPr>
          <w:rFonts w:ascii="宋体" w:hAnsi="宋体" w:eastAsia="宋体" w:cs="宋体"/>
          <w:sz w:val="23"/>
          <w:szCs w:val="23"/>
        </w:rPr>
      </w:pPr>
      <w:r>
        <w:rPr>
          <w:rFonts w:ascii="宋体" w:hAnsi="宋体" w:eastAsia="宋体" w:cs="宋体"/>
          <w:spacing w:val="1"/>
          <w:sz w:val="23"/>
          <w:szCs w:val="23"/>
        </w:rPr>
        <w:t>公章：</w:t>
      </w:r>
    </w:p>
    <w:p w14:paraId="28EB8F34">
      <w:pPr>
        <w:sectPr>
          <w:type w:val="continuous"/>
          <w:pgSz w:w="11906" w:h="16839"/>
          <w:pgMar w:top="1136" w:right="1785" w:bottom="1414" w:left="1785" w:header="878" w:footer="1167" w:gutter="0"/>
          <w:cols w:equalWidth="0" w:num="2">
            <w:col w:w="3651" w:space="100"/>
            <w:col w:w="4584"/>
          </w:cols>
        </w:sectPr>
      </w:pPr>
    </w:p>
    <w:p w14:paraId="71BDD5AA">
      <w:pPr>
        <w:spacing w:line="289" w:lineRule="auto"/>
      </w:pPr>
    </w:p>
    <w:p w14:paraId="3E04A5C8">
      <w:pPr>
        <w:spacing w:before="91" w:line="220" w:lineRule="auto"/>
        <w:ind w:left="26"/>
        <w:rPr>
          <w:rFonts w:ascii="宋体" w:hAnsi="宋体" w:eastAsia="宋体" w:cs="宋体"/>
          <w:sz w:val="28"/>
          <w:szCs w:val="28"/>
        </w:rPr>
      </w:pPr>
      <w:r>
        <w:rPr>
          <w:rFonts w:ascii="宋体" w:hAnsi="宋体" w:eastAsia="宋体" w:cs="宋体"/>
          <w:spacing w:val="-1"/>
          <w:sz w:val="28"/>
          <w:szCs w:val="28"/>
        </w:rPr>
        <w:t>质疑函制</w:t>
      </w:r>
      <w:r>
        <w:rPr>
          <w:rFonts w:ascii="宋体" w:hAnsi="宋体" w:eastAsia="宋体" w:cs="宋体"/>
          <w:sz w:val="28"/>
          <w:szCs w:val="28"/>
        </w:rPr>
        <w:t>作说明：</w:t>
      </w:r>
    </w:p>
    <w:p w14:paraId="6EC120EB">
      <w:pPr>
        <w:spacing w:before="263" w:line="310" w:lineRule="exact"/>
        <w:ind w:left="472" w:leftChars="104" w:hanging="254" w:hangingChars="100"/>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.供应商提出质疑时，应提交质疑函和必要的证明材料。</w:t>
      </w:r>
    </w:p>
    <w:p w14:paraId="704416FA">
      <w:pPr>
        <w:spacing w:before="249" w:line="328" w:lineRule="auto"/>
        <w:ind w:left="-403" w:leftChars="-192" w:firstLine="614" w:firstLineChars="221"/>
        <w:rPr>
          <w:rFonts w:ascii="宋体" w:hAnsi="宋体" w:eastAsia="宋体" w:cs="宋体"/>
          <w:spacing w:val="6"/>
          <w:sz w:val="23"/>
          <w:szCs w:val="23"/>
        </w:rPr>
      </w:pPr>
      <w:r>
        <w:rPr>
          <w:rFonts w:ascii="宋体" w:hAnsi="宋体" w:eastAsia="宋体" w:cs="宋体"/>
          <w:spacing w:val="24"/>
          <w:sz w:val="23"/>
          <w:szCs w:val="23"/>
        </w:rPr>
        <w:t>2.</w:t>
      </w:r>
      <w:r>
        <w:rPr>
          <w:rFonts w:ascii="宋体" w:hAnsi="宋体" w:eastAsia="宋体" w:cs="宋体"/>
          <w:spacing w:val="12"/>
          <w:sz w:val="23"/>
          <w:szCs w:val="23"/>
        </w:rPr>
        <w:t>质疑供应商若委托代理人进行质疑的，质疑函应按要求列明“授权代表”的有</w:t>
      </w:r>
      <w:r>
        <w:rPr>
          <w:rFonts w:ascii="宋体" w:hAnsi="宋体" w:eastAsia="宋体" w:cs="宋体"/>
          <w:spacing w:val="11"/>
          <w:sz w:val="23"/>
          <w:szCs w:val="23"/>
        </w:rPr>
        <w:t>关</w:t>
      </w:r>
      <w:r>
        <w:rPr>
          <w:rFonts w:ascii="宋体" w:hAnsi="宋体" w:eastAsia="宋体" w:cs="宋体"/>
          <w:spacing w:val="6"/>
          <w:sz w:val="23"/>
          <w:szCs w:val="23"/>
        </w:rPr>
        <w:t>内容，并在附件中提交由质疑供应商签署的授权委托书。授权委托书应载明代理人的姓名或者名称、代理事项、具体权限、期限和相关事项。</w:t>
      </w:r>
    </w:p>
    <w:p w14:paraId="03D5A5AB">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3.质疑供应商若对项目的某一分包进行质疑，质疑函中应列明具体分包号</w:t>
      </w:r>
      <w:r>
        <w:rPr>
          <w:rFonts w:hint="eastAsia" w:ascii="宋体" w:hAnsi="宋体" w:eastAsia="宋体" w:cs="宋体"/>
          <w:spacing w:val="6"/>
          <w:sz w:val="23"/>
          <w:szCs w:val="23"/>
        </w:rPr>
        <w:t>。</w:t>
      </w:r>
    </w:p>
    <w:p w14:paraId="7FC233D8">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4.质疑函的质疑事项应具体、明确，并有必要的事实依据和法律依据。5.质疑函的质疑请求应与质疑事项相关。</w:t>
      </w:r>
    </w:p>
    <w:p w14:paraId="0DFB399B">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6.质疑供应商为自然人的，质疑函应由本人签字；质疑供应商为法人或者其他组织的，质疑函应由法定代表人、主要负责人，或者其授权代表签字或者盖章，并加盖公章。</w:t>
      </w:r>
    </w:p>
    <w:p w14:paraId="6BC059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0AD0">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E321">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47D8C">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7847D8C">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E78E">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27AC3">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CC27AC3">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C908">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5D069">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8F5D069">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28D6">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F2566">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5AF2566">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1FF4">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2DEA8">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7B2DEA8">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E81F2">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6FFA8">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9F6FFA8">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3A44B">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BF7EB">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C2BF7EB">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15C8">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A56FE">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94A56FE">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305C">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8D2CC">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F8D2CC">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5ED0">
    <w:pPr>
      <w:tabs>
        <w:tab w:val="center" w:pos="4153"/>
        <w:tab w:val="right" w:pos="8306"/>
      </w:tabs>
      <w:snapToGrid w:val="0"/>
      <w:jc w:val="center"/>
    </w:pPr>
    <w:r>
      <w:rPr>
        <w:lang w:bidi="ug-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4DEF">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9MA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4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R9MAzAgAAZAQAAA4AAAAAAAAAAQAgAAAAHwEAAGRycy9lMm9Eb2MueG1sUEsF&#10;BgAAAAAGAAYAWQEAAMQFAAAAAA==&#10;">
              <v:fill on="f" focussize="0,0"/>
              <v:stroke on="f" weight="0.5pt"/>
              <v:imagedata o:title=""/>
              <o:lock v:ext="edit" aspectratio="f"/>
              <v:textbox inset="0mm,0mm,0mm,0mm" style="mso-fit-shape-to-text:t;">
                <w:txbxContent>
                  <w:p w14:paraId="57744DEF">
                    <w:pPr>
                      <w:pStyle w:val="14"/>
                    </w:pPr>
                    <w:r>
                      <w:fldChar w:fldCharType="begin"/>
                    </w:r>
                    <w:r>
                      <w:instrText xml:space="preserve"> PAGE  \* MERGEFORMAT </w:instrText>
                    </w:r>
                    <w:r>
                      <w:fldChar w:fldCharType="separate"/>
                    </w:r>
                    <w:r>
                      <w:t>7</w:t>
                    </w:r>
                    <w:r>
                      <w:fldChar w:fldCharType="end"/>
                    </w:r>
                  </w:p>
                </w:txbxContent>
              </v:textbox>
            </v:shape>
          </w:pict>
        </mc:Fallback>
      </mc:AlternateContent>
    </w:r>
    <w:r>
      <w:rPr>
        <w:lang w:bidi="ug-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8CE5FF">
                          <w:pPr>
                            <w:pStyle w:val="14"/>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0aOM4BAACo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OotJZYZfPHz92/nH7/OP7+S&#10;KunTe6ix7MljYRzu3IBbM8cBg4n2IINJXyREMI/qni7qiiESni5Vq6oqMcUxNzuIXzxf9wHie+EM&#10;SUZDAz5fVpUdHyGOpXNJ6mbdvdI6P6G2fwUQc4yIvAPT7cRknDhZcdgNE72da0/Irsc9aKjFtadE&#10;P1iUOa3MbITZ2M3GwQe173DQZZ4S/O0h4kh50tRhhEWGycEHzFynZUsb8qefq55/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BtGjjOAQAAqAMAAA4AAAAAAAAAAQAgAAAAHgEAAGRycy9l&#10;Mm9Eb2MueG1sUEsFBgAAAAAGAAYAWQEAAF4FAAAAAA==&#10;">
              <v:fill on="f" focussize="0,0"/>
              <v:stroke on="f"/>
              <v:imagedata o:title=""/>
              <o:lock v:ext="edit" aspectratio="f"/>
              <v:textbox inset="0mm,0mm,0mm,0mm" style="mso-fit-shape-to-text:t;">
                <w:txbxContent>
                  <w:p w14:paraId="648CE5FF">
                    <w:pPr>
                      <w:pStyle w:val="14"/>
                    </w:pPr>
                  </w:p>
                </w:txbxContent>
              </v:textbox>
            </v:shape>
          </w:pict>
        </mc:Fallback>
      </mc:AlternateContent>
    </w:r>
  </w:p>
  <w:p w14:paraId="650F9F25">
    <w:pPr>
      <w:tabs>
        <w:tab w:val="left" w:pos="4954"/>
        <w:tab w:val="left" w:pos="7758"/>
      </w:tabs>
      <w:ind w:firstLine="3700"/>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DAD0">
    <w:pPr>
      <w:tabs>
        <w:tab w:val="center" w:pos="4153"/>
        <w:tab w:val="right" w:pos="8306"/>
      </w:tabs>
      <w:snapToGrid w:val="0"/>
      <w:jc w:val="center"/>
    </w:pPr>
    <w:r>
      <w:rPr>
        <w:lang w:bidi="ug-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02D685">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Z7CkzAgAAZA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eZ7CkzAgAAZAQAAA4AAAAAAAAAAQAgAAAAHwEAAGRycy9lMm9Eb2MueG1sUEsF&#10;BgAAAAAGAAYAWQEAAMQFAAAAAA==&#10;">
              <v:fill on="f" focussize="0,0"/>
              <v:stroke on="f" weight="0.5pt"/>
              <v:imagedata o:title=""/>
              <o:lock v:ext="edit" aspectratio="f"/>
              <v:textbox inset="0mm,0mm,0mm,0mm" style="mso-fit-shape-to-text:t;">
                <w:txbxContent>
                  <w:p w14:paraId="6302D685">
                    <w:pPr>
                      <w:pStyle w:val="14"/>
                    </w:pPr>
                    <w:r>
                      <w:fldChar w:fldCharType="begin"/>
                    </w:r>
                    <w:r>
                      <w:instrText xml:space="preserve"> PAGE  \* MERGEFORMAT </w:instrText>
                    </w:r>
                    <w:r>
                      <w:fldChar w:fldCharType="separate"/>
                    </w:r>
                    <w:r>
                      <w:t>65</w:t>
                    </w:r>
                    <w:r>
                      <w:fldChar w:fldCharType="end"/>
                    </w:r>
                  </w:p>
                </w:txbxContent>
              </v:textbox>
            </v:shape>
          </w:pict>
        </mc:Fallback>
      </mc:AlternateContent>
    </w:r>
    <w:r>
      <w:rPr>
        <w:lang w:bidi="ug-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4B9CC5">
                          <w:pPr>
                            <w:pStyle w:val="14"/>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t2kobOAQAAqAMAAA4AAAAAAAAAAQAgAAAAHgEAAGRycy9l&#10;Mm9Eb2MueG1sUEsFBgAAAAAGAAYAWQEAAF4FAAAAAA==&#10;">
              <v:fill on="f" focussize="0,0"/>
              <v:stroke on="f"/>
              <v:imagedata o:title=""/>
              <o:lock v:ext="edit" aspectratio="f"/>
              <v:textbox inset="0mm,0mm,0mm,0mm" style="mso-fit-shape-to-text:t;">
                <w:txbxContent>
                  <w:p w14:paraId="5D4B9CC5">
                    <w:pPr>
                      <w:pStyle w:val="14"/>
                    </w:pPr>
                  </w:p>
                </w:txbxContent>
              </v:textbox>
            </v:shape>
          </w:pict>
        </mc:Fallback>
      </mc:AlternateContent>
    </w:r>
  </w:p>
  <w:p w14:paraId="26BAD032">
    <w:pPr>
      <w:ind w:firstLine="37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2FC7">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B3A05">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1CB3A05">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980B">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319F0">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EF319F0">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C309">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75D5E">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B475D5E">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7A8C">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30D9">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D9E30D9">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E20B">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S8sd2gAAAAwB&#10;AAAPAAAAAAAAAAEAIAAAACIAAABkcnMvZG93bnJldi54bWxQSwECFAAUAAAACACHTuJAuNUTJBkC&#10;AACcBAAADgAAAAAAAAABACAAAAApAQAAZHJzL2Uyb0RvYy54bWxQSwUGAAAAAAYABgBZAQAAtAUA&#10;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14:paraId="0FC3FFE7">
    <w:pPr>
      <w:spacing w:line="229" w:lineRule="auto"/>
      <w:ind w:left="20"/>
      <w:rPr>
        <w:rFonts w:ascii="宋体" w:hAnsi="宋体" w:eastAsia="宋体" w:cs="宋体"/>
        <w:spacing w:val="9"/>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7999">
    <w:pPr>
      <w:pStyle w:val="1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F4C8">
    <w:pPr>
      <w:pStyle w:val="1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9B9B">
    <w:pPr>
      <w:pStyle w:val="1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6872">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C55D3">
    <w:pPr>
      <w:spacing w:line="229" w:lineRule="auto"/>
      <w:ind w:left="6"/>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aIMBHYAAAADAEAAA8A&#10;AAAAAAAAAQAgAAAAIgAAAGRycy9kb3ducmV2LnhtbFBLAQIUABQAAAAIAIdO4kCjyNcpFwIAAJwE&#10;AAAOAAAAAAAAAAEAIAAAACcBAABkcnMvZTJvRG9jLnhtbFBLBQYAAAAABgAGAFkBAACwBQAAA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532F">
    <w:pPr>
      <w:spacing w:line="229" w:lineRule="auto"/>
      <w:ind w:left="6"/>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59264;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ogwEdgAAAAMAQAA&#10;DwAAAAAAAAABACAAAAAiAAAAZHJzL2Rvd25yZXYueG1sUEsBAhQAFAAAAAgAh07iQPV5LNsZAgAA&#10;ngQAAA4AAAAAAAAAAQAgAAAAJwEAAGRycy9lMm9Eb2MueG1sUEsFBgAAAAAGAAYAWQEAALIFAAAA&#10;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367D">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9B3B">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78B0">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604E7">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05BA9">
    <w:pPr>
      <w:pStyle w:val="1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4652">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decimal"/>
      <w:lvlText w:val="%1."/>
      <w:lvlJc w:val="left"/>
      <w:pPr>
        <w:ind w:left="1019"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952" w:hanging="241"/>
      </w:pPr>
      <w:rPr>
        <w:rFonts w:hint="default"/>
        <w:lang w:val="zh-CN" w:eastAsia="zh-CN" w:bidi="zh-CN"/>
      </w:rPr>
    </w:lvl>
    <w:lvl w:ilvl="2" w:tentative="0">
      <w:start w:val="0"/>
      <w:numFmt w:val="bullet"/>
      <w:lvlText w:val="•"/>
      <w:lvlJc w:val="left"/>
      <w:pPr>
        <w:ind w:left="2885" w:hanging="241"/>
      </w:pPr>
      <w:rPr>
        <w:rFonts w:hint="default"/>
        <w:lang w:val="zh-CN" w:eastAsia="zh-CN" w:bidi="zh-CN"/>
      </w:rPr>
    </w:lvl>
    <w:lvl w:ilvl="3" w:tentative="0">
      <w:start w:val="0"/>
      <w:numFmt w:val="bullet"/>
      <w:lvlText w:val="•"/>
      <w:lvlJc w:val="left"/>
      <w:pPr>
        <w:ind w:left="3817" w:hanging="241"/>
      </w:pPr>
      <w:rPr>
        <w:rFonts w:hint="default"/>
        <w:lang w:val="zh-CN" w:eastAsia="zh-CN" w:bidi="zh-CN"/>
      </w:rPr>
    </w:lvl>
    <w:lvl w:ilvl="4" w:tentative="0">
      <w:start w:val="0"/>
      <w:numFmt w:val="bullet"/>
      <w:lvlText w:val="•"/>
      <w:lvlJc w:val="left"/>
      <w:pPr>
        <w:ind w:left="4750" w:hanging="241"/>
      </w:pPr>
      <w:rPr>
        <w:rFonts w:hint="default"/>
        <w:lang w:val="zh-CN" w:eastAsia="zh-CN" w:bidi="zh-CN"/>
      </w:rPr>
    </w:lvl>
    <w:lvl w:ilvl="5" w:tentative="0">
      <w:start w:val="0"/>
      <w:numFmt w:val="bullet"/>
      <w:lvlText w:val="•"/>
      <w:lvlJc w:val="left"/>
      <w:pPr>
        <w:ind w:left="5683" w:hanging="241"/>
      </w:pPr>
      <w:rPr>
        <w:rFonts w:hint="default"/>
        <w:lang w:val="zh-CN" w:eastAsia="zh-CN" w:bidi="zh-CN"/>
      </w:rPr>
    </w:lvl>
    <w:lvl w:ilvl="6" w:tentative="0">
      <w:start w:val="0"/>
      <w:numFmt w:val="bullet"/>
      <w:lvlText w:val="•"/>
      <w:lvlJc w:val="left"/>
      <w:pPr>
        <w:ind w:left="6615" w:hanging="241"/>
      </w:pPr>
      <w:rPr>
        <w:rFonts w:hint="default"/>
        <w:lang w:val="zh-CN" w:eastAsia="zh-CN" w:bidi="zh-CN"/>
      </w:rPr>
    </w:lvl>
    <w:lvl w:ilvl="7" w:tentative="0">
      <w:start w:val="0"/>
      <w:numFmt w:val="bullet"/>
      <w:lvlText w:val="•"/>
      <w:lvlJc w:val="left"/>
      <w:pPr>
        <w:ind w:left="7548" w:hanging="241"/>
      </w:pPr>
      <w:rPr>
        <w:rFonts w:hint="default"/>
        <w:lang w:val="zh-CN" w:eastAsia="zh-CN" w:bidi="zh-CN"/>
      </w:rPr>
    </w:lvl>
    <w:lvl w:ilvl="8" w:tentative="0">
      <w:start w:val="0"/>
      <w:numFmt w:val="bullet"/>
      <w:lvlText w:val="•"/>
      <w:lvlJc w:val="left"/>
      <w:pPr>
        <w:ind w:left="8481" w:hanging="241"/>
      </w:pPr>
      <w:rPr>
        <w:rFonts w:hint="default"/>
        <w:lang w:val="zh-CN" w:eastAsia="zh-CN" w:bidi="zh-CN"/>
      </w:rPr>
    </w:lvl>
  </w:abstractNum>
  <w:abstractNum w:abstractNumId="1">
    <w:nsid w:val="B23A94A9"/>
    <w:multiLevelType w:val="multilevel"/>
    <w:tmpl w:val="B23A94A9"/>
    <w:lvl w:ilvl="0" w:tentative="0">
      <w:start w:val="1"/>
      <w:numFmt w:val="decimal"/>
      <w:lvlText w:val="%1."/>
      <w:lvlJc w:val="left"/>
      <w:pPr>
        <w:ind w:left="298" w:hanging="361"/>
        <w:jc w:val="left"/>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304" w:hanging="361"/>
      </w:pPr>
      <w:rPr>
        <w:rFonts w:hint="default"/>
        <w:lang w:val="zh-CN" w:eastAsia="zh-CN" w:bidi="zh-CN"/>
      </w:rPr>
    </w:lvl>
    <w:lvl w:ilvl="2" w:tentative="0">
      <w:start w:val="0"/>
      <w:numFmt w:val="bullet"/>
      <w:lvlText w:val="•"/>
      <w:lvlJc w:val="left"/>
      <w:pPr>
        <w:ind w:left="2309" w:hanging="361"/>
      </w:pPr>
      <w:rPr>
        <w:rFonts w:hint="default"/>
        <w:lang w:val="zh-CN" w:eastAsia="zh-CN" w:bidi="zh-CN"/>
      </w:rPr>
    </w:lvl>
    <w:lvl w:ilvl="3" w:tentative="0">
      <w:start w:val="0"/>
      <w:numFmt w:val="bullet"/>
      <w:lvlText w:val="•"/>
      <w:lvlJc w:val="left"/>
      <w:pPr>
        <w:ind w:left="3313" w:hanging="361"/>
      </w:pPr>
      <w:rPr>
        <w:rFonts w:hint="default"/>
        <w:lang w:val="zh-CN" w:eastAsia="zh-CN" w:bidi="zh-CN"/>
      </w:rPr>
    </w:lvl>
    <w:lvl w:ilvl="4" w:tentative="0">
      <w:start w:val="0"/>
      <w:numFmt w:val="bullet"/>
      <w:lvlText w:val="•"/>
      <w:lvlJc w:val="left"/>
      <w:pPr>
        <w:ind w:left="4318" w:hanging="361"/>
      </w:pPr>
      <w:rPr>
        <w:rFonts w:hint="default"/>
        <w:lang w:val="zh-CN" w:eastAsia="zh-CN" w:bidi="zh-CN"/>
      </w:rPr>
    </w:lvl>
    <w:lvl w:ilvl="5" w:tentative="0">
      <w:start w:val="0"/>
      <w:numFmt w:val="bullet"/>
      <w:lvlText w:val="•"/>
      <w:lvlJc w:val="left"/>
      <w:pPr>
        <w:ind w:left="5323" w:hanging="361"/>
      </w:pPr>
      <w:rPr>
        <w:rFonts w:hint="default"/>
        <w:lang w:val="zh-CN" w:eastAsia="zh-CN" w:bidi="zh-CN"/>
      </w:rPr>
    </w:lvl>
    <w:lvl w:ilvl="6" w:tentative="0">
      <w:start w:val="0"/>
      <w:numFmt w:val="bullet"/>
      <w:lvlText w:val="•"/>
      <w:lvlJc w:val="left"/>
      <w:pPr>
        <w:ind w:left="6327" w:hanging="361"/>
      </w:pPr>
      <w:rPr>
        <w:rFonts w:hint="default"/>
        <w:lang w:val="zh-CN" w:eastAsia="zh-CN" w:bidi="zh-CN"/>
      </w:rPr>
    </w:lvl>
    <w:lvl w:ilvl="7" w:tentative="0">
      <w:start w:val="0"/>
      <w:numFmt w:val="bullet"/>
      <w:lvlText w:val="•"/>
      <w:lvlJc w:val="left"/>
      <w:pPr>
        <w:ind w:left="7332" w:hanging="361"/>
      </w:pPr>
      <w:rPr>
        <w:rFonts w:hint="default"/>
        <w:lang w:val="zh-CN" w:eastAsia="zh-CN" w:bidi="zh-CN"/>
      </w:rPr>
    </w:lvl>
    <w:lvl w:ilvl="8" w:tentative="0">
      <w:start w:val="0"/>
      <w:numFmt w:val="bullet"/>
      <w:lvlText w:val="•"/>
      <w:lvlJc w:val="left"/>
      <w:pPr>
        <w:ind w:left="8337" w:hanging="361"/>
      </w:pPr>
      <w:rPr>
        <w:rFonts w:hint="default"/>
        <w:lang w:val="zh-CN" w:eastAsia="zh-CN" w:bidi="zh-CN"/>
      </w:rPr>
    </w:lvl>
  </w:abstractNum>
  <w:abstractNum w:abstractNumId="2">
    <w:nsid w:val="C4E0D24A"/>
    <w:multiLevelType w:val="multilevel"/>
    <w:tmpl w:val="C4E0D24A"/>
    <w:lvl w:ilvl="0" w:tentative="0">
      <w:start w:val="1"/>
      <w:numFmt w:val="decimal"/>
      <w:lvlText w:val="（%1）"/>
      <w:lvlJc w:val="left"/>
      <w:pPr>
        <w:ind w:left="318" w:hanging="607"/>
        <w:jc w:val="left"/>
      </w:pPr>
      <w:rPr>
        <w:rFonts w:hint="default" w:ascii="宋体" w:hAnsi="宋体" w:eastAsia="宋体" w:cs="宋体"/>
        <w:b w:val="0"/>
        <w:bCs w:val="0"/>
        <w:spacing w:val="2"/>
        <w:w w:val="100"/>
        <w:sz w:val="22"/>
        <w:szCs w:val="22"/>
        <w:lang w:val="zh-CN" w:eastAsia="zh-CN" w:bidi="zh-CN"/>
      </w:rPr>
    </w:lvl>
    <w:lvl w:ilvl="1" w:tentative="0">
      <w:start w:val="0"/>
      <w:numFmt w:val="bullet"/>
      <w:lvlText w:val="•"/>
      <w:lvlJc w:val="left"/>
      <w:pPr>
        <w:ind w:left="1304" w:hanging="607"/>
      </w:pPr>
      <w:rPr>
        <w:rFonts w:hint="default"/>
        <w:lang w:val="zh-CN" w:eastAsia="zh-CN" w:bidi="zh-CN"/>
      </w:rPr>
    </w:lvl>
    <w:lvl w:ilvl="2" w:tentative="0">
      <w:start w:val="0"/>
      <w:numFmt w:val="bullet"/>
      <w:lvlText w:val="•"/>
      <w:lvlJc w:val="left"/>
      <w:pPr>
        <w:ind w:left="2309" w:hanging="607"/>
      </w:pPr>
      <w:rPr>
        <w:rFonts w:hint="default"/>
        <w:lang w:val="zh-CN" w:eastAsia="zh-CN" w:bidi="zh-CN"/>
      </w:rPr>
    </w:lvl>
    <w:lvl w:ilvl="3" w:tentative="0">
      <w:start w:val="0"/>
      <w:numFmt w:val="bullet"/>
      <w:lvlText w:val="•"/>
      <w:lvlJc w:val="left"/>
      <w:pPr>
        <w:ind w:left="3313" w:hanging="607"/>
      </w:pPr>
      <w:rPr>
        <w:rFonts w:hint="default"/>
        <w:lang w:val="zh-CN" w:eastAsia="zh-CN" w:bidi="zh-CN"/>
      </w:rPr>
    </w:lvl>
    <w:lvl w:ilvl="4" w:tentative="0">
      <w:start w:val="0"/>
      <w:numFmt w:val="bullet"/>
      <w:lvlText w:val="•"/>
      <w:lvlJc w:val="left"/>
      <w:pPr>
        <w:ind w:left="4318" w:hanging="607"/>
      </w:pPr>
      <w:rPr>
        <w:rFonts w:hint="default"/>
        <w:lang w:val="zh-CN" w:eastAsia="zh-CN" w:bidi="zh-CN"/>
      </w:rPr>
    </w:lvl>
    <w:lvl w:ilvl="5" w:tentative="0">
      <w:start w:val="0"/>
      <w:numFmt w:val="bullet"/>
      <w:lvlText w:val="•"/>
      <w:lvlJc w:val="left"/>
      <w:pPr>
        <w:ind w:left="5323" w:hanging="607"/>
      </w:pPr>
      <w:rPr>
        <w:rFonts w:hint="default"/>
        <w:lang w:val="zh-CN" w:eastAsia="zh-CN" w:bidi="zh-CN"/>
      </w:rPr>
    </w:lvl>
    <w:lvl w:ilvl="6" w:tentative="0">
      <w:start w:val="0"/>
      <w:numFmt w:val="bullet"/>
      <w:lvlText w:val="•"/>
      <w:lvlJc w:val="left"/>
      <w:pPr>
        <w:ind w:left="6327" w:hanging="607"/>
      </w:pPr>
      <w:rPr>
        <w:rFonts w:hint="default"/>
        <w:lang w:val="zh-CN" w:eastAsia="zh-CN" w:bidi="zh-CN"/>
      </w:rPr>
    </w:lvl>
    <w:lvl w:ilvl="7" w:tentative="0">
      <w:start w:val="0"/>
      <w:numFmt w:val="bullet"/>
      <w:lvlText w:val="•"/>
      <w:lvlJc w:val="left"/>
      <w:pPr>
        <w:ind w:left="7332" w:hanging="607"/>
      </w:pPr>
      <w:rPr>
        <w:rFonts w:hint="default"/>
        <w:lang w:val="zh-CN" w:eastAsia="zh-CN" w:bidi="zh-CN"/>
      </w:rPr>
    </w:lvl>
    <w:lvl w:ilvl="8" w:tentative="0">
      <w:start w:val="0"/>
      <w:numFmt w:val="bullet"/>
      <w:lvlText w:val="•"/>
      <w:lvlJc w:val="left"/>
      <w:pPr>
        <w:ind w:left="8337" w:hanging="607"/>
      </w:pPr>
      <w:rPr>
        <w:rFonts w:hint="default"/>
        <w:lang w:val="zh-CN" w:eastAsia="zh-CN" w:bidi="zh-CN"/>
      </w:rPr>
    </w:lvl>
  </w:abstractNum>
  <w:abstractNum w:abstractNumId="3">
    <w:nsid w:val="E504947C"/>
    <w:multiLevelType w:val="multilevel"/>
    <w:tmpl w:val="E504947C"/>
    <w:lvl w:ilvl="0" w:tentative="0">
      <w:start w:val="3"/>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298" w:hanging="213"/>
        <w:jc w:val="right"/>
      </w:pPr>
      <w:rPr>
        <w:rFonts w:hint="default"/>
        <w:spacing w:val="-1"/>
        <w:w w:val="100"/>
        <w:lang w:val="zh-CN" w:eastAsia="zh-CN" w:bidi="zh-CN"/>
      </w:rPr>
    </w:lvl>
    <w:lvl w:ilvl="1" w:tentative="0">
      <w:start w:val="1"/>
      <w:numFmt w:val="decimal"/>
      <w:lvlText w:val="%2."/>
      <w:lvlJc w:val="left"/>
      <w:pPr>
        <w:ind w:left="1226" w:hanging="361"/>
        <w:jc w:val="left"/>
      </w:pPr>
      <w:rPr>
        <w:rFonts w:hint="default" w:ascii="宋体" w:hAnsi="宋体" w:eastAsia="宋体" w:cs="宋体"/>
        <w:spacing w:val="-60"/>
        <w:w w:val="100"/>
        <w:sz w:val="22"/>
        <w:szCs w:val="22"/>
        <w:lang w:val="zh-CN" w:eastAsia="zh-CN" w:bidi="zh-CN"/>
      </w:rPr>
    </w:lvl>
    <w:lvl w:ilvl="2" w:tentative="0">
      <w:start w:val="1"/>
      <w:numFmt w:val="decimal"/>
      <w:lvlText w:val="%2.%3"/>
      <w:lvlJc w:val="left"/>
      <w:pPr>
        <w:ind w:left="298" w:hanging="495"/>
        <w:jc w:val="left"/>
      </w:pPr>
      <w:rPr>
        <w:rFonts w:hint="default"/>
        <w:spacing w:val="0"/>
        <w:w w:val="100"/>
        <w:lang w:val="zh-CN" w:eastAsia="zh-CN" w:bidi="zh-CN"/>
      </w:rPr>
    </w:lvl>
    <w:lvl w:ilvl="3" w:tentative="0">
      <w:start w:val="0"/>
      <w:numFmt w:val="bullet"/>
      <w:lvlText w:val="•"/>
      <w:lvlJc w:val="left"/>
      <w:pPr>
        <w:ind w:left="3248" w:hanging="495"/>
      </w:pPr>
      <w:rPr>
        <w:rFonts w:hint="default"/>
        <w:lang w:val="zh-CN" w:eastAsia="zh-CN" w:bidi="zh-CN"/>
      </w:rPr>
    </w:lvl>
    <w:lvl w:ilvl="4" w:tentative="0">
      <w:start w:val="0"/>
      <w:numFmt w:val="bullet"/>
      <w:lvlText w:val="•"/>
      <w:lvlJc w:val="left"/>
      <w:pPr>
        <w:ind w:left="4262" w:hanging="495"/>
      </w:pPr>
      <w:rPr>
        <w:rFonts w:hint="default"/>
        <w:lang w:val="zh-CN" w:eastAsia="zh-CN" w:bidi="zh-CN"/>
      </w:rPr>
    </w:lvl>
    <w:lvl w:ilvl="5" w:tentative="0">
      <w:start w:val="0"/>
      <w:numFmt w:val="bullet"/>
      <w:lvlText w:val="•"/>
      <w:lvlJc w:val="left"/>
      <w:pPr>
        <w:ind w:left="5276" w:hanging="495"/>
      </w:pPr>
      <w:rPr>
        <w:rFonts w:hint="default"/>
        <w:lang w:val="zh-CN" w:eastAsia="zh-CN" w:bidi="zh-CN"/>
      </w:rPr>
    </w:lvl>
    <w:lvl w:ilvl="6" w:tentative="0">
      <w:start w:val="0"/>
      <w:numFmt w:val="bullet"/>
      <w:lvlText w:val="•"/>
      <w:lvlJc w:val="left"/>
      <w:pPr>
        <w:ind w:left="6290" w:hanging="495"/>
      </w:pPr>
      <w:rPr>
        <w:rFonts w:hint="default"/>
        <w:lang w:val="zh-CN" w:eastAsia="zh-CN" w:bidi="zh-CN"/>
      </w:rPr>
    </w:lvl>
    <w:lvl w:ilvl="7" w:tentative="0">
      <w:start w:val="0"/>
      <w:numFmt w:val="bullet"/>
      <w:lvlText w:val="•"/>
      <w:lvlJc w:val="left"/>
      <w:pPr>
        <w:ind w:left="7304" w:hanging="495"/>
      </w:pPr>
      <w:rPr>
        <w:rFonts w:hint="default"/>
        <w:lang w:val="zh-CN" w:eastAsia="zh-CN" w:bidi="zh-CN"/>
      </w:rPr>
    </w:lvl>
    <w:lvl w:ilvl="8" w:tentative="0">
      <w:start w:val="0"/>
      <w:numFmt w:val="bullet"/>
      <w:lvlText w:val="•"/>
      <w:lvlJc w:val="left"/>
      <w:pPr>
        <w:ind w:left="8318" w:hanging="495"/>
      </w:pPr>
      <w:rPr>
        <w:rFonts w:hint="default"/>
        <w:lang w:val="zh-CN" w:eastAsia="zh-CN" w:bidi="zh-CN"/>
      </w:rPr>
    </w:lvl>
  </w:abstractNum>
  <w:abstractNum w:abstractNumId="5">
    <w:nsid w:val="F689643B"/>
    <w:multiLevelType w:val="multilevel"/>
    <w:tmpl w:val="F689643B"/>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6">
    <w:nsid w:val="FEC2EA36"/>
    <w:multiLevelType w:val="multilevel"/>
    <w:tmpl w:val="FEC2EA3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7">
    <w:nsid w:val="03A63A41"/>
    <w:multiLevelType w:val="multilevel"/>
    <w:tmpl w:val="03A63A41"/>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8">
    <w:nsid w:val="0F9F9CCA"/>
    <w:multiLevelType w:val="multilevel"/>
    <w:tmpl w:val="0F9F9CCA"/>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1"/>
      <w:numFmt w:val="decimal"/>
      <w:lvlText w:val="%1.%2"/>
      <w:lvlJc w:val="left"/>
      <w:pPr>
        <w:ind w:left="29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234" w:hanging="480"/>
      </w:pPr>
      <w:rPr>
        <w:rFonts w:hint="default"/>
        <w:lang w:val="zh-CN" w:eastAsia="zh-CN" w:bidi="zh-CN"/>
      </w:rPr>
    </w:lvl>
    <w:lvl w:ilvl="3" w:tentative="0">
      <w:start w:val="0"/>
      <w:numFmt w:val="bullet"/>
      <w:lvlText w:val="•"/>
      <w:lvlJc w:val="left"/>
      <w:pPr>
        <w:ind w:left="3248" w:hanging="480"/>
      </w:pPr>
      <w:rPr>
        <w:rFonts w:hint="default"/>
        <w:lang w:val="zh-CN" w:eastAsia="zh-CN" w:bidi="zh-CN"/>
      </w:rPr>
    </w:lvl>
    <w:lvl w:ilvl="4" w:tentative="0">
      <w:start w:val="0"/>
      <w:numFmt w:val="bullet"/>
      <w:lvlText w:val="•"/>
      <w:lvlJc w:val="left"/>
      <w:pPr>
        <w:ind w:left="4262" w:hanging="480"/>
      </w:pPr>
      <w:rPr>
        <w:rFonts w:hint="default"/>
        <w:lang w:val="zh-CN" w:eastAsia="zh-CN" w:bidi="zh-CN"/>
      </w:rPr>
    </w:lvl>
    <w:lvl w:ilvl="5" w:tentative="0">
      <w:start w:val="0"/>
      <w:numFmt w:val="bullet"/>
      <w:lvlText w:val="•"/>
      <w:lvlJc w:val="left"/>
      <w:pPr>
        <w:ind w:left="5276" w:hanging="480"/>
      </w:pPr>
      <w:rPr>
        <w:rFonts w:hint="default"/>
        <w:lang w:val="zh-CN" w:eastAsia="zh-CN" w:bidi="zh-CN"/>
      </w:rPr>
    </w:lvl>
    <w:lvl w:ilvl="6" w:tentative="0">
      <w:start w:val="0"/>
      <w:numFmt w:val="bullet"/>
      <w:lvlText w:val="•"/>
      <w:lvlJc w:val="left"/>
      <w:pPr>
        <w:ind w:left="6290" w:hanging="480"/>
      </w:pPr>
      <w:rPr>
        <w:rFonts w:hint="default"/>
        <w:lang w:val="zh-CN" w:eastAsia="zh-CN" w:bidi="zh-CN"/>
      </w:rPr>
    </w:lvl>
    <w:lvl w:ilvl="7" w:tentative="0">
      <w:start w:val="0"/>
      <w:numFmt w:val="bullet"/>
      <w:lvlText w:val="•"/>
      <w:lvlJc w:val="left"/>
      <w:pPr>
        <w:ind w:left="7304" w:hanging="480"/>
      </w:pPr>
      <w:rPr>
        <w:rFonts w:hint="default"/>
        <w:lang w:val="zh-CN" w:eastAsia="zh-CN" w:bidi="zh-CN"/>
      </w:rPr>
    </w:lvl>
    <w:lvl w:ilvl="8" w:tentative="0">
      <w:start w:val="0"/>
      <w:numFmt w:val="bullet"/>
      <w:lvlText w:val="•"/>
      <w:lvlJc w:val="left"/>
      <w:pPr>
        <w:ind w:left="8318" w:hanging="480"/>
      </w:pPr>
      <w:rPr>
        <w:rFonts w:hint="default"/>
        <w:lang w:val="zh-CN" w:eastAsia="zh-CN" w:bidi="zh-CN"/>
      </w:rPr>
    </w:lvl>
  </w:abstractNum>
  <w:abstractNum w:abstractNumId="9">
    <w:nsid w:val="12EADF99"/>
    <w:multiLevelType w:val="multilevel"/>
    <w:tmpl w:val="12EADF99"/>
    <w:lvl w:ilvl="0" w:tentative="0">
      <w:start w:val="1"/>
      <w:numFmt w:val="decimal"/>
      <w:lvlText w:val="（%1）"/>
      <w:lvlJc w:val="left"/>
      <w:pPr>
        <w:ind w:left="1324"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22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4027" w:hanging="601"/>
      </w:pPr>
      <w:rPr>
        <w:rFonts w:hint="default"/>
        <w:lang w:val="zh-CN" w:eastAsia="zh-CN" w:bidi="zh-CN"/>
      </w:rPr>
    </w:lvl>
    <w:lvl w:ilvl="4" w:tentative="0">
      <w:start w:val="0"/>
      <w:numFmt w:val="bullet"/>
      <w:lvlText w:val="•"/>
      <w:lvlJc w:val="left"/>
      <w:pPr>
        <w:ind w:left="49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735" w:hanging="601"/>
      </w:pPr>
      <w:rPr>
        <w:rFonts w:hint="default"/>
        <w:lang w:val="zh-CN" w:eastAsia="zh-CN" w:bidi="zh-CN"/>
      </w:rPr>
    </w:lvl>
    <w:lvl w:ilvl="7" w:tentative="0">
      <w:start w:val="0"/>
      <w:numFmt w:val="bullet"/>
      <w:lvlText w:val="•"/>
      <w:lvlJc w:val="left"/>
      <w:pPr>
        <w:ind w:left="7638" w:hanging="601"/>
      </w:pPr>
      <w:rPr>
        <w:rFonts w:hint="default"/>
        <w:lang w:val="zh-CN" w:eastAsia="zh-CN" w:bidi="zh-CN"/>
      </w:rPr>
    </w:lvl>
    <w:lvl w:ilvl="8" w:tentative="0">
      <w:start w:val="0"/>
      <w:numFmt w:val="bullet"/>
      <w:lvlText w:val="•"/>
      <w:lvlJc w:val="left"/>
      <w:pPr>
        <w:ind w:left="8541" w:hanging="601"/>
      </w:pPr>
      <w:rPr>
        <w:rFonts w:hint="default"/>
        <w:lang w:val="zh-CN" w:eastAsia="zh-CN" w:bidi="zh-CN"/>
      </w:rPr>
    </w:lvl>
  </w:abstractNum>
  <w:abstractNum w:abstractNumId="10">
    <w:nsid w:val="18F74015"/>
    <w:multiLevelType w:val="multilevel"/>
    <w:tmpl w:val="18F74015"/>
    <w:lvl w:ilvl="0" w:tentative="0">
      <w:start w:val="1"/>
      <w:numFmt w:val="decimal"/>
      <w:lvlText w:val="%1."/>
      <w:lvlJc w:val="left"/>
      <w:pPr>
        <w:ind w:left="1106"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24" w:hanging="241"/>
      </w:pPr>
      <w:rPr>
        <w:rFonts w:hint="default"/>
        <w:lang w:val="zh-CN" w:eastAsia="zh-CN" w:bidi="zh-CN"/>
      </w:rPr>
    </w:lvl>
    <w:lvl w:ilvl="2" w:tentative="0">
      <w:start w:val="0"/>
      <w:numFmt w:val="bullet"/>
      <w:lvlText w:val="•"/>
      <w:lvlJc w:val="left"/>
      <w:pPr>
        <w:ind w:left="2949" w:hanging="241"/>
      </w:pPr>
      <w:rPr>
        <w:rFonts w:hint="default"/>
        <w:lang w:val="zh-CN" w:eastAsia="zh-CN" w:bidi="zh-CN"/>
      </w:rPr>
    </w:lvl>
    <w:lvl w:ilvl="3" w:tentative="0">
      <w:start w:val="0"/>
      <w:numFmt w:val="bullet"/>
      <w:lvlText w:val="•"/>
      <w:lvlJc w:val="left"/>
      <w:pPr>
        <w:ind w:left="3873" w:hanging="241"/>
      </w:pPr>
      <w:rPr>
        <w:rFonts w:hint="default"/>
        <w:lang w:val="zh-CN" w:eastAsia="zh-CN" w:bidi="zh-CN"/>
      </w:rPr>
    </w:lvl>
    <w:lvl w:ilvl="4" w:tentative="0">
      <w:start w:val="0"/>
      <w:numFmt w:val="bullet"/>
      <w:lvlText w:val="•"/>
      <w:lvlJc w:val="left"/>
      <w:pPr>
        <w:ind w:left="4798" w:hanging="241"/>
      </w:pPr>
      <w:rPr>
        <w:rFonts w:hint="default"/>
        <w:lang w:val="zh-CN" w:eastAsia="zh-CN" w:bidi="zh-CN"/>
      </w:rPr>
    </w:lvl>
    <w:lvl w:ilvl="5" w:tentative="0">
      <w:start w:val="0"/>
      <w:numFmt w:val="bullet"/>
      <w:lvlText w:val="•"/>
      <w:lvlJc w:val="left"/>
      <w:pPr>
        <w:ind w:left="5723" w:hanging="241"/>
      </w:pPr>
      <w:rPr>
        <w:rFonts w:hint="default"/>
        <w:lang w:val="zh-CN" w:eastAsia="zh-CN" w:bidi="zh-CN"/>
      </w:rPr>
    </w:lvl>
    <w:lvl w:ilvl="6" w:tentative="0">
      <w:start w:val="0"/>
      <w:numFmt w:val="bullet"/>
      <w:lvlText w:val="•"/>
      <w:lvlJc w:val="left"/>
      <w:pPr>
        <w:ind w:left="6647" w:hanging="241"/>
      </w:pPr>
      <w:rPr>
        <w:rFonts w:hint="default"/>
        <w:lang w:val="zh-CN" w:eastAsia="zh-CN" w:bidi="zh-CN"/>
      </w:rPr>
    </w:lvl>
    <w:lvl w:ilvl="7" w:tentative="0">
      <w:start w:val="0"/>
      <w:numFmt w:val="bullet"/>
      <w:lvlText w:val="•"/>
      <w:lvlJc w:val="left"/>
      <w:pPr>
        <w:ind w:left="7572" w:hanging="241"/>
      </w:pPr>
      <w:rPr>
        <w:rFonts w:hint="default"/>
        <w:lang w:val="zh-CN" w:eastAsia="zh-CN" w:bidi="zh-CN"/>
      </w:rPr>
    </w:lvl>
    <w:lvl w:ilvl="8" w:tentative="0">
      <w:start w:val="0"/>
      <w:numFmt w:val="bullet"/>
      <w:lvlText w:val="•"/>
      <w:lvlJc w:val="left"/>
      <w:pPr>
        <w:ind w:left="8497" w:hanging="241"/>
      </w:pPr>
      <w:rPr>
        <w:rFonts w:hint="default"/>
        <w:lang w:val="zh-CN" w:eastAsia="zh-CN" w:bidi="zh-CN"/>
      </w:rPr>
    </w:lvl>
  </w:abstractNum>
  <w:abstractNum w:abstractNumId="11">
    <w:nsid w:val="1B2F55B3"/>
    <w:multiLevelType w:val="singleLevel"/>
    <w:tmpl w:val="1B2F55B3"/>
    <w:lvl w:ilvl="0" w:tentative="0">
      <w:start w:val="6"/>
      <w:numFmt w:val="chineseCounting"/>
      <w:suff w:val="space"/>
      <w:lvlText w:val="第%1条"/>
      <w:lvlJc w:val="left"/>
      <w:rPr>
        <w:rFonts w:hint="eastAsia"/>
      </w:rPr>
    </w:lvl>
  </w:abstractNum>
  <w:abstractNum w:abstractNumId="12">
    <w:nsid w:val="2F6DD6A3"/>
    <w:multiLevelType w:val="singleLevel"/>
    <w:tmpl w:val="2F6DD6A3"/>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3">
    <w:nsid w:val="30A0AC00"/>
    <w:multiLevelType w:val="multilevel"/>
    <w:tmpl w:val="30A0AC00"/>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4">
    <w:nsid w:val="3B8127DF"/>
    <w:multiLevelType w:val="multilevel"/>
    <w:tmpl w:val="3B8127DF"/>
    <w:lvl w:ilvl="0" w:tentative="0">
      <w:start w:val="1"/>
      <w:numFmt w:val="decimal"/>
      <w:lvlText w:val="%1."/>
      <w:lvlJc w:val="left"/>
      <w:pPr>
        <w:ind w:left="1226" w:hanging="36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132" w:hanging="361"/>
      </w:pPr>
      <w:rPr>
        <w:rFonts w:hint="default"/>
        <w:lang w:val="zh-CN" w:eastAsia="zh-CN" w:bidi="zh-CN"/>
      </w:rPr>
    </w:lvl>
    <w:lvl w:ilvl="2" w:tentative="0">
      <w:start w:val="0"/>
      <w:numFmt w:val="bullet"/>
      <w:lvlText w:val="•"/>
      <w:lvlJc w:val="left"/>
      <w:pPr>
        <w:ind w:left="3045" w:hanging="361"/>
      </w:pPr>
      <w:rPr>
        <w:rFonts w:hint="default"/>
        <w:lang w:val="zh-CN" w:eastAsia="zh-CN" w:bidi="zh-CN"/>
      </w:rPr>
    </w:lvl>
    <w:lvl w:ilvl="3" w:tentative="0">
      <w:start w:val="0"/>
      <w:numFmt w:val="bullet"/>
      <w:lvlText w:val="•"/>
      <w:lvlJc w:val="left"/>
      <w:pPr>
        <w:ind w:left="3957" w:hanging="361"/>
      </w:pPr>
      <w:rPr>
        <w:rFonts w:hint="default"/>
        <w:lang w:val="zh-CN" w:eastAsia="zh-CN" w:bidi="zh-CN"/>
      </w:rPr>
    </w:lvl>
    <w:lvl w:ilvl="4" w:tentative="0">
      <w:start w:val="0"/>
      <w:numFmt w:val="bullet"/>
      <w:lvlText w:val="•"/>
      <w:lvlJc w:val="left"/>
      <w:pPr>
        <w:ind w:left="4870" w:hanging="361"/>
      </w:pPr>
      <w:rPr>
        <w:rFonts w:hint="default"/>
        <w:lang w:val="zh-CN" w:eastAsia="zh-CN" w:bidi="zh-CN"/>
      </w:rPr>
    </w:lvl>
    <w:lvl w:ilvl="5" w:tentative="0">
      <w:start w:val="0"/>
      <w:numFmt w:val="bullet"/>
      <w:lvlText w:val="•"/>
      <w:lvlJc w:val="left"/>
      <w:pPr>
        <w:ind w:left="5783" w:hanging="361"/>
      </w:pPr>
      <w:rPr>
        <w:rFonts w:hint="default"/>
        <w:lang w:val="zh-CN" w:eastAsia="zh-CN" w:bidi="zh-CN"/>
      </w:rPr>
    </w:lvl>
    <w:lvl w:ilvl="6" w:tentative="0">
      <w:start w:val="0"/>
      <w:numFmt w:val="bullet"/>
      <w:lvlText w:val="•"/>
      <w:lvlJc w:val="left"/>
      <w:pPr>
        <w:ind w:left="6695" w:hanging="361"/>
      </w:pPr>
      <w:rPr>
        <w:rFonts w:hint="default"/>
        <w:lang w:val="zh-CN" w:eastAsia="zh-CN" w:bidi="zh-CN"/>
      </w:rPr>
    </w:lvl>
    <w:lvl w:ilvl="7" w:tentative="0">
      <w:start w:val="0"/>
      <w:numFmt w:val="bullet"/>
      <w:lvlText w:val="•"/>
      <w:lvlJc w:val="left"/>
      <w:pPr>
        <w:ind w:left="7608" w:hanging="361"/>
      </w:pPr>
      <w:rPr>
        <w:rFonts w:hint="default"/>
        <w:lang w:val="zh-CN" w:eastAsia="zh-CN" w:bidi="zh-CN"/>
      </w:rPr>
    </w:lvl>
    <w:lvl w:ilvl="8" w:tentative="0">
      <w:start w:val="0"/>
      <w:numFmt w:val="bullet"/>
      <w:lvlText w:val="•"/>
      <w:lvlJc w:val="left"/>
      <w:pPr>
        <w:ind w:left="8521" w:hanging="361"/>
      </w:pPr>
      <w:rPr>
        <w:rFonts w:hint="default"/>
        <w:lang w:val="zh-CN" w:eastAsia="zh-CN" w:bidi="zh-CN"/>
      </w:rPr>
    </w:lvl>
  </w:abstractNum>
  <w:abstractNum w:abstractNumId="15">
    <w:nsid w:val="41564E1C"/>
    <w:multiLevelType w:val="multilevel"/>
    <w:tmpl w:val="41564E1C"/>
    <w:lvl w:ilvl="0" w:tentative="0">
      <w:start w:val="1"/>
      <w:numFmt w:val="decimal"/>
      <w:lvlText w:val="（%1）"/>
      <w:lvlJc w:val="left"/>
      <w:pPr>
        <w:ind w:left="298" w:hanging="601"/>
        <w:jc w:val="left"/>
      </w:pPr>
      <w:rPr>
        <w:rFonts w:hint="default" w:ascii="宋体" w:hAnsi="宋体" w:eastAsia="宋体" w:cs="宋体"/>
        <w:spacing w:val="-15"/>
        <w:w w:val="100"/>
        <w:sz w:val="22"/>
        <w:szCs w:val="22"/>
        <w:lang w:val="zh-CN" w:eastAsia="zh-CN" w:bidi="zh-CN"/>
      </w:rPr>
    </w:lvl>
    <w:lvl w:ilvl="1" w:tentative="0">
      <w:start w:val="1"/>
      <w:numFmt w:val="decimal"/>
      <w:lvlText w:val="%2."/>
      <w:lvlJc w:val="left"/>
      <w:pPr>
        <w:ind w:left="298"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abstractNum w:abstractNumId="16">
    <w:nsid w:val="50A0C120"/>
    <w:multiLevelType w:val="singleLevel"/>
    <w:tmpl w:val="50A0C120"/>
    <w:lvl w:ilvl="0" w:tentative="0">
      <w:start w:val="1"/>
      <w:numFmt w:val="decimal"/>
      <w:lvlText w:val="%1."/>
      <w:lvlJc w:val="left"/>
      <w:pPr>
        <w:tabs>
          <w:tab w:val="left" w:pos="312"/>
        </w:tabs>
      </w:pPr>
    </w:lvl>
  </w:abstractNum>
  <w:abstractNum w:abstractNumId="17">
    <w:nsid w:val="6310AB89"/>
    <w:multiLevelType w:val="singleLevel"/>
    <w:tmpl w:val="6310AB89"/>
    <w:lvl w:ilvl="0" w:tentative="0">
      <w:start w:val="1"/>
      <w:numFmt w:val="chineseCounting"/>
      <w:suff w:val="nothing"/>
      <w:lvlText w:val="%1、"/>
      <w:lvlJc w:val="left"/>
      <w:rPr>
        <w:rFonts w:hint="eastAsia"/>
      </w:rPr>
    </w:lvl>
  </w:abstractNum>
  <w:abstractNum w:abstractNumId="18">
    <w:nsid w:val="64F14B50"/>
    <w:multiLevelType w:val="singleLevel"/>
    <w:tmpl w:val="64F14B50"/>
    <w:lvl w:ilvl="0" w:tentative="0">
      <w:start w:val="1"/>
      <w:numFmt w:val="decimal"/>
      <w:lvlText w:val="%1."/>
      <w:lvlJc w:val="left"/>
      <w:pPr>
        <w:ind w:left="425" w:hanging="425"/>
      </w:pPr>
      <w:rPr>
        <w:rFonts w:hint="default"/>
      </w:rPr>
    </w:lvl>
  </w:abstractNum>
  <w:abstractNum w:abstractNumId="19">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42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42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0">
    <w:nsid w:val="700FDCEF"/>
    <w:multiLevelType w:val="multilevel"/>
    <w:tmpl w:val="700FDCEF"/>
    <w:lvl w:ilvl="0" w:tentative="0">
      <w:start w:val="1"/>
      <w:numFmt w:val="decimal"/>
      <w:lvlText w:val="%1."/>
      <w:lvlJc w:val="left"/>
      <w:pPr>
        <w:ind w:left="1027"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1.%2"/>
      <w:lvlJc w:val="left"/>
      <w:pPr>
        <w:ind w:left="136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58" w:hanging="420"/>
      </w:pPr>
      <w:rPr>
        <w:rFonts w:hint="default"/>
        <w:lang w:val="zh-CN" w:eastAsia="zh-CN" w:bidi="zh-CN"/>
      </w:rPr>
    </w:lvl>
    <w:lvl w:ilvl="3" w:tentative="0">
      <w:start w:val="0"/>
      <w:numFmt w:val="bullet"/>
      <w:lvlText w:val="•"/>
      <w:lvlJc w:val="left"/>
      <w:pPr>
        <w:ind w:left="3356" w:hanging="420"/>
      </w:pPr>
      <w:rPr>
        <w:rFonts w:hint="default"/>
        <w:lang w:val="zh-CN" w:eastAsia="zh-CN" w:bidi="zh-CN"/>
      </w:rPr>
    </w:lvl>
    <w:lvl w:ilvl="4" w:tentative="0">
      <w:start w:val="0"/>
      <w:numFmt w:val="bullet"/>
      <w:lvlText w:val="•"/>
      <w:lvlJc w:val="left"/>
      <w:pPr>
        <w:ind w:left="4355" w:hanging="420"/>
      </w:pPr>
      <w:rPr>
        <w:rFonts w:hint="default"/>
        <w:lang w:val="zh-CN" w:eastAsia="zh-CN" w:bidi="zh-CN"/>
      </w:rPr>
    </w:lvl>
    <w:lvl w:ilvl="5" w:tentative="0">
      <w:start w:val="0"/>
      <w:numFmt w:val="bullet"/>
      <w:lvlText w:val="•"/>
      <w:lvlJc w:val="left"/>
      <w:pPr>
        <w:ind w:left="5353" w:hanging="420"/>
      </w:pPr>
      <w:rPr>
        <w:rFonts w:hint="default"/>
        <w:lang w:val="zh-CN" w:eastAsia="zh-CN" w:bidi="zh-CN"/>
      </w:rPr>
    </w:lvl>
    <w:lvl w:ilvl="6" w:tentative="0">
      <w:start w:val="0"/>
      <w:numFmt w:val="bullet"/>
      <w:lvlText w:val="•"/>
      <w:lvlJc w:val="left"/>
      <w:pPr>
        <w:ind w:left="6352" w:hanging="420"/>
      </w:pPr>
      <w:rPr>
        <w:rFonts w:hint="default"/>
        <w:lang w:val="zh-CN" w:eastAsia="zh-CN" w:bidi="zh-CN"/>
      </w:rPr>
    </w:lvl>
    <w:lvl w:ilvl="7" w:tentative="0">
      <w:start w:val="0"/>
      <w:numFmt w:val="bullet"/>
      <w:lvlText w:val="•"/>
      <w:lvlJc w:val="left"/>
      <w:pPr>
        <w:ind w:left="7350" w:hanging="420"/>
      </w:pPr>
      <w:rPr>
        <w:rFonts w:hint="default"/>
        <w:lang w:val="zh-CN" w:eastAsia="zh-CN" w:bidi="zh-CN"/>
      </w:rPr>
    </w:lvl>
    <w:lvl w:ilvl="8" w:tentative="0">
      <w:start w:val="0"/>
      <w:numFmt w:val="bullet"/>
      <w:lvlText w:val="•"/>
      <w:lvlJc w:val="left"/>
      <w:pPr>
        <w:ind w:left="8349" w:hanging="420"/>
      </w:pPr>
      <w:rPr>
        <w:rFonts w:hint="default"/>
        <w:lang w:val="zh-CN" w:eastAsia="zh-CN" w:bidi="zh-CN"/>
      </w:rPr>
    </w:lvl>
  </w:abstractNum>
  <w:abstractNum w:abstractNumId="21">
    <w:nsid w:val="77633216"/>
    <w:multiLevelType w:val="multilevel"/>
    <w:tmpl w:val="77633216"/>
    <w:lvl w:ilvl="0" w:tentative="0">
      <w:start w:val="1"/>
      <w:numFmt w:val="decimal"/>
      <w:lvlText w:val="%1."/>
      <w:lvlJc w:val="left"/>
      <w:pPr>
        <w:ind w:left="298" w:hanging="24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304" w:hanging="241"/>
      </w:pPr>
      <w:rPr>
        <w:rFonts w:hint="default"/>
        <w:lang w:val="zh-CN" w:eastAsia="zh-CN" w:bidi="zh-CN"/>
      </w:rPr>
    </w:lvl>
    <w:lvl w:ilvl="2" w:tentative="0">
      <w:start w:val="0"/>
      <w:numFmt w:val="bullet"/>
      <w:lvlText w:val="•"/>
      <w:lvlJc w:val="left"/>
      <w:pPr>
        <w:ind w:left="2309" w:hanging="241"/>
      </w:pPr>
      <w:rPr>
        <w:rFonts w:hint="default"/>
        <w:lang w:val="zh-CN" w:eastAsia="zh-CN" w:bidi="zh-CN"/>
      </w:rPr>
    </w:lvl>
    <w:lvl w:ilvl="3" w:tentative="0">
      <w:start w:val="0"/>
      <w:numFmt w:val="bullet"/>
      <w:lvlText w:val="•"/>
      <w:lvlJc w:val="left"/>
      <w:pPr>
        <w:ind w:left="3313" w:hanging="241"/>
      </w:pPr>
      <w:rPr>
        <w:rFonts w:hint="default"/>
        <w:lang w:val="zh-CN" w:eastAsia="zh-CN" w:bidi="zh-CN"/>
      </w:rPr>
    </w:lvl>
    <w:lvl w:ilvl="4" w:tentative="0">
      <w:start w:val="0"/>
      <w:numFmt w:val="bullet"/>
      <w:lvlText w:val="•"/>
      <w:lvlJc w:val="left"/>
      <w:pPr>
        <w:ind w:left="4318" w:hanging="241"/>
      </w:pPr>
      <w:rPr>
        <w:rFonts w:hint="default"/>
        <w:lang w:val="zh-CN" w:eastAsia="zh-CN" w:bidi="zh-CN"/>
      </w:rPr>
    </w:lvl>
    <w:lvl w:ilvl="5" w:tentative="0">
      <w:start w:val="0"/>
      <w:numFmt w:val="bullet"/>
      <w:lvlText w:val="•"/>
      <w:lvlJc w:val="left"/>
      <w:pPr>
        <w:ind w:left="5323" w:hanging="241"/>
      </w:pPr>
      <w:rPr>
        <w:rFonts w:hint="default"/>
        <w:lang w:val="zh-CN" w:eastAsia="zh-CN" w:bidi="zh-CN"/>
      </w:rPr>
    </w:lvl>
    <w:lvl w:ilvl="6" w:tentative="0">
      <w:start w:val="0"/>
      <w:numFmt w:val="bullet"/>
      <w:lvlText w:val="•"/>
      <w:lvlJc w:val="left"/>
      <w:pPr>
        <w:ind w:left="6327" w:hanging="241"/>
      </w:pPr>
      <w:rPr>
        <w:rFonts w:hint="default"/>
        <w:lang w:val="zh-CN" w:eastAsia="zh-CN" w:bidi="zh-CN"/>
      </w:rPr>
    </w:lvl>
    <w:lvl w:ilvl="7" w:tentative="0">
      <w:start w:val="0"/>
      <w:numFmt w:val="bullet"/>
      <w:lvlText w:val="•"/>
      <w:lvlJc w:val="left"/>
      <w:pPr>
        <w:ind w:left="7332" w:hanging="241"/>
      </w:pPr>
      <w:rPr>
        <w:rFonts w:hint="default"/>
        <w:lang w:val="zh-CN" w:eastAsia="zh-CN" w:bidi="zh-CN"/>
      </w:rPr>
    </w:lvl>
    <w:lvl w:ilvl="8" w:tentative="0">
      <w:start w:val="0"/>
      <w:numFmt w:val="bullet"/>
      <w:lvlText w:val="•"/>
      <w:lvlJc w:val="left"/>
      <w:pPr>
        <w:ind w:left="8337" w:hanging="241"/>
      </w:pPr>
      <w:rPr>
        <w:rFonts w:hint="default"/>
        <w:lang w:val="zh-CN" w:eastAsia="zh-CN" w:bidi="zh-CN"/>
      </w:rPr>
    </w:lvl>
  </w:abstractNum>
  <w:num w:numId="1">
    <w:abstractNumId w:val="19"/>
  </w:num>
  <w:num w:numId="2">
    <w:abstractNumId w:val="12"/>
  </w:num>
  <w:num w:numId="3">
    <w:abstractNumId w:val="16"/>
  </w:num>
  <w:num w:numId="4">
    <w:abstractNumId w:val="4"/>
  </w:num>
  <w:num w:numId="5">
    <w:abstractNumId w:val="18"/>
  </w:num>
  <w:num w:numId="6">
    <w:abstractNumId w:val="8"/>
  </w:num>
  <w:num w:numId="7">
    <w:abstractNumId w:val="7"/>
  </w:num>
  <w:num w:numId="8">
    <w:abstractNumId w:val="15"/>
  </w:num>
  <w:num w:numId="9">
    <w:abstractNumId w:val="11"/>
  </w:num>
  <w:num w:numId="10">
    <w:abstractNumId w:val="9"/>
  </w:num>
  <w:num w:numId="11">
    <w:abstractNumId w:val="1"/>
  </w:num>
  <w:num w:numId="12">
    <w:abstractNumId w:val="14"/>
  </w:num>
  <w:num w:numId="13">
    <w:abstractNumId w:val="5"/>
  </w:num>
  <w:num w:numId="14">
    <w:abstractNumId w:val="13"/>
  </w:num>
  <w:num w:numId="15">
    <w:abstractNumId w:val="6"/>
  </w:num>
  <w:num w:numId="16">
    <w:abstractNumId w:val="10"/>
  </w:num>
  <w:num w:numId="17">
    <w:abstractNumId w:val="20"/>
  </w:num>
  <w:num w:numId="18">
    <w:abstractNumId w:val="3"/>
  </w:num>
  <w:num w:numId="19">
    <w:abstractNumId w:val="2"/>
  </w:num>
  <w:num w:numId="20">
    <w:abstractNumId w:val="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WY5YmYyYmYyYmU0ZjI1ODNmZjEwMTI4ZjBlMTAifQ=="/>
  </w:docVars>
  <w:rsids>
    <w:rsidRoot w:val="005C054E"/>
    <w:rsid w:val="00000AFB"/>
    <w:rsid w:val="000560CD"/>
    <w:rsid w:val="000E3212"/>
    <w:rsid w:val="001E70AA"/>
    <w:rsid w:val="00261A6F"/>
    <w:rsid w:val="002A3D1C"/>
    <w:rsid w:val="002B3067"/>
    <w:rsid w:val="003B6A65"/>
    <w:rsid w:val="004A38BA"/>
    <w:rsid w:val="005C054E"/>
    <w:rsid w:val="00685A57"/>
    <w:rsid w:val="007452E2"/>
    <w:rsid w:val="0077290B"/>
    <w:rsid w:val="0097600F"/>
    <w:rsid w:val="009928EF"/>
    <w:rsid w:val="00A91BDF"/>
    <w:rsid w:val="00AC17AC"/>
    <w:rsid w:val="00AE328F"/>
    <w:rsid w:val="00B10555"/>
    <w:rsid w:val="00CA2F54"/>
    <w:rsid w:val="00CE270F"/>
    <w:rsid w:val="00CF5C77"/>
    <w:rsid w:val="00FB3757"/>
    <w:rsid w:val="00FD7220"/>
    <w:rsid w:val="01042236"/>
    <w:rsid w:val="02A46433"/>
    <w:rsid w:val="02AF5B99"/>
    <w:rsid w:val="02F54FC6"/>
    <w:rsid w:val="04043713"/>
    <w:rsid w:val="040E5808"/>
    <w:rsid w:val="040F28CC"/>
    <w:rsid w:val="05572C44"/>
    <w:rsid w:val="055E32A8"/>
    <w:rsid w:val="05FE25D6"/>
    <w:rsid w:val="063E34F2"/>
    <w:rsid w:val="07B01646"/>
    <w:rsid w:val="08281808"/>
    <w:rsid w:val="08683345"/>
    <w:rsid w:val="09483BCC"/>
    <w:rsid w:val="09E216A8"/>
    <w:rsid w:val="0A1670EA"/>
    <w:rsid w:val="0B3B007F"/>
    <w:rsid w:val="0C6F7B97"/>
    <w:rsid w:val="0C85501E"/>
    <w:rsid w:val="0D5474C6"/>
    <w:rsid w:val="0D9B597F"/>
    <w:rsid w:val="0DBA51FE"/>
    <w:rsid w:val="0E650AF2"/>
    <w:rsid w:val="0FBA4C1C"/>
    <w:rsid w:val="105A290D"/>
    <w:rsid w:val="10922001"/>
    <w:rsid w:val="10AC760C"/>
    <w:rsid w:val="13D954F3"/>
    <w:rsid w:val="14E57128"/>
    <w:rsid w:val="15057644"/>
    <w:rsid w:val="164D1413"/>
    <w:rsid w:val="16781D3E"/>
    <w:rsid w:val="17514A69"/>
    <w:rsid w:val="185A45CE"/>
    <w:rsid w:val="198B0F17"/>
    <w:rsid w:val="19CC0AD4"/>
    <w:rsid w:val="1A3348FA"/>
    <w:rsid w:val="1A4621B2"/>
    <w:rsid w:val="1A6920CA"/>
    <w:rsid w:val="1AC03845"/>
    <w:rsid w:val="1C760972"/>
    <w:rsid w:val="1CD426E1"/>
    <w:rsid w:val="1D9D6F6A"/>
    <w:rsid w:val="1EC83C27"/>
    <w:rsid w:val="1EF7572A"/>
    <w:rsid w:val="1F0439F4"/>
    <w:rsid w:val="20711CD8"/>
    <w:rsid w:val="216028C7"/>
    <w:rsid w:val="21821CC3"/>
    <w:rsid w:val="22CD1505"/>
    <w:rsid w:val="230E7D4C"/>
    <w:rsid w:val="23111ABF"/>
    <w:rsid w:val="23416DA1"/>
    <w:rsid w:val="237F4546"/>
    <w:rsid w:val="238910E7"/>
    <w:rsid w:val="25535E50"/>
    <w:rsid w:val="256B597D"/>
    <w:rsid w:val="25AD433F"/>
    <w:rsid w:val="266B71CA"/>
    <w:rsid w:val="275B49E0"/>
    <w:rsid w:val="279B9431"/>
    <w:rsid w:val="290C4C94"/>
    <w:rsid w:val="29361835"/>
    <w:rsid w:val="29CC61D1"/>
    <w:rsid w:val="2B155AE5"/>
    <w:rsid w:val="2BFB0D1A"/>
    <w:rsid w:val="2C653A7C"/>
    <w:rsid w:val="2D89006B"/>
    <w:rsid w:val="2DFA1DFB"/>
    <w:rsid w:val="2EF3FDDA"/>
    <w:rsid w:val="32AA102E"/>
    <w:rsid w:val="3419523B"/>
    <w:rsid w:val="34823A44"/>
    <w:rsid w:val="34ED5B7A"/>
    <w:rsid w:val="35B476D1"/>
    <w:rsid w:val="35EB7163"/>
    <w:rsid w:val="369D53E9"/>
    <w:rsid w:val="36BF7E4E"/>
    <w:rsid w:val="37DF8E53"/>
    <w:rsid w:val="381C0FDA"/>
    <w:rsid w:val="3AC33F1D"/>
    <w:rsid w:val="3B605EC0"/>
    <w:rsid w:val="3BF7DD6D"/>
    <w:rsid w:val="3DFD7EF6"/>
    <w:rsid w:val="3DFDD1ED"/>
    <w:rsid w:val="3E37730D"/>
    <w:rsid w:val="3EAF6CBA"/>
    <w:rsid w:val="3EC2138D"/>
    <w:rsid w:val="3EC37FFA"/>
    <w:rsid w:val="3EED1074"/>
    <w:rsid w:val="3F592DC9"/>
    <w:rsid w:val="3FA69930"/>
    <w:rsid w:val="3FFF5F5E"/>
    <w:rsid w:val="41923128"/>
    <w:rsid w:val="42FE4214"/>
    <w:rsid w:val="432D5CBB"/>
    <w:rsid w:val="446E1738"/>
    <w:rsid w:val="44E1092B"/>
    <w:rsid w:val="46436441"/>
    <w:rsid w:val="47923D7B"/>
    <w:rsid w:val="479F4039"/>
    <w:rsid w:val="47F74925"/>
    <w:rsid w:val="47FF5BAF"/>
    <w:rsid w:val="488E5FB5"/>
    <w:rsid w:val="4913627F"/>
    <w:rsid w:val="49154341"/>
    <w:rsid w:val="49940662"/>
    <w:rsid w:val="4AA03036"/>
    <w:rsid w:val="4AC63503"/>
    <w:rsid w:val="4ACA4A35"/>
    <w:rsid w:val="4BD016F9"/>
    <w:rsid w:val="4C202C7A"/>
    <w:rsid w:val="4D144752"/>
    <w:rsid w:val="4D3F04C5"/>
    <w:rsid w:val="4E6C808A"/>
    <w:rsid w:val="4F9B51E4"/>
    <w:rsid w:val="5070331A"/>
    <w:rsid w:val="507C775A"/>
    <w:rsid w:val="51DB7F72"/>
    <w:rsid w:val="520D0FB1"/>
    <w:rsid w:val="53E359FD"/>
    <w:rsid w:val="546E1292"/>
    <w:rsid w:val="55C22315"/>
    <w:rsid w:val="567315FF"/>
    <w:rsid w:val="56FE35BF"/>
    <w:rsid w:val="56FF212A"/>
    <w:rsid w:val="57773F89"/>
    <w:rsid w:val="57FD687D"/>
    <w:rsid w:val="589F344C"/>
    <w:rsid w:val="58AEB958"/>
    <w:rsid w:val="599B3306"/>
    <w:rsid w:val="59C7122F"/>
    <w:rsid w:val="59FB7DAD"/>
    <w:rsid w:val="5AB32912"/>
    <w:rsid w:val="5AE95B5C"/>
    <w:rsid w:val="5B1442FA"/>
    <w:rsid w:val="5D1F428F"/>
    <w:rsid w:val="5E9C41CE"/>
    <w:rsid w:val="5EB7C604"/>
    <w:rsid w:val="5F69618B"/>
    <w:rsid w:val="5F787E26"/>
    <w:rsid w:val="5FB48367"/>
    <w:rsid w:val="5FD90703"/>
    <w:rsid w:val="5FFA24DD"/>
    <w:rsid w:val="5FFE7DD4"/>
    <w:rsid w:val="60FE73F7"/>
    <w:rsid w:val="613C7897"/>
    <w:rsid w:val="616D92C3"/>
    <w:rsid w:val="61A312EF"/>
    <w:rsid w:val="62143C96"/>
    <w:rsid w:val="634C56B2"/>
    <w:rsid w:val="63700B26"/>
    <w:rsid w:val="64A10682"/>
    <w:rsid w:val="65BD4AD9"/>
    <w:rsid w:val="66766AEF"/>
    <w:rsid w:val="66931E8B"/>
    <w:rsid w:val="66F9AC49"/>
    <w:rsid w:val="6761AFAC"/>
    <w:rsid w:val="68DC31E8"/>
    <w:rsid w:val="698910CE"/>
    <w:rsid w:val="6A486BD3"/>
    <w:rsid w:val="6A7F2B05"/>
    <w:rsid w:val="6ADC731B"/>
    <w:rsid w:val="6BFFC134"/>
    <w:rsid w:val="6CD40BF2"/>
    <w:rsid w:val="6CDF2FC9"/>
    <w:rsid w:val="6D2C724A"/>
    <w:rsid w:val="6DC82B5B"/>
    <w:rsid w:val="6DFF7099"/>
    <w:rsid w:val="6DFFA5ED"/>
    <w:rsid w:val="6E5DC47F"/>
    <w:rsid w:val="6E7E6F80"/>
    <w:rsid w:val="6EBBD16D"/>
    <w:rsid w:val="6F2D2E34"/>
    <w:rsid w:val="6F3A7A51"/>
    <w:rsid w:val="6F7E0543"/>
    <w:rsid w:val="6FB50233"/>
    <w:rsid w:val="6FFA4DE9"/>
    <w:rsid w:val="6FFE7628"/>
    <w:rsid w:val="7074531F"/>
    <w:rsid w:val="709C2E5F"/>
    <w:rsid w:val="713B0E21"/>
    <w:rsid w:val="728120E6"/>
    <w:rsid w:val="728F532A"/>
    <w:rsid w:val="72A46970"/>
    <w:rsid w:val="72EBF127"/>
    <w:rsid w:val="73F662E2"/>
    <w:rsid w:val="75BCA7FE"/>
    <w:rsid w:val="75ECF9A7"/>
    <w:rsid w:val="782C47C0"/>
    <w:rsid w:val="789F7A51"/>
    <w:rsid w:val="78EF14D0"/>
    <w:rsid w:val="79753634"/>
    <w:rsid w:val="79DFA317"/>
    <w:rsid w:val="79E74420"/>
    <w:rsid w:val="7A92235D"/>
    <w:rsid w:val="7AF329B6"/>
    <w:rsid w:val="7B5F8ECE"/>
    <w:rsid w:val="7B9854E0"/>
    <w:rsid w:val="7BBE922F"/>
    <w:rsid w:val="7BCA4A47"/>
    <w:rsid w:val="7BFD0214"/>
    <w:rsid w:val="7CF30BDA"/>
    <w:rsid w:val="7CF32086"/>
    <w:rsid w:val="7D0A41BC"/>
    <w:rsid w:val="7D240E20"/>
    <w:rsid w:val="7D7BC143"/>
    <w:rsid w:val="7DC91FDA"/>
    <w:rsid w:val="7DEEFF3E"/>
    <w:rsid w:val="7DFF5865"/>
    <w:rsid w:val="7E358D96"/>
    <w:rsid w:val="7E5BFB96"/>
    <w:rsid w:val="7EF5F3DD"/>
    <w:rsid w:val="7F01514B"/>
    <w:rsid w:val="7F72D0E0"/>
    <w:rsid w:val="7F7730FD"/>
    <w:rsid w:val="7FB94620"/>
    <w:rsid w:val="7FBEC859"/>
    <w:rsid w:val="7FC7C3CF"/>
    <w:rsid w:val="7FDC73CC"/>
    <w:rsid w:val="7FDED8C4"/>
    <w:rsid w:val="7FFBB3CF"/>
    <w:rsid w:val="7FFD04ED"/>
    <w:rsid w:val="7FFF6F4A"/>
    <w:rsid w:val="83FDF371"/>
    <w:rsid w:val="8F7C790A"/>
    <w:rsid w:val="94FFF593"/>
    <w:rsid w:val="98EF0EAD"/>
    <w:rsid w:val="9BFB4BD1"/>
    <w:rsid w:val="A7F43139"/>
    <w:rsid w:val="AD7FFFE3"/>
    <w:rsid w:val="AEB974E2"/>
    <w:rsid w:val="AEBB0EE4"/>
    <w:rsid w:val="AECF3280"/>
    <w:rsid w:val="AF2BE113"/>
    <w:rsid w:val="B0DFE68B"/>
    <w:rsid w:val="B2FFA52B"/>
    <w:rsid w:val="B5BF54F1"/>
    <w:rsid w:val="B7B5BCC7"/>
    <w:rsid w:val="B7CFF457"/>
    <w:rsid w:val="B7FB6249"/>
    <w:rsid w:val="B9C9B8E4"/>
    <w:rsid w:val="B9FFEBF7"/>
    <w:rsid w:val="BC6DA32C"/>
    <w:rsid w:val="BE5F361D"/>
    <w:rsid w:val="BF7F4CE6"/>
    <w:rsid w:val="CABFB9BE"/>
    <w:rsid w:val="CF7E1A6C"/>
    <w:rsid w:val="CFFAF1AA"/>
    <w:rsid w:val="DA6FE714"/>
    <w:rsid w:val="DAFF9D5B"/>
    <w:rsid w:val="DD7FA84D"/>
    <w:rsid w:val="DD9FE0A5"/>
    <w:rsid w:val="DE1B7511"/>
    <w:rsid w:val="DFDEBBF5"/>
    <w:rsid w:val="E5FFDD35"/>
    <w:rsid w:val="E936BC6A"/>
    <w:rsid w:val="E9F72D38"/>
    <w:rsid w:val="EA7F4CFE"/>
    <w:rsid w:val="EBFB1741"/>
    <w:rsid w:val="EBFF5501"/>
    <w:rsid w:val="ECF13AC2"/>
    <w:rsid w:val="EDFEEB99"/>
    <w:rsid w:val="EFD8A1A1"/>
    <w:rsid w:val="F4AF822B"/>
    <w:rsid w:val="F55F0EF4"/>
    <w:rsid w:val="F5D7B176"/>
    <w:rsid w:val="F66F81AA"/>
    <w:rsid w:val="F6DBAC58"/>
    <w:rsid w:val="F77DD952"/>
    <w:rsid w:val="F7D31C30"/>
    <w:rsid w:val="F7FBD39F"/>
    <w:rsid w:val="F89736C5"/>
    <w:rsid w:val="F99FE499"/>
    <w:rsid w:val="F9E61D3D"/>
    <w:rsid w:val="FAEF4B48"/>
    <w:rsid w:val="FBDBF8BE"/>
    <w:rsid w:val="FBFC46C4"/>
    <w:rsid w:val="FBFDE39B"/>
    <w:rsid w:val="FD93170E"/>
    <w:rsid w:val="FDBD2788"/>
    <w:rsid w:val="FDBF64C0"/>
    <w:rsid w:val="FDF1FA06"/>
    <w:rsid w:val="FEBD8DCD"/>
    <w:rsid w:val="FED71256"/>
    <w:rsid w:val="FEDFAF53"/>
    <w:rsid w:val="FEEB7F10"/>
    <w:rsid w:val="FEFF84F4"/>
    <w:rsid w:val="FEFF8FBD"/>
    <w:rsid w:val="FF5B1F5C"/>
    <w:rsid w:val="FF6EA5B4"/>
    <w:rsid w:val="FF6EDCEB"/>
    <w:rsid w:val="FF77E6BD"/>
    <w:rsid w:val="FFB76FDB"/>
    <w:rsid w:val="FFB77C39"/>
    <w:rsid w:val="FFBFB306"/>
    <w:rsid w:val="FFE71033"/>
    <w:rsid w:val="FFF8D73B"/>
    <w:rsid w:val="FFFB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qFormat/>
    <w:uiPriority w:val="0"/>
  </w:style>
  <w:style w:type="paragraph" w:styleId="4">
    <w:name w:val="index 6"/>
    <w:basedOn w:val="1"/>
    <w:next w:val="1"/>
    <w:qFormat/>
    <w:uiPriority w:val="99"/>
    <w:pPr>
      <w:ind w:left="2100"/>
    </w:p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Body Text First Indent"/>
    <w:basedOn w:val="5"/>
    <w:next w:val="7"/>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7">
    <w:name w:val="toc 6"/>
    <w:basedOn w:val="1"/>
    <w:next w:val="1"/>
    <w:qFormat/>
    <w:uiPriority w:val="0"/>
    <w:pPr>
      <w:ind w:left="2100" w:leftChars="1000"/>
    </w:pPr>
  </w:style>
  <w:style w:type="paragraph" w:styleId="8">
    <w:name w:val="Body Text Indent"/>
    <w:basedOn w:val="1"/>
    <w:next w:val="9"/>
    <w:qFormat/>
    <w:uiPriority w:val="0"/>
    <w:pPr>
      <w:spacing w:line="420" w:lineRule="exact"/>
      <w:ind w:firstLine="732" w:firstLineChars="300"/>
    </w:pPr>
    <w:rPr>
      <w:spacing w:val="2"/>
      <w:sz w:val="24"/>
    </w:rPr>
  </w:style>
  <w:style w:type="paragraph" w:customStyle="1" w:styleId="9">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0">
    <w:name w:val="List Bullet 2"/>
    <w:basedOn w:val="1"/>
    <w:next w:val="11"/>
    <w:qFormat/>
    <w:uiPriority w:val="0"/>
    <w:pPr>
      <w:numPr>
        <w:ilvl w:val="0"/>
        <w:numId w:val="2"/>
      </w:numPr>
    </w:pPr>
  </w:style>
  <w:style w:type="paragraph" w:customStyle="1" w:styleId="11">
    <w:name w:val="正文（小标题）1"/>
    <w:basedOn w:val="1"/>
    <w:next w:val="1"/>
    <w:qFormat/>
    <w:uiPriority w:val="0"/>
    <w:pPr>
      <w:spacing w:before="156" w:after="156" w:line="360" w:lineRule="auto"/>
    </w:pPr>
    <w:rPr>
      <w:rFonts w:ascii="黑体" w:eastAsia="黑体"/>
      <w:color w:val="0000FF"/>
      <w:sz w:val="24"/>
    </w:rPr>
  </w:style>
  <w:style w:type="paragraph" w:styleId="12">
    <w:name w:val="Plain Text"/>
    <w:basedOn w:val="1"/>
    <w:next w:val="1"/>
    <w:unhideWhenUsed/>
    <w:qFormat/>
    <w:uiPriority w:val="99"/>
    <w:rPr>
      <w:rFonts w:ascii="宋体" w:hAnsi="Courier New"/>
      <w:szCs w:val="20"/>
    </w:rPr>
  </w:style>
  <w:style w:type="paragraph" w:styleId="13">
    <w:name w:val="Balloon Text"/>
    <w:basedOn w:val="1"/>
    <w:link w:val="39"/>
    <w:qFormat/>
    <w:uiPriority w:val="0"/>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0"/>
  </w:style>
  <w:style w:type="paragraph" w:styleId="17">
    <w:name w:val="List 5"/>
    <w:basedOn w:val="1"/>
    <w:next w:val="18"/>
    <w:qFormat/>
    <w:uiPriority w:val="0"/>
    <w:pPr>
      <w:spacing w:line="360" w:lineRule="auto"/>
      <w:ind w:left="100" w:hanging="200"/>
    </w:pPr>
    <w:rPr>
      <w:rFonts w:ascii="宋体"/>
    </w:rPr>
  </w:style>
  <w:style w:type="paragraph" w:customStyle="1" w:styleId="18">
    <w:name w:val="样式 样式 目录 + 段前: 0.5 行 段后: 0.5 行 + 左侧:  2 字符"/>
    <w:next w:val="10"/>
    <w:qFormat/>
    <w:uiPriority w:val="0"/>
    <w:pPr>
      <w:widowControl w:val="0"/>
      <w:spacing w:before="156" w:after="156" w:line="360" w:lineRule="auto"/>
      <w:ind w:left="480"/>
      <w:jc w:val="center"/>
    </w:pPr>
    <w:rPr>
      <w:rFonts w:ascii="Times New Roman" w:hAnsi="Times New Roman" w:eastAsia="宋体" w:cs="Times New Roman"/>
      <w:b/>
      <w:sz w:val="44"/>
      <w:lang w:val="en-US" w:eastAsia="zh-CN" w:bidi="ar-SA"/>
    </w:rPr>
  </w:style>
  <w:style w:type="paragraph" w:styleId="19">
    <w:name w:val="table of figures"/>
    <w:basedOn w:val="1"/>
    <w:next w:val="1"/>
    <w:qFormat/>
    <w:uiPriority w:val="0"/>
    <w:pPr>
      <w:spacing w:line="360" w:lineRule="auto"/>
      <w:ind w:hanging="200"/>
    </w:pPr>
    <w:rPr>
      <w:rFonts w:ascii="宋体"/>
    </w:rPr>
  </w:style>
  <w:style w:type="paragraph" w:styleId="20">
    <w:name w:val="toc 2"/>
    <w:basedOn w:val="1"/>
    <w:next w:val="1"/>
    <w:qFormat/>
    <w:uiPriority w:val="0"/>
    <w:pPr>
      <w:ind w:left="420" w:leftChars="200"/>
    </w:pPr>
  </w:style>
  <w:style w:type="paragraph" w:styleId="21">
    <w:name w:val="Normal (Web)"/>
    <w:basedOn w:val="1"/>
    <w:next w:val="17"/>
    <w:qFormat/>
    <w:uiPriority w:val="0"/>
    <w:rPr>
      <w:sz w:val="24"/>
    </w:rPr>
  </w:style>
  <w:style w:type="paragraph" w:styleId="22">
    <w:name w:val="annotation subject"/>
    <w:basedOn w:val="3"/>
    <w:next w:val="3"/>
    <w:link w:val="38"/>
    <w:qFormat/>
    <w:uiPriority w:val="0"/>
    <w:rPr>
      <w:b/>
      <w:bCs/>
    </w:rPr>
  </w:style>
  <w:style w:type="paragraph" w:styleId="23">
    <w:name w:val="Body Text First Indent 2"/>
    <w:basedOn w:val="8"/>
    <w:next w:val="1"/>
    <w:qFormat/>
    <w:uiPriority w:val="0"/>
    <w:pPr>
      <w:spacing w:after="120"/>
      <w:ind w:left="200" w:leftChars="200"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样式 首行缩进:  2 字符"/>
    <w:basedOn w:val="1"/>
    <w:qFormat/>
    <w:uiPriority w:val="99"/>
    <w:pPr>
      <w:spacing w:line="365" w:lineRule="atLeast"/>
      <w:ind w:firstLine="560"/>
      <w:textAlignment w:val="bottom"/>
    </w:pPr>
    <w:rPr>
      <w:rFonts w:eastAsia="宋体"/>
      <w:szCs w:val="21"/>
    </w:rPr>
  </w:style>
  <w:style w:type="table" w:customStyle="1" w:styleId="30">
    <w:name w:val="Table Normal"/>
    <w:unhideWhenUsed/>
    <w:qFormat/>
    <w:uiPriority w:val="0"/>
    <w:tblPr>
      <w:tblCellMar>
        <w:top w:w="0" w:type="dxa"/>
        <w:left w:w="0" w:type="dxa"/>
        <w:bottom w:w="0" w:type="dxa"/>
        <w:right w:w="0" w:type="dxa"/>
      </w:tblCellMar>
    </w:tbl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styleId="32">
    <w:name w:val="List Paragraph"/>
    <w:basedOn w:val="1"/>
    <w:next w:val="1"/>
    <w:qFormat/>
    <w:uiPriority w:val="99"/>
    <w:pPr>
      <w:ind w:firstLine="420" w:firstLineChars="200"/>
    </w:pPr>
    <w:rPr>
      <w:rFonts w:ascii="Times New Roman" w:hAnsi="Times New Roman"/>
      <w:szCs w:val="20"/>
    </w:rPr>
  </w:style>
  <w:style w:type="paragraph" w:customStyle="1" w:styleId="33">
    <w:name w:val="普通文字"/>
    <w:basedOn w:val="1"/>
    <w:next w:val="1"/>
    <w:qFormat/>
    <w:uiPriority w:val="0"/>
    <w:rPr>
      <w:rFonts w:ascii="宋体" w:hAnsi="Times New Roman"/>
      <w:sz w:val="24"/>
      <w:szCs w:val="20"/>
      <w:u w:color="000000"/>
    </w:rPr>
  </w:style>
  <w:style w:type="paragraph" w:customStyle="1" w:styleId="34">
    <w:name w:val="普通正文"/>
    <w:basedOn w:val="1"/>
    <w:qFormat/>
    <w:uiPriority w:val="0"/>
    <w:pPr>
      <w:spacing w:before="120" w:after="120" w:line="360" w:lineRule="auto"/>
      <w:ind w:firstLine="480"/>
    </w:pPr>
    <w:rPr>
      <w:sz w:val="24"/>
      <w:szCs w:val="24"/>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cjk"/>
    <w:basedOn w:val="1"/>
    <w:qFormat/>
    <w:uiPriority w:val="0"/>
    <w:pPr>
      <w:spacing w:before="100" w:beforeAutospacing="1" w:after="100" w:afterAutospacing="1"/>
    </w:pPr>
    <w:rPr>
      <w:rFonts w:ascii="宋体" w:hAnsi="宋体" w:cs="宋体"/>
      <w:sz w:val="24"/>
    </w:rPr>
  </w:style>
  <w:style w:type="character" w:customStyle="1" w:styleId="37">
    <w:name w:val="批注文字 字符"/>
    <w:basedOn w:val="26"/>
    <w:link w:val="3"/>
    <w:qFormat/>
    <w:uiPriority w:val="0"/>
    <w:rPr>
      <w:rFonts w:ascii="Arial" w:hAnsi="Arial" w:eastAsia="Arial" w:cs="Arial"/>
      <w:snapToGrid w:val="0"/>
      <w:color w:val="000000"/>
      <w:sz w:val="21"/>
      <w:szCs w:val="21"/>
    </w:rPr>
  </w:style>
  <w:style w:type="character" w:customStyle="1" w:styleId="38">
    <w:name w:val="批注主题 字符"/>
    <w:basedOn w:val="37"/>
    <w:link w:val="22"/>
    <w:qFormat/>
    <w:uiPriority w:val="0"/>
    <w:rPr>
      <w:rFonts w:ascii="Arial" w:hAnsi="Arial" w:eastAsia="Arial" w:cs="Arial"/>
      <w:b/>
      <w:bCs/>
      <w:snapToGrid w:val="0"/>
      <w:color w:val="000000"/>
      <w:sz w:val="21"/>
      <w:szCs w:val="21"/>
    </w:rPr>
  </w:style>
  <w:style w:type="character" w:customStyle="1" w:styleId="39">
    <w:name w:val="批注框文本 字符"/>
    <w:basedOn w:val="26"/>
    <w:link w:val="13"/>
    <w:qFormat/>
    <w:uiPriority w:val="0"/>
    <w:rPr>
      <w:rFonts w:ascii="Arial" w:hAnsi="Arial" w:eastAsia="Arial" w:cs="Arial"/>
      <w:snapToGrid w:val="0"/>
      <w:color w:val="000000"/>
      <w:sz w:val="18"/>
      <w:szCs w:val="18"/>
    </w:rPr>
  </w:style>
  <w:style w:type="paragraph" w:customStyle="1" w:styleId="40">
    <w:name w:val="Table Paragraph"/>
    <w:basedOn w:val="41"/>
    <w:qFormat/>
    <w:uiPriority w:val="0"/>
    <w:rPr>
      <w:rFonts w:ascii="宋体" w:hAnsi="宋体" w:cs="宋体"/>
      <w:lang w:val="zh-CN" w:bidi="zh-CN"/>
    </w:rPr>
  </w:style>
  <w:style w:type="paragraph" w:customStyle="1" w:styleId="41">
    <w:name w:val="正文11"/>
    <w:basedOn w:val="1"/>
    <w:next w:val="1"/>
    <w:qFormat/>
    <w:uiPriority w:val="0"/>
    <w:rPr>
      <w:sz w:val="24"/>
    </w:rPr>
  </w:style>
  <w:style w:type="character" w:customStyle="1" w:styleId="42">
    <w:name w:val="font51"/>
    <w:basedOn w:val="2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12907</Words>
  <Characters>13910</Characters>
  <Lines>246</Lines>
  <Paragraphs>69</Paragraphs>
  <TotalTime>23</TotalTime>
  <ScaleCrop>false</ScaleCrop>
  <LinksUpToDate>false</LinksUpToDate>
  <CharactersWithSpaces>14424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2023-04-12T02:47:00Z</dcterms:created>
  <dc:creator>Lenovo</dc:creator>
  <cp:lastModifiedBy>cg</cp:lastModifiedBy>
  <cp:lastPrinted>2025-06-11T09:56:00Z</cp:lastPrinted>
  <dcterms:modified xsi:type="dcterms:W3CDTF">2025-07-01T08:56:30Z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479335C3323C4E8B8DAFBDDDBC16718F_13</vt:lpwstr>
  </property>
  <property fmtid="{D5CDD505-2E9C-101B-9397-08002B2CF9AE}" pid="4" name="KSOTemplateDocerSaveRecord">
    <vt:lpwstr>eyJoZGlkIjoiMzA2NmU2ODZlMzNkMzQ4ZDcwZDYyMjBmZDY1NzE5MzQifQ==</vt:lpwstr>
  </property>
</Properties>
</file>