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方正小标宋简体" w:hAnsi="方正小标宋简体" w:eastAsia="方正小标宋简体"/>
          <w:b/>
          <w:sz w:val="52"/>
          <w:szCs w:val="52"/>
        </w:rPr>
      </w:pPr>
    </w:p>
    <w:p>
      <w:pPr>
        <w:spacing w:line="400" w:lineRule="atLeast"/>
        <w:jc w:val="center"/>
        <w:rPr>
          <w:color w:val="auto"/>
          <w:sz w:val="36"/>
          <w:szCs w:val="36"/>
        </w:rPr>
      </w:pPr>
      <w:r>
        <w:rPr>
          <w:rFonts w:hint="eastAsia" w:ascii="方正小标宋简体" w:hAnsi="方正小标宋简体" w:eastAsia="方正小标宋简体"/>
          <w:b/>
          <w:color w:val="auto"/>
          <w:sz w:val="36"/>
          <w:szCs w:val="36"/>
          <w:lang w:val="en-US" w:eastAsia="zh-CN"/>
        </w:rPr>
        <w:t>福海县2025年教育优质均衡及普及普惠建设项目-义务段学校设备采购二标段</w:t>
      </w:r>
    </w:p>
    <w:p>
      <w:pPr>
        <w:spacing w:line="400" w:lineRule="atLeast"/>
        <w:jc w:val="center"/>
        <w:rPr>
          <w:rFonts w:eastAsia="仿宋"/>
          <w:bCs/>
          <w:color w:val="auto"/>
          <w:sz w:val="36"/>
          <w:szCs w:val="36"/>
        </w:rPr>
      </w:pPr>
      <w:r>
        <w:rPr>
          <w:rFonts w:ascii="方正小标宋简体" w:hAnsi="方正小标宋简体" w:eastAsia="方正小标宋简体"/>
          <w:b/>
          <w:color w:val="auto"/>
          <w:sz w:val="36"/>
          <w:szCs w:val="36"/>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第一册</w:t>
      </w:r>
    </w:p>
    <w:p>
      <w:pPr>
        <w:spacing w:line="360" w:lineRule="auto"/>
        <w:ind w:firstLine="837" w:firstLineChars="299"/>
        <w:jc w:val="left"/>
        <w:rPr>
          <w:rFonts w:eastAsia="仿宋"/>
          <w:sz w:val="28"/>
          <w:szCs w:val="28"/>
        </w:rPr>
      </w:pPr>
      <w:r>
        <w:rPr>
          <w:rFonts w:hint="eastAsia" w:eastAsia="仿宋"/>
          <w:sz w:val="28"/>
          <w:szCs w:val="28"/>
        </w:rPr>
        <w:t xml:space="preserve">  </w:t>
      </w: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p>
    <w:p>
      <w:pPr>
        <w:spacing w:line="360" w:lineRule="auto"/>
        <w:ind w:firstLine="2511" w:firstLineChars="897"/>
        <w:jc w:val="both"/>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eastAsia="仿宋"/>
          <w:b/>
          <w:color w:val="auto"/>
          <w:sz w:val="52"/>
        </w:rPr>
        <w:br w:type="page"/>
      </w:r>
      <w:r>
        <w:rPr>
          <w:rFonts w:eastAsia="仿宋"/>
          <w:b/>
          <w:sz w:val="32"/>
        </w:rPr>
        <w:t>目录</w:t>
      </w:r>
    </w:p>
    <w:p>
      <w:pPr>
        <w:pStyle w:val="12"/>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rPr>
          <w:rFonts w:hint="eastAsia" w:eastAsia="仿宋"/>
          <w:lang w:val="en-US" w:eastAsia="zh-CN"/>
        </w:rPr>
        <w:t>..</w:t>
      </w:r>
      <w:r>
        <w:tab/>
      </w:r>
      <w:r>
        <w:fldChar w:fldCharType="end"/>
      </w:r>
    </w:p>
    <w:p>
      <w:pPr>
        <w:pStyle w:val="14"/>
        <w:tabs>
          <w:tab w:val="right" w:leader="dot" w:pos="8312"/>
        </w:tabs>
      </w:pPr>
      <w:r>
        <w:fldChar w:fldCharType="begin"/>
      </w:r>
      <w:r>
        <w:instrText xml:space="preserve"> HYPERLINK \l "_Toc31997" </w:instrText>
      </w:r>
      <w:r>
        <w:fldChar w:fldCharType="separate"/>
      </w:r>
      <w:r>
        <w:t>一总则</w:t>
      </w:r>
      <w:r>
        <w:tab/>
      </w:r>
      <w:r>
        <w:fldChar w:fldCharType="begin"/>
      </w:r>
      <w:r>
        <w:instrText xml:space="preserve"> PAGEREF _Toc31997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4</w:t>
      </w:r>
      <w:r>
        <w:fldChar w:fldCharType="end"/>
      </w:r>
      <w:r>
        <w:fldChar w:fldCharType="end"/>
      </w:r>
    </w:p>
    <w:p>
      <w:pPr>
        <w:pStyle w:val="14"/>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6</w:t>
      </w:r>
      <w:r>
        <w:fldChar w:fldCharType="end"/>
      </w:r>
      <w:r>
        <w:fldChar w:fldCharType="end"/>
      </w:r>
    </w:p>
    <w:p>
      <w:pPr>
        <w:pStyle w:val="14"/>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fldChar w:fldCharType="end"/>
      </w:r>
    </w:p>
    <w:p>
      <w:pPr>
        <w:pStyle w:val="8"/>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fldChar w:fldCharType="end"/>
      </w:r>
    </w:p>
    <w:p>
      <w:pPr>
        <w:pStyle w:val="8"/>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6</w:t>
      </w:r>
      <w:r>
        <w:fldChar w:fldCharType="end"/>
      </w:r>
      <w:r>
        <w:fldChar w:fldCharType="end"/>
      </w:r>
    </w:p>
    <w:p>
      <w:pPr>
        <w:pStyle w:val="8"/>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8</w:t>
      </w:r>
      <w:r>
        <w:fldChar w:fldCharType="end"/>
      </w:r>
      <w:r>
        <w:fldChar w:fldCharType="end"/>
      </w:r>
    </w:p>
    <w:p>
      <w:pPr>
        <w:pStyle w:val="8"/>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10</w:t>
      </w:r>
      <w:r>
        <w:fldChar w:fldCharType="end"/>
      </w:r>
      <w:r>
        <w:fldChar w:fldCharType="end"/>
      </w:r>
    </w:p>
    <w:p>
      <w:pPr>
        <w:pStyle w:val="14"/>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12</w:t>
      </w:r>
      <w:r>
        <w:fldChar w:fldCharType="end"/>
      </w:r>
      <w:r>
        <w:fldChar w:fldCharType="end"/>
      </w:r>
    </w:p>
    <w:p>
      <w:pPr>
        <w:pStyle w:val="8"/>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15</w:t>
      </w:r>
      <w:r>
        <w:fldChar w:fldCharType="end"/>
      </w:r>
      <w:r>
        <w:fldChar w:fldCharType="end"/>
      </w:r>
    </w:p>
    <w:p>
      <w:pPr>
        <w:pStyle w:val="14"/>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17</w:t>
      </w:r>
      <w:r>
        <w:fldChar w:fldCharType="end"/>
      </w:r>
      <w:r>
        <w:fldChar w:fldCharType="end"/>
      </w:r>
    </w:p>
    <w:p>
      <w:pPr>
        <w:pStyle w:val="12"/>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26</w:t>
      </w:r>
      <w:r>
        <w:fldChar w:fldCharType="end"/>
      </w:r>
      <w:r>
        <w:fldChar w:fldCharType="end"/>
      </w:r>
    </w:p>
    <w:p>
      <w:pPr>
        <w:pStyle w:val="12"/>
        <w:tabs>
          <w:tab w:val="right" w:leader="dot" w:pos="8312"/>
        </w:tabs>
        <w:rPr>
          <w:rFonts w:hint="eastAsia" w:eastAsia="宋体"/>
          <w:lang w:val="en-US" w:eastAsia="zh-CN"/>
        </w:rPr>
      </w:pPr>
      <w:r>
        <w:fldChar w:fldCharType="begin"/>
      </w:r>
      <w:r>
        <w:instrText xml:space="preserve"> HYPERLINK \l "_Toc6823" </w:instrText>
      </w:r>
      <w:r>
        <w:fldChar w:fldCharType="separate"/>
      </w:r>
      <w:r>
        <w:rPr>
          <w:rFonts w:hint="eastAsia" w:eastAsia="仿宋"/>
        </w:rPr>
        <w:t>第3章</w:t>
      </w:r>
      <w:r>
        <w:rPr>
          <w:rFonts w:eastAsia="仿宋"/>
        </w:rPr>
        <w:t>投标邀请</w:t>
      </w:r>
      <w:r>
        <w:tab/>
      </w:r>
      <w:r>
        <w:rPr>
          <w:rFonts w:hint="eastAsia"/>
          <w:lang w:val="en-US" w:eastAsia="zh-CN"/>
        </w:rPr>
        <w:t>4</w:t>
      </w:r>
      <w:r>
        <w:fldChar w:fldCharType="end"/>
      </w:r>
      <w:r>
        <w:rPr>
          <w:rFonts w:hint="eastAsia"/>
          <w:lang w:val="en-US" w:eastAsia="zh-CN"/>
        </w:rPr>
        <w:t>5</w:t>
      </w:r>
    </w:p>
    <w:p>
      <w:pPr>
        <w:pStyle w:val="12"/>
        <w:tabs>
          <w:tab w:val="right" w:leader="dot" w:pos="8312"/>
        </w:tabs>
        <w:rPr>
          <w:rFonts w:hint="eastAsia" w:eastAsia="宋体"/>
          <w:lang w:val="en-US" w:eastAsia="zh-CN"/>
        </w:rPr>
      </w:pPr>
      <w:r>
        <w:fldChar w:fldCharType="begin"/>
      </w:r>
      <w:r>
        <w:instrText xml:space="preserve"> HYPERLINK \l "_Toc30910" </w:instrText>
      </w:r>
      <w:r>
        <w:fldChar w:fldCharType="separate"/>
      </w:r>
      <w:r>
        <w:rPr>
          <w:rFonts w:eastAsia="仿宋"/>
        </w:rPr>
        <w:t>第4章投标人须知资料表</w:t>
      </w:r>
      <w:r>
        <w:tab/>
      </w:r>
      <w:r>
        <w:rPr>
          <w:rFonts w:hint="eastAsia"/>
          <w:lang w:val="en-US" w:eastAsia="zh-CN"/>
        </w:rPr>
        <w:t>4</w:t>
      </w:r>
      <w:r>
        <w:fldChar w:fldCharType="end"/>
      </w:r>
      <w:r>
        <w:rPr>
          <w:rFonts w:hint="eastAsia"/>
          <w:lang w:val="en-US" w:eastAsia="zh-CN"/>
        </w:rPr>
        <w:t>8</w:t>
      </w:r>
    </w:p>
    <w:p>
      <w:pPr>
        <w:pStyle w:val="12"/>
        <w:tabs>
          <w:tab w:val="right" w:leader="dot" w:pos="8312"/>
        </w:tabs>
        <w:rPr>
          <w:rFonts w:hint="eastAsia" w:eastAsia="宋体"/>
          <w:lang w:val="en-US" w:eastAsia="zh-CN"/>
        </w:rPr>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rPr>
          <w:rFonts w:hint="eastAsia"/>
          <w:lang w:val="en-US" w:eastAsia="zh-CN"/>
        </w:rPr>
        <w:t>5</w:t>
      </w:r>
      <w:r>
        <w:fldChar w:fldCharType="end"/>
      </w:r>
      <w:r>
        <w:rPr>
          <w:rFonts w:hint="eastAsia"/>
          <w:lang w:val="en-US" w:eastAsia="zh-CN"/>
        </w:rPr>
        <w:t>2</w:t>
      </w:r>
    </w:p>
    <w:p>
      <w:pPr>
        <w:pStyle w:val="12"/>
        <w:tabs>
          <w:tab w:val="right" w:leader="dot" w:pos="8312"/>
        </w:tabs>
        <w:rPr>
          <w:rFonts w:hint="eastAsia" w:eastAsia="宋体"/>
          <w:lang w:val="en-US" w:eastAsia="zh-CN"/>
        </w:rPr>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rPr>
          <w:rFonts w:hint="eastAsia"/>
          <w:lang w:val="en-US" w:eastAsia="zh-CN"/>
        </w:rPr>
        <w:t>6</w:t>
      </w:r>
      <w:r>
        <w:fldChar w:fldCharType="end"/>
      </w:r>
      <w:r>
        <w:rPr>
          <w:rFonts w:hint="eastAsia"/>
          <w:lang w:val="en-US" w:eastAsia="zh-CN"/>
        </w:rPr>
        <w:t>1</w:t>
      </w:r>
    </w:p>
    <w:p>
      <w:pPr>
        <w:pStyle w:val="12"/>
        <w:tabs>
          <w:tab w:val="right" w:leader="dot" w:pos="8312"/>
        </w:tabs>
        <w:rPr>
          <w:rFonts w:hint="eastAsia" w:eastAsia="宋体"/>
          <w:lang w:val="en-US" w:eastAsia="zh-CN"/>
        </w:rPr>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rPr>
          <w:rFonts w:hint="eastAsia"/>
          <w:lang w:val="en-US" w:eastAsia="zh-CN"/>
        </w:rPr>
        <w:t>6</w:t>
      </w:r>
      <w:r>
        <w:fldChar w:fldCharType="end"/>
      </w:r>
      <w:r>
        <w:rPr>
          <w:rFonts w:hint="eastAsia"/>
          <w:lang w:val="en-US" w:eastAsia="zh-CN"/>
        </w:rPr>
        <w:t>6</w:t>
      </w:r>
    </w:p>
    <w:p>
      <w:pPr>
        <w:spacing w:line="360" w:lineRule="auto"/>
        <w:ind w:left="1080" w:leftChars="257" w:hanging="540"/>
        <w:jc w:val="center"/>
        <w:rPr>
          <w:rFonts w:eastAsia="仿宋"/>
        </w:rPr>
      </w:pPr>
      <w:r>
        <w:rPr>
          <w:rFonts w:eastAsia="仿宋"/>
        </w:rPr>
        <w:fldChar w:fldCharType="end"/>
      </w:r>
    </w:p>
    <w:p>
      <w:pPr>
        <w:pStyle w:val="20"/>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pPr>
        <w:spacing w:line="360" w:lineRule="auto"/>
        <w:rPr>
          <w:rFonts w:eastAsia="仿宋"/>
        </w:rPr>
      </w:pPr>
    </w:p>
    <w:p>
      <w:pPr>
        <w:pStyle w:val="21"/>
      </w:pPr>
      <w:bookmarkStart w:id="0" w:name="_Toc518923060"/>
      <w:bookmarkEnd w:id="0"/>
      <w:bookmarkStart w:id="1" w:name="_Toc520356143"/>
      <w:bookmarkEnd w:id="1"/>
      <w:bookmarkStart w:id="2" w:name="_Toc9485"/>
      <w:bookmarkEnd w:id="2"/>
      <w:bookmarkStart w:id="3" w:name="_Toc216582805"/>
      <w:bookmarkEnd w:id="3"/>
      <w:bookmarkStart w:id="4" w:name="_Toc29666"/>
      <w:bookmarkEnd w:id="4"/>
      <w:bookmarkStart w:id="5" w:name="_Toc31997"/>
      <w:bookmarkEnd w:id="5"/>
      <w:bookmarkStart w:id="6" w:name="_Toc22313"/>
      <w:bookmarkEnd w:id="6"/>
      <w:r>
        <w:t>一</w:t>
      </w:r>
      <w:r>
        <w:rPr>
          <w:rFonts w:hint="eastAsia"/>
        </w:rPr>
        <w:t>、</w:t>
      </w:r>
      <w:r>
        <w:t>总则</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7" w:name="_Toc10238"/>
      <w:bookmarkEnd w:id="7"/>
      <w:bookmarkStart w:id="8" w:name="_Toc1000"/>
      <w:bookmarkEnd w:id="8"/>
      <w:bookmarkStart w:id="9" w:name="_Toc1500"/>
      <w:bookmarkEnd w:id="9"/>
      <w:bookmarkStart w:id="10" w:name="_Toc12013"/>
      <w:bookmarkEnd w:id="10"/>
      <w:bookmarkStart w:id="11" w:name="_Toc518923061"/>
      <w:bookmarkEnd w:id="11"/>
      <w:bookmarkStart w:id="12" w:name="_Toc520356144"/>
      <w:bookmarkEnd w:id="12"/>
      <w:r>
        <w:rPr>
          <w:rFonts w:ascii="Times New Roman" w:eastAsia="仿宋"/>
          <w:u w:val="none"/>
        </w:rPr>
        <w:t>1.采购人、采购代理机构及投标人</w:t>
      </w:r>
    </w:p>
    <w:p>
      <w:pPr>
        <w:numPr>
          <w:ilvl w:val="1"/>
          <w:numId w:val="2"/>
        </w:numPr>
        <w:tabs>
          <w:tab w:val="clear" w:pos="900"/>
        </w:tabs>
        <w:spacing w:line="360" w:lineRule="auto"/>
        <w:ind w:hanging="898"/>
        <w:rPr>
          <w:rFonts w:eastAsia="仿宋"/>
          <w:sz w:val="24"/>
        </w:rPr>
      </w:pPr>
      <w:r>
        <w:rPr>
          <w:rFonts w:hint="eastAsia" w:eastAsia="仿宋"/>
          <w:sz w:val="24"/>
          <w:lang w:val="en-US" w:eastAsia="zh-CN"/>
        </w:rPr>
        <w:t xml:space="preserve">  </w:t>
      </w:r>
      <w:r>
        <w:rPr>
          <w:rFonts w:eastAsia="仿宋"/>
          <w:sz w:val="24"/>
        </w:rPr>
        <w:t>采购人：是指依法开展政府采购活动的国家机关、事业单位、团体组织。本项目的采购人见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898"/>
        <w:jc w:val="left"/>
        <w:rPr>
          <w:rFonts w:eastAsia="仿宋"/>
          <w:sz w:val="24"/>
        </w:rPr>
      </w:pPr>
      <w:r>
        <w:rPr>
          <w:rFonts w:hint="eastAsia" w:eastAsia="仿宋"/>
          <w:sz w:val="24"/>
          <w:lang w:val="en-US" w:eastAsia="zh-CN"/>
        </w:rPr>
        <w:t xml:space="preserve">  </w:t>
      </w: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Chars="375"/>
        <w:jc w:val="left"/>
        <w:rPr>
          <w:rFonts w:eastAsia="仿宋"/>
          <w:sz w:val="24"/>
        </w:rPr>
      </w:pPr>
      <w:r>
        <w:rPr>
          <w:rFonts w:hint="eastAsia" w:eastAsia="仿宋"/>
          <w:sz w:val="24"/>
          <w:lang w:val="en-US" w:eastAsia="zh-CN"/>
        </w:rPr>
        <w:t xml:space="preserve">  </w:t>
      </w:r>
      <w:r>
        <w:rPr>
          <w:rFonts w:eastAsia="仿宋"/>
          <w:sz w:val="24"/>
        </w:rPr>
        <w:t>投标人：是指向采购人提供货物、工程或者服务的法人、非法人组织或者自然人。本项目的投标人须满足以下条件：</w:t>
      </w:r>
    </w:p>
    <w:p>
      <w:pPr>
        <w:spacing w:line="360" w:lineRule="auto"/>
        <w:ind w:left="850" w:hanging="849" w:hangingChars="354"/>
        <w:rPr>
          <w:rFonts w:eastAsia="仿宋"/>
          <w:sz w:val="24"/>
        </w:rPr>
      </w:pPr>
      <w:r>
        <w:rPr>
          <w:rFonts w:eastAsia="仿宋"/>
          <w:sz w:val="24"/>
        </w:rPr>
        <w:t>1.3.1</w:t>
      </w:r>
      <w:r>
        <w:rPr>
          <w:rFonts w:hint="eastAsia" w:eastAsia="仿宋"/>
          <w:sz w:val="24"/>
          <w:lang w:val="en-US" w:eastAsia="zh-CN"/>
        </w:rPr>
        <w:t xml:space="preserve">  </w:t>
      </w:r>
      <w:r>
        <w:rPr>
          <w:rFonts w:eastAsia="仿宋"/>
          <w:sz w:val="24"/>
        </w:rPr>
        <w:t>在中华人民共和国境内注册，能够独立承担民事责任，有生产或供应能力的本国供应商。</w:t>
      </w:r>
    </w:p>
    <w:p>
      <w:pPr>
        <w:spacing w:line="360" w:lineRule="auto"/>
        <w:ind w:left="900" w:hanging="900" w:hangingChars="375"/>
        <w:rPr>
          <w:rFonts w:eastAsia="仿宋"/>
          <w:sz w:val="24"/>
        </w:rPr>
      </w:pPr>
      <w:r>
        <w:rPr>
          <w:rFonts w:eastAsia="仿宋"/>
          <w:sz w:val="24"/>
        </w:rPr>
        <w:t>1.3.2</w:t>
      </w:r>
      <w:r>
        <w:rPr>
          <w:rFonts w:hint="eastAsia" w:eastAsia="仿宋"/>
          <w:sz w:val="24"/>
          <w:lang w:val="en-US" w:eastAsia="zh-CN"/>
        </w:rPr>
        <w:t xml:space="preserve">  </w:t>
      </w:r>
      <w:r>
        <w:rPr>
          <w:rFonts w:eastAsia="仿宋"/>
          <w:sz w:val="24"/>
        </w:rPr>
        <w:t>具备《中华人民共和国政府采购法》第二十二条关于供应商条件的规定，遵守本项目采购人本级和上级财政部门政府采购的有关规定。</w:t>
      </w:r>
    </w:p>
    <w:p>
      <w:pPr>
        <w:spacing w:line="360" w:lineRule="auto"/>
        <w:ind w:left="900" w:hanging="900" w:hangingChars="375"/>
        <w:rPr>
          <w:rFonts w:eastAsia="仿宋"/>
          <w:sz w:val="24"/>
        </w:rPr>
      </w:pPr>
      <w:r>
        <w:rPr>
          <w:rFonts w:eastAsia="仿宋"/>
          <w:sz w:val="24"/>
        </w:rPr>
        <w:t xml:space="preserve">1.3.3 </w:t>
      </w:r>
      <w:r>
        <w:rPr>
          <w:rFonts w:hint="eastAsia" w:eastAsia="仿宋"/>
          <w:sz w:val="24"/>
          <w:lang w:val="en-US" w:eastAsia="zh-CN"/>
        </w:rPr>
        <w:t xml:space="preserve">  </w:t>
      </w:r>
      <w:r>
        <w:rPr>
          <w:rFonts w:eastAsia="仿宋"/>
          <w:sz w:val="24"/>
        </w:rPr>
        <w:t>以采购代理机构认可的方式获得了本项目的招标文件。</w:t>
      </w:r>
    </w:p>
    <w:p>
      <w:pPr>
        <w:spacing w:line="360" w:lineRule="auto"/>
        <w:ind w:left="900" w:hanging="900" w:hangingChars="375"/>
        <w:rPr>
          <w:rFonts w:eastAsia="仿宋"/>
          <w:sz w:val="24"/>
        </w:rPr>
      </w:pPr>
      <w:r>
        <w:rPr>
          <w:rFonts w:eastAsia="仿宋"/>
          <w:sz w:val="24"/>
        </w:rPr>
        <w:t xml:space="preserve">1.3.4 </w:t>
      </w:r>
      <w:r>
        <w:rPr>
          <w:rFonts w:hint="eastAsia" w:eastAsia="仿宋"/>
          <w:sz w:val="24"/>
          <w:lang w:val="en-US" w:eastAsia="zh-CN"/>
        </w:rPr>
        <w:t xml:space="preserve">  </w:t>
      </w:r>
      <w:r>
        <w:rPr>
          <w:rFonts w:eastAsia="仿宋"/>
          <w:sz w:val="24"/>
        </w:rPr>
        <w:t>符合</w:t>
      </w:r>
      <w:r>
        <w:rPr>
          <w:rFonts w:eastAsia="仿宋"/>
          <w:b/>
          <w:bCs/>
          <w:sz w:val="24"/>
          <w:u w:val="single"/>
        </w:rPr>
        <w:t>投标人须知资料表</w:t>
      </w:r>
      <w:r>
        <w:rPr>
          <w:rFonts w:eastAsia="仿宋"/>
          <w:sz w:val="24"/>
        </w:rPr>
        <w:t>中规定的其他要求。</w:t>
      </w:r>
    </w:p>
    <w:p>
      <w:pPr>
        <w:spacing w:line="360" w:lineRule="auto"/>
        <w:ind w:left="900" w:hanging="900" w:hangingChars="375"/>
        <w:rPr>
          <w:rFonts w:eastAsia="仿宋"/>
          <w:sz w:val="24"/>
        </w:rPr>
      </w:pPr>
      <w:r>
        <w:rPr>
          <w:rFonts w:eastAsia="仿宋"/>
          <w:sz w:val="24"/>
        </w:rPr>
        <w:t xml:space="preserve">1.3.5 </w:t>
      </w:r>
      <w:r>
        <w:rPr>
          <w:rFonts w:hint="eastAsia" w:eastAsia="仿宋"/>
          <w:sz w:val="24"/>
          <w:lang w:val="en-US" w:eastAsia="zh-CN"/>
        </w:rPr>
        <w:t xml:space="preserve">  </w:t>
      </w:r>
      <w:r>
        <w:rPr>
          <w:rFonts w:eastAsia="仿宋"/>
          <w:sz w:val="24"/>
        </w:rPr>
        <w:t>若</w:t>
      </w:r>
      <w:r>
        <w:rPr>
          <w:rFonts w:eastAsia="仿宋"/>
          <w:b/>
          <w:bCs/>
          <w:sz w:val="24"/>
          <w:u w:val="single"/>
        </w:rPr>
        <w:t>投标人须知资料表</w:t>
      </w:r>
      <w:r>
        <w:rPr>
          <w:rFonts w:eastAsia="仿宋"/>
          <w:sz w:val="24"/>
        </w:rPr>
        <w:t>中写明专门面向中小企业采购的，如投标人为非中小企业，其投标将被认定为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pPr>
        <w:spacing w:line="360" w:lineRule="auto"/>
        <w:ind w:left="900" w:hanging="900" w:hangingChars="375"/>
        <w:rPr>
          <w:rFonts w:eastAsia="仿宋"/>
          <w:sz w:val="24"/>
        </w:rPr>
      </w:pPr>
      <w:r>
        <w:rPr>
          <w:rFonts w:eastAsia="仿宋"/>
          <w:sz w:val="24"/>
        </w:rPr>
        <w:t>1.7</w:t>
      </w:r>
      <w:r>
        <w:rPr>
          <w:rFonts w:hint="eastAsia" w:eastAsia="仿宋"/>
          <w:sz w:val="24"/>
          <w:lang w:val="en-US" w:eastAsia="zh-CN"/>
        </w:rPr>
        <w:t xml:space="preserve">  </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3" w:name="_Toc2643"/>
      <w:bookmarkEnd w:id="13"/>
      <w:bookmarkStart w:id="14" w:name="_Toc518923062"/>
      <w:bookmarkEnd w:id="14"/>
      <w:bookmarkStart w:id="15" w:name="_Toc17198"/>
      <w:bookmarkEnd w:id="15"/>
      <w:bookmarkStart w:id="16" w:name="_Toc17203"/>
      <w:bookmarkEnd w:id="16"/>
      <w:bookmarkStart w:id="17" w:name="_Toc1409"/>
      <w:bookmarkEnd w:id="17"/>
      <w:r>
        <w:rPr>
          <w:rFonts w:ascii="Times New Roman" w:eastAsia="仿宋"/>
          <w:u w:val="none"/>
        </w:rPr>
        <w:t>2.资金来源</w:t>
      </w:r>
    </w:p>
    <w:p>
      <w:pPr>
        <w:spacing w:line="360" w:lineRule="auto"/>
        <w:ind w:left="900" w:hanging="900" w:hangingChars="375"/>
        <w:rPr>
          <w:rFonts w:eastAsia="仿宋"/>
          <w:sz w:val="24"/>
        </w:rPr>
      </w:pPr>
      <w:r>
        <w:rPr>
          <w:rFonts w:eastAsia="仿宋"/>
          <w:sz w:val="24"/>
        </w:rPr>
        <w:t>2.1</w:t>
      </w:r>
      <w:r>
        <w:rPr>
          <w:rFonts w:eastAsia="仿宋"/>
          <w:sz w:val="24"/>
        </w:rPr>
        <w:tab/>
      </w:r>
      <w:r>
        <w:rPr>
          <w:rFonts w:hint="eastAsia" w:eastAsia="仿宋"/>
          <w:sz w:val="24"/>
          <w:lang w:val="en-US" w:eastAsia="zh-CN"/>
        </w:rPr>
        <w:t xml:space="preserve"> </w:t>
      </w:r>
      <w:r>
        <w:rPr>
          <w:rFonts w:eastAsia="仿宋"/>
          <w:sz w:val="24"/>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8" w:name="_Toc14892"/>
      <w:bookmarkEnd w:id="18"/>
      <w:bookmarkStart w:id="19" w:name="_Toc518923063"/>
      <w:bookmarkEnd w:id="19"/>
      <w:bookmarkStart w:id="20" w:name="_Toc23703"/>
      <w:bookmarkEnd w:id="20"/>
      <w:bookmarkStart w:id="21" w:name="_Toc520356145"/>
      <w:bookmarkEnd w:id="21"/>
      <w:bookmarkStart w:id="22" w:name="_Toc22756"/>
      <w:bookmarkEnd w:id="22"/>
      <w:bookmarkStart w:id="23" w:name="_Toc28166"/>
      <w:bookmarkEnd w:id="23"/>
      <w:r>
        <w:rPr>
          <w:rFonts w:ascii="Times New Roman" w:eastAsia="仿宋"/>
          <w:u w:val="none"/>
        </w:rPr>
        <w:t>3.投标费用</w:t>
      </w:r>
    </w:p>
    <w:p>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pPr>
        <w:pStyle w:val="23"/>
        <w:spacing w:before="0" w:after="0" w:line="360" w:lineRule="auto"/>
        <w:rPr>
          <w:rFonts w:ascii="Times New Roman" w:eastAsia="仿宋"/>
          <w:u w:val="none"/>
        </w:rPr>
      </w:pPr>
      <w:bookmarkStart w:id="24" w:name="_Toc518923064"/>
      <w:bookmarkEnd w:id="24"/>
      <w:bookmarkStart w:id="25" w:name="_Toc9960"/>
      <w:bookmarkEnd w:id="25"/>
      <w:bookmarkStart w:id="26" w:name="_Toc32365"/>
      <w:bookmarkEnd w:id="26"/>
      <w:bookmarkStart w:id="27" w:name="_Toc30739"/>
      <w:bookmarkEnd w:id="27"/>
      <w:bookmarkStart w:id="28" w:name="_Toc26306"/>
      <w:bookmarkEnd w:id="28"/>
      <w:r>
        <w:rPr>
          <w:rFonts w:ascii="Times New Roman" w:eastAsia="仿宋"/>
          <w:u w:val="none"/>
        </w:rPr>
        <w:t>4.适用法律</w:t>
      </w:r>
    </w:p>
    <w:p>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eastAsia="仿宋"/>
          <w:sz w:val="24"/>
        </w:rPr>
      </w:pPr>
    </w:p>
    <w:p>
      <w:pPr>
        <w:pStyle w:val="21"/>
        <w:spacing w:before="0" w:line="360" w:lineRule="auto"/>
        <w:ind w:left="1080" w:leftChars="257" w:hanging="540"/>
        <w:rPr>
          <w:rFonts w:eastAsia="仿宋"/>
          <w:sz w:val="28"/>
        </w:rPr>
      </w:pPr>
      <w:bookmarkStart w:id="29" w:name="_Toc518923065"/>
      <w:bookmarkEnd w:id="29"/>
      <w:bookmarkStart w:id="30" w:name="_Toc520356146"/>
      <w:bookmarkEnd w:id="30"/>
      <w:bookmarkStart w:id="31" w:name="_Toc809"/>
      <w:bookmarkEnd w:id="31"/>
      <w:bookmarkStart w:id="32" w:name="_Toc28586"/>
      <w:bookmarkEnd w:id="32"/>
      <w:bookmarkStart w:id="33" w:name="_Toc30516"/>
      <w:bookmarkEnd w:id="33"/>
      <w:bookmarkStart w:id="34" w:name="_Toc216582806"/>
      <w:bookmarkEnd w:id="34"/>
      <w:bookmarkStart w:id="35" w:name="_Toc4348"/>
      <w:bookmarkEnd w:id="35"/>
      <w:r>
        <w:rPr>
          <w:rFonts w:eastAsia="仿宋"/>
          <w:sz w:val="28"/>
        </w:rPr>
        <w:t>二</w:t>
      </w:r>
      <w:r>
        <w:rPr>
          <w:rFonts w:hint="eastAsia" w:eastAsia="仿宋"/>
          <w:sz w:val="28"/>
        </w:rPr>
        <w:t>、</w:t>
      </w:r>
      <w:r>
        <w:rPr>
          <w:rFonts w:eastAsia="仿宋"/>
          <w:sz w:val="28"/>
        </w:rPr>
        <w:t>招标文件</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36" w:name="_Toc520356147"/>
      <w:bookmarkEnd w:id="36"/>
      <w:bookmarkStart w:id="37" w:name="_Toc11127"/>
      <w:bookmarkEnd w:id="37"/>
      <w:bookmarkStart w:id="38" w:name="_Toc518923066"/>
      <w:bookmarkEnd w:id="38"/>
      <w:bookmarkStart w:id="39" w:name="_Toc5195"/>
      <w:bookmarkEnd w:id="39"/>
      <w:bookmarkStart w:id="40" w:name="_Toc22990"/>
      <w:bookmarkEnd w:id="40"/>
      <w:bookmarkStart w:id="41" w:name="_Toc6894"/>
      <w:bookmarkEnd w:id="41"/>
      <w:r>
        <w:rPr>
          <w:rFonts w:ascii="Times New Roman" w:eastAsia="仿宋"/>
          <w:u w:val="none"/>
        </w:rPr>
        <w:t>5.招标文件构成</w:t>
      </w:r>
    </w:p>
    <w:p>
      <w:pPr>
        <w:spacing w:line="360" w:lineRule="auto"/>
        <w:ind w:left="900" w:hanging="900" w:hangingChars="375"/>
        <w:rPr>
          <w:rFonts w:eastAsia="仿宋"/>
          <w:sz w:val="24"/>
        </w:rPr>
      </w:pPr>
      <w:r>
        <w:rPr>
          <w:rFonts w:eastAsia="仿宋"/>
          <w:sz w:val="24"/>
        </w:rPr>
        <w:t>5.1</w:t>
      </w:r>
      <w:r>
        <w:rPr>
          <w:rFonts w:eastAsia="仿宋"/>
          <w:sz w:val="24"/>
        </w:rPr>
        <w:tab/>
      </w:r>
      <w:r>
        <w:rPr>
          <w:rFonts w:hint="eastAsia" w:eastAsia="仿宋"/>
          <w:sz w:val="24"/>
          <w:lang w:val="en-US" w:eastAsia="zh-CN"/>
        </w:rPr>
        <w:t xml:space="preserve"> </w:t>
      </w:r>
      <w:r>
        <w:rPr>
          <w:rFonts w:eastAsia="仿宋"/>
          <w:sz w:val="24"/>
        </w:rPr>
        <w:t>招标文件分为三册共7章，内容如下：</w:t>
      </w:r>
    </w:p>
    <w:p>
      <w:pPr>
        <w:spacing w:line="360" w:lineRule="auto"/>
        <w:ind w:left="1079" w:leftChars="428" w:hanging="180" w:hangingChars="75"/>
        <w:rPr>
          <w:rFonts w:eastAsia="仿宋"/>
          <w:sz w:val="24"/>
        </w:rPr>
      </w:pPr>
      <w:r>
        <w:rPr>
          <w:rFonts w:eastAsia="仿宋"/>
          <w:sz w:val="24"/>
        </w:rPr>
        <w:t>第一册</w:t>
      </w:r>
    </w:p>
    <w:p>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pPr>
        <w:spacing w:line="360" w:lineRule="auto"/>
        <w:ind w:left="1081" w:leftChars="429" w:hanging="180"/>
        <w:rPr>
          <w:rFonts w:eastAsia="仿宋"/>
          <w:sz w:val="24"/>
        </w:rPr>
      </w:pPr>
      <w:r>
        <w:rPr>
          <w:rFonts w:eastAsia="仿宋"/>
          <w:sz w:val="24"/>
        </w:rPr>
        <w:t>第二册</w:t>
      </w:r>
    </w:p>
    <w:p>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pPr>
        <w:spacing w:line="360" w:lineRule="auto"/>
        <w:ind w:left="901"/>
        <w:rPr>
          <w:rFonts w:eastAsia="仿宋"/>
          <w:sz w:val="24"/>
        </w:rPr>
      </w:pPr>
      <w:r>
        <w:rPr>
          <w:rFonts w:eastAsia="仿宋"/>
          <w:sz w:val="24"/>
        </w:rPr>
        <w:t>第三册</w:t>
      </w:r>
    </w:p>
    <w:p>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pPr>
        <w:spacing w:line="360" w:lineRule="auto"/>
        <w:ind w:left="900" w:hanging="900" w:hangingChars="375"/>
        <w:rPr>
          <w:rFonts w:eastAsia="仿宋"/>
          <w:sz w:val="24"/>
        </w:rPr>
      </w:pPr>
      <w:r>
        <w:rPr>
          <w:rFonts w:eastAsia="仿宋"/>
          <w:sz w:val="24"/>
        </w:rPr>
        <w:t>5.2</w:t>
      </w:r>
      <w:r>
        <w:rPr>
          <w:rFonts w:eastAsia="仿宋"/>
          <w:sz w:val="24"/>
        </w:rPr>
        <w:tab/>
      </w:r>
      <w:r>
        <w:rPr>
          <w:rFonts w:hint="eastAsia" w:eastAsia="仿宋"/>
          <w:sz w:val="24"/>
          <w:lang w:val="en-US" w:eastAsia="zh-CN"/>
        </w:rPr>
        <w:t xml:space="preserve"> </w:t>
      </w:r>
      <w:r>
        <w:rPr>
          <w:rFonts w:eastAsia="仿宋"/>
          <w:sz w:val="24"/>
        </w:rPr>
        <w:t>如本文件的前后内容不一致，以最后描述为准。</w:t>
      </w:r>
    </w:p>
    <w:p>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w:t>
      </w:r>
    </w:p>
    <w:p>
      <w:pPr>
        <w:spacing w:line="360" w:lineRule="auto"/>
        <w:rPr>
          <w:rFonts w:eastAsia="仿宋"/>
          <w:b/>
          <w:bCs/>
          <w:sz w:val="24"/>
        </w:rPr>
      </w:pPr>
      <w:r>
        <w:rPr>
          <w:rFonts w:hint="eastAsia" w:eastAsia="仿宋"/>
          <w:b/>
          <w:bCs/>
          <w:sz w:val="24"/>
          <w:lang w:val="en-US" w:eastAsia="zh-CN"/>
        </w:rPr>
        <w:t>6</w:t>
      </w:r>
      <w:r>
        <w:rPr>
          <w:rFonts w:eastAsia="仿宋"/>
          <w:b/>
          <w:bCs/>
          <w:sz w:val="24"/>
        </w:rPr>
        <w:t>.对招标文件质疑与答复</w:t>
      </w:r>
    </w:p>
    <w:p>
      <w:pPr>
        <w:spacing w:line="360" w:lineRule="auto"/>
        <w:rPr>
          <w:rFonts w:eastAsia="仿宋"/>
          <w:b/>
          <w:bCs/>
          <w:color w:val="auto"/>
          <w:sz w:val="24"/>
        </w:rPr>
      </w:pPr>
      <w:r>
        <w:rPr>
          <w:rFonts w:hint="eastAsia" w:eastAsia="仿宋"/>
          <w:b/>
          <w:bCs/>
          <w:color w:val="auto"/>
          <w:sz w:val="24"/>
          <w:lang w:val="en-US" w:eastAsia="zh-CN"/>
        </w:rPr>
        <w:t>6</w:t>
      </w:r>
      <w:r>
        <w:rPr>
          <w:rFonts w:eastAsia="仿宋"/>
          <w:b/>
          <w:bCs/>
          <w:color w:val="auto"/>
          <w:sz w:val="24"/>
        </w:rPr>
        <w:t xml:space="preserve">.1 </w:t>
      </w:r>
      <w:r>
        <w:rPr>
          <w:rFonts w:hint="eastAsia" w:eastAsia="仿宋"/>
          <w:b/>
          <w:bCs/>
          <w:color w:val="auto"/>
          <w:sz w:val="24"/>
          <w:lang w:val="en-US" w:eastAsia="zh-CN"/>
        </w:rPr>
        <w:t xml:space="preserve">   </w:t>
      </w:r>
      <w:r>
        <w:rPr>
          <w:rFonts w:eastAsia="仿宋"/>
          <w:b/>
          <w:bCs/>
          <w:color w:val="auto"/>
          <w:sz w:val="24"/>
        </w:rPr>
        <w:t xml:space="preserve">投标人对招标文件中的采购需求（资质要求、采购技术参数、付款方式、交货期 限、评分标准、售后服务和质保期）有异议的，应当自合法渠道获取招标文件之日起7个 工作日内，以书面方式向采购人提出。 </w:t>
      </w:r>
    </w:p>
    <w:p>
      <w:pPr>
        <w:spacing w:line="360" w:lineRule="auto"/>
        <w:rPr>
          <w:rFonts w:eastAsia="仿宋"/>
          <w:sz w:val="24"/>
        </w:rPr>
      </w:pPr>
      <w:r>
        <w:rPr>
          <w:rFonts w:hint="eastAsia" w:eastAsia="仿宋"/>
          <w:sz w:val="24"/>
          <w:lang w:val="en-US" w:eastAsia="zh-CN"/>
        </w:rPr>
        <w:t>6</w:t>
      </w:r>
      <w:r>
        <w:rPr>
          <w:rFonts w:eastAsia="仿宋"/>
          <w:sz w:val="24"/>
        </w:rPr>
        <w:t xml:space="preserve">.2 </w:t>
      </w:r>
      <w:r>
        <w:rPr>
          <w:rFonts w:hint="eastAsia" w:eastAsia="仿宋"/>
          <w:sz w:val="24"/>
          <w:lang w:val="en-US" w:eastAsia="zh-CN"/>
        </w:rPr>
        <w:t xml:space="preserve">   </w:t>
      </w:r>
      <w:r>
        <w:rPr>
          <w:rFonts w:eastAsia="仿宋"/>
          <w:sz w:val="24"/>
        </w:rPr>
        <w:t xml:space="preserve">采购人在收到投标人的质疑函后7个工作日内予以答复，并以书面形式通知质疑 投标人，同时将质疑答复抄送集采机构。 </w:t>
      </w:r>
    </w:p>
    <w:p>
      <w:pPr>
        <w:spacing w:line="360" w:lineRule="auto"/>
        <w:rPr>
          <w:rFonts w:eastAsia="仿宋"/>
          <w:sz w:val="24"/>
        </w:rPr>
      </w:pPr>
      <w:r>
        <w:rPr>
          <w:rFonts w:hint="eastAsia" w:eastAsia="仿宋"/>
          <w:sz w:val="24"/>
          <w:lang w:val="en-US" w:eastAsia="zh-CN"/>
        </w:rPr>
        <w:t>6</w:t>
      </w:r>
      <w:r>
        <w:rPr>
          <w:rFonts w:eastAsia="仿宋"/>
          <w:sz w:val="24"/>
        </w:rPr>
        <w:t xml:space="preserve">.3 </w:t>
      </w:r>
      <w:r>
        <w:rPr>
          <w:rFonts w:hint="eastAsia" w:eastAsia="仿宋"/>
          <w:sz w:val="24"/>
          <w:lang w:val="en-US" w:eastAsia="zh-CN"/>
        </w:rPr>
        <w:t xml:space="preserve">   </w:t>
      </w:r>
      <w:r>
        <w:rPr>
          <w:rFonts w:eastAsia="仿宋"/>
          <w:sz w:val="24"/>
        </w:rPr>
        <w:t>投标人在法定质疑期内针对招标文件的质疑必须一次性提出，投标人在规定时间 内，未对招标文件提出质疑的，则视为投标人完全同意招标文件的所有内容。文件在各方面都做出实质性响应，可能导致其投标被认定为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42" w:name="_Toc3735"/>
      <w:bookmarkEnd w:id="42"/>
      <w:bookmarkStart w:id="43" w:name="_Toc21314"/>
      <w:bookmarkEnd w:id="43"/>
      <w:bookmarkStart w:id="44" w:name="_Toc520356148"/>
      <w:bookmarkEnd w:id="44"/>
      <w:bookmarkStart w:id="45" w:name="_Toc518923067"/>
      <w:bookmarkEnd w:id="45"/>
      <w:bookmarkStart w:id="46" w:name="_Toc21110"/>
      <w:bookmarkEnd w:id="46"/>
      <w:bookmarkStart w:id="47" w:name="_Toc25261"/>
      <w:bookmarkEnd w:id="47"/>
      <w:r>
        <w:rPr>
          <w:rFonts w:hint="eastAsia" w:ascii="Times New Roman" w:eastAsia="仿宋"/>
          <w:u w:val="none"/>
          <w:lang w:val="en-US" w:eastAsia="zh-CN"/>
        </w:rPr>
        <w:t>7</w:t>
      </w:r>
      <w:r>
        <w:rPr>
          <w:rFonts w:ascii="Times New Roman" w:eastAsia="仿宋"/>
          <w:u w:val="none"/>
        </w:rPr>
        <w:t>.招标文件的澄清与修改</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.1    为了保证对招标文件的澄清和修改满足法律的时限要求，任何要求对招标文件进行澄清的投标人，均应在投标截止期十五日前，以书面形式将澄清要求通知采购人或采购代理机构。</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.2</w:t>
      </w:r>
      <w:r>
        <w:rPr>
          <w:rFonts w:ascii="Times New Roman" w:eastAsia="仿宋"/>
          <w:szCs w:val="24"/>
        </w:rPr>
        <w:tab/>
      </w:r>
      <w:r>
        <w:rPr>
          <w:rFonts w:hint="eastAsia" w:ascii="Times New Roman" w:eastAsia="仿宋"/>
          <w:szCs w:val="24"/>
          <w:lang w:val="en-US" w:eastAsia="zh-CN"/>
        </w:rPr>
        <w:t xml:space="preserve"> </w:t>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pPr>
        <w:pStyle w:val="23"/>
        <w:tabs>
          <w:tab w:val="left" w:pos="900"/>
        </w:tabs>
        <w:spacing w:before="0" w:after="0" w:line="360" w:lineRule="auto"/>
        <w:rPr>
          <w:rFonts w:ascii="Times New Roman" w:eastAsia="仿宋"/>
          <w:b w:val="0"/>
          <w:bCs/>
          <w:u w:val="none"/>
        </w:rPr>
      </w:pPr>
      <w:bookmarkStart w:id="48" w:name="_Toc25111"/>
      <w:bookmarkEnd w:id="48"/>
      <w:bookmarkStart w:id="49" w:name="_Toc13430"/>
      <w:bookmarkEnd w:id="49"/>
      <w:bookmarkStart w:id="50" w:name="_Toc518923068"/>
      <w:bookmarkEnd w:id="50"/>
      <w:bookmarkStart w:id="51" w:name="_Toc17979"/>
      <w:bookmarkEnd w:id="51"/>
      <w:bookmarkStart w:id="52" w:name="_Toc10994"/>
      <w:bookmarkEnd w:id="52"/>
      <w:r>
        <w:rPr>
          <w:rFonts w:ascii="Times New Roman" w:eastAsia="仿宋"/>
          <w:b w:val="0"/>
          <w:bCs/>
          <w:u w:val="none"/>
        </w:rPr>
        <w:t>7.</w:t>
      </w:r>
      <w:r>
        <w:rPr>
          <w:rFonts w:hint="eastAsia" w:ascii="Times New Roman" w:eastAsia="仿宋"/>
          <w:b w:val="0"/>
          <w:bCs/>
          <w:u w:val="none"/>
          <w:lang w:val="en-US" w:eastAsia="zh-CN"/>
        </w:rPr>
        <w:t xml:space="preserve">4     </w:t>
      </w:r>
      <w:r>
        <w:rPr>
          <w:rFonts w:ascii="Times New Roman" w:eastAsia="仿宋"/>
          <w:b w:val="0"/>
          <w:bCs/>
          <w:u w:val="none"/>
        </w:rPr>
        <w:t>投标截止时间的顺延</w:t>
      </w:r>
    </w:p>
    <w:p>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pPr>
        <w:spacing w:line="360" w:lineRule="auto"/>
        <w:ind w:left="900" w:hanging="900" w:hangingChars="375"/>
        <w:rPr>
          <w:rFonts w:eastAsia="仿宋"/>
          <w:sz w:val="24"/>
        </w:rPr>
      </w:pPr>
    </w:p>
    <w:p>
      <w:pPr>
        <w:pStyle w:val="21"/>
        <w:tabs>
          <w:tab w:val="left" w:pos="900"/>
        </w:tabs>
        <w:spacing w:before="0" w:line="360" w:lineRule="auto"/>
        <w:ind w:left="1080" w:leftChars="257" w:hanging="540"/>
        <w:rPr>
          <w:rFonts w:eastAsia="仿宋"/>
          <w:sz w:val="28"/>
        </w:rPr>
      </w:pPr>
      <w:bookmarkStart w:id="53" w:name="_Toc516367020"/>
      <w:bookmarkEnd w:id="53"/>
      <w:bookmarkStart w:id="54" w:name="_Toc216582807"/>
      <w:bookmarkEnd w:id="54"/>
      <w:bookmarkStart w:id="55" w:name="_Toc518923069"/>
      <w:bookmarkEnd w:id="55"/>
      <w:bookmarkStart w:id="56" w:name="_Toc520356150"/>
      <w:bookmarkEnd w:id="56"/>
      <w:bookmarkStart w:id="57" w:name="_Toc12398"/>
      <w:bookmarkEnd w:id="57"/>
      <w:bookmarkStart w:id="58" w:name="_Toc25389"/>
      <w:bookmarkEnd w:id="58"/>
      <w:bookmarkStart w:id="59" w:name="_Toc24640"/>
      <w:bookmarkEnd w:id="59"/>
      <w:bookmarkStart w:id="60" w:name="_Toc10749"/>
      <w:bookmarkEnd w:id="60"/>
      <w:r>
        <w:rPr>
          <w:rFonts w:eastAsia="仿宋"/>
          <w:sz w:val="28"/>
        </w:rPr>
        <w:t>三</w:t>
      </w:r>
      <w:r>
        <w:rPr>
          <w:rFonts w:hint="eastAsia" w:eastAsia="仿宋"/>
          <w:sz w:val="28"/>
        </w:rPr>
        <w:t>、</w:t>
      </w:r>
      <w:r>
        <w:rPr>
          <w:rFonts w:eastAsia="仿宋"/>
          <w:sz w:val="28"/>
        </w:rPr>
        <w:t>投标文件的编制</w:t>
      </w:r>
    </w:p>
    <w:p>
      <w:pPr>
        <w:pStyle w:val="22"/>
        <w:spacing w:line="360" w:lineRule="auto"/>
        <w:rPr>
          <w:rFonts w:ascii="Times New Roman" w:eastAsia="仿宋"/>
        </w:rPr>
      </w:pPr>
    </w:p>
    <w:p>
      <w:pPr>
        <w:pStyle w:val="23"/>
        <w:numPr>
          <w:ilvl w:val="0"/>
          <w:numId w:val="3"/>
        </w:numPr>
        <w:tabs>
          <w:tab w:val="left" w:pos="900"/>
        </w:tabs>
        <w:spacing w:before="0" w:after="0" w:line="360" w:lineRule="auto"/>
        <w:rPr>
          <w:rFonts w:ascii="Times New Roman" w:eastAsia="仿宋"/>
          <w:u w:val="none"/>
        </w:rPr>
      </w:pPr>
      <w:bookmarkStart w:id="61" w:name="_Toc25074"/>
      <w:bookmarkEnd w:id="61"/>
      <w:bookmarkStart w:id="62" w:name="_Toc516367021"/>
      <w:bookmarkEnd w:id="62"/>
      <w:bookmarkStart w:id="63" w:name="_Toc520356151"/>
      <w:bookmarkEnd w:id="63"/>
      <w:bookmarkStart w:id="64" w:name="_Toc24990"/>
      <w:bookmarkEnd w:id="64"/>
      <w:bookmarkStart w:id="65" w:name="_Toc518923070"/>
      <w:bookmarkEnd w:id="65"/>
      <w:bookmarkStart w:id="66" w:name="_Toc6728"/>
      <w:bookmarkEnd w:id="66"/>
      <w:bookmarkStart w:id="67" w:name="_Toc12703"/>
      <w:bookmarkEnd w:id="67"/>
      <w:r>
        <w:rPr>
          <w:rFonts w:ascii="Times New Roman" w:eastAsia="仿宋"/>
          <w:u w:val="none"/>
        </w:rPr>
        <w:t>投标范围及投标文件中标准和计量单位的使用</w:t>
      </w:r>
    </w:p>
    <w:p>
      <w:pPr>
        <w:spacing w:line="360" w:lineRule="auto"/>
        <w:ind w:left="900" w:hanging="900" w:hangingChars="375"/>
        <w:rPr>
          <w:rFonts w:eastAsia="仿宋"/>
          <w:sz w:val="24"/>
        </w:rPr>
      </w:pPr>
      <w:r>
        <w:rPr>
          <w:rFonts w:eastAsia="仿宋"/>
          <w:sz w:val="24"/>
        </w:rPr>
        <w:t>8.1</w:t>
      </w:r>
      <w:r>
        <w:rPr>
          <w:rFonts w:hint="eastAsia" w:eastAsia="仿宋"/>
          <w:sz w:val="24"/>
          <w:lang w:val="en-US" w:eastAsia="zh-CN"/>
        </w:rPr>
        <w:t xml:space="preserve"> </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pPr>
        <w:pStyle w:val="23"/>
        <w:tabs>
          <w:tab w:val="left" w:pos="900"/>
        </w:tabs>
        <w:spacing w:before="0" w:after="0" w:line="360" w:lineRule="auto"/>
        <w:rPr>
          <w:rFonts w:ascii="Times New Roman" w:eastAsia="仿宋"/>
          <w:u w:val="none"/>
        </w:rPr>
      </w:pPr>
      <w:bookmarkStart w:id="68" w:name="_Ref467306676"/>
      <w:bookmarkEnd w:id="68"/>
      <w:bookmarkStart w:id="69" w:name="_Toc518923071"/>
      <w:bookmarkEnd w:id="69"/>
      <w:bookmarkStart w:id="70" w:name="_Toc29101"/>
      <w:bookmarkEnd w:id="70"/>
      <w:bookmarkStart w:id="71" w:name="_Toc520356152"/>
      <w:bookmarkEnd w:id="71"/>
      <w:bookmarkStart w:id="72" w:name="_Toc516367022"/>
      <w:bookmarkEnd w:id="72"/>
      <w:bookmarkStart w:id="73" w:name="_Ref467306195"/>
      <w:bookmarkEnd w:id="73"/>
      <w:bookmarkStart w:id="74" w:name="_Toc15487"/>
      <w:bookmarkEnd w:id="74"/>
      <w:bookmarkStart w:id="75" w:name="_Toc12543"/>
      <w:bookmarkEnd w:id="75"/>
      <w:bookmarkStart w:id="76" w:name="_Toc30846"/>
      <w:bookmarkEnd w:id="76"/>
      <w:r>
        <w:rPr>
          <w:rFonts w:ascii="Times New Roman" w:eastAsia="仿宋"/>
          <w:u w:val="none"/>
        </w:rPr>
        <w:t>9.</w:t>
      </w:r>
      <w:r>
        <w:rPr>
          <w:rFonts w:hint="eastAsia" w:ascii="Times New Roman" w:eastAsia="仿宋"/>
          <w:u w:val="none"/>
          <w:lang w:val="en-US" w:eastAsia="zh-CN"/>
        </w:rPr>
        <w:t xml:space="preserve"> </w:t>
      </w:r>
      <w:r>
        <w:rPr>
          <w:rFonts w:ascii="Times New Roman" w:eastAsia="仿宋"/>
          <w:u w:val="none"/>
        </w:rPr>
        <w:t>投标文件构成</w:t>
      </w:r>
    </w:p>
    <w:p>
      <w:pPr>
        <w:tabs>
          <w:tab w:val="left" w:pos="900"/>
          <w:tab w:val="left" w:pos="5580"/>
        </w:tabs>
        <w:spacing w:line="360" w:lineRule="auto"/>
        <w:ind w:left="960" w:hanging="960" w:hangingChars="400"/>
        <w:jc w:val="left"/>
        <w:rPr>
          <w:rFonts w:eastAsia="仿宋"/>
          <w:color w:val="auto"/>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r>
        <w:rPr>
          <w:rFonts w:hint="eastAsia" w:ascii="Times New Roman" w:hAnsi="Times New Roman" w:eastAsia="仿宋" w:cs="Times New Roman"/>
          <w:b/>
          <w:bCs/>
          <w:color w:val="auto"/>
          <w:sz w:val="24"/>
          <w:u w:val="thick"/>
          <w:lang w:eastAsia="zh-CN"/>
        </w:rPr>
        <w:t>（</w:t>
      </w:r>
      <w:r>
        <w:rPr>
          <w:rFonts w:hint="eastAsia" w:ascii="Times New Roman" w:hAnsi="Times New Roman" w:eastAsia="仿宋" w:cs="Times New Roman"/>
          <w:b/>
          <w:bCs/>
          <w:color w:val="auto"/>
          <w:sz w:val="24"/>
          <w:u w:val="thick"/>
          <w:lang w:val="en-US" w:eastAsia="zh-CN"/>
        </w:rPr>
        <w:t>政采云电子响应文件中商务技术响应文件必须按照“第2章  投标文件格式”两部分完整地全部上传，否则将被认定为投标无效。</w:t>
      </w:r>
      <w:r>
        <w:rPr>
          <w:rFonts w:hint="eastAsia" w:ascii="Times New Roman" w:hAnsi="Times New Roman" w:eastAsia="仿宋" w:cs="Times New Roman"/>
          <w:b/>
          <w:bCs/>
          <w:color w:val="auto"/>
          <w:sz w:val="24"/>
          <w:u w:val="thick"/>
          <w:lang w:eastAsia="zh-CN"/>
        </w:rPr>
        <w:t>）</w:t>
      </w:r>
    </w:p>
    <w:p>
      <w:pPr>
        <w:spacing w:line="360" w:lineRule="auto"/>
        <w:ind w:left="900" w:hanging="900" w:hangingChars="375"/>
        <w:rPr>
          <w:rFonts w:eastAsia="仿宋"/>
          <w:b/>
          <w:bCs/>
          <w:sz w:val="24"/>
        </w:rPr>
      </w:pP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pPr>
        <w:spacing w:line="360" w:lineRule="auto"/>
        <w:jc w:val="left"/>
        <w:rPr>
          <w:rFonts w:hint="eastAsia" w:eastAsia="仿宋"/>
          <w:color w:val="auto"/>
          <w:sz w:val="24"/>
          <w:lang w:eastAsia="zh-CN"/>
        </w:rPr>
      </w:pPr>
      <w:r>
        <w:rPr>
          <w:rFonts w:hint="eastAsia" w:ascii="仿宋" w:hAnsi="仿宋" w:eastAsia="仿宋" w:cs="仿宋"/>
          <w:b/>
          <w:bCs/>
          <w:color w:val="auto"/>
          <w:sz w:val="24"/>
        </w:rPr>
        <w:t>注:电子版响应文件内所有资格证明文件，供应商须逐页加盖电子签章</w:t>
      </w:r>
      <w:r>
        <w:rPr>
          <w:rFonts w:hint="eastAsia" w:ascii="仿宋" w:hAnsi="仿宋" w:eastAsia="仿宋" w:cs="仿宋"/>
          <w:b/>
          <w:bCs/>
          <w:color w:val="auto"/>
          <w:sz w:val="24"/>
          <w:lang w:eastAsia="zh-CN"/>
        </w:rPr>
        <w:t>。</w:t>
      </w:r>
    </w:p>
    <w:p>
      <w:pPr>
        <w:pStyle w:val="23"/>
        <w:numPr>
          <w:ilvl w:val="0"/>
          <w:numId w:val="0"/>
        </w:numPr>
        <w:tabs>
          <w:tab w:val="left" w:pos="900"/>
        </w:tabs>
        <w:spacing w:before="0" w:after="0" w:line="360" w:lineRule="auto"/>
        <w:ind w:leftChars="0"/>
        <w:rPr>
          <w:rFonts w:ascii="Times New Roman" w:eastAsia="仿宋"/>
          <w:u w:val="none"/>
        </w:rPr>
      </w:pPr>
      <w:bookmarkStart w:id="78" w:name="_Toc518923072"/>
      <w:bookmarkEnd w:id="78"/>
      <w:bookmarkStart w:id="79" w:name="_Toc2671"/>
      <w:bookmarkEnd w:id="79"/>
      <w:bookmarkStart w:id="80" w:name="_Toc508185920"/>
      <w:bookmarkEnd w:id="80"/>
      <w:bookmarkStart w:id="81" w:name="_Toc1889"/>
      <w:bookmarkEnd w:id="81"/>
      <w:bookmarkStart w:id="82" w:name="_Toc11736"/>
      <w:bookmarkEnd w:id="82"/>
      <w:bookmarkStart w:id="83" w:name="_Toc520356153"/>
      <w:bookmarkEnd w:id="83"/>
      <w:bookmarkStart w:id="84" w:name="_Toc15670"/>
      <w:bookmarkEnd w:id="84"/>
      <w:bookmarkStart w:id="85" w:name="_Toc516367023"/>
      <w:bookmarkEnd w:id="85"/>
      <w:r>
        <w:rPr>
          <w:rFonts w:hint="eastAsia" w:ascii="Times New Roman" w:eastAsia="仿宋"/>
          <w:u w:val="none"/>
          <w:lang w:val="en-US" w:eastAsia="zh-CN"/>
        </w:rPr>
        <w:t xml:space="preserve">10.     </w:t>
      </w:r>
      <w:r>
        <w:rPr>
          <w:rFonts w:ascii="Times New Roman" w:eastAsia="仿宋"/>
          <w:u w:val="none"/>
        </w:rPr>
        <w:t>证明投标标的的合格性和符合招标文件规定的响应文件</w:t>
      </w:r>
    </w:p>
    <w:p>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eastAsia="仿宋"/>
          <w:b w:val="0"/>
          <w:bCs w:val="0"/>
          <w:color w:val="auto"/>
          <w:sz w:val="24"/>
        </w:rPr>
      </w:pPr>
      <w:r>
        <w:rPr>
          <w:rFonts w:hint="eastAsia" w:eastAsia="仿宋"/>
          <w:sz w:val="24"/>
        </w:rPr>
        <w:t>10.3</w:t>
      </w:r>
      <w:r>
        <w:rPr>
          <w:rFonts w:hint="eastAsia" w:eastAsia="仿宋"/>
          <w:sz w:val="24"/>
          <w:lang w:val="en-US" w:eastAsia="zh-CN"/>
        </w:rPr>
        <w:t xml:space="preserve"> </w:t>
      </w:r>
      <w:r>
        <w:rPr>
          <w:rFonts w:hint="eastAsia" w:eastAsia="仿宋"/>
          <w:sz w:val="24"/>
        </w:rPr>
        <w:tab/>
      </w:r>
      <w:r>
        <w:rPr>
          <w:rFonts w:hint="eastAsia" w:eastAsia="仿宋"/>
          <w:b w:val="0"/>
          <w:bCs w:val="0"/>
          <w:color w:val="auto"/>
          <w:sz w:val="24"/>
        </w:rPr>
        <w:t>供应商在投标中可以选用替代牌号或分类号，但这些替代要实质上相当于技术规格的要求。采购人、采购代理机构承诺不以上述参照品牌型号或分类号作为评标时判定其投标是否有效的标准。</w:t>
      </w:r>
    </w:p>
    <w:p>
      <w:pPr>
        <w:pStyle w:val="23"/>
        <w:spacing w:before="0" w:after="0" w:line="360" w:lineRule="auto"/>
        <w:rPr>
          <w:rFonts w:ascii="Times New Roman" w:eastAsia="仿宋"/>
          <w:u w:val="none"/>
        </w:rPr>
      </w:pPr>
      <w:bookmarkStart w:id="87" w:name="_Toc13028"/>
      <w:bookmarkEnd w:id="87"/>
      <w:bookmarkStart w:id="88" w:name="_Toc32744"/>
      <w:bookmarkEnd w:id="88"/>
      <w:bookmarkStart w:id="89" w:name="_Toc8529"/>
      <w:bookmarkEnd w:id="89"/>
      <w:bookmarkStart w:id="90" w:name="_Toc518923073"/>
      <w:bookmarkEnd w:id="90"/>
      <w:bookmarkStart w:id="91" w:name="_Toc16574"/>
      <w:bookmarkEnd w:id="91"/>
      <w:r>
        <w:rPr>
          <w:rFonts w:ascii="Times New Roman" w:eastAsia="仿宋"/>
          <w:u w:val="none"/>
        </w:rPr>
        <w:t>11.投标报价</w:t>
      </w:r>
    </w:p>
    <w:p>
      <w:pPr>
        <w:spacing w:line="360" w:lineRule="auto"/>
        <w:ind w:left="900" w:hanging="900" w:hangingChars="375"/>
        <w:jc w:val="both"/>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eastAsia="仿宋"/>
          <w:sz w:val="24"/>
        </w:rPr>
      </w:pPr>
      <w:r>
        <w:rPr>
          <w:rFonts w:hint="eastAsia" w:eastAsia="仿宋"/>
          <w:sz w:val="24"/>
        </w:rPr>
        <w:t>11.3.2  货物运至最终目的地的运输费和保险费用。</w:t>
      </w:r>
    </w:p>
    <w:p>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pPr>
        <w:pStyle w:val="24"/>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pPr>
        <w:pStyle w:val="23"/>
        <w:spacing w:before="0" w:after="0" w:line="360" w:lineRule="auto"/>
        <w:rPr>
          <w:rFonts w:ascii="Times New Roman" w:eastAsia="仿宋"/>
          <w:u w:val="none"/>
        </w:rPr>
      </w:pPr>
      <w:bookmarkStart w:id="92" w:name="_Toc518923074"/>
      <w:bookmarkEnd w:id="92"/>
      <w:bookmarkStart w:id="93" w:name="_Ref467306513"/>
      <w:bookmarkEnd w:id="93"/>
      <w:bookmarkStart w:id="94" w:name="_Toc18305"/>
      <w:bookmarkEnd w:id="94"/>
      <w:bookmarkStart w:id="95" w:name="_Toc24515"/>
      <w:bookmarkEnd w:id="95"/>
      <w:bookmarkStart w:id="96" w:name="_Toc520356156"/>
      <w:bookmarkEnd w:id="96"/>
      <w:bookmarkStart w:id="97" w:name="_Toc16199"/>
      <w:bookmarkEnd w:id="97"/>
      <w:bookmarkStart w:id="98" w:name="_Toc19591"/>
      <w:bookmarkEnd w:id="98"/>
      <w:r>
        <w:rPr>
          <w:rFonts w:ascii="Times New Roman" w:eastAsia="仿宋"/>
          <w:u w:val="none"/>
        </w:rPr>
        <w:t>12.投标保证金</w:t>
      </w:r>
    </w:p>
    <w:p>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pPr>
        <w:spacing w:line="360" w:lineRule="auto"/>
        <w:ind w:left="900" w:hanging="900" w:hangingChars="375"/>
        <w:rPr>
          <w:rFonts w:eastAsia="仿宋"/>
          <w:sz w:val="24"/>
        </w:rPr>
      </w:pPr>
      <w:r>
        <w:rPr>
          <w:rFonts w:eastAsia="仿宋"/>
          <w:sz w:val="24"/>
        </w:rPr>
        <w:t>12.2</w:t>
      </w:r>
      <w:r>
        <w:rPr>
          <w:rFonts w:hint="eastAsia" w:eastAsia="仿宋"/>
          <w:sz w:val="24"/>
          <w:lang w:val="en-US" w:eastAsia="zh-CN"/>
        </w:rPr>
        <w:t xml:space="preserve">    </w:t>
      </w:r>
      <w:r>
        <w:rPr>
          <w:rFonts w:eastAsia="仿宋"/>
          <w:sz w:val="24"/>
        </w:rPr>
        <w:t>投标人存在下列情形的，投标保证金不予退还：</w:t>
      </w:r>
    </w:p>
    <w:p>
      <w:pPr>
        <w:spacing w:line="360" w:lineRule="auto"/>
        <w:ind w:left="898" w:leftChars="342" w:hanging="180" w:hangingChars="75"/>
        <w:rPr>
          <w:rFonts w:eastAsia="仿宋"/>
          <w:sz w:val="24"/>
        </w:rPr>
      </w:pPr>
      <w:r>
        <w:rPr>
          <w:rFonts w:eastAsia="仿宋"/>
          <w:sz w:val="24"/>
        </w:rPr>
        <w:t>（1）在投标有效期内，撤销投标的；</w:t>
      </w:r>
    </w:p>
    <w:p>
      <w:pPr>
        <w:pStyle w:val="25"/>
        <w:tabs>
          <w:tab w:val="left" w:pos="2240"/>
        </w:tabs>
        <w:spacing w:line="360" w:lineRule="auto"/>
        <w:ind w:firstLine="720" w:firstLineChars="300"/>
        <w:rPr>
          <w:rFonts w:ascii="Times New Roman" w:hAnsi="Times New Roman" w:eastAsia="仿宋"/>
          <w:sz w:val="24"/>
        </w:rPr>
      </w:pPr>
      <w:r>
        <w:rPr>
          <w:rFonts w:ascii="Times New Roman" w:hAnsi="Times New Roman" w:eastAsia="仿宋"/>
          <w:sz w:val="24"/>
        </w:rPr>
        <w:t>（2）中标后不按本须知第30条的规定与采购人签订合同的；</w:t>
      </w:r>
    </w:p>
    <w:p>
      <w:pPr>
        <w:pStyle w:val="25"/>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sz w:val="24"/>
        </w:rPr>
        <w:t>（3）中标后不按本须</w:t>
      </w:r>
      <w:r>
        <w:rPr>
          <w:rFonts w:ascii="Times New Roman" w:hAnsi="Times New Roman" w:eastAsia="仿宋"/>
          <w:color w:val="auto"/>
          <w:sz w:val="24"/>
        </w:rPr>
        <w:t>知第31条的规定提交履约保证金的；</w:t>
      </w:r>
    </w:p>
    <w:p>
      <w:pPr>
        <w:pStyle w:val="2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color w:val="auto"/>
          <w:sz w:val="24"/>
        </w:rPr>
        <w:t>（4）存在</w:t>
      </w:r>
      <w:r>
        <w:rPr>
          <w:rFonts w:ascii="Times New Roman" w:hAnsi="Times New Roman" w:eastAsia="仿宋"/>
          <w:sz w:val="24"/>
        </w:rPr>
        <w:t>其他违法违规行为的。</w:t>
      </w:r>
    </w:p>
    <w:p>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pPr>
        <w:spacing w:line="360" w:lineRule="auto"/>
        <w:rPr>
          <w:rFonts w:eastAsia="仿宋"/>
          <w:sz w:val="24"/>
        </w:rPr>
      </w:pPr>
      <w:r>
        <w:rPr>
          <w:rFonts w:eastAsia="仿宋"/>
          <w:sz w:val="24"/>
        </w:rPr>
        <w:t>12.4.1  采用电汇形式的，一般可以实时入账；</w:t>
      </w:r>
    </w:p>
    <w:p>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pPr>
        <w:spacing w:line="360" w:lineRule="auto"/>
        <w:ind w:left="1020" w:hanging="1020" w:hangingChars="425"/>
        <w:rPr>
          <w:rFonts w:eastAsia="仿宋"/>
          <w:sz w:val="24"/>
        </w:rPr>
      </w:pPr>
      <w:r>
        <w:rPr>
          <w:rFonts w:eastAsia="仿宋"/>
          <w:sz w:val="24"/>
        </w:rPr>
        <w:t>12.6.3  政府采购投标担保函不予退回。</w:t>
      </w:r>
    </w:p>
    <w:p>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pPr>
        <w:pStyle w:val="23"/>
        <w:spacing w:before="0" w:after="0" w:line="360" w:lineRule="auto"/>
        <w:rPr>
          <w:rFonts w:ascii="Times New Roman" w:eastAsia="仿宋"/>
          <w:u w:val="none"/>
        </w:rPr>
      </w:pPr>
      <w:bookmarkStart w:id="101" w:name="_Toc19370"/>
      <w:bookmarkEnd w:id="101"/>
      <w:bookmarkStart w:id="102" w:name="_Toc20355"/>
      <w:bookmarkEnd w:id="102"/>
      <w:bookmarkStart w:id="103" w:name="_Toc520356157"/>
      <w:bookmarkEnd w:id="103"/>
      <w:bookmarkStart w:id="104" w:name="_Toc12440"/>
      <w:bookmarkEnd w:id="104"/>
      <w:bookmarkStart w:id="105" w:name="_Toc518923076"/>
      <w:bookmarkEnd w:id="105"/>
      <w:bookmarkStart w:id="106" w:name="_Toc25375"/>
      <w:bookmarkEnd w:id="106"/>
      <w:r>
        <w:rPr>
          <w:rFonts w:ascii="Times New Roman" w:eastAsia="仿宋"/>
          <w:u w:val="none"/>
        </w:rPr>
        <w:t>13.投标有效期</w:t>
      </w:r>
    </w:p>
    <w:p>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23"/>
        <w:spacing w:before="0" w:after="0" w:line="360" w:lineRule="auto"/>
        <w:rPr>
          <w:rFonts w:ascii="Times New Roman" w:eastAsia="仿宋"/>
          <w:u w:val="none"/>
        </w:rPr>
      </w:pPr>
      <w:bookmarkStart w:id="107" w:name="_Toc27303"/>
      <w:bookmarkEnd w:id="107"/>
      <w:bookmarkStart w:id="108" w:name="_Toc520356158"/>
      <w:bookmarkEnd w:id="108"/>
      <w:bookmarkStart w:id="109" w:name="_Toc10460"/>
      <w:bookmarkEnd w:id="109"/>
      <w:bookmarkStart w:id="110" w:name="_Toc518923077"/>
      <w:bookmarkEnd w:id="110"/>
      <w:bookmarkStart w:id="111" w:name="_Toc22262"/>
      <w:bookmarkEnd w:id="111"/>
      <w:bookmarkStart w:id="112" w:name="_Toc12950"/>
      <w:bookmarkEnd w:id="112"/>
      <w:r>
        <w:rPr>
          <w:rFonts w:ascii="Times New Roman" w:eastAsia="仿宋"/>
          <w:u w:val="none"/>
        </w:rPr>
        <w:t>14.投标文件的签署及规定</w:t>
      </w:r>
    </w:p>
    <w:p>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lang w:val="en-US" w:eastAsia="zh-CN"/>
        </w:rPr>
        <w:t xml:space="preserve"> </w:t>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hint="eastAsia" w:eastAsia="仿宋"/>
          <w:sz w:val="24"/>
          <w:lang w:val="en-US" w:eastAsia="zh-CN"/>
        </w:rPr>
        <w:t xml:space="preserve"> </w:t>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pPr>
        <w:spacing w:line="360" w:lineRule="auto"/>
        <w:ind w:left="900" w:hanging="900" w:hangingChars="375"/>
        <w:rPr>
          <w:rFonts w:eastAsia="仿宋"/>
          <w:sz w:val="24"/>
        </w:rPr>
      </w:pPr>
    </w:p>
    <w:p>
      <w:pPr>
        <w:pStyle w:val="21"/>
        <w:spacing w:before="0" w:line="360" w:lineRule="auto"/>
        <w:ind w:left="1080" w:leftChars="257" w:hanging="540"/>
        <w:rPr>
          <w:rFonts w:eastAsia="仿宋"/>
          <w:sz w:val="24"/>
        </w:rPr>
      </w:pPr>
      <w:bookmarkStart w:id="113" w:name="_Toc216582808"/>
      <w:bookmarkEnd w:id="113"/>
      <w:bookmarkStart w:id="114" w:name="_Toc3050"/>
      <w:bookmarkEnd w:id="114"/>
      <w:bookmarkStart w:id="115" w:name="_Toc520356159"/>
      <w:bookmarkEnd w:id="115"/>
      <w:bookmarkStart w:id="116" w:name="_Toc518923078"/>
      <w:bookmarkEnd w:id="116"/>
      <w:bookmarkStart w:id="117" w:name="_Toc22303"/>
      <w:bookmarkEnd w:id="117"/>
      <w:bookmarkStart w:id="118" w:name="_Toc4415"/>
      <w:bookmarkEnd w:id="118"/>
      <w:bookmarkStart w:id="119" w:name="_Toc2659"/>
      <w:bookmarkEnd w:id="119"/>
      <w:r>
        <w:rPr>
          <w:rFonts w:eastAsia="仿宋"/>
          <w:sz w:val="24"/>
        </w:rPr>
        <w:t>四</w:t>
      </w:r>
      <w:r>
        <w:rPr>
          <w:rFonts w:hint="eastAsia" w:eastAsia="仿宋"/>
          <w:sz w:val="24"/>
        </w:rPr>
        <w:t>、</w:t>
      </w:r>
      <w:r>
        <w:rPr>
          <w:rFonts w:eastAsia="仿宋"/>
          <w:sz w:val="24"/>
        </w:rPr>
        <w:t>投标文件的递交</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20" w:name="_Toc518923079"/>
      <w:bookmarkEnd w:id="120"/>
      <w:bookmarkStart w:id="121" w:name="_Toc16644"/>
      <w:bookmarkEnd w:id="121"/>
      <w:bookmarkStart w:id="122" w:name="_Toc520356160"/>
      <w:bookmarkEnd w:id="122"/>
      <w:bookmarkStart w:id="123" w:name="_Toc13247"/>
      <w:bookmarkEnd w:id="123"/>
      <w:bookmarkStart w:id="124" w:name="_Toc3038"/>
      <w:bookmarkEnd w:id="124"/>
      <w:bookmarkStart w:id="125" w:name="_Toc25050"/>
      <w:bookmarkEnd w:id="125"/>
      <w:r>
        <w:rPr>
          <w:rFonts w:ascii="Times New Roman" w:eastAsia="仿宋"/>
          <w:u w:val="none"/>
        </w:rPr>
        <w:t>15.投标文件的密封和标记</w:t>
      </w:r>
    </w:p>
    <w:p>
      <w:pPr>
        <w:spacing w:line="360" w:lineRule="auto"/>
        <w:ind w:left="900" w:hanging="900" w:hangingChars="375"/>
        <w:jc w:val="left"/>
        <w:rPr>
          <w:rFonts w:eastAsia="仿宋"/>
          <w:sz w:val="24"/>
          <w:highlight w:val="none"/>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投标人应将投标文件第一部分和第二部分合并，并在每部分标明“第一部分开标一览表及资格证明文件”或“第二部分商务及技术文件”字样。电子版投标文件必</w:t>
      </w:r>
      <w:r>
        <w:rPr>
          <w:rFonts w:hint="eastAsia" w:eastAsia="仿宋"/>
          <w:b/>
          <w:bCs/>
          <w:sz w:val="24"/>
          <w:highlight w:val="none"/>
        </w:rPr>
        <w:t>须通过新疆CA数字证书编制、上传至新疆政府采购网政采云平台。</w:t>
      </w:r>
    </w:p>
    <w:p>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pPr>
        <w:pStyle w:val="23"/>
        <w:spacing w:before="0" w:after="0" w:line="360" w:lineRule="auto"/>
        <w:rPr>
          <w:rFonts w:ascii="Times New Roman" w:eastAsia="仿宋"/>
          <w:u w:val="none"/>
        </w:rPr>
      </w:pPr>
      <w:bookmarkStart w:id="126" w:name="_Toc28971"/>
      <w:bookmarkEnd w:id="126"/>
      <w:bookmarkStart w:id="127" w:name="_Toc520356161"/>
      <w:bookmarkEnd w:id="127"/>
      <w:bookmarkStart w:id="128" w:name="_Toc25787"/>
      <w:bookmarkEnd w:id="128"/>
      <w:bookmarkStart w:id="129" w:name="_Toc10904"/>
      <w:bookmarkEnd w:id="129"/>
      <w:bookmarkStart w:id="130" w:name="_Toc30117"/>
      <w:bookmarkEnd w:id="130"/>
      <w:bookmarkStart w:id="131" w:name="_Toc518923080"/>
      <w:bookmarkEnd w:id="131"/>
      <w:r>
        <w:rPr>
          <w:rFonts w:ascii="Times New Roman" w:eastAsia="仿宋"/>
          <w:u w:val="none"/>
        </w:rPr>
        <w:t>16.投标截止</w:t>
      </w:r>
    </w:p>
    <w:p>
      <w:pPr>
        <w:spacing w:line="360" w:lineRule="auto"/>
        <w:ind w:left="900" w:hanging="900" w:hangingChars="375"/>
        <w:rPr>
          <w:rFonts w:eastAsia="仿宋"/>
          <w:sz w:val="24"/>
        </w:rPr>
      </w:pPr>
      <w:r>
        <w:rPr>
          <w:rFonts w:eastAsia="仿宋"/>
          <w:sz w:val="24"/>
        </w:rPr>
        <w:t>16.1</w:t>
      </w:r>
      <w:r>
        <w:rPr>
          <w:rFonts w:eastAsia="仿宋"/>
          <w:sz w:val="24"/>
        </w:rPr>
        <w:tab/>
      </w:r>
      <w:r>
        <w:rPr>
          <w:rFonts w:hint="eastAsia" w:eastAsia="仿宋"/>
          <w:sz w:val="24"/>
          <w:lang w:val="en-US" w:eastAsia="zh-CN"/>
        </w:rPr>
        <w:t xml:space="preserve"> </w:t>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pPr>
        <w:spacing w:line="360" w:lineRule="auto"/>
        <w:ind w:left="900" w:hanging="900" w:hangingChars="375"/>
        <w:rPr>
          <w:rFonts w:eastAsia="仿宋"/>
          <w:sz w:val="24"/>
        </w:rPr>
      </w:pPr>
      <w:r>
        <w:rPr>
          <w:rFonts w:eastAsia="仿宋"/>
          <w:sz w:val="24"/>
        </w:rPr>
        <w:t>16.2</w:t>
      </w:r>
      <w:r>
        <w:rPr>
          <w:rFonts w:eastAsia="仿宋"/>
          <w:sz w:val="24"/>
        </w:rPr>
        <w:tab/>
      </w:r>
      <w:r>
        <w:rPr>
          <w:rFonts w:hint="eastAsia" w:eastAsia="仿宋"/>
          <w:sz w:val="24"/>
          <w:lang w:val="en-US" w:eastAsia="zh-CN"/>
        </w:rPr>
        <w:t xml:space="preserve"> </w:t>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pPr>
        <w:pStyle w:val="23"/>
        <w:spacing w:before="0" w:after="0" w:line="360" w:lineRule="auto"/>
        <w:rPr>
          <w:rFonts w:ascii="Times New Roman" w:eastAsia="仿宋"/>
          <w:u w:val="none"/>
        </w:rPr>
      </w:pPr>
      <w:bookmarkStart w:id="132" w:name="_Toc518923081"/>
      <w:bookmarkEnd w:id="132"/>
      <w:bookmarkStart w:id="133" w:name="_Toc22116"/>
      <w:bookmarkEnd w:id="133"/>
      <w:bookmarkStart w:id="134" w:name="_Toc326"/>
      <w:bookmarkEnd w:id="134"/>
      <w:bookmarkStart w:id="135" w:name="_Toc25814"/>
      <w:bookmarkEnd w:id="135"/>
      <w:bookmarkStart w:id="136" w:name="_Toc520356162"/>
      <w:bookmarkEnd w:id="136"/>
      <w:bookmarkStart w:id="137" w:name="_Toc13921"/>
      <w:bookmarkEnd w:id="137"/>
      <w:r>
        <w:rPr>
          <w:rFonts w:ascii="Times New Roman" w:eastAsia="仿宋"/>
          <w:u w:val="none"/>
        </w:rPr>
        <w:t>17.投标文件的接收、修改与撤回</w:t>
      </w:r>
    </w:p>
    <w:p>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pPr>
        <w:spacing w:line="360" w:lineRule="auto"/>
        <w:ind w:left="900" w:hanging="900" w:hangingChars="375"/>
        <w:rPr>
          <w:rFonts w:eastAsia="仿宋"/>
          <w:sz w:val="24"/>
        </w:rPr>
      </w:pPr>
      <w:r>
        <w:rPr>
          <w:rFonts w:eastAsia="仿宋"/>
          <w:sz w:val="24"/>
        </w:rPr>
        <w:t>17.2</w:t>
      </w:r>
      <w:r>
        <w:rPr>
          <w:rFonts w:hint="eastAsia" w:eastAsia="仿宋"/>
          <w:sz w:val="24"/>
          <w:lang w:val="en-US" w:eastAsia="zh-CN"/>
        </w:rPr>
        <w:t xml:space="preserve">  </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hint="eastAsia" w:eastAsia="仿宋"/>
          <w:sz w:val="24"/>
          <w:lang w:val="en-US" w:eastAsia="zh-CN"/>
        </w:rPr>
        <w:t xml:space="preserve"> </w:t>
      </w:r>
      <w:r>
        <w:rPr>
          <w:rFonts w:eastAsia="仿宋"/>
          <w:sz w:val="24"/>
        </w:rPr>
        <w:t>在投标截止期之后，采购人和采购代理机构不接受投标人主动对其投标文件做任何修改。</w:t>
      </w:r>
    </w:p>
    <w:p>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hint="eastAsia" w:eastAsia="仿宋"/>
          <w:sz w:val="24"/>
          <w:lang w:val="en-US" w:eastAsia="zh-CN"/>
        </w:rPr>
        <w:t xml:space="preserve"> </w:t>
      </w:r>
      <w:r>
        <w:rPr>
          <w:rFonts w:eastAsia="仿宋"/>
          <w:sz w:val="24"/>
        </w:rPr>
        <w:t>采购人和采购代理机构对所接收投标文件概不退回。</w:t>
      </w:r>
    </w:p>
    <w:p>
      <w:pPr>
        <w:spacing w:line="360" w:lineRule="auto"/>
        <w:ind w:left="1080" w:leftChars="257" w:hanging="540"/>
        <w:rPr>
          <w:rFonts w:eastAsia="仿宋"/>
          <w:sz w:val="24"/>
        </w:rPr>
      </w:pPr>
    </w:p>
    <w:p>
      <w:pPr>
        <w:pStyle w:val="21"/>
        <w:spacing w:before="0" w:line="360" w:lineRule="auto"/>
        <w:rPr>
          <w:rFonts w:eastAsia="仿宋"/>
          <w:sz w:val="24"/>
        </w:rPr>
      </w:pPr>
      <w:bookmarkStart w:id="138" w:name="_Toc520356163"/>
      <w:bookmarkEnd w:id="138"/>
      <w:bookmarkStart w:id="139" w:name="_Toc518923082"/>
      <w:bookmarkEnd w:id="139"/>
      <w:bookmarkStart w:id="140" w:name="_Toc216582809"/>
      <w:bookmarkEnd w:id="140"/>
      <w:bookmarkStart w:id="141" w:name="_Toc10257"/>
      <w:bookmarkEnd w:id="141"/>
      <w:bookmarkStart w:id="142" w:name="_Toc6389"/>
      <w:bookmarkEnd w:id="142"/>
      <w:bookmarkStart w:id="143" w:name="_Toc23627"/>
      <w:bookmarkEnd w:id="143"/>
      <w:bookmarkStart w:id="144" w:name="_Toc22845"/>
      <w:bookmarkEnd w:id="144"/>
      <w:r>
        <w:rPr>
          <w:rFonts w:eastAsia="仿宋"/>
          <w:sz w:val="24"/>
        </w:rPr>
        <w:t>五</w:t>
      </w:r>
      <w:r>
        <w:rPr>
          <w:rFonts w:hint="eastAsia" w:eastAsia="仿宋"/>
          <w:sz w:val="24"/>
        </w:rPr>
        <w:t>、</w:t>
      </w:r>
      <w:r>
        <w:rPr>
          <w:rFonts w:eastAsia="仿宋"/>
          <w:sz w:val="24"/>
        </w:rPr>
        <w:t>开标及评标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45" w:name="_Toc520356164"/>
      <w:bookmarkEnd w:id="145"/>
      <w:bookmarkStart w:id="146" w:name="_Toc518923083"/>
      <w:bookmarkEnd w:id="146"/>
      <w:bookmarkStart w:id="147" w:name="_Toc12598"/>
      <w:bookmarkEnd w:id="147"/>
      <w:bookmarkStart w:id="148" w:name="_Toc8653"/>
      <w:bookmarkEnd w:id="148"/>
      <w:bookmarkStart w:id="149" w:name="_Toc16580"/>
      <w:bookmarkEnd w:id="149"/>
      <w:bookmarkStart w:id="150" w:name="_Toc1813"/>
      <w:bookmarkEnd w:id="150"/>
      <w:r>
        <w:rPr>
          <w:rFonts w:ascii="Times New Roman" w:eastAsia="仿宋"/>
          <w:u w:val="none"/>
        </w:rPr>
        <w:t>18.开标</w:t>
      </w:r>
    </w:p>
    <w:p>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pPr>
        <w:spacing w:line="360" w:lineRule="auto"/>
        <w:ind w:firstLine="960" w:firstLineChars="400"/>
        <w:rPr>
          <w:rFonts w:eastAsia="仿宋"/>
          <w:sz w:val="24"/>
        </w:rPr>
      </w:pPr>
      <w:r>
        <w:rPr>
          <w:rFonts w:eastAsia="仿宋"/>
          <w:sz w:val="24"/>
        </w:rPr>
        <w:t>投标人不足3家的，不得开标。</w:t>
      </w:r>
    </w:p>
    <w:p>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pPr>
        <w:spacing w:line="360" w:lineRule="auto"/>
        <w:ind w:left="900" w:hanging="900" w:hangingChars="375"/>
        <w:rPr>
          <w:rFonts w:eastAsia="仿宋"/>
          <w:sz w:val="24"/>
        </w:rPr>
      </w:pPr>
      <w:r>
        <w:rPr>
          <w:rFonts w:eastAsia="仿宋"/>
          <w:sz w:val="24"/>
        </w:rPr>
        <w:t xml:space="preserve">18.3   </w:t>
      </w:r>
      <w:r>
        <w:rPr>
          <w:rFonts w:hint="eastAsia" w:eastAsia="仿宋"/>
          <w:sz w:val="24"/>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pPr>
        <w:spacing w:line="360" w:lineRule="auto"/>
        <w:ind w:left="960" w:hanging="960" w:hangingChars="400"/>
        <w:rPr>
          <w:rFonts w:eastAsia="仿宋"/>
          <w:sz w:val="24"/>
          <w:highlight w:val="none"/>
        </w:rPr>
      </w:pPr>
      <w:r>
        <w:rPr>
          <w:rFonts w:eastAsia="仿宋"/>
          <w:sz w:val="24"/>
        </w:rPr>
        <w:t xml:space="preserve">18.4   </w:t>
      </w:r>
      <w:r>
        <w:rPr>
          <w:rFonts w:hint="eastAsia" w:eastAsia="仿宋"/>
          <w:sz w:val="24"/>
        </w:rPr>
        <w:t xml:space="preserve"> </w:t>
      </w:r>
      <w:r>
        <w:rPr>
          <w:rFonts w:hint="eastAsia" w:eastAsia="仿宋"/>
          <w:sz w:val="24"/>
          <w:highlight w:val="none"/>
        </w:rPr>
        <w:t>开标时，投标人应登录新疆政府采购网政采云平台开标大厅签到并在规定的解锁电子投标文件时间内解锁其电子投标文件。</w:t>
      </w:r>
    </w:p>
    <w:p>
      <w:pPr>
        <w:spacing w:line="360" w:lineRule="auto"/>
        <w:ind w:left="900" w:hanging="900" w:hangingChars="375"/>
        <w:rPr>
          <w:rFonts w:eastAsia="仿宋"/>
          <w:sz w:val="24"/>
          <w:highlight w:val="none"/>
        </w:rPr>
      </w:pPr>
      <w:r>
        <w:rPr>
          <w:rFonts w:hint="eastAsia" w:eastAsia="仿宋"/>
          <w:sz w:val="24"/>
        </w:rPr>
        <w:t xml:space="preserve">18.5   </w:t>
      </w:r>
      <w:r>
        <w:rPr>
          <w:rFonts w:hint="eastAsia" w:eastAsia="仿宋"/>
          <w:sz w:val="24"/>
          <w:highlight w:val="none"/>
        </w:rPr>
        <w:t xml:space="preserve"> 采购人或采购代理机构将对开标过程进行记录，由参加开标的各投标人代表和相关工作人员签字确认，并存档备查。</w:t>
      </w:r>
    </w:p>
    <w:p>
      <w:pPr>
        <w:pStyle w:val="23"/>
        <w:spacing w:before="0" w:after="0" w:line="360" w:lineRule="auto"/>
        <w:rPr>
          <w:rFonts w:ascii="Times New Roman" w:eastAsia="仿宋"/>
          <w:u w:val="none"/>
        </w:rPr>
      </w:pPr>
      <w:bookmarkStart w:id="151" w:name="_Toc24484"/>
      <w:bookmarkEnd w:id="151"/>
      <w:bookmarkStart w:id="152" w:name="_Toc34"/>
      <w:bookmarkEnd w:id="152"/>
      <w:bookmarkStart w:id="153" w:name="_Toc2093"/>
      <w:bookmarkEnd w:id="153"/>
      <w:bookmarkStart w:id="154" w:name="_Toc24828"/>
      <w:bookmarkEnd w:id="154"/>
      <w:bookmarkStart w:id="155" w:name="_Toc518923084"/>
      <w:bookmarkEnd w:id="155"/>
      <w:r>
        <w:rPr>
          <w:rFonts w:ascii="Times New Roman" w:eastAsia="仿宋"/>
          <w:u w:val="none"/>
        </w:rPr>
        <w:t>19.资格审查及组建评标委员会</w:t>
      </w:r>
    </w:p>
    <w:p>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eastAsia="仿宋"/>
          <w:b/>
          <w:kern w:val="0"/>
          <w:sz w:val="24"/>
        </w:rPr>
      </w:pPr>
      <w:r>
        <w:rPr>
          <w:rFonts w:hint="eastAsia" w:eastAsia="仿宋"/>
          <w:b/>
          <w:kern w:val="0"/>
          <w:sz w:val="24"/>
        </w:rPr>
        <w:t>本项目资格审查资料表应附在投标文件中：</w:t>
      </w:r>
    </w:p>
    <w:p>
      <w:pPr>
        <w:pStyle w:val="2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pPr>
        <w:pStyle w:val="26"/>
        <w:ind w:firstLine="482"/>
        <w:rPr>
          <w:rFonts w:eastAsia="仿宋"/>
          <w:b/>
          <w:bCs/>
          <w:sz w:val="24"/>
        </w:rPr>
      </w:pPr>
      <w:r>
        <w:rPr>
          <w:rFonts w:hint="eastAsia" w:eastAsia="仿宋"/>
          <w:b/>
          <w:bCs/>
          <w:sz w:val="24"/>
        </w:rPr>
        <w:t>2.  法人身份证明或法人授权委托书（含法人身份证复印件）和被授权人身份有效证件；</w:t>
      </w:r>
    </w:p>
    <w:p>
      <w:pPr>
        <w:pStyle w:val="2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w:t>
      </w:r>
      <w:r>
        <w:rPr>
          <w:rFonts w:hint="eastAsia" w:ascii="仿宋" w:hAnsi="仿宋" w:eastAsia="仿宋"/>
          <w:b/>
          <w:bCs/>
          <w:color w:val="auto"/>
          <w:sz w:val="24"/>
          <w:highlight w:val="none"/>
        </w:rPr>
        <w:t>银行资信证明</w:t>
      </w:r>
      <w:r>
        <w:rPr>
          <w:rFonts w:hint="eastAsia" w:ascii="仿宋" w:hAnsi="仿宋" w:eastAsia="仿宋"/>
          <w:b/>
          <w:bCs/>
          <w:sz w:val="24"/>
        </w:rPr>
        <w:t>）</w:t>
      </w:r>
      <w:r>
        <w:rPr>
          <w:rFonts w:hint="eastAsia" w:eastAsia="仿宋"/>
          <w:b/>
          <w:bCs/>
          <w:sz w:val="24"/>
        </w:rPr>
        <w:t>；</w:t>
      </w:r>
    </w:p>
    <w:p>
      <w:pPr>
        <w:pStyle w:val="2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pPr>
        <w:pStyle w:val="2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pPr>
        <w:pStyle w:val="26"/>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pPr>
        <w:pStyle w:val="26"/>
        <w:ind w:firstLine="482"/>
        <w:rPr>
          <w:rFonts w:eastAsia="仿宋"/>
          <w:b/>
          <w:bCs/>
          <w:sz w:val="24"/>
        </w:rPr>
      </w:pPr>
      <w:r>
        <w:rPr>
          <w:rFonts w:hint="eastAsia" w:eastAsia="仿宋"/>
          <w:b/>
          <w:bCs/>
          <w:sz w:val="24"/>
        </w:rPr>
        <w:t>8.  提供针对本次项目《反商业贿赂承诺书》；</w:t>
      </w:r>
    </w:p>
    <w:p>
      <w:pPr>
        <w:pStyle w:val="26"/>
        <w:ind w:firstLine="482"/>
        <w:rPr>
          <w:rFonts w:hint="eastAsia" w:eastAsia="仿宋"/>
          <w:b/>
          <w:bCs/>
          <w:sz w:val="24"/>
        </w:rPr>
      </w:pPr>
      <w:r>
        <w:rPr>
          <w:rFonts w:hint="eastAsia" w:eastAsia="仿宋"/>
          <w:b/>
          <w:bCs/>
          <w:sz w:val="24"/>
        </w:rPr>
        <w:t>9.  缴纳投标保证金有效凭证；</w:t>
      </w:r>
    </w:p>
    <w:p>
      <w:pPr>
        <w:pStyle w:val="26"/>
        <w:ind w:firstLine="482"/>
        <w:rPr>
          <w:rFonts w:eastAsia="仿宋"/>
          <w:b/>
          <w:bCs/>
          <w:sz w:val="24"/>
        </w:rPr>
      </w:pPr>
      <w:r>
        <w:rPr>
          <w:rFonts w:hint="eastAsia" w:eastAsia="仿宋"/>
          <w:b/>
          <w:bCs/>
          <w:sz w:val="24"/>
          <w:lang w:val="en-US" w:eastAsia="zh-CN"/>
        </w:rPr>
        <w:t>10</w:t>
      </w:r>
      <w:r>
        <w:rPr>
          <w:rFonts w:hint="eastAsia" w:eastAsia="仿宋"/>
          <w:b/>
          <w:bCs/>
          <w:sz w:val="24"/>
        </w:rPr>
        <w:t>.  本项目不接受联合体投标。</w:t>
      </w:r>
    </w:p>
    <w:p>
      <w:pPr>
        <w:pStyle w:val="26"/>
        <w:ind w:firstLine="0" w:firstLineChars="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w:t>
      </w:r>
      <w:r>
        <w:rPr>
          <w:rFonts w:hint="eastAsia" w:eastAsia="仿宋"/>
          <w:color w:val="auto"/>
          <w:sz w:val="24"/>
        </w:rPr>
        <w:t>”非养老保险</w:t>
      </w:r>
      <w:r>
        <w:rPr>
          <w:rFonts w:hint="eastAsia" w:eastAsia="仿宋"/>
          <w:sz w:val="24"/>
        </w:rPr>
        <w:t>、医疗保险、失业保险、工伤保险和生育保险。请各投标人注意！</w:t>
      </w:r>
    </w:p>
    <w:p>
      <w:pPr>
        <w:pStyle w:val="26"/>
        <w:ind w:firstLine="482"/>
        <w:rPr>
          <w:rFonts w:eastAsia="仿宋"/>
          <w:b/>
          <w:bCs/>
          <w:sz w:val="24"/>
        </w:rPr>
      </w:pPr>
      <w:r>
        <w:rPr>
          <w:rFonts w:hint="eastAsia" w:eastAsia="仿宋"/>
          <w:b/>
          <w:bCs/>
          <w:sz w:val="24"/>
        </w:rPr>
        <w:t>提示：</w:t>
      </w:r>
      <w:r>
        <w:rPr>
          <w:rFonts w:hint="eastAsia" w:eastAsia="仿宋"/>
          <w:sz w:val="24"/>
        </w:rPr>
        <w:t>上述提供的资质开标现场能够通过官方网络查证的，均视为合格供应商。</w:t>
      </w:r>
    </w:p>
    <w:p>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w:t>
      </w:r>
      <w:r>
        <w:rPr>
          <w:rFonts w:eastAsia="仿宋"/>
          <w:b/>
          <w:bCs/>
          <w:sz w:val="24"/>
        </w:rPr>
        <w:t>投标无效</w:t>
      </w:r>
      <w:r>
        <w:rPr>
          <w:rFonts w:eastAsia="仿宋"/>
          <w:sz w:val="24"/>
        </w:rPr>
        <w:t>。</w:t>
      </w:r>
    </w:p>
    <w:p>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pPr>
        <w:pStyle w:val="22"/>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pPr>
        <w:pStyle w:val="22"/>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pPr>
        <w:pStyle w:val="22"/>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pPr>
        <w:spacing w:line="360" w:lineRule="exact"/>
        <w:ind w:left="850" w:hanging="849" w:hangingChars="354"/>
        <w:rPr>
          <w:rFonts w:eastAsia="仿宋"/>
          <w:sz w:val="24"/>
        </w:rPr>
      </w:pPr>
      <w:r>
        <w:rPr>
          <w:rFonts w:eastAsia="仿宋"/>
          <w:sz w:val="24"/>
        </w:rPr>
        <w:t>19.3   按照《中华人民共和国政府采购法》、《中华人民共和国政府采购法实施条例》及本项目本级和上级财政部门的有关规定依法组建的评标委员会，负责本项目评标工作。</w:t>
      </w:r>
    </w:p>
    <w:p>
      <w:pPr>
        <w:pStyle w:val="22"/>
        <w:spacing w:line="360" w:lineRule="auto"/>
        <w:ind w:left="850" w:leftChars="405" w:firstLine="0"/>
        <w:jc w:val="both"/>
        <w:rPr>
          <w:rFonts w:eastAsia="仿宋"/>
          <w:color w:val="auto"/>
          <w:sz w:val="24"/>
          <w:highlight w:val="none"/>
        </w:rPr>
      </w:pPr>
      <w:r>
        <w:rPr>
          <w:rFonts w:eastAsia="仿宋"/>
          <w:b/>
          <w:bCs/>
          <w:i/>
          <w:iCs/>
          <w:color w:val="000000"/>
          <w:sz w:val="24"/>
          <w:u w:val="single"/>
        </w:rPr>
        <w:t>本项目评标委员会成员</w:t>
      </w:r>
      <w:r>
        <w:rPr>
          <w:rFonts w:hint="eastAsia" w:eastAsia="仿宋"/>
          <w:b/>
          <w:bCs/>
          <w:i/>
          <w:iCs/>
          <w:color w:val="000000"/>
          <w:sz w:val="24"/>
          <w:u w:val="single"/>
          <w:lang w:val="en-US" w:eastAsia="zh-CN"/>
        </w:rPr>
        <w:t>5</w:t>
      </w:r>
      <w:r>
        <w:rPr>
          <w:rFonts w:eastAsia="仿宋"/>
          <w:b/>
          <w:bCs/>
          <w:i/>
          <w:iCs/>
          <w:color w:val="000000"/>
          <w:sz w:val="24"/>
          <w:u w:val="single"/>
        </w:rPr>
        <w:t>名</w:t>
      </w:r>
      <w:r>
        <w:rPr>
          <w:rFonts w:hint="eastAsia" w:ascii="Times New Roman" w:hAnsi="Times New Roman" w:eastAsia="仿宋" w:cs="Times New Roman"/>
          <w:b/>
          <w:bCs/>
          <w:color w:val="auto"/>
          <w:highlight w:val="none"/>
          <w:lang w:eastAsia="zh-CN"/>
        </w:rPr>
        <w:t>（其中</w:t>
      </w:r>
      <w:r>
        <w:rPr>
          <w:rFonts w:hint="eastAsia" w:ascii="Times New Roman" w:hAnsi="Times New Roman" w:eastAsia="仿宋" w:cs="Times New Roman"/>
          <w:b/>
          <w:bCs/>
          <w:color w:val="auto"/>
          <w:highlight w:val="none"/>
          <w:lang w:val="en-US" w:eastAsia="zh-CN"/>
        </w:rPr>
        <w:t>采购</w:t>
      </w:r>
      <w:r>
        <w:rPr>
          <w:rFonts w:hint="eastAsia" w:ascii="Times New Roman" w:hAnsi="Times New Roman" w:eastAsia="仿宋" w:cs="Times New Roman"/>
          <w:b/>
          <w:bCs/>
          <w:color w:val="auto"/>
          <w:highlight w:val="none"/>
          <w:lang w:eastAsia="zh-CN"/>
        </w:rPr>
        <w:t xml:space="preserve">人代表 </w:t>
      </w:r>
      <w:r>
        <w:rPr>
          <w:rFonts w:hint="eastAsia" w:ascii="Times New Roman" w:hAnsi="Times New Roman"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eastAsia="zh-CN"/>
        </w:rPr>
        <w:t>人，政采云平台随机抽取专家</w:t>
      </w:r>
      <w:r>
        <w:rPr>
          <w:rFonts w:hint="eastAsia" w:ascii="Times New Roman" w:hAnsi="Times New Roman" w:eastAsia="仿宋" w:cs="Times New Roman"/>
          <w:b/>
          <w:bCs/>
          <w:color w:val="auto"/>
          <w:highlight w:val="none"/>
          <w:lang w:val="en-US" w:eastAsia="zh-CN"/>
        </w:rPr>
        <w:t>4</w:t>
      </w:r>
      <w:r>
        <w:rPr>
          <w:rFonts w:hint="eastAsia" w:ascii="Times New Roman" w:hAnsi="Times New Roman" w:eastAsia="仿宋" w:cs="Times New Roman"/>
          <w:b/>
          <w:bCs/>
          <w:color w:val="auto"/>
          <w:highlight w:val="none"/>
          <w:lang w:eastAsia="zh-CN"/>
        </w:rPr>
        <w:t>人）</w:t>
      </w:r>
    </w:p>
    <w:p>
      <w:pPr>
        <w:pStyle w:val="23"/>
        <w:spacing w:before="0" w:after="0" w:line="360" w:lineRule="auto"/>
        <w:rPr>
          <w:rFonts w:ascii="Times New Roman" w:eastAsia="仿宋"/>
          <w:u w:val="none"/>
        </w:rPr>
      </w:pPr>
      <w:bookmarkStart w:id="156" w:name="_Toc6842"/>
      <w:bookmarkEnd w:id="156"/>
      <w:bookmarkStart w:id="157" w:name="_Toc518923085"/>
      <w:bookmarkEnd w:id="157"/>
      <w:bookmarkStart w:id="158" w:name="_Toc22894"/>
      <w:bookmarkEnd w:id="158"/>
      <w:bookmarkStart w:id="159" w:name="_Toc23348"/>
      <w:bookmarkEnd w:id="159"/>
      <w:bookmarkStart w:id="160" w:name="_Toc28541"/>
      <w:bookmarkEnd w:id="160"/>
      <w:r>
        <w:rPr>
          <w:rFonts w:ascii="Times New Roman" w:eastAsia="仿宋"/>
          <w:u w:val="none"/>
        </w:rPr>
        <w:t>20.投标文件的符合性审查与澄清</w:t>
      </w:r>
    </w:p>
    <w:p>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eastAsia="仿宋"/>
          <w:sz w:val="24"/>
        </w:rPr>
      </w:pPr>
      <w:r>
        <w:rPr>
          <w:rFonts w:eastAsia="仿宋"/>
          <w:sz w:val="24"/>
        </w:rPr>
        <w:t>20.2.2  投标人的澄清、说明或补正将作为投标文件的一部分。</w:t>
      </w:r>
    </w:p>
    <w:p>
      <w:pPr>
        <w:spacing w:line="360" w:lineRule="auto"/>
        <w:ind w:left="900" w:hanging="900" w:hangingChars="375"/>
        <w:rPr>
          <w:rFonts w:eastAsia="仿宋"/>
          <w:sz w:val="24"/>
        </w:rPr>
      </w:pPr>
      <w:r>
        <w:rPr>
          <w:rFonts w:eastAsia="仿宋"/>
          <w:sz w:val="24"/>
        </w:rPr>
        <w:t>20.3   投标文件报价出现前后不一致的，按照下列规定修正：</w:t>
      </w:r>
    </w:p>
    <w:p>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pPr>
        <w:spacing w:line="360" w:lineRule="auto"/>
        <w:ind w:left="900" w:hanging="900" w:hangingChars="375"/>
        <w:rPr>
          <w:rFonts w:eastAsia="仿宋"/>
          <w:sz w:val="24"/>
        </w:rPr>
      </w:pPr>
      <w:r>
        <w:rPr>
          <w:rFonts w:eastAsia="仿宋"/>
          <w:sz w:val="24"/>
        </w:rPr>
        <w:t>（二）大写金额和小写金额不一致的，以大写金额为准；</w:t>
      </w:r>
    </w:p>
    <w:p>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pPr>
        <w:spacing w:line="360" w:lineRule="auto"/>
        <w:ind w:left="900" w:hanging="900" w:hangingChars="375"/>
        <w:rPr>
          <w:rFonts w:eastAsia="仿宋"/>
          <w:sz w:val="24"/>
        </w:rPr>
      </w:pPr>
      <w:r>
        <w:rPr>
          <w:rFonts w:eastAsia="仿宋"/>
          <w:sz w:val="24"/>
        </w:rPr>
        <w:t>（四）总价金额与按单价汇总金额不一致的，以单价金额计算结果为准。</w:t>
      </w:r>
    </w:p>
    <w:p>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w:t>
      </w:r>
      <w:r>
        <w:rPr>
          <w:rFonts w:hint="eastAsia" w:eastAsia="仿宋"/>
          <w:b/>
          <w:bCs/>
          <w:sz w:val="24"/>
        </w:rPr>
        <w:t>投标无效</w:t>
      </w:r>
      <w:r>
        <w:rPr>
          <w:rFonts w:hint="eastAsia" w:eastAsia="仿宋"/>
          <w:sz w:val="24"/>
        </w:rPr>
        <w:t>。</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w:t>
      </w:r>
      <w:r>
        <w:rPr>
          <w:rFonts w:hint="eastAsia" w:eastAsia="仿宋"/>
          <w:b/>
          <w:bCs/>
          <w:sz w:val="24"/>
        </w:rPr>
        <w:t>提供相同品牌产品且通过资格审查、符合性审查的不同投标人，按一家投标人计算，评审后得分最高的同品牌投标人获得中标人推荐资格</w:t>
      </w:r>
      <w:r>
        <w:rPr>
          <w:rFonts w:hint="eastAsia" w:eastAsia="仿宋"/>
          <w:sz w:val="24"/>
        </w:rPr>
        <w:t>；评审得分相同的，由采购人或者采购人委托评标委员会按照招标文件中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pPr>
        <w:spacing w:line="360" w:lineRule="auto"/>
        <w:ind w:left="900" w:hanging="900" w:hangingChars="375"/>
        <w:rPr>
          <w:rFonts w:eastAsia="仿宋"/>
          <w:color w:val="auto"/>
          <w:sz w:val="24"/>
          <w:highlight w:val="none"/>
        </w:rPr>
      </w:pPr>
      <w:r>
        <w:rPr>
          <w:rFonts w:hint="eastAsia" w:eastAsia="仿宋"/>
          <w:sz w:val="24"/>
        </w:rPr>
        <w:t>20.</w:t>
      </w:r>
      <w:r>
        <w:rPr>
          <w:rFonts w:eastAsia="仿宋"/>
          <w:sz w:val="24"/>
        </w:rPr>
        <w:t xml:space="preserve">6  </w:t>
      </w:r>
      <w:r>
        <w:rPr>
          <w:rFonts w:eastAsia="仿宋"/>
          <w:color w:val="auto"/>
          <w:sz w:val="24"/>
        </w:rPr>
        <w:t xml:space="preserve"> </w:t>
      </w:r>
      <w:r>
        <w:rPr>
          <w:rFonts w:hint="eastAsia" w:eastAsia="仿宋"/>
          <w:color w:val="auto"/>
          <w:sz w:val="24"/>
        </w:rPr>
        <w:t>投标人所投产品如被列入财政部与国家主管部门颁发的节能产品目录或环境标志产品目录，应提供相关证明，在评标时予以优先采</w:t>
      </w:r>
      <w:r>
        <w:rPr>
          <w:rFonts w:hint="eastAsia" w:eastAsia="仿宋"/>
          <w:color w:val="auto"/>
          <w:sz w:val="24"/>
          <w:highlight w:val="none"/>
        </w:rPr>
        <w:t>购，具体优先采购办法见第六章评标方法和标准。</w:t>
      </w:r>
    </w:p>
    <w:p>
      <w:pPr>
        <w:spacing w:line="360" w:lineRule="auto"/>
        <w:ind w:left="958" w:leftChars="456" w:firstLine="60" w:firstLineChars="25"/>
        <w:rPr>
          <w:rFonts w:eastAsia="仿宋"/>
          <w:color w:val="auto"/>
          <w:sz w:val="24"/>
        </w:rPr>
      </w:pPr>
      <w:r>
        <w:rPr>
          <w:rFonts w:hint="eastAsia" w:eastAsia="仿宋"/>
          <w:color w:val="auto"/>
          <w:sz w:val="24"/>
          <w:highlight w:val="none"/>
        </w:rPr>
        <w:t>如采购人所采购产品为政府强制采购的节能产品，投标人所投产品的品牌及型号必须为清单中有效</w:t>
      </w:r>
      <w:r>
        <w:rPr>
          <w:rFonts w:hint="eastAsia" w:eastAsia="仿宋"/>
          <w:color w:val="auto"/>
          <w:sz w:val="24"/>
        </w:rPr>
        <w:t>期内产品并提供证明文件，否则其投标将被认定为</w:t>
      </w:r>
      <w:r>
        <w:rPr>
          <w:rFonts w:hint="eastAsia" w:eastAsia="仿宋"/>
          <w:b/>
          <w:bCs/>
          <w:color w:val="auto"/>
          <w:sz w:val="24"/>
        </w:rPr>
        <w:t>投标无效。</w:t>
      </w:r>
    </w:p>
    <w:p>
      <w:pPr>
        <w:pStyle w:val="23"/>
        <w:spacing w:before="0" w:after="0" w:line="360" w:lineRule="auto"/>
        <w:rPr>
          <w:rFonts w:ascii="Times New Roman" w:eastAsia="仿宋"/>
          <w:u w:val="none"/>
        </w:rPr>
      </w:pPr>
      <w:bookmarkStart w:id="162" w:name="_Toc19998"/>
      <w:bookmarkEnd w:id="162"/>
      <w:bookmarkStart w:id="163" w:name="_Toc29689"/>
      <w:bookmarkEnd w:id="163"/>
      <w:bookmarkStart w:id="164" w:name="_Toc518923086"/>
      <w:bookmarkEnd w:id="164"/>
      <w:bookmarkStart w:id="165" w:name="_Toc18231"/>
      <w:bookmarkEnd w:id="165"/>
      <w:bookmarkStart w:id="166" w:name="_Toc8603"/>
      <w:bookmarkEnd w:id="166"/>
      <w:r>
        <w:rPr>
          <w:rFonts w:ascii="Times New Roman" w:eastAsia="仿宋"/>
          <w:u w:val="none"/>
        </w:rPr>
        <w:t>21.投标偏离</w:t>
      </w:r>
    </w:p>
    <w:p>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pPr>
        <w:pStyle w:val="23"/>
        <w:spacing w:before="0" w:after="0" w:line="360" w:lineRule="auto"/>
        <w:rPr>
          <w:rFonts w:ascii="Times New Roman" w:eastAsia="仿宋"/>
          <w:u w:val="none"/>
        </w:rPr>
      </w:pPr>
      <w:bookmarkStart w:id="167" w:name="_Toc25255"/>
      <w:bookmarkEnd w:id="167"/>
      <w:bookmarkStart w:id="168" w:name="_Toc16356"/>
      <w:bookmarkEnd w:id="168"/>
      <w:bookmarkStart w:id="169" w:name="_Toc31259"/>
      <w:bookmarkEnd w:id="169"/>
      <w:bookmarkStart w:id="170" w:name="_Toc518923087"/>
      <w:bookmarkEnd w:id="170"/>
      <w:bookmarkStart w:id="171" w:name="_Toc31087"/>
      <w:bookmarkEnd w:id="171"/>
      <w:r>
        <w:rPr>
          <w:rFonts w:ascii="Times New Roman" w:eastAsia="仿宋"/>
          <w:u w:val="none"/>
        </w:rPr>
        <w:t>22.投标无效</w:t>
      </w:r>
    </w:p>
    <w:p>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pPr>
        <w:numPr>
          <w:ilvl w:val="0"/>
          <w:numId w:val="4"/>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pPr>
        <w:numPr>
          <w:ilvl w:val="0"/>
          <w:numId w:val="4"/>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pPr>
        <w:numPr>
          <w:ilvl w:val="0"/>
          <w:numId w:val="4"/>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pPr>
        <w:numPr>
          <w:ilvl w:val="0"/>
          <w:numId w:val="4"/>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pPr>
        <w:numPr>
          <w:ilvl w:val="0"/>
          <w:numId w:val="4"/>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pPr>
        <w:numPr>
          <w:ilvl w:val="0"/>
          <w:numId w:val="4"/>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pPr>
        <w:numPr>
          <w:ilvl w:val="0"/>
          <w:numId w:val="4"/>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pPr>
        <w:numPr>
          <w:ilvl w:val="0"/>
          <w:numId w:val="4"/>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pPr>
        <w:pStyle w:val="2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pPr>
        <w:pStyle w:val="2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本项目采用招标方式：公开招标</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评分方法：综合评分法。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本项目采用政采云线上电子招投标及评标。</w:t>
      </w:r>
    </w:p>
    <w:p>
      <w:pPr>
        <w:spacing w:line="360" w:lineRule="auto"/>
        <w:ind w:left="720" w:hanging="720" w:hangingChars="300"/>
        <w:rPr>
          <w:rFonts w:eastAsia="仿宋"/>
          <w:sz w:val="24"/>
          <w:highlight w:val="none"/>
          <w:shd w:val="clear"/>
        </w:rPr>
      </w:pPr>
      <w:bookmarkStart w:id="174" w:name="_Toc46"/>
      <w:bookmarkEnd w:id="174"/>
      <w:bookmarkStart w:id="175" w:name="_Toc15234"/>
      <w:bookmarkEnd w:id="175"/>
      <w:bookmarkStart w:id="176" w:name="sendNo"/>
      <w:bookmarkEnd w:id="176"/>
      <w:r>
        <w:rPr>
          <w:rFonts w:eastAsia="仿宋"/>
          <w:sz w:val="24"/>
        </w:rPr>
        <w:t>23.3</w:t>
      </w:r>
      <w:r>
        <w:rPr>
          <w:rFonts w:eastAsia="仿宋"/>
          <w:sz w:val="24"/>
          <w:highlight w:val="none"/>
          <w:shd w:val="clear"/>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23"/>
        <w:spacing w:before="0" w:after="0" w:line="360" w:lineRule="auto"/>
        <w:rPr>
          <w:rFonts w:ascii="Times New Roman" w:eastAsia="仿宋"/>
          <w:u w:val="none"/>
        </w:rPr>
      </w:pPr>
      <w:bookmarkStart w:id="177" w:name="_Toc520356168"/>
      <w:bookmarkEnd w:id="177"/>
      <w:bookmarkStart w:id="178" w:name="_Toc21639"/>
      <w:bookmarkEnd w:id="178"/>
      <w:bookmarkStart w:id="179" w:name="_Toc518923089"/>
      <w:bookmarkEnd w:id="179"/>
      <w:bookmarkStart w:id="180" w:name="_Toc21286"/>
      <w:bookmarkEnd w:id="180"/>
      <w:bookmarkStart w:id="181" w:name="_Toc5823"/>
      <w:bookmarkEnd w:id="181"/>
      <w:bookmarkStart w:id="182" w:name="_Toc24032"/>
      <w:bookmarkEnd w:id="182"/>
      <w:r>
        <w:rPr>
          <w:rFonts w:ascii="Times New Roman" w:eastAsia="仿宋"/>
          <w:u w:val="none"/>
        </w:rPr>
        <w:t>24.废标</w:t>
      </w:r>
    </w:p>
    <w:p>
      <w:pPr>
        <w:spacing w:line="360" w:lineRule="auto"/>
        <w:ind w:left="898" w:leftChars="399" w:hanging="60" w:hangingChars="25"/>
        <w:rPr>
          <w:rFonts w:eastAsia="仿宋"/>
          <w:sz w:val="24"/>
        </w:rPr>
      </w:pPr>
      <w:r>
        <w:rPr>
          <w:rFonts w:eastAsia="仿宋"/>
          <w:sz w:val="24"/>
        </w:rPr>
        <w:t>出现下列情形之一，将导致项目</w:t>
      </w:r>
      <w:r>
        <w:rPr>
          <w:rFonts w:eastAsia="仿宋"/>
          <w:b/>
          <w:bCs/>
          <w:sz w:val="24"/>
        </w:rPr>
        <w:t>废标</w:t>
      </w:r>
      <w:r>
        <w:rPr>
          <w:rFonts w:eastAsia="仿宋"/>
          <w:sz w:val="24"/>
        </w:rPr>
        <w:t>：</w:t>
      </w:r>
    </w:p>
    <w:p>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pPr>
        <w:spacing w:line="360" w:lineRule="auto"/>
        <w:ind w:firstLine="720" w:firstLineChars="300"/>
        <w:rPr>
          <w:rFonts w:eastAsia="仿宋"/>
          <w:sz w:val="24"/>
        </w:rPr>
      </w:pPr>
      <w:r>
        <w:rPr>
          <w:rFonts w:eastAsia="仿宋"/>
          <w:sz w:val="24"/>
        </w:rPr>
        <w:t>（2）出现影响采购公正的违法、违规行为的；</w:t>
      </w:r>
    </w:p>
    <w:p>
      <w:pPr>
        <w:spacing w:line="360" w:lineRule="auto"/>
        <w:ind w:firstLine="720" w:firstLineChars="300"/>
        <w:rPr>
          <w:rFonts w:eastAsia="仿宋"/>
          <w:sz w:val="24"/>
        </w:rPr>
      </w:pPr>
      <w:r>
        <w:rPr>
          <w:rFonts w:eastAsia="仿宋"/>
          <w:sz w:val="24"/>
        </w:rPr>
        <w:t>（3）投标人的报价均超过了采购预算，采购人不能支付的；</w:t>
      </w:r>
    </w:p>
    <w:p>
      <w:pPr>
        <w:spacing w:line="360" w:lineRule="auto"/>
        <w:ind w:firstLine="720" w:firstLineChars="300"/>
        <w:rPr>
          <w:rFonts w:eastAsia="仿宋"/>
          <w:sz w:val="24"/>
        </w:rPr>
      </w:pPr>
      <w:r>
        <w:rPr>
          <w:rFonts w:eastAsia="仿宋"/>
          <w:sz w:val="24"/>
        </w:rPr>
        <w:t>（4）因重大变故，采购任务取消的。</w:t>
      </w:r>
    </w:p>
    <w:p>
      <w:pPr>
        <w:pStyle w:val="23"/>
        <w:spacing w:before="0" w:after="0" w:line="360" w:lineRule="auto"/>
        <w:rPr>
          <w:rFonts w:ascii="Times New Roman" w:eastAsia="仿宋"/>
          <w:u w:val="none"/>
        </w:rPr>
      </w:pPr>
      <w:bookmarkStart w:id="183" w:name="_Toc518923090"/>
      <w:bookmarkEnd w:id="183"/>
      <w:bookmarkStart w:id="184" w:name="_Toc23660"/>
      <w:bookmarkEnd w:id="184"/>
      <w:bookmarkStart w:id="185" w:name="_Toc32068"/>
      <w:bookmarkEnd w:id="185"/>
      <w:bookmarkStart w:id="186" w:name="_Toc9809"/>
      <w:bookmarkEnd w:id="186"/>
      <w:bookmarkStart w:id="187" w:name="_Toc10697"/>
      <w:bookmarkEnd w:id="187"/>
      <w:r>
        <w:rPr>
          <w:rFonts w:ascii="Times New Roman" w:eastAsia="仿宋"/>
          <w:u w:val="none"/>
        </w:rPr>
        <w:t>25.保密原则</w:t>
      </w:r>
    </w:p>
    <w:p>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pPr>
        <w:spacing w:line="360" w:lineRule="auto"/>
        <w:ind w:left="1080" w:leftChars="257" w:hanging="540"/>
        <w:rPr>
          <w:rFonts w:eastAsia="仿宋"/>
          <w:sz w:val="24"/>
        </w:rPr>
      </w:pPr>
    </w:p>
    <w:p>
      <w:pPr>
        <w:pStyle w:val="21"/>
        <w:spacing w:before="0" w:line="360" w:lineRule="auto"/>
        <w:rPr>
          <w:rFonts w:eastAsia="仿宋"/>
          <w:sz w:val="24"/>
        </w:rPr>
      </w:pPr>
      <w:bookmarkStart w:id="188" w:name="_Toc518923091"/>
      <w:bookmarkEnd w:id="188"/>
      <w:bookmarkStart w:id="189" w:name="_Toc30573"/>
      <w:bookmarkEnd w:id="189"/>
      <w:bookmarkStart w:id="190" w:name="_Toc905"/>
      <w:bookmarkEnd w:id="190"/>
      <w:bookmarkStart w:id="191" w:name="_Toc15684"/>
      <w:bookmarkEnd w:id="191"/>
      <w:bookmarkStart w:id="192" w:name="_Toc10964"/>
      <w:bookmarkEnd w:id="192"/>
      <w:bookmarkStart w:id="193" w:name="_Toc216582810"/>
      <w:bookmarkEnd w:id="193"/>
      <w:r>
        <w:rPr>
          <w:rFonts w:eastAsia="仿宋"/>
          <w:sz w:val="24"/>
        </w:rPr>
        <w:t>六</w:t>
      </w:r>
      <w:r>
        <w:rPr>
          <w:rFonts w:hint="eastAsia" w:eastAsia="仿宋"/>
          <w:sz w:val="24"/>
        </w:rPr>
        <w:t>、</w:t>
      </w:r>
      <w:r>
        <w:rPr>
          <w:rFonts w:eastAsia="仿宋"/>
          <w:sz w:val="24"/>
        </w:rPr>
        <w:t>确定中标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94" w:name="_Toc518923092"/>
      <w:bookmarkEnd w:id="194"/>
      <w:bookmarkStart w:id="195" w:name="_Toc32578"/>
      <w:bookmarkEnd w:id="195"/>
      <w:bookmarkStart w:id="196" w:name="_Ref467307010"/>
      <w:bookmarkEnd w:id="196"/>
      <w:bookmarkStart w:id="197" w:name="_Toc5793"/>
      <w:bookmarkEnd w:id="197"/>
      <w:bookmarkStart w:id="198" w:name="_Toc30436"/>
      <w:bookmarkEnd w:id="198"/>
      <w:bookmarkStart w:id="199" w:name="_Toc520356170"/>
      <w:bookmarkEnd w:id="199"/>
      <w:bookmarkStart w:id="200" w:name="_Toc11388"/>
      <w:bookmarkEnd w:id="200"/>
      <w:r>
        <w:rPr>
          <w:rFonts w:ascii="Times New Roman" w:eastAsia="仿宋"/>
          <w:u w:val="none"/>
        </w:rPr>
        <w:t>26.中标候选人的确定原则及标准</w:t>
      </w:r>
    </w:p>
    <w:p>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pPr>
        <w:pStyle w:val="23"/>
        <w:spacing w:before="0" w:after="0" w:line="360" w:lineRule="auto"/>
        <w:rPr>
          <w:rFonts w:ascii="Times New Roman" w:eastAsia="仿宋"/>
          <w:u w:val="none"/>
        </w:rPr>
      </w:pPr>
      <w:bookmarkStart w:id="201" w:name="_Toc30599"/>
      <w:bookmarkEnd w:id="201"/>
      <w:bookmarkStart w:id="202" w:name="_Toc3646"/>
      <w:bookmarkEnd w:id="202"/>
      <w:bookmarkStart w:id="203" w:name="_Toc10555"/>
      <w:bookmarkEnd w:id="203"/>
      <w:bookmarkStart w:id="204" w:name="_Toc520356171"/>
      <w:bookmarkEnd w:id="204"/>
      <w:bookmarkStart w:id="205" w:name="_Toc518923093"/>
      <w:bookmarkEnd w:id="205"/>
      <w:bookmarkStart w:id="206" w:name="_Toc32655"/>
      <w:bookmarkEnd w:id="206"/>
      <w:r>
        <w:rPr>
          <w:rFonts w:ascii="Times New Roman" w:eastAsia="仿宋"/>
          <w:u w:val="none"/>
        </w:rPr>
        <w:t>27.确定中标候选人和中标人</w:t>
      </w:r>
    </w:p>
    <w:p>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pPr>
        <w:pStyle w:val="23"/>
        <w:tabs>
          <w:tab w:val="left" w:pos="900"/>
        </w:tabs>
        <w:spacing w:before="0" w:after="0" w:line="360" w:lineRule="auto"/>
        <w:rPr>
          <w:rFonts w:ascii="Times New Roman" w:eastAsia="仿宋"/>
          <w:u w:val="none"/>
        </w:rPr>
      </w:pPr>
      <w:bookmarkStart w:id="207" w:name="_Toc518923094"/>
      <w:bookmarkEnd w:id="207"/>
      <w:bookmarkStart w:id="208" w:name="_Toc19263"/>
      <w:bookmarkEnd w:id="208"/>
      <w:bookmarkStart w:id="209" w:name="_Toc1426"/>
      <w:bookmarkEnd w:id="209"/>
      <w:bookmarkStart w:id="210" w:name="_Toc17138"/>
      <w:bookmarkEnd w:id="210"/>
      <w:bookmarkStart w:id="211" w:name="_Toc31903"/>
      <w:bookmarkEnd w:id="211"/>
      <w:bookmarkStart w:id="212" w:name="_Ref467306874"/>
      <w:bookmarkEnd w:id="212"/>
      <w:bookmarkStart w:id="213" w:name="_Toc520356173"/>
      <w:bookmarkEnd w:id="213"/>
      <w:r>
        <w:rPr>
          <w:rFonts w:ascii="Times New Roman" w:eastAsia="仿宋"/>
          <w:u w:val="none"/>
        </w:rPr>
        <w:t>28.采购任务取消</w:t>
      </w:r>
    </w:p>
    <w:p>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pPr>
        <w:pStyle w:val="23"/>
        <w:spacing w:before="0" w:after="0" w:line="360" w:lineRule="auto"/>
        <w:rPr>
          <w:rFonts w:ascii="Times New Roman" w:eastAsia="仿宋"/>
          <w:u w:val="none"/>
        </w:rPr>
      </w:pPr>
      <w:bookmarkStart w:id="214" w:name="_Toc518923095"/>
      <w:bookmarkEnd w:id="214"/>
      <w:bookmarkStart w:id="215" w:name="_Toc29889"/>
      <w:bookmarkEnd w:id="215"/>
      <w:bookmarkStart w:id="216" w:name="_Toc18072"/>
      <w:bookmarkEnd w:id="216"/>
      <w:bookmarkStart w:id="217" w:name="_Toc14874"/>
      <w:bookmarkEnd w:id="217"/>
      <w:bookmarkStart w:id="218" w:name="_Toc32362"/>
      <w:bookmarkEnd w:id="218"/>
      <w:r>
        <w:rPr>
          <w:rFonts w:ascii="Times New Roman" w:eastAsia="仿宋"/>
          <w:u w:val="none"/>
        </w:rPr>
        <w:t>29.中标通知书和招标结果通知书</w:t>
      </w:r>
    </w:p>
    <w:p>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pPr>
        <w:spacing w:line="360" w:lineRule="auto"/>
        <w:ind w:left="900" w:hanging="900" w:hangingChars="375"/>
        <w:rPr>
          <w:rFonts w:eastAsia="仿宋"/>
          <w:sz w:val="24"/>
        </w:rPr>
      </w:pPr>
      <w:r>
        <w:rPr>
          <w:rFonts w:eastAsia="仿宋"/>
          <w:sz w:val="24"/>
        </w:rPr>
        <w:t xml:space="preserve">29.3  </w:t>
      </w:r>
      <w:r>
        <w:rPr>
          <w:rFonts w:hint="eastAsia" w:eastAsia="仿宋"/>
          <w:sz w:val="24"/>
          <w:lang w:val="en-US" w:eastAsia="zh-CN"/>
        </w:rPr>
        <w:t xml:space="preserve">  </w:t>
      </w:r>
      <w:r>
        <w:rPr>
          <w:rFonts w:eastAsia="仿宋"/>
          <w:sz w:val="24"/>
        </w:rPr>
        <w:t>招标结果通知书和中标通知书同时发出。招标结果通知书中将告知未通过资格审查的投标人未通过的原因；采用综合评分法评审的，还将告知未中标人本人的评审得分和排序。</w:t>
      </w:r>
    </w:p>
    <w:p>
      <w:pPr>
        <w:pStyle w:val="23"/>
        <w:spacing w:before="0" w:after="0" w:line="360" w:lineRule="auto"/>
        <w:rPr>
          <w:rFonts w:ascii="Times New Roman" w:eastAsia="仿宋"/>
          <w:u w:val="none"/>
        </w:rPr>
      </w:pPr>
      <w:bookmarkStart w:id="219" w:name="_Toc520356175"/>
      <w:bookmarkEnd w:id="219"/>
      <w:bookmarkStart w:id="220" w:name="_Toc13825"/>
      <w:bookmarkEnd w:id="220"/>
      <w:bookmarkStart w:id="221" w:name="_Toc16952"/>
      <w:bookmarkEnd w:id="221"/>
      <w:bookmarkStart w:id="222" w:name="_Toc518923096"/>
      <w:bookmarkEnd w:id="222"/>
      <w:bookmarkStart w:id="223" w:name="_Ref467307204"/>
      <w:bookmarkEnd w:id="223"/>
      <w:bookmarkStart w:id="224" w:name="_Ref467306978"/>
      <w:bookmarkEnd w:id="224"/>
      <w:bookmarkStart w:id="225" w:name="_Toc10798"/>
      <w:bookmarkEnd w:id="225"/>
      <w:bookmarkStart w:id="226" w:name="_Ref467307062"/>
      <w:bookmarkEnd w:id="226"/>
      <w:bookmarkStart w:id="227" w:name="_Ref467306377"/>
      <w:bookmarkEnd w:id="227"/>
      <w:bookmarkStart w:id="228" w:name="_Toc169"/>
      <w:bookmarkEnd w:id="228"/>
      <w:r>
        <w:rPr>
          <w:rFonts w:ascii="Times New Roman" w:eastAsia="仿宋"/>
          <w:u w:val="none"/>
        </w:rPr>
        <w:t>30.签订合同</w:t>
      </w:r>
    </w:p>
    <w:p>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pPr>
        <w:spacing w:line="360" w:lineRule="auto"/>
        <w:ind w:left="900" w:hanging="900" w:hangingChars="375"/>
        <w:rPr>
          <w:rFonts w:eastAsia="仿宋"/>
          <w:sz w:val="24"/>
        </w:rPr>
      </w:pPr>
      <w:r>
        <w:rPr>
          <w:rFonts w:eastAsia="仿宋"/>
          <w:sz w:val="24"/>
        </w:rPr>
        <w:t xml:space="preserve">30.3   </w:t>
      </w:r>
      <w:r>
        <w:rPr>
          <w:rFonts w:hint="eastAsia" w:eastAsia="仿宋"/>
          <w:sz w:val="24"/>
          <w:lang w:val="en-US" w:eastAsia="zh-CN"/>
        </w:rPr>
        <w:t xml:space="preserve"> </w:t>
      </w:r>
      <w:r>
        <w:rPr>
          <w:rFonts w:eastAsia="仿宋"/>
          <w:sz w:val="24"/>
        </w:rPr>
        <w:t>中标人拒绝与采购人签订合同的，采购人可以按照评审报告推荐的中标候选人名单排序，确定下一中标候选人为中标人，也可以重新开展政府采购活动。</w:t>
      </w:r>
    </w:p>
    <w:p>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pPr>
        <w:pStyle w:val="23"/>
        <w:spacing w:before="0" w:after="0" w:line="360" w:lineRule="auto"/>
        <w:rPr>
          <w:rFonts w:ascii="Times New Roman" w:eastAsia="仿宋"/>
          <w:u w:val="none"/>
        </w:rPr>
      </w:pPr>
      <w:bookmarkStart w:id="229" w:name="_Toc31416"/>
      <w:bookmarkEnd w:id="229"/>
      <w:bookmarkStart w:id="230" w:name="_Toc32554"/>
      <w:bookmarkEnd w:id="230"/>
      <w:bookmarkStart w:id="231" w:name="_Toc4302"/>
      <w:bookmarkEnd w:id="231"/>
      <w:bookmarkStart w:id="232" w:name="_Toc518923097"/>
      <w:bookmarkEnd w:id="232"/>
      <w:bookmarkStart w:id="233" w:name="_Toc8276"/>
      <w:bookmarkEnd w:id="233"/>
      <w:r>
        <w:rPr>
          <w:rFonts w:ascii="Times New Roman" w:eastAsia="仿宋"/>
          <w:u w:val="none"/>
        </w:rPr>
        <w:t>31.履约保证金</w:t>
      </w:r>
    </w:p>
    <w:p>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pPr>
        <w:spacing w:line="360" w:lineRule="auto"/>
        <w:ind w:left="900" w:hanging="900" w:hangingChars="375"/>
        <w:rPr>
          <w:rFonts w:eastAsia="仿宋"/>
          <w:sz w:val="24"/>
        </w:rPr>
      </w:pPr>
      <w:r>
        <w:rPr>
          <w:rFonts w:eastAsia="仿宋"/>
          <w:sz w:val="24"/>
        </w:rPr>
        <w:t xml:space="preserve">31.3   </w:t>
      </w:r>
      <w:r>
        <w:rPr>
          <w:rFonts w:hint="eastAsia" w:eastAsia="仿宋"/>
          <w:sz w:val="24"/>
          <w:lang w:val="en-US" w:eastAsia="zh-CN"/>
        </w:rPr>
        <w:t xml:space="preserve"> </w:t>
      </w:r>
      <w:r>
        <w:rPr>
          <w:rFonts w:eastAsia="仿宋"/>
          <w:sz w:val="24"/>
        </w:rPr>
        <w:t>如果中标人没有按照上述履约保证金的规定执行，将视为放弃中标资格，中标人的投标保证金将不予退还。在此情况下，采购人可确定下一候选人为中标人，也可以重新开展采购活动。</w:t>
      </w:r>
    </w:p>
    <w:p>
      <w:pPr>
        <w:pStyle w:val="23"/>
        <w:spacing w:before="0" w:after="0" w:line="360" w:lineRule="auto"/>
        <w:rPr>
          <w:rFonts w:ascii="Times New Roman" w:eastAsia="仿宋"/>
          <w:u w:val="none"/>
        </w:rPr>
      </w:pPr>
      <w:bookmarkStart w:id="234" w:name="_Toc518923098"/>
      <w:bookmarkEnd w:id="234"/>
      <w:bookmarkStart w:id="235" w:name="_Toc8478"/>
      <w:bookmarkEnd w:id="235"/>
      <w:bookmarkStart w:id="236" w:name="_Toc26060"/>
      <w:bookmarkEnd w:id="236"/>
      <w:bookmarkStart w:id="237" w:name="_Toc8476"/>
      <w:bookmarkEnd w:id="237"/>
      <w:bookmarkStart w:id="238" w:name="_Toc17150"/>
      <w:bookmarkEnd w:id="238"/>
      <w:r>
        <w:rPr>
          <w:rFonts w:ascii="Times New Roman" w:eastAsia="仿宋"/>
          <w:u w:val="none"/>
        </w:rPr>
        <w:t>32.中标服务费</w:t>
      </w:r>
    </w:p>
    <w:p>
      <w:pPr>
        <w:spacing w:line="360" w:lineRule="auto"/>
        <w:ind w:left="840" w:leftChars="200" w:hanging="420" w:hangingChars="175"/>
        <w:rPr>
          <w:rFonts w:eastAsia="仿宋"/>
          <w:sz w:val="24"/>
        </w:rPr>
      </w:pPr>
      <w:r>
        <w:rPr>
          <w:rFonts w:eastAsia="仿宋"/>
          <w:sz w:val="24"/>
        </w:rPr>
        <w:t>本项目由集采机构代理，无中标服务费。</w:t>
      </w:r>
    </w:p>
    <w:p>
      <w:pPr>
        <w:pStyle w:val="23"/>
        <w:spacing w:before="0" w:after="0" w:line="360" w:lineRule="auto"/>
        <w:rPr>
          <w:rFonts w:ascii="Times New Roman" w:eastAsia="仿宋"/>
          <w:u w:val="none"/>
        </w:rPr>
      </w:pPr>
      <w:bookmarkStart w:id="239" w:name="_Toc518923099"/>
      <w:bookmarkEnd w:id="239"/>
      <w:bookmarkStart w:id="240" w:name="_Toc30165"/>
      <w:bookmarkEnd w:id="240"/>
      <w:bookmarkStart w:id="241" w:name="_Toc10203"/>
      <w:bookmarkEnd w:id="241"/>
      <w:bookmarkStart w:id="242" w:name="_Toc31411"/>
      <w:bookmarkEnd w:id="242"/>
      <w:bookmarkStart w:id="243" w:name="_Toc16784"/>
      <w:bookmarkEnd w:id="243"/>
      <w:r>
        <w:rPr>
          <w:rFonts w:ascii="Times New Roman" w:eastAsia="仿宋"/>
          <w:u w:val="none"/>
        </w:rPr>
        <w:t>33.政府采购信用担保</w:t>
      </w:r>
    </w:p>
    <w:p>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pPr>
        <w:pStyle w:val="23"/>
        <w:spacing w:before="0" w:after="0" w:line="360" w:lineRule="auto"/>
        <w:rPr>
          <w:rFonts w:ascii="Times New Roman" w:eastAsia="仿宋"/>
          <w:u w:val="none"/>
        </w:rPr>
      </w:pPr>
      <w:bookmarkStart w:id="244" w:name="_Toc518923100"/>
      <w:bookmarkEnd w:id="244"/>
      <w:bookmarkStart w:id="245" w:name="_Toc23516"/>
      <w:bookmarkEnd w:id="245"/>
      <w:bookmarkStart w:id="246" w:name="_Toc32108"/>
      <w:bookmarkEnd w:id="246"/>
      <w:bookmarkStart w:id="247" w:name="_Toc28987"/>
      <w:bookmarkEnd w:id="247"/>
      <w:bookmarkStart w:id="248" w:name="_Toc4701"/>
      <w:bookmarkEnd w:id="248"/>
      <w:r>
        <w:rPr>
          <w:rFonts w:ascii="Times New Roman" w:eastAsia="仿宋"/>
          <w:u w:val="none"/>
        </w:rPr>
        <w:t>34.廉洁自律规定</w:t>
      </w:r>
    </w:p>
    <w:p>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pPr>
        <w:pStyle w:val="23"/>
        <w:spacing w:before="0" w:after="0" w:line="360" w:lineRule="auto"/>
        <w:rPr>
          <w:rFonts w:ascii="Times New Roman" w:eastAsia="仿宋"/>
          <w:u w:val="none"/>
        </w:rPr>
      </w:pPr>
      <w:bookmarkStart w:id="249" w:name="_Toc518923101"/>
      <w:bookmarkEnd w:id="249"/>
      <w:bookmarkStart w:id="250" w:name="_Toc30899"/>
      <w:bookmarkEnd w:id="250"/>
      <w:bookmarkStart w:id="251" w:name="_Toc21055"/>
      <w:bookmarkEnd w:id="251"/>
      <w:bookmarkStart w:id="252" w:name="_Toc743"/>
      <w:bookmarkEnd w:id="252"/>
      <w:bookmarkStart w:id="253" w:name="_Toc404"/>
      <w:bookmarkEnd w:id="253"/>
      <w:r>
        <w:rPr>
          <w:rFonts w:ascii="Times New Roman" w:eastAsia="仿宋"/>
          <w:u w:val="none"/>
        </w:rPr>
        <w:t>35.人员回避</w:t>
      </w:r>
    </w:p>
    <w:p>
      <w:pPr>
        <w:spacing w:line="360" w:lineRule="auto"/>
        <w:ind w:firstLine="720" w:firstLineChars="300"/>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pPr>
        <w:pStyle w:val="23"/>
        <w:spacing w:before="0" w:after="0" w:line="360" w:lineRule="auto"/>
        <w:rPr>
          <w:rFonts w:ascii="Times New Roman" w:eastAsia="仿宋"/>
          <w:u w:val="none"/>
        </w:rPr>
      </w:pPr>
      <w:bookmarkStart w:id="254" w:name="_Toc12494"/>
      <w:bookmarkEnd w:id="254"/>
      <w:bookmarkStart w:id="255" w:name="_Toc31346"/>
      <w:bookmarkEnd w:id="255"/>
      <w:bookmarkStart w:id="256" w:name="_Toc518923102"/>
      <w:bookmarkEnd w:id="256"/>
      <w:bookmarkStart w:id="257" w:name="_Toc24931"/>
      <w:bookmarkEnd w:id="257"/>
      <w:bookmarkStart w:id="258" w:name="_Toc14752"/>
      <w:bookmarkEnd w:id="258"/>
      <w:r>
        <w:rPr>
          <w:rFonts w:ascii="Times New Roman" w:eastAsia="仿宋"/>
          <w:u w:val="none"/>
        </w:rPr>
        <w:t>36.质疑与接收</w:t>
      </w:r>
    </w:p>
    <w:p>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pPr>
        <w:spacing w:line="360" w:lineRule="auto"/>
        <w:ind w:left="851" w:leftChars="68" w:hanging="708" w:hangingChars="295"/>
        <w:rPr>
          <w:rFonts w:eastAsia="仿宋"/>
          <w:sz w:val="24"/>
        </w:rPr>
      </w:pPr>
      <w:r>
        <w:rPr>
          <w:rFonts w:hint="eastAsia" w:eastAsia="仿宋"/>
          <w:sz w:val="24"/>
        </w:rPr>
        <w:t>36.4  质疑的提出：一次提出全部质疑</w:t>
      </w:r>
    </w:p>
    <w:p>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eastAsia="仿宋"/>
          <w:sz w:val="24"/>
        </w:rPr>
      </w:pPr>
      <w:r>
        <w:rPr>
          <w:rFonts w:hint="eastAsia" w:eastAsia="仿宋"/>
          <w:sz w:val="24"/>
        </w:rPr>
        <w:t>36.9  提出质疑应当符合下列条件：</w:t>
      </w:r>
    </w:p>
    <w:p>
      <w:pPr>
        <w:spacing w:line="360" w:lineRule="auto"/>
        <w:ind w:left="851" w:leftChars="68" w:hanging="708" w:hangingChars="295"/>
        <w:rPr>
          <w:rFonts w:eastAsia="仿宋"/>
          <w:sz w:val="24"/>
        </w:rPr>
      </w:pPr>
      <w:r>
        <w:rPr>
          <w:rFonts w:hint="eastAsia" w:eastAsia="仿宋"/>
          <w:sz w:val="24"/>
        </w:rPr>
        <w:t>（一）质疑主体应当符合有关规定；</w:t>
      </w:r>
    </w:p>
    <w:p>
      <w:pPr>
        <w:spacing w:line="360" w:lineRule="auto"/>
        <w:ind w:left="851" w:leftChars="68" w:hanging="708" w:hangingChars="295"/>
        <w:rPr>
          <w:rFonts w:eastAsia="仿宋"/>
          <w:sz w:val="24"/>
        </w:rPr>
      </w:pPr>
      <w:r>
        <w:rPr>
          <w:rFonts w:hint="eastAsia" w:eastAsia="仿宋"/>
          <w:sz w:val="24"/>
        </w:rPr>
        <w:t>（二）在质疑法定期限内提出；</w:t>
      </w:r>
    </w:p>
    <w:p>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pPr>
        <w:spacing w:line="360" w:lineRule="auto"/>
        <w:ind w:left="851" w:leftChars="68" w:hanging="708" w:hangingChars="295"/>
        <w:rPr>
          <w:rFonts w:eastAsia="仿宋"/>
          <w:sz w:val="24"/>
        </w:rPr>
      </w:pPr>
      <w:r>
        <w:rPr>
          <w:rFonts w:hint="eastAsia" w:eastAsia="仿宋"/>
          <w:sz w:val="24"/>
        </w:rPr>
        <w:t>（四）政府采购法律、法规、规章规定的其他条件。</w:t>
      </w:r>
    </w:p>
    <w:p>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pPr>
        <w:spacing w:line="360" w:lineRule="auto"/>
        <w:ind w:left="851" w:leftChars="68" w:hanging="708" w:hangingChars="295"/>
        <w:rPr>
          <w:rFonts w:eastAsia="仿宋"/>
          <w:sz w:val="24"/>
        </w:rPr>
      </w:pPr>
      <w:r>
        <w:rPr>
          <w:rFonts w:hint="eastAsia" w:eastAsia="仿宋"/>
          <w:sz w:val="24"/>
        </w:rPr>
        <w:t>（二）质疑项目的名称、编号；</w:t>
      </w:r>
    </w:p>
    <w:p>
      <w:pPr>
        <w:spacing w:line="360" w:lineRule="auto"/>
        <w:ind w:left="851" w:leftChars="68" w:hanging="708" w:hangingChars="295"/>
        <w:rPr>
          <w:rFonts w:eastAsia="仿宋"/>
          <w:sz w:val="24"/>
        </w:rPr>
      </w:pPr>
      <w:r>
        <w:rPr>
          <w:rFonts w:hint="eastAsia" w:eastAsia="仿宋"/>
          <w:sz w:val="24"/>
        </w:rPr>
        <w:t>（三）质疑事项；</w:t>
      </w:r>
    </w:p>
    <w:p>
      <w:pPr>
        <w:spacing w:line="360" w:lineRule="auto"/>
        <w:ind w:left="851" w:leftChars="68" w:hanging="708" w:hangingChars="295"/>
        <w:rPr>
          <w:rFonts w:eastAsia="仿宋"/>
          <w:sz w:val="24"/>
        </w:rPr>
      </w:pPr>
      <w:r>
        <w:rPr>
          <w:rFonts w:hint="eastAsia" w:eastAsia="仿宋"/>
          <w:sz w:val="24"/>
        </w:rPr>
        <w:t>（四）事实依据和证明材料；</w:t>
      </w:r>
    </w:p>
    <w:p>
      <w:pPr>
        <w:spacing w:line="360" w:lineRule="auto"/>
        <w:ind w:left="851" w:leftChars="68" w:hanging="708" w:hangingChars="295"/>
        <w:rPr>
          <w:rFonts w:eastAsia="仿宋"/>
          <w:sz w:val="24"/>
        </w:rPr>
      </w:pPr>
      <w:r>
        <w:rPr>
          <w:rFonts w:hint="eastAsia" w:eastAsia="仿宋"/>
          <w:sz w:val="24"/>
        </w:rPr>
        <w:t>（五）法律依据；</w:t>
      </w:r>
    </w:p>
    <w:p>
      <w:pPr>
        <w:spacing w:line="360" w:lineRule="auto"/>
        <w:ind w:left="851" w:leftChars="68" w:hanging="708" w:hangingChars="295"/>
        <w:rPr>
          <w:rFonts w:eastAsia="仿宋"/>
          <w:sz w:val="24"/>
        </w:rPr>
      </w:pPr>
      <w:r>
        <w:rPr>
          <w:rFonts w:hint="eastAsia" w:eastAsia="仿宋"/>
          <w:sz w:val="24"/>
        </w:rPr>
        <w:t>（六）提出质疑的日期。</w:t>
      </w:r>
    </w:p>
    <w:p>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eastAsia="仿宋"/>
          <w:sz w:val="24"/>
        </w:rPr>
      </w:pPr>
      <w:r>
        <w:rPr>
          <w:rFonts w:hint="eastAsia" w:eastAsia="仿宋"/>
          <w:sz w:val="24"/>
        </w:rPr>
        <w:t>37.4、质疑的审查和受理</w:t>
      </w:r>
    </w:p>
    <w:p>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pPr>
        <w:spacing w:line="360" w:lineRule="auto"/>
        <w:ind w:left="851" w:leftChars="68" w:hanging="708" w:hangingChars="295"/>
        <w:rPr>
          <w:rFonts w:eastAsia="仿宋"/>
          <w:sz w:val="24"/>
        </w:rPr>
      </w:pPr>
      <w:r>
        <w:rPr>
          <w:rFonts w:hint="eastAsia" w:eastAsia="仿宋"/>
          <w:sz w:val="24"/>
        </w:rPr>
        <w:t>37.6、质疑的处理和答复</w:t>
      </w:r>
    </w:p>
    <w:p>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pPr>
        <w:spacing w:line="360" w:lineRule="auto"/>
        <w:ind w:left="851" w:leftChars="68" w:hanging="708" w:hangingChars="295"/>
        <w:rPr>
          <w:rFonts w:eastAsia="仿宋"/>
          <w:sz w:val="24"/>
        </w:rPr>
      </w:pPr>
      <w:r>
        <w:rPr>
          <w:rFonts w:hint="eastAsia" w:eastAsia="仿宋"/>
          <w:sz w:val="24"/>
        </w:rPr>
        <w:t>（一）质疑人名称；</w:t>
      </w:r>
    </w:p>
    <w:p>
      <w:pPr>
        <w:spacing w:line="360" w:lineRule="auto"/>
        <w:ind w:left="851" w:leftChars="68" w:hanging="708" w:hangingChars="295"/>
        <w:rPr>
          <w:rFonts w:eastAsia="仿宋"/>
          <w:sz w:val="24"/>
        </w:rPr>
      </w:pPr>
      <w:r>
        <w:rPr>
          <w:rFonts w:hint="eastAsia" w:eastAsia="仿宋"/>
          <w:sz w:val="24"/>
        </w:rPr>
        <w:t>（二）收到质疑函的日期、质疑项目名称及编号;</w:t>
      </w:r>
    </w:p>
    <w:p>
      <w:pPr>
        <w:spacing w:line="360" w:lineRule="auto"/>
        <w:ind w:firstLine="240" w:firstLineChars="100"/>
        <w:rPr>
          <w:rFonts w:eastAsia="仿宋"/>
          <w:sz w:val="24"/>
        </w:rPr>
      </w:pPr>
      <w:r>
        <w:rPr>
          <w:rFonts w:hint="eastAsia" w:eastAsia="仿宋"/>
          <w:sz w:val="24"/>
        </w:rPr>
        <w:t>(三)  质疑事项、质疑答复的具体内容、事实依据和法律依据；</w:t>
      </w:r>
    </w:p>
    <w:p>
      <w:pPr>
        <w:spacing w:line="360" w:lineRule="auto"/>
        <w:ind w:left="851" w:leftChars="68" w:hanging="708" w:hangingChars="295"/>
        <w:rPr>
          <w:rFonts w:eastAsia="仿宋"/>
          <w:sz w:val="24"/>
        </w:rPr>
      </w:pPr>
      <w:r>
        <w:rPr>
          <w:rFonts w:hint="eastAsia" w:eastAsia="仿宋"/>
          <w:sz w:val="24"/>
        </w:rPr>
        <w:t>（四）告知质疑人依法投诉的权利；</w:t>
      </w:r>
    </w:p>
    <w:p>
      <w:pPr>
        <w:spacing w:line="360" w:lineRule="auto"/>
        <w:ind w:left="851" w:leftChars="68" w:hanging="708" w:hangingChars="295"/>
        <w:rPr>
          <w:rFonts w:eastAsia="仿宋"/>
          <w:sz w:val="24"/>
        </w:rPr>
      </w:pPr>
      <w:r>
        <w:rPr>
          <w:rFonts w:hint="eastAsia" w:eastAsia="仿宋"/>
          <w:sz w:val="24"/>
        </w:rPr>
        <w:t>（五）质疑答复日期。</w:t>
      </w:r>
    </w:p>
    <w:p>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eastAsia="仿宋"/>
          <w:sz w:val="24"/>
        </w:rPr>
      </w:pPr>
      <w:r>
        <w:rPr>
          <w:rFonts w:hint="eastAsia" w:eastAsia="仿宋"/>
          <w:sz w:val="24"/>
        </w:rPr>
        <w:t>（一）捏造事实；</w:t>
      </w:r>
    </w:p>
    <w:p>
      <w:pPr>
        <w:spacing w:line="360" w:lineRule="auto"/>
        <w:ind w:left="851" w:leftChars="68" w:hanging="708" w:hangingChars="295"/>
        <w:rPr>
          <w:rFonts w:eastAsia="仿宋"/>
          <w:sz w:val="24"/>
        </w:rPr>
      </w:pPr>
      <w:r>
        <w:rPr>
          <w:rFonts w:hint="eastAsia" w:eastAsia="仿宋"/>
          <w:sz w:val="24"/>
        </w:rPr>
        <w:t>（二）提供虚假材料；</w:t>
      </w:r>
    </w:p>
    <w:p>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pPr>
        <w:spacing w:line="360" w:lineRule="auto"/>
        <w:ind w:left="851" w:leftChars="68" w:hanging="708" w:hangingChars="295"/>
        <w:rPr>
          <w:rFonts w:eastAsia="仿宋"/>
          <w:sz w:val="24"/>
        </w:rPr>
      </w:pPr>
      <w:r>
        <w:rPr>
          <w:rFonts w:hint="eastAsia" w:eastAsia="仿宋"/>
          <w:sz w:val="24"/>
        </w:rPr>
        <w:t>（四）法律法规规定的其他违法情形。</w:t>
      </w:r>
    </w:p>
    <w:p>
      <w:pPr>
        <w:spacing w:line="360" w:lineRule="auto"/>
        <w:ind w:left="851" w:leftChars="68" w:hanging="708" w:hangingChars="295"/>
        <w:rPr>
          <w:rFonts w:eastAsia="仿宋"/>
          <w:sz w:val="24"/>
        </w:rPr>
      </w:pPr>
      <w:r>
        <w:rPr>
          <w:rFonts w:hint="eastAsia" w:eastAsia="仿宋"/>
          <w:sz w:val="24"/>
        </w:rPr>
        <w:br w:type="page"/>
      </w:r>
    </w:p>
    <w:p>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pPr>
        <w:spacing w:line="240" w:lineRule="atLeast"/>
        <w:ind w:left="851" w:leftChars="68" w:hanging="708" w:hangingChars="295"/>
        <w:rPr>
          <w:rFonts w:ascii="仿宋" w:hAnsi="仿宋" w:eastAsia="仿宋"/>
          <w:sz w:val="24"/>
        </w:rPr>
      </w:pPr>
    </w:p>
    <w:p>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pPr>
        <w:spacing w:line="240" w:lineRule="atLeast"/>
        <w:ind w:left="851" w:leftChars="68" w:hanging="708" w:hangingChars="295"/>
        <w:rPr>
          <w:rFonts w:ascii="仿宋" w:hAnsi="仿宋" w:eastAsia="仿宋"/>
          <w:sz w:val="24"/>
        </w:rPr>
      </w:pPr>
      <w:r>
        <w:rPr>
          <w:rFonts w:hint="eastAsia" w:ascii="仿宋" w:hAnsi="仿宋" w:eastAsia="仿宋"/>
          <w:sz w:val="24"/>
        </w:rPr>
        <w:t>……</w:t>
      </w:r>
    </w:p>
    <w:p>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pStyle w:val="21"/>
        <w:spacing w:before="0" w:line="400" w:lineRule="atLeast"/>
        <w:jc w:val="both"/>
        <w:rPr>
          <w:rFonts w:eastAsia="仿宋"/>
        </w:rPr>
      </w:pPr>
      <w:bookmarkStart w:id="259" w:name="_Toc518923103"/>
      <w:bookmarkEnd w:id="259"/>
      <w:bookmarkStart w:id="260" w:name="_Toc15732"/>
      <w:bookmarkEnd w:id="260"/>
      <w:bookmarkStart w:id="261" w:name="_Toc23883"/>
      <w:bookmarkEnd w:id="261"/>
      <w:bookmarkStart w:id="262" w:name="_Toc28552"/>
      <w:bookmarkEnd w:id="262"/>
      <w:bookmarkStart w:id="263" w:name="_Toc10881"/>
      <w:bookmarkEnd w:id="263"/>
      <w:r>
        <w:rPr>
          <w:rFonts w:eastAsia="仿宋"/>
        </w:rPr>
        <w:br w:type="page"/>
      </w:r>
      <w:r>
        <w:rPr>
          <w:rFonts w:eastAsia="仿宋"/>
          <w:szCs w:val="24"/>
        </w:rPr>
        <w:t>附件1：履约保证金保函（格式）</w:t>
      </w:r>
    </w:p>
    <w:p>
      <w:pPr>
        <w:pStyle w:val="2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pPr>
        <w:pStyle w:val="25"/>
        <w:spacing w:line="400" w:lineRule="atLeast"/>
        <w:ind w:left="1080" w:leftChars="257" w:hanging="540"/>
        <w:rPr>
          <w:rFonts w:ascii="Times New Roman" w:hAnsi="Times New Roman" w:eastAsia="仿宋"/>
          <w:b/>
          <w:sz w:val="24"/>
        </w:rPr>
      </w:pPr>
    </w:p>
    <w:p>
      <w:pPr>
        <w:pStyle w:val="2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pPr>
        <w:pStyle w:val="2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pPr>
        <w:pStyle w:val="25"/>
        <w:spacing w:line="400" w:lineRule="atLeast"/>
        <w:ind w:left="1080" w:leftChars="257" w:hanging="540"/>
        <w:jc w:val="center"/>
        <w:rPr>
          <w:rFonts w:ascii="Times New Roman" w:hAnsi="Times New Roman" w:eastAsia="仿宋"/>
          <w:sz w:val="24"/>
        </w:rPr>
      </w:pPr>
    </w:p>
    <w:p>
      <w:pPr>
        <w:pStyle w:val="2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pPr>
        <w:pStyle w:val="2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pPr>
        <w:pStyle w:val="2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2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pPr>
        <w:pStyle w:val="2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pPr>
        <w:pStyle w:val="25"/>
        <w:spacing w:line="400" w:lineRule="atLeast"/>
        <w:ind w:left="1080" w:leftChars="257" w:hanging="540"/>
        <w:rPr>
          <w:rFonts w:ascii="Times New Roman" w:hAnsi="Times New Roman" w:eastAsia="仿宋"/>
          <w:sz w:val="24"/>
        </w:rPr>
      </w:pP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pPr>
        <w:pStyle w:val="21"/>
        <w:spacing w:before="0" w:line="400" w:lineRule="atLeast"/>
        <w:ind w:left="1080" w:leftChars="257" w:hanging="540"/>
        <w:rPr>
          <w:rFonts w:eastAsia="仿宋"/>
        </w:rPr>
      </w:pPr>
      <w:bookmarkStart w:id="264" w:name="_Toc26765"/>
      <w:bookmarkEnd w:id="264"/>
      <w:bookmarkStart w:id="265" w:name="_Toc18040"/>
      <w:bookmarkEnd w:id="265"/>
      <w:bookmarkStart w:id="266" w:name="_Toc27788"/>
      <w:bookmarkEnd w:id="266"/>
      <w:bookmarkStart w:id="267" w:name="_Toc518923104"/>
      <w:bookmarkEnd w:id="267"/>
      <w:bookmarkStart w:id="268" w:name="_Toc6418"/>
      <w:bookmarkEnd w:id="268"/>
      <w:r>
        <w:rPr>
          <w:rFonts w:eastAsia="仿宋"/>
        </w:rPr>
        <w:br w:type="page"/>
      </w:r>
      <w:r>
        <w:rPr>
          <w:rFonts w:eastAsia="仿宋"/>
          <w:szCs w:val="24"/>
        </w:rPr>
        <w:t>附件2：履约担保函格式</w:t>
      </w:r>
    </w:p>
    <w:p>
      <w:pPr>
        <w:pStyle w:val="21"/>
        <w:spacing w:before="0" w:line="360" w:lineRule="auto"/>
        <w:ind w:left="1080" w:leftChars="257" w:hanging="540"/>
        <w:rPr>
          <w:rFonts w:eastAsia="仿宋"/>
          <w:szCs w:val="24"/>
        </w:rPr>
      </w:pPr>
      <w:bookmarkStart w:id="269" w:name="_Toc13619"/>
      <w:bookmarkEnd w:id="269"/>
      <w:bookmarkStart w:id="270" w:name="_Toc30995"/>
      <w:bookmarkEnd w:id="270"/>
      <w:bookmarkStart w:id="271" w:name="_Toc21521"/>
      <w:bookmarkEnd w:id="271"/>
      <w:bookmarkStart w:id="272" w:name="_Toc518923105"/>
      <w:bookmarkEnd w:id="272"/>
      <w:bookmarkStart w:id="273" w:name="_Toc765"/>
      <w:bookmarkEnd w:id="273"/>
      <w:bookmarkStart w:id="274" w:name="_Toc515904842"/>
      <w:bookmarkEnd w:id="274"/>
      <w:r>
        <w:rPr>
          <w:rFonts w:eastAsia="仿宋"/>
          <w:szCs w:val="24"/>
        </w:rPr>
        <w:t>（采用政府采购信用担保形式时使用）</w:t>
      </w:r>
    </w:p>
    <w:p>
      <w:pPr>
        <w:spacing w:line="240" w:lineRule="atLeast"/>
        <w:jc w:val="center"/>
        <w:rPr>
          <w:rFonts w:eastAsia="仿宋"/>
          <w:sz w:val="24"/>
        </w:rPr>
      </w:pPr>
      <w:r>
        <w:rPr>
          <w:rFonts w:eastAsia="仿宋"/>
          <w:sz w:val="24"/>
        </w:rPr>
        <w:t>政府采购履约担保函（项目用）</w:t>
      </w:r>
    </w:p>
    <w:p>
      <w:pPr>
        <w:spacing w:line="240" w:lineRule="atLeast"/>
        <w:rPr>
          <w:rFonts w:eastAsia="仿宋"/>
          <w:sz w:val="24"/>
        </w:rPr>
      </w:pPr>
      <w:r>
        <w:rPr>
          <w:rFonts w:eastAsia="仿宋"/>
          <w:sz w:val="24"/>
        </w:rPr>
        <w:t>编号：</w:t>
      </w:r>
    </w:p>
    <w:p>
      <w:pPr>
        <w:spacing w:line="240" w:lineRule="atLeast"/>
        <w:rPr>
          <w:rFonts w:eastAsia="仿宋"/>
          <w:sz w:val="24"/>
        </w:rPr>
      </w:pPr>
      <w:r>
        <w:rPr>
          <w:rFonts w:eastAsia="仿宋"/>
          <w:sz w:val="24"/>
        </w:rPr>
        <w:t>（采购人）：</w:t>
      </w:r>
    </w:p>
    <w:p>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eastAsia="仿宋"/>
          <w:sz w:val="24"/>
        </w:rPr>
      </w:pPr>
      <w:r>
        <w:rPr>
          <w:rFonts w:eastAsia="仿宋"/>
          <w:sz w:val="24"/>
        </w:rPr>
        <w:t>一、保证责任的情形及保证金额</w:t>
      </w:r>
    </w:p>
    <w:p>
      <w:pPr>
        <w:spacing w:line="240" w:lineRule="atLeast"/>
        <w:ind w:firstLine="480" w:firstLineChars="200"/>
        <w:rPr>
          <w:rFonts w:eastAsia="仿宋"/>
          <w:sz w:val="24"/>
        </w:rPr>
      </w:pPr>
      <w:r>
        <w:rPr>
          <w:rFonts w:eastAsia="仿宋"/>
          <w:sz w:val="24"/>
        </w:rPr>
        <w:t>（一）在供应商出现下列情形之一时，我方承担保证责任：</w:t>
      </w:r>
    </w:p>
    <w:p>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pPr>
        <w:spacing w:line="240" w:lineRule="atLeast"/>
        <w:ind w:firstLine="480" w:firstLineChars="200"/>
        <w:rPr>
          <w:rFonts w:eastAsia="仿宋"/>
          <w:sz w:val="24"/>
        </w:rPr>
      </w:pPr>
      <w:r>
        <w:rPr>
          <w:rFonts w:eastAsia="仿宋"/>
          <w:sz w:val="24"/>
        </w:rPr>
        <w:t xml:space="preserve">2．主合同约定的应当缴纳履约保证金的情形: </w:t>
      </w:r>
    </w:p>
    <w:p>
      <w:pPr>
        <w:spacing w:line="240" w:lineRule="atLeast"/>
        <w:ind w:firstLine="480" w:firstLineChars="200"/>
        <w:rPr>
          <w:rFonts w:eastAsia="仿宋"/>
          <w:sz w:val="24"/>
        </w:rPr>
      </w:pPr>
      <w:r>
        <w:rPr>
          <w:rFonts w:eastAsia="仿宋"/>
          <w:sz w:val="24"/>
        </w:rPr>
        <w:t>（1）未按主合同约定的质量、数量和期限供应货物/提供服务/完成工程的；</w:t>
      </w:r>
    </w:p>
    <w:p>
      <w:pPr>
        <w:spacing w:line="240" w:lineRule="atLeast"/>
        <w:ind w:firstLine="480" w:firstLineChars="200"/>
        <w:rPr>
          <w:rFonts w:eastAsia="仿宋"/>
          <w:sz w:val="24"/>
        </w:rPr>
      </w:pPr>
      <w:r>
        <w:rPr>
          <w:rFonts w:eastAsia="仿宋"/>
          <w:sz w:val="24"/>
        </w:rPr>
        <w:t>（2）。</w:t>
      </w:r>
    </w:p>
    <w:p>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pPr>
        <w:spacing w:line="240" w:lineRule="atLeast"/>
        <w:ind w:firstLine="480" w:firstLineChars="200"/>
        <w:rPr>
          <w:rFonts w:eastAsia="仿宋"/>
          <w:sz w:val="24"/>
        </w:rPr>
      </w:pPr>
      <w:r>
        <w:rPr>
          <w:rFonts w:eastAsia="仿宋"/>
          <w:sz w:val="24"/>
        </w:rPr>
        <w:t>二、保证的方式及保证期间</w:t>
      </w:r>
    </w:p>
    <w:p>
      <w:pPr>
        <w:spacing w:line="240" w:lineRule="atLeast"/>
        <w:ind w:firstLine="480" w:firstLineChars="200"/>
        <w:rPr>
          <w:rFonts w:eastAsia="仿宋"/>
          <w:sz w:val="24"/>
        </w:rPr>
      </w:pPr>
      <w:r>
        <w:rPr>
          <w:rFonts w:eastAsia="仿宋"/>
          <w:sz w:val="24"/>
        </w:rPr>
        <w:t>我方保证的方式为：连带责任保证。</w:t>
      </w:r>
    </w:p>
    <w:p>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pPr>
        <w:spacing w:line="240" w:lineRule="atLeast"/>
        <w:ind w:firstLine="480" w:firstLineChars="200"/>
        <w:rPr>
          <w:rFonts w:eastAsia="仿宋"/>
          <w:sz w:val="24"/>
        </w:rPr>
      </w:pPr>
      <w:r>
        <w:rPr>
          <w:rFonts w:eastAsia="仿宋"/>
          <w:sz w:val="24"/>
        </w:rPr>
        <w:t>三、承担保证责任的程序</w:t>
      </w:r>
    </w:p>
    <w:p>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pPr>
        <w:spacing w:line="240" w:lineRule="atLeast"/>
        <w:ind w:firstLine="480" w:firstLineChars="200"/>
        <w:rPr>
          <w:rFonts w:eastAsia="仿宋"/>
          <w:sz w:val="24"/>
        </w:rPr>
      </w:pPr>
      <w:r>
        <w:rPr>
          <w:rFonts w:eastAsia="仿宋"/>
          <w:sz w:val="24"/>
        </w:rPr>
        <w:t>四、保证责任的终止</w:t>
      </w:r>
    </w:p>
    <w:p>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eastAsia="仿宋"/>
          <w:sz w:val="24"/>
        </w:rPr>
      </w:pPr>
      <w:r>
        <w:rPr>
          <w:rFonts w:eastAsia="仿宋"/>
          <w:sz w:val="24"/>
        </w:rPr>
        <w:t>五、免责条款</w:t>
      </w:r>
    </w:p>
    <w:p>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pPr>
        <w:spacing w:line="240" w:lineRule="atLeast"/>
        <w:ind w:firstLine="480" w:firstLineChars="200"/>
        <w:rPr>
          <w:rFonts w:eastAsia="仿宋"/>
          <w:sz w:val="24"/>
        </w:rPr>
      </w:pPr>
      <w:r>
        <w:rPr>
          <w:rFonts w:eastAsia="仿宋"/>
          <w:sz w:val="24"/>
        </w:rPr>
        <w:t>3．因不可抗力造成供应商不能履行供货义务的，我方不承担保证责任。</w:t>
      </w:r>
    </w:p>
    <w:p>
      <w:pPr>
        <w:spacing w:line="240" w:lineRule="atLeast"/>
        <w:ind w:firstLine="480" w:firstLineChars="200"/>
        <w:rPr>
          <w:rFonts w:eastAsia="仿宋"/>
          <w:sz w:val="24"/>
        </w:rPr>
      </w:pPr>
      <w:r>
        <w:rPr>
          <w:rFonts w:eastAsia="仿宋"/>
          <w:sz w:val="24"/>
        </w:rPr>
        <w:t>六、争议的解决</w:t>
      </w:r>
    </w:p>
    <w:p>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pPr>
        <w:spacing w:line="240" w:lineRule="atLeast"/>
        <w:ind w:firstLine="480" w:firstLineChars="200"/>
        <w:rPr>
          <w:rFonts w:eastAsia="仿宋"/>
          <w:sz w:val="24"/>
        </w:rPr>
      </w:pPr>
      <w:r>
        <w:rPr>
          <w:rFonts w:eastAsia="仿宋"/>
          <w:sz w:val="24"/>
        </w:rPr>
        <w:t>七、保函的生效</w:t>
      </w:r>
    </w:p>
    <w:p>
      <w:pPr>
        <w:spacing w:line="240" w:lineRule="atLeast"/>
        <w:ind w:firstLine="480" w:firstLineChars="200"/>
        <w:rPr>
          <w:rFonts w:eastAsia="仿宋"/>
          <w:sz w:val="24"/>
        </w:rPr>
      </w:pPr>
      <w:r>
        <w:rPr>
          <w:rFonts w:eastAsia="仿宋"/>
          <w:sz w:val="24"/>
        </w:rPr>
        <w:t>本保函自我方加盖公章之日起生效。</w:t>
      </w:r>
    </w:p>
    <w:p>
      <w:pPr>
        <w:spacing w:line="240" w:lineRule="atLeast"/>
        <w:rPr>
          <w:rFonts w:eastAsia="仿宋"/>
          <w:sz w:val="24"/>
        </w:rPr>
      </w:pPr>
    </w:p>
    <w:p>
      <w:pPr>
        <w:spacing w:line="240" w:lineRule="atLeast"/>
        <w:ind w:firstLine="6240" w:firstLineChars="2600"/>
        <w:rPr>
          <w:rFonts w:eastAsia="仿宋"/>
          <w:sz w:val="24"/>
        </w:rPr>
      </w:pPr>
      <w:r>
        <w:rPr>
          <w:rFonts w:eastAsia="仿宋"/>
          <w:sz w:val="24"/>
        </w:rPr>
        <w:t>保证人：（公章）</w:t>
      </w:r>
    </w:p>
    <w:p>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pPr>
        <w:pStyle w:val="22"/>
        <w:spacing w:line="360" w:lineRule="auto"/>
        <w:ind w:firstLine="0"/>
        <w:rPr>
          <w:rFonts w:ascii="Times New Roman" w:eastAsia="仿宋"/>
          <w:b/>
        </w:rPr>
      </w:pPr>
      <w:r>
        <w:rPr>
          <w:rFonts w:ascii="Times New Roman" w:eastAsia="仿宋"/>
          <w:b/>
        </w:rPr>
        <w:br w:type="page"/>
      </w:r>
    </w:p>
    <w:p>
      <w:pPr>
        <w:pStyle w:val="20"/>
        <w:spacing w:before="0" w:after="0" w:line="360" w:lineRule="auto"/>
        <w:rPr>
          <w:rFonts w:ascii="Times New Roman" w:eastAsia="仿宋"/>
        </w:rPr>
      </w:pPr>
      <w:bookmarkStart w:id="275" w:name="_Toc22884"/>
      <w:bookmarkEnd w:id="275"/>
      <w:bookmarkStart w:id="276" w:name="_Toc26371"/>
      <w:bookmarkEnd w:id="276"/>
      <w:bookmarkStart w:id="277" w:name="_Toc216582812"/>
      <w:bookmarkEnd w:id="277"/>
      <w:bookmarkStart w:id="278" w:name="_Toc518923106"/>
      <w:bookmarkEnd w:id="278"/>
      <w:bookmarkStart w:id="279" w:name="_Toc12170"/>
      <w:bookmarkEnd w:id="279"/>
      <w:bookmarkStart w:id="280" w:name="_Toc6923"/>
      <w:bookmarkEnd w:id="280"/>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sz w:val="56"/>
          <w:szCs w:val="36"/>
        </w:rPr>
      </w:pPr>
      <w:r>
        <w:rPr>
          <w:rFonts w:ascii="Times New Roman" w:eastAsia="仿宋"/>
          <w:sz w:val="56"/>
          <w:szCs w:val="36"/>
        </w:rPr>
        <w:t>第2章投标文件格式</w:t>
      </w:r>
    </w:p>
    <w:p>
      <w:pPr>
        <w:rPr>
          <w:rFonts w:ascii="仿宋_GB2312" w:hAnsi="宋体" w:eastAsia="仿宋_GB2312"/>
          <w:sz w:val="28"/>
          <w:szCs w:val="28"/>
        </w:rPr>
      </w:pPr>
      <w:r>
        <w:rPr>
          <w:rFonts w:hint="eastAsia" w:ascii="仿宋_GB2312" w:hAnsi="宋体" w:eastAsia="仿宋_GB2312"/>
          <w:sz w:val="28"/>
          <w:szCs w:val="28"/>
        </w:rPr>
        <w:br w:type="page"/>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jc w:val="center"/>
        <w:rPr>
          <w:rFonts w:ascii="宋体" w:hAnsi="宋体"/>
          <w:b/>
          <w:bCs/>
          <w:color w:val="000000"/>
          <w:sz w:val="44"/>
          <w:szCs w:val="44"/>
        </w:rPr>
      </w:pPr>
      <w:r>
        <w:rPr>
          <w:rFonts w:hint="eastAsia" w:ascii="宋体" w:hAnsi="宋体"/>
          <w:b/>
          <w:bCs/>
          <w:color w:val="000000"/>
          <w:sz w:val="44"/>
          <w:szCs w:val="44"/>
        </w:rPr>
        <w:t>响  应  文  件</w:t>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bCs/>
          <w:color w:val="000000"/>
          <w:sz w:val="28"/>
          <w:szCs w:val="28"/>
        </w:rPr>
      </w:pPr>
    </w:p>
    <w:p>
      <w:pPr>
        <w:rPr>
          <w:rFonts w:hint="eastAsia" w:ascii="仿宋" w:hAnsi="仿宋" w:eastAsia="仿宋" w:cs="仿宋"/>
          <w:bCs/>
          <w:color w:val="000000"/>
          <w:sz w:val="28"/>
          <w:szCs w:val="28"/>
        </w:rPr>
      </w:pPr>
    </w:p>
    <w:p>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jc w:val="center"/>
        <w:rPr>
          <w:rFonts w:hint="eastAsia" w:ascii="仿宋" w:hAnsi="仿宋" w:eastAsia="仿宋" w:cs="仿宋"/>
          <w:color w:val="000000"/>
        </w:rPr>
      </w:pPr>
      <w:r>
        <w:rPr>
          <w:rFonts w:hint="eastAsia" w:ascii="仿宋" w:hAnsi="仿宋" w:eastAsia="仿宋" w:cs="仿宋"/>
          <w:color w:val="000000"/>
        </w:rPr>
        <w:t xml:space="preserve">      </w:t>
      </w:r>
    </w:p>
    <w:p>
      <w:pPr>
        <w:pStyle w:val="5"/>
        <w:tabs>
          <w:tab w:val="left" w:pos="567"/>
        </w:tabs>
        <w:rPr>
          <w:rFonts w:hint="eastAsia" w:ascii="仿宋" w:hAnsi="仿宋" w:eastAsia="仿宋" w:cs="仿宋"/>
          <w:color w:val="000000"/>
          <w:lang w:eastAsia="zh-CN"/>
        </w:rPr>
      </w:pPr>
    </w:p>
    <w:p>
      <w:pPr>
        <w:rPr>
          <w:rFonts w:hint="eastAsia" w:ascii="仿宋" w:hAnsi="仿宋" w:eastAsia="仿宋" w:cs="仿宋"/>
          <w:color w:val="000000"/>
        </w:rPr>
      </w:pPr>
    </w:p>
    <w:p>
      <w:pPr>
        <w:pStyle w:val="5"/>
        <w:tabs>
          <w:tab w:val="left" w:pos="567"/>
        </w:tabs>
        <w:rPr>
          <w:rFonts w:hint="eastAsia" w:ascii="仿宋" w:hAnsi="仿宋" w:eastAsia="仿宋" w:cs="仿宋"/>
          <w:color w:val="000000"/>
          <w:lang w:eastAsia="zh-CN"/>
        </w:rPr>
      </w:pPr>
    </w:p>
    <w:p>
      <w:pPr>
        <w:rPr>
          <w:rFonts w:hint="eastAsia" w:ascii="仿宋" w:hAnsi="仿宋" w:eastAsia="仿宋" w:cs="仿宋"/>
        </w:rPr>
      </w:pPr>
    </w:p>
    <w:p>
      <w:pPr>
        <w:pStyle w:val="5"/>
        <w:tabs>
          <w:tab w:val="left" w:pos="567"/>
        </w:tabs>
        <w:jc w:val="center"/>
        <w:rPr>
          <w:rFonts w:hint="eastAsia" w:ascii="仿宋" w:hAnsi="仿宋" w:eastAsia="仿宋" w:cs="仿宋"/>
          <w:lang w:eastAsia="zh-CN"/>
        </w:rPr>
      </w:pPr>
      <w:r>
        <w:rPr>
          <w:rFonts w:hint="eastAsia" w:ascii="仿宋" w:hAnsi="仿宋" w:eastAsia="仿宋" w:cs="仿宋"/>
          <w:color w:val="000000"/>
          <w:sz w:val="24"/>
          <w:szCs w:val="24"/>
          <w:lang w:eastAsia="zh-CN"/>
        </w:rPr>
        <w:t>年    月    日</w:t>
      </w:r>
    </w:p>
    <w:p/>
    <w:p>
      <w:pPr>
        <w:pStyle w:val="5"/>
        <w:tabs>
          <w:tab w:val="left" w:pos="567"/>
        </w:tabs>
        <w:rPr>
          <w:lang w:eastAsia="zh-CN"/>
        </w:rPr>
      </w:pPr>
    </w:p>
    <w:p/>
    <w:p>
      <w:pPr>
        <w:pStyle w:val="5"/>
        <w:tabs>
          <w:tab w:val="left" w:pos="567"/>
        </w:tabs>
        <w:rPr>
          <w:lang w:eastAsia="zh-CN"/>
        </w:rPr>
      </w:pPr>
    </w:p>
    <w:p/>
    <w:p>
      <w:pPr>
        <w:pStyle w:val="5"/>
        <w:tabs>
          <w:tab w:val="left" w:pos="567"/>
        </w:tabs>
        <w:rPr>
          <w:lang w:eastAsia="zh-CN"/>
        </w:rPr>
      </w:pPr>
      <w:r>
        <w:rPr>
          <w:lang w:eastAsia="zh-CN"/>
        </w:rPr>
        <w:br w:type="page"/>
      </w:r>
    </w:p>
    <w:p>
      <w:pPr>
        <w:spacing w:line="360" w:lineRule="auto"/>
        <w:ind w:left="735" w:leftChars="350" w:firstLine="120" w:firstLineChars="50"/>
        <w:rPr>
          <w:rFonts w:eastAsia="仿宋"/>
          <w:sz w:val="24"/>
        </w:rPr>
      </w:pPr>
    </w:p>
    <w:p>
      <w:pPr>
        <w:pStyle w:val="21"/>
        <w:spacing w:before="0" w:line="360" w:lineRule="auto"/>
        <w:rPr>
          <w:rFonts w:eastAsia="仿宋"/>
          <w:sz w:val="24"/>
        </w:rPr>
      </w:pPr>
      <w:bookmarkStart w:id="281" w:name="_Toc21715"/>
      <w:bookmarkEnd w:id="281"/>
      <w:bookmarkStart w:id="282" w:name="_Toc636"/>
      <w:bookmarkEnd w:id="282"/>
      <w:bookmarkStart w:id="283" w:name="_Toc518923107"/>
      <w:bookmarkEnd w:id="283"/>
      <w:bookmarkStart w:id="284" w:name="_Toc10789"/>
      <w:bookmarkEnd w:id="284"/>
      <w:bookmarkStart w:id="285" w:name="_Toc15142"/>
      <w:bookmarkEnd w:id="285"/>
      <w:bookmarkStart w:id="286" w:name="_Toc21953"/>
      <w:bookmarkEnd w:id="286"/>
      <w:bookmarkStart w:id="287" w:name="_Toc17893"/>
      <w:bookmarkEnd w:id="287"/>
      <w:r>
        <w:rPr>
          <w:rFonts w:eastAsia="仿宋"/>
          <w:sz w:val="24"/>
        </w:rPr>
        <w:t>第一部分开标一览表及资格证明文件</w:t>
      </w:r>
    </w:p>
    <w:p>
      <w:pPr>
        <w:spacing w:line="360" w:lineRule="auto"/>
        <w:ind w:left="708" w:hanging="708" w:hangingChars="295"/>
        <w:jc w:val="center"/>
        <w:rPr>
          <w:rFonts w:eastAsia="仿宋"/>
          <w:sz w:val="24"/>
        </w:rPr>
      </w:pPr>
    </w:p>
    <w:p>
      <w:pPr>
        <w:spacing w:line="360" w:lineRule="auto"/>
        <w:ind w:firstLine="480"/>
        <w:rPr>
          <w:rFonts w:ascii="仿宋" w:hAnsi="仿宋" w:eastAsia="仿宋"/>
          <w:bCs/>
          <w:iCs/>
          <w:sz w:val="24"/>
        </w:rPr>
      </w:pPr>
      <w:r>
        <w:rPr>
          <w:rFonts w:hint="eastAsia" w:ascii="仿宋" w:hAnsi="仿宋" w:eastAsia="仿宋"/>
          <w:bCs/>
          <w:iCs/>
          <w:sz w:val="24"/>
        </w:rPr>
        <w:t>1、开标一览表；</w:t>
      </w:r>
    </w:p>
    <w:p>
      <w:pPr>
        <w:spacing w:line="360" w:lineRule="auto"/>
        <w:ind w:firstLine="480"/>
        <w:rPr>
          <w:rFonts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pPr>
        <w:spacing w:line="360" w:lineRule="auto"/>
        <w:ind w:firstLine="480" w:firstLineChars="200"/>
        <w:rPr>
          <w:rFonts w:ascii="仿宋" w:hAnsi="仿宋" w:eastAsia="仿宋"/>
          <w:bCs/>
          <w:iCs/>
          <w:color w:val="auto"/>
          <w:sz w:val="24"/>
          <w:highlight w:val="none"/>
        </w:rPr>
      </w:pPr>
      <w:r>
        <w:rPr>
          <w:rFonts w:hint="eastAsia" w:ascii="仿宋" w:hAnsi="仿宋" w:eastAsia="仿宋"/>
          <w:bCs/>
          <w:iCs/>
          <w:sz w:val="24"/>
        </w:rPr>
        <w:t>3、</w:t>
      </w:r>
      <w:r>
        <w:rPr>
          <w:rFonts w:hint="eastAsia" w:ascii="仿宋" w:hAnsi="仿宋" w:eastAsia="仿宋"/>
          <w:sz w:val="24"/>
        </w:rPr>
        <w:t>法定代表人授权委托书（自然人投标的无需提供，</w:t>
      </w:r>
      <w:r>
        <w:rPr>
          <w:rFonts w:hint="eastAsia" w:ascii="仿宋" w:hAnsi="仿宋" w:eastAsia="仿宋"/>
          <w:color w:val="auto"/>
          <w:sz w:val="24"/>
          <w:highlight w:val="none"/>
        </w:rPr>
        <w:t>投标人为法人的提供法人</w:t>
      </w:r>
      <w:r>
        <w:rPr>
          <w:rFonts w:hint="eastAsia" w:ascii="仿宋" w:hAnsi="仿宋" w:eastAsia="仿宋"/>
          <w:color w:val="auto"/>
          <w:sz w:val="24"/>
          <w:highlight w:val="none"/>
          <w:lang w:val="en-US" w:eastAsia="zh-CN"/>
        </w:rPr>
        <w:t>身份</w:t>
      </w:r>
      <w:r>
        <w:rPr>
          <w:rFonts w:hint="eastAsia" w:ascii="仿宋" w:hAnsi="仿宋" w:eastAsia="仿宋"/>
          <w:color w:val="auto"/>
          <w:sz w:val="24"/>
          <w:highlight w:val="none"/>
        </w:rPr>
        <w:t>证明</w:t>
      </w:r>
      <w:r>
        <w:rPr>
          <w:rFonts w:hint="eastAsia" w:ascii="仿宋" w:hAnsi="仿宋" w:eastAsia="仿宋"/>
          <w:bCs/>
          <w:iCs/>
          <w:color w:val="auto"/>
          <w:sz w:val="24"/>
          <w:highlight w:val="none"/>
        </w:rPr>
        <w:t>；</w:t>
      </w:r>
    </w:p>
    <w:p>
      <w:pPr>
        <w:spacing w:line="360" w:lineRule="auto"/>
        <w:ind w:firstLine="48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近两年任意一年完整的</w:t>
      </w:r>
      <w:r>
        <w:rPr>
          <w:rFonts w:hint="eastAsia" w:ascii="仿宋" w:hAnsi="仿宋" w:eastAsia="仿宋"/>
          <w:sz w:val="24"/>
        </w:rPr>
        <w:t>财务审计报告（新成立公司提供开标前三个月内任意一个月有效银行资信证明）；</w:t>
      </w:r>
    </w:p>
    <w:p>
      <w:pPr>
        <w:spacing w:line="360" w:lineRule="auto"/>
        <w:ind w:firstLine="480"/>
        <w:rPr>
          <w:rFonts w:ascii="仿宋" w:hAnsi="仿宋" w:eastAsia="仿宋"/>
          <w:sz w:val="24"/>
        </w:rPr>
      </w:pPr>
      <w:r>
        <w:rPr>
          <w:rFonts w:hint="eastAsia" w:ascii="仿宋" w:hAnsi="仿宋" w:eastAsia="仿宋"/>
          <w:sz w:val="24"/>
        </w:rPr>
        <w:t>5、投标企业依法缴纳近 6 个月任意一个月社会保险的凭据；</w:t>
      </w:r>
    </w:p>
    <w:p>
      <w:pPr>
        <w:spacing w:line="360" w:lineRule="auto"/>
        <w:ind w:firstLine="480"/>
        <w:rPr>
          <w:rFonts w:ascii="仿宋" w:hAnsi="仿宋" w:eastAsia="仿宋"/>
          <w:sz w:val="24"/>
        </w:rPr>
      </w:pPr>
      <w:r>
        <w:rPr>
          <w:rFonts w:hint="eastAsia" w:ascii="仿宋" w:hAnsi="仿宋" w:eastAsia="仿宋"/>
          <w:sz w:val="24"/>
        </w:rPr>
        <w:t>6、投标企业提供税务部门出具的近 6 个月任意一个月的完税证明；</w:t>
      </w:r>
    </w:p>
    <w:p>
      <w:pPr>
        <w:spacing w:line="360" w:lineRule="auto"/>
        <w:ind w:firstLine="480"/>
        <w:rPr>
          <w:rFonts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spacing w:line="360" w:lineRule="auto"/>
        <w:ind w:firstLine="480"/>
        <w:rPr>
          <w:rFonts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pPr>
        <w:spacing w:line="360" w:lineRule="auto"/>
        <w:ind w:firstLine="480"/>
        <w:rPr>
          <w:rFonts w:ascii="仿宋" w:hAnsi="仿宋" w:eastAsia="仿宋"/>
          <w:sz w:val="24"/>
        </w:rPr>
      </w:pPr>
      <w:r>
        <w:rPr>
          <w:rFonts w:hint="eastAsia" w:ascii="仿宋" w:hAnsi="仿宋" w:eastAsia="仿宋"/>
          <w:sz w:val="24"/>
        </w:rPr>
        <w:t>9、提供针对本次项目《反商业贿赂承诺书》</w:t>
      </w:r>
    </w:p>
    <w:p>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pPr>
        <w:spacing w:line="360" w:lineRule="auto"/>
        <w:ind w:firstLine="480"/>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本项目不接受联合体投标。</w:t>
      </w:r>
    </w:p>
    <w:p>
      <w:pPr>
        <w:pStyle w:val="28"/>
        <w:tabs>
          <w:tab w:val="clear" w:pos="567"/>
        </w:tabs>
      </w:pPr>
    </w:p>
    <w:p>
      <w:pPr>
        <w:pStyle w:val="28"/>
        <w:tabs>
          <w:tab w:val="clear" w:pos="567"/>
        </w:tabs>
      </w:pPr>
    </w:p>
    <w:p/>
    <w:p>
      <w:pPr>
        <w:pStyle w:val="29"/>
      </w:pPr>
    </w:p>
    <w:p>
      <w:pPr>
        <w:rPr>
          <w:rFonts w:ascii="仿宋" w:hAnsi="仿宋" w:eastAsia="仿宋"/>
          <w:b/>
          <w:kern w:val="0"/>
          <w:sz w:val="24"/>
          <w:szCs w:val="20"/>
        </w:rPr>
      </w:pPr>
      <w:r>
        <w:rPr>
          <w:rFonts w:ascii="仿宋" w:hAnsi="仿宋" w:eastAsia="仿宋"/>
          <w:b/>
          <w:kern w:val="0"/>
          <w:sz w:val="24"/>
          <w:szCs w:val="20"/>
        </w:rPr>
        <w:br w:type="page"/>
      </w:r>
    </w:p>
    <w:p>
      <w:pPr>
        <w:tabs>
          <w:tab w:val="left" w:pos="5580"/>
        </w:tabs>
        <w:spacing w:line="360" w:lineRule="auto"/>
        <w:ind w:left="1" w:firstLine="566" w:firstLineChars="235"/>
        <w:rPr>
          <w:rFonts w:ascii="仿宋" w:hAnsi="仿宋" w:eastAsia="仿宋"/>
          <w:b/>
          <w:kern w:val="0"/>
          <w:sz w:val="24"/>
          <w:szCs w:val="20"/>
        </w:rPr>
      </w:pPr>
    </w:p>
    <w:p>
      <w:pPr>
        <w:tabs>
          <w:tab w:val="left" w:pos="5580"/>
        </w:tabs>
        <w:spacing w:line="360" w:lineRule="auto"/>
        <w:ind w:firstLine="964" w:firstLineChars="400"/>
        <w:rPr>
          <w:rFonts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pPr>
        <w:pStyle w:val="22"/>
        <w:tabs>
          <w:tab w:val="left" w:pos="5580"/>
        </w:tabs>
        <w:spacing w:line="360" w:lineRule="auto"/>
        <w:ind w:left="1080" w:leftChars="257" w:hanging="540"/>
        <w:jc w:val="center"/>
        <w:rPr>
          <w:rFonts w:ascii="Times New Roman" w:eastAsia="仿宋"/>
          <w:b/>
        </w:rPr>
      </w:pPr>
      <w:bookmarkStart w:id="290" w:name="_Hlt520356241"/>
      <w:bookmarkEnd w:id="290"/>
      <w:bookmarkStart w:id="291" w:name="_Toc494296984"/>
      <w:bookmarkEnd w:id="291"/>
      <w:r>
        <w:rPr>
          <w:rFonts w:ascii="Times New Roman" w:eastAsia="仿宋"/>
          <w:b/>
        </w:rPr>
        <w:t>开标一览表</w:t>
      </w:r>
    </w:p>
    <w:p>
      <w:pPr>
        <w:pStyle w:val="22"/>
        <w:tabs>
          <w:tab w:val="left" w:pos="5580"/>
        </w:tabs>
        <w:spacing w:line="360" w:lineRule="auto"/>
        <w:ind w:left="1080" w:leftChars="257" w:hanging="540"/>
        <w:jc w:val="center"/>
        <w:rPr>
          <w:rFonts w:ascii="Times New Roman" w:eastAsia="仿宋"/>
          <w:b/>
        </w:rPr>
      </w:pPr>
    </w:p>
    <w:p>
      <w:pPr>
        <w:pStyle w:val="22"/>
        <w:tabs>
          <w:tab w:val="left" w:pos="5580"/>
        </w:tabs>
        <w:spacing w:line="360" w:lineRule="auto"/>
        <w:ind w:left="1080" w:leftChars="257" w:hanging="540"/>
        <w:rPr>
          <w:rFonts w:ascii="Times New Roman" w:eastAsia="仿宋"/>
        </w:rPr>
      </w:pPr>
    </w:p>
    <w:p>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6"/>
        <w:tblW w:w="91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jc w:val="center"/>
        </w:trPr>
        <w:tc>
          <w:tcPr>
            <w:tcW w:w="1420" w:type="dxa"/>
            <w:vAlign w:val="center"/>
          </w:tcPr>
          <w:p>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pPr>
              <w:tabs>
                <w:tab w:val="left" w:pos="5580"/>
              </w:tabs>
              <w:spacing w:line="360" w:lineRule="auto"/>
              <w:jc w:val="center"/>
              <w:rPr>
                <w:rFonts w:eastAsia="仿宋"/>
                <w:sz w:val="24"/>
              </w:rPr>
            </w:pPr>
            <w:r>
              <w:rPr>
                <w:rFonts w:eastAsia="仿宋"/>
                <w:sz w:val="24"/>
              </w:rPr>
              <w:t>投标总价</w:t>
            </w:r>
          </w:p>
        </w:tc>
        <w:tc>
          <w:tcPr>
            <w:tcW w:w="1805" w:type="dxa"/>
            <w:vAlign w:val="center"/>
          </w:tcPr>
          <w:p>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pPr>
              <w:tabs>
                <w:tab w:val="left" w:pos="5580"/>
              </w:tabs>
              <w:spacing w:line="360" w:lineRule="auto"/>
              <w:jc w:val="center"/>
              <w:rPr>
                <w:rFonts w:eastAsia="仿宋"/>
                <w:sz w:val="24"/>
              </w:rPr>
            </w:pPr>
            <w:r>
              <w:rPr>
                <w:rFonts w:hint="eastAsia" w:eastAsia="仿宋"/>
                <w:sz w:val="24"/>
              </w:rPr>
              <w:t>交货期</w:t>
            </w:r>
          </w:p>
        </w:tc>
        <w:tc>
          <w:tcPr>
            <w:tcW w:w="1016" w:type="dxa"/>
            <w:vAlign w:val="center"/>
          </w:tcPr>
          <w:p>
            <w:pPr>
              <w:tabs>
                <w:tab w:val="left" w:pos="5580"/>
              </w:tabs>
              <w:spacing w:line="360" w:lineRule="auto"/>
              <w:jc w:val="center"/>
              <w:rPr>
                <w:rFonts w:eastAsia="仿宋"/>
                <w:sz w:val="24"/>
              </w:rPr>
            </w:pPr>
            <w:r>
              <w:rPr>
                <w:rFonts w:hint="eastAsia" w:eastAsia="仿宋"/>
                <w:sz w:val="24"/>
              </w:rPr>
              <w:t>交货</w:t>
            </w:r>
            <w:r>
              <w:rPr>
                <w:rFonts w:eastAsia="仿宋"/>
                <w:sz w:val="24"/>
              </w:rPr>
              <w:t>地点</w:t>
            </w:r>
          </w:p>
        </w:tc>
        <w:tc>
          <w:tcPr>
            <w:tcW w:w="1129" w:type="dxa"/>
            <w:vAlign w:val="center"/>
          </w:tcPr>
          <w:p>
            <w:pPr>
              <w:tabs>
                <w:tab w:val="left" w:pos="5580"/>
              </w:tabs>
              <w:spacing w:line="360" w:lineRule="auto"/>
              <w:jc w:val="center"/>
              <w:rPr>
                <w:rFonts w:eastAsia="仿宋"/>
                <w:sz w:val="24"/>
              </w:rPr>
            </w:pPr>
            <w:r>
              <w:rPr>
                <w:rFonts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40" w:hRule="atLeast"/>
          <w:jc w:val="center"/>
        </w:trPr>
        <w:tc>
          <w:tcPr>
            <w:tcW w:w="1420" w:type="dxa"/>
            <w:vAlign w:val="center"/>
          </w:tcPr>
          <w:p>
            <w:pPr>
              <w:tabs>
                <w:tab w:val="left" w:pos="5580"/>
              </w:tabs>
              <w:spacing w:line="360" w:lineRule="auto"/>
              <w:ind w:left="1080" w:leftChars="257" w:hanging="540"/>
              <w:jc w:val="center"/>
              <w:rPr>
                <w:rFonts w:eastAsia="仿宋"/>
                <w:sz w:val="24"/>
              </w:rPr>
            </w:pPr>
          </w:p>
        </w:tc>
        <w:tc>
          <w:tcPr>
            <w:tcW w:w="2340" w:type="dxa"/>
            <w:vAlign w:val="center"/>
          </w:tcPr>
          <w:p>
            <w:pPr>
              <w:tabs>
                <w:tab w:val="left" w:pos="5580"/>
              </w:tabs>
              <w:spacing w:line="360" w:lineRule="auto"/>
              <w:jc w:val="left"/>
              <w:rPr>
                <w:rFonts w:eastAsia="仿宋"/>
                <w:sz w:val="24"/>
              </w:rPr>
            </w:pPr>
            <w:r>
              <w:rPr>
                <w:rFonts w:eastAsia="仿宋"/>
                <w:sz w:val="24"/>
              </w:rPr>
              <w:t>大写：</w:t>
            </w:r>
          </w:p>
          <w:p>
            <w:pPr>
              <w:tabs>
                <w:tab w:val="left" w:pos="5580"/>
              </w:tabs>
              <w:spacing w:line="360" w:lineRule="auto"/>
              <w:jc w:val="left"/>
              <w:rPr>
                <w:rFonts w:eastAsia="仿宋"/>
                <w:sz w:val="24"/>
              </w:rPr>
            </w:pPr>
            <w:r>
              <w:rPr>
                <w:rFonts w:eastAsia="仿宋"/>
                <w:sz w:val="24"/>
              </w:rPr>
              <w:t>小写：</w:t>
            </w:r>
          </w:p>
        </w:tc>
        <w:tc>
          <w:tcPr>
            <w:tcW w:w="1805" w:type="dxa"/>
            <w:vAlign w:val="center"/>
          </w:tcPr>
          <w:p>
            <w:pPr>
              <w:tabs>
                <w:tab w:val="left" w:pos="5580"/>
              </w:tabs>
              <w:spacing w:line="360" w:lineRule="auto"/>
              <w:ind w:left="1080" w:leftChars="257" w:hanging="540"/>
              <w:jc w:val="center"/>
              <w:rPr>
                <w:rFonts w:eastAsia="仿宋"/>
                <w:sz w:val="24"/>
              </w:rPr>
            </w:pPr>
          </w:p>
        </w:tc>
        <w:tc>
          <w:tcPr>
            <w:tcW w:w="1445" w:type="dxa"/>
            <w:vAlign w:val="center"/>
          </w:tcPr>
          <w:p>
            <w:pPr>
              <w:tabs>
                <w:tab w:val="left" w:pos="5580"/>
              </w:tabs>
              <w:spacing w:line="360" w:lineRule="auto"/>
              <w:ind w:left="1080" w:leftChars="257" w:hanging="540"/>
              <w:jc w:val="center"/>
              <w:rPr>
                <w:rFonts w:eastAsia="仿宋"/>
                <w:sz w:val="24"/>
              </w:rPr>
            </w:pPr>
          </w:p>
        </w:tc>
        <w:tc>
          <w:tcPr>
            <w:tcW w:w="1016" w:type="dxa"/>
            <w:vAlign w:val="center"/>
          </w:tcPr>
          <w:p>
            <w:pPr>
              <w:tabs>
                <w:tab w:val="left" w:pos="5580"/>
              </w:tabs>
              <w:spacing w:line="360" w:lineRule="auto"/>
              <w:ind w:left="1080" w:leftChars="257" w:hanging="540"/>
              <w:jc w:val="center"/>
              <w:rPr>
                <w:rFonts w:eastAsia="仿宋"/>
                <w:sz w:val="24"/>
              </w:rPr>
            </w:pPr>
          </w:p>
        </w:tc>
        <w:tc>
          <w:tcPr>
            <w:tcW w:w="1129" w:type="dxa"/>
            <w:vAlign w:val="center"/>
          </w:tcPr>
          <w:p>
            <w:pPr>
              <w:tabs>
                <w:tab w:val="left" w:pos="5580"/>
              </w:tabs>
              <w:rPr>
                <w:rFonts w:eastAsia="仿宋"/>
                <w:sz w:val="24"/>
              </w:rPr>
            </w:pPr>
          </w:p>
        </w:tc>
      </w:tr>
    </w:tbl>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hint="default" w:ascii="Times New Roman" w:hAnsi="Times New Roman" w:eastAsia="仿宋"/>
          <w:sz w:val="24"/>
          <w:u w:val="single"/>
          <w:lang w:val="en-US" w:eastAsia="zh-CN"/>
        </w:rPr>
      </w:pPr>
      <w:r>
        <w:rPr>
          <w:rFonts w:ascii="Times New Roman" w:hAnsi="Times New Roman" w:eastAsia="仿宋"/>
          <w:sz w:val="24"/>
        </w:rPr>
        <w:t>投标人名称（单位章）：</w:t>
      </w:r>
      <w:r>
        <w:rPr>
          <w:rFonts w:hint="eastAsia" w:ascii="Times New Roman" w:hAnsi="Times New Roman" w:eastAsia="仿宋"/>
          <w:sz w:val="24"/>
          <w:u w:val="single"/>
          <w:lang w:val="en-US" w:eastAsia="zh-CN"/>
        </w:rPr>
        <w:t xml:space="preserve">         </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注:此表中，投标总价应和投标分项报价表的总价相一致。</w:t>
      </w:r>
    </w:p>
    <w:p>
      <w:pPr>
        <w:pStyle w:val="25"/>
        <w:tabs>
          <w:tab w:val="left" w:pos="5580"/>
        </w:tabs>
        <w:spacing w:line="360" w:lineRule="auto"/>
        <w:rPr>
          <w:rFonts w:ascii="Times New Roman" w:hAnsi="Times New Roman" w:eastAsia="仿宋"/>
          <w:sz w:val="24"/>
        </w:rPr>
      </w:pPr>
    </w:p>
    <w:p>
      <w:pPr>
        <w:pStyle w:val="21"/>
        <w:spacing w:before="0" w:line="240" w:lineRule="auto"/>
        <w:ind w:firstLine="482" w:firstLineChars="200"/>
        <w:jc w:val="left"/>
        <w:rPr>
          <w:rFonts w:ascii="仿宋" w:hAnsi="仿宋" w:eastAsia="仿宋"/>
          <w:sz w:val="24"/>
        </w:rPr>
      </w:pPr>
      <w:bookmarkStart w:id="292" w:name="_Toc22494199"/>
      <w:bookmarkEnd w:id="292"/>
      <w:bookmarkStart w:id="293" w:name="_Toc15266"/>
      <w:bookmarkEnd w:id="293"/>
      <w:bookmarkStart w:id="294" w:name="_Toc16681"/>
      <w:bookmarkEnd w:id="294"/>
      <w:bookmarkStart w:id="295" w:name="_Toc39671740"/>
      <w:bookmarkEnd w:id="295"/>
      <w:bookmarkStart w:id="296" w:name="_Toc10556"/>
      <w:bookmarkEnd w:id="296"/>
      <w:bookmarkStart w:id="297" w:name="_Toc30939"/>
      <w:bookmarkEnd w:id="297"/>
      <w:bookmarkStart w:id="298" w:name="_Toc8636"/>
      <w:bookmarkEnd w:id="298"/>
      <w:bookmarkStart w:id="299" w:name="_Toc16161"/>
      <w:bookmarkEnd w:id="299"/>
      <w:bookmarkStart w:id="300" w:name="_Toc22031"/>
      <w:bookmarkEnd w:id="300"/>
      <w:bookmarkStart w:id="301" w:name="_Toc13932"/>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pPr>
        <w:pStyle w:val="25"/>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pPr>
        <w:pStyle w:val="25"/>
        <w:tabs>
          <w:tab w:val="left" w:pos="5580"/>
        </w:tabs>
        <w:spacing w:line="360" w:lineRule="auto"/>
        <w:ind w:left="1677" w:leftChars="570" w:hanging="480" w:hangingChars="2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pPr>
        <w:pStyle w:val="25"/>
        <w:tabs>
          <w:tab w:val="left" w:pos="5580"/>
        </w:tabs>
        <w:spacing w:line="360" w:lineRule="auto"/>
        <w:rPr>
          <w:rFonts w:ascii="Times New Roman" w:hAnsi="Times New Roman" w:eastAsia="仿宋"/>
          <w:color w:val="000000"/>
          <w:sz w:val="24"/>
        </w:rPr>
      </w:pPr>
    </w:p>
    <w:p>
      <w:pPr>
        <w:pStyle w:val="25"/>
        <w:numPr>
          <w:ilvl w:val="0"/>
          <w:numId w:val="5"/>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pPr>
        <w:pStyle w:val="25"/>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pPr>
        <w:pStyle w:val="25"/>
        <w:tabs>
          <w:tab w:val="left" w:pos="5580"/>
        </w:tabs>
        <w:spacing w:line="360" w:lineRule="auto"/>
        <w:ind w:left="479" w:leftChars="228" w:firstLine="480" w:firstLineChars="200"/>
        <w:rPr>
          <w:rFonts w:ascii="Times New Roman" w:hAnsi="Times New Roman" w:eastAsia="仿宋"/>
          <w:color w:val="000000"/>
          <w:sz w:val="24"/>
        </w:rPr>
      </w:pPr>
    </w:p>
    <w:p>
      <w:pPr>
        <w:pStyle w:val="23"/>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pPr>
        <w:pStyle w:val="23"/>
        <w:spacing w:before="0" w:after="0" w:line="360" w:lineRule="auto"/>
        <w:jc w:val="center"/>
        <w:rPr>
          <w:rFonts w:ascii="Times New Roman" w:eastAsia="仿宋"/>
        </w:rPr>
      </w:pPr>
      <w:bookmarkStart w:id="303" w:name="_Toc18132"/>
      <w:bookmarkEnd w:id="303"/>
      <w:r>
        <w:rPr>
          <w:rFonts w:ascii="Times New Roman" w:eastAsia="仿宋"/>
        </w:rPr>
        <w:t>本授权书声明：</w:t>
      </w:r>
    </w:p>
    <w:p>
      <w:pPr>
        <w:pStyle w:val="2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pPr>
        <w:pStyle w:val="25"/>
        <w:tabs>
          <w:tab w:val="left" w:pos="5580"/>
        </w:tabs>
        <w:spacing w:line="360" w:lineRule="auto"/>
        <w:ind w:firstLine="720" w:firstLineChars="300"/>
        <w:rPr>
          <w:rFonts w:ascii="Times New Roman" w:hAnsi="Times New Roman" w:eastAsia="仿宋"/>
          <w:sz w:val="24"/>
        </w:rPr>
      </w:pPr>
    </w:p>
    <w:p>
      <w:pPr>
        <w:pStyle w:val="25"/>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本授权书于年月日签字生效,特此声明。</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投</w:t>
      </w:r>
      <w:r>
        <w:rPr>
          <w:rFonts w:hint="eastAsia" w:ascii="仿宋" w:hAnsi="仿宋" w:eastAsia="仿宋" w:cs="仿宋"/>
          <w:sz w:val="24"/>
        </w:rPr>
        <w:t xml:space="preserve">标人（盖单位章）; </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法定代表人（或企业负责人）（签字或签章）</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委托代理人（签字或签章）：</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详细通讯地址</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邮政编码</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传真</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电话</w:t>
      </w:r>
      <w:r>
        <w:rPr>
          <w:rFonts w:hint="eastAsia" w:ascii="仿宋" w:hAnsi="仿宋" w:eastAsia="仿宋" w:cs="仿宋"/>
          <w:sz w:val="24"/>
        </w:rPr>
        <w:t>：</w:t>
      </w:r>
    </w:p>
    <w:tbl>
      <w:tblPr>
        <w:tblStyle w:val="16"/>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授权委托人身份证正面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授权委托人身份证反面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ind w:firstLine="0"/>
        <w:rPr>
          <w:rFonts w:ascii="Times New Roman" w:eastAsia="仿宋"/>
        </w:rPr>
      </w:pPr>
    </w:p>
    <w:tbl>
      <w:tblPr>
        <w:tblStyle w:val="16"/>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法定代表人身份证正面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法定代表人身份证反面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spacing w:line="360" w:lineRule="auto"/>
        <w:ind w:firstLine="0"/>
        <w:rPr>
          <w:rFonts w:ascii="Times New Roman" w:eastAsia="仿宋"/>
        </w:rPr>
      </w:pPr>
    </w:p>
    <w:p>
      <w:pPr>
        <w:pStyle w:val="22"/>
        <w:spacing w:line="360" w:lineRule="auto"/>
        <w:ind w:firstLine="0"/>
        <w:rPr>
          <w:rFonts w:ascii="Times New Roman" w:eastAsia="仿宋"/>
          <w:color w:val="000000"/>
        </w:rPr>
      </w:pPr>
    </w:p>
    <w:p>
      <w:pPr>
        <w:pStyle w:val="22"/>
        <w:spacing w:line="360" w:lineRule="auto"/>
        <w:rPr>
          <w:rFonts w:ascii="Times New Roman" w:eastAsia="仿宋"/>
          <w:color w:val="000000"/>
        </w:rPr>
      </w:pPr>
    </w:p>
    <w:p>
      <w:pPr>
        <w:spacing w:line="360" w:lineRule="auto"/>
        <w:rPr>
          <w:rFonts w:eastAsia="仿宋"/>
          <w:b/>
          <w:bCs/>
          <w:sz w:val="24"/>
        </w:rPr>
      </w:pPr>
      <w:bookmarkStart w:id="304" w:name="_Toc130"/>
      <w:bookmarkEnd w:id="304"/>
      <w:bookmarkStart w:id="305" w:name="_Toc11020"/>
      <w:bookmarkEnd w:id="305"/>
      <w:r>
        <w:rPr>
          <w:rFonts w:hint="eastAsia" w:eastAsia="仿宋"/>
          <w:b/>
          <w:bCs/>
          <w:sz w:val="24"/>
        </w:rPr>
        <w:t>4.</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pPr>
        <w:pStyle w:val="22"/>
        <w:rPr>
          <w:rFonts w:ascii="仿宋" w:hAnsi="仿宋" w:eastAsia="仿宋"/>
          <w:color w:val="000000"/>
          <w:kern w:val="2"/>
          <w:szCs w:val="24"/>
        </w:rPr>
      </w:pPr>
      <w:r>
        <w:rPr>
          <w:rFonts w:hint="eastAsia" w:ascii="仿宋" w:hAnsi="仿宋" w:eastAsia="仿宋"/>
          <w:color w:val="000000"/>
          <w:kern w:val="2"/>
          <w:szCs w:val="24"/>
        </w:rPr>
        <w:t>说明：</w:t>
      </w:r>
    </w:p>
    <w:p>
      <w:pPr>
        <w:pStyle w:val="22"/>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pPr>
        <w:pStyle w:val="22"/>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pPr>
        <w:pStyle w:val="25"/>
        <w:tabs>
          <w:tab w:val="left" w:pos="5580"/>
        </w:tabs>
        <w:spacing w:line="360" w:lineRule="auto"/>
        <w:ind w:left="1080" w:leftChars="257" w:hanging="540"/>
        <w:rPr>
          <w:rFonts w:ascii="Times New Roman" w:hAnsi="Times New Roman" w:eastAsia="仿宋"/>
          <w:color w:val="000000"/>
          <w:sz w:val="24"/>
        </w:rPr>
      </w:pPr>
    </w:p>
    <w:p>
      <w:pPr>
        <w:tabs>
          <w:tab w:val="left" w:pos="5580"/>
        </w:tabs>
        <w:spacing w:line="360" w:lineRule="auto"/>
        <w:ind w:left="540" w:firstLine="480" w:firstLineChars="200"/>
        <w:rPr>
          <w:rFonts w:eastAsia="仿宋"/>
          <w:bCs/>
          <w:color w:val="000000"/>
          <w:sz w:val="24"/>
        </w:rPr>
      </w:pPr>
    </w:p>
    <w:p>
      <w:pPr>
        <w:spacing w:line="360" w:lineRule="auto"/>
        <w:rPr>
          <w:rFonts w:eastAsia="仿宋"/>
          <w:b/>
          <w:bCs/>
          <w:sz w:val="24"/>
        </w:rPr>
      </w:pPr>
      <w:r>
        <w:rPr>
          <w:rFonts w:hint="eastAsia" w:eastAsia="仿宋"/>
          <w:b/>
          <w:bCs/>
          <w:sz w:val="24"/>
        </w:rPr>
        <w:t>5.投标企业</w:t>
      </w:r>
      <w:r>
        <w:rPr>
          <w:rFonts w:hint="eastAsia" w:ascii="仿宋" w:hAnsi="仿宋" w:eastAsia="仿宋"/>
          <w:b/>
          <w:bCs/>
          <w:sz w:val="24"/>
        </w:rPr>
        <w:t>依法缴纳近 6 个月任意一个月社会保险的凭据</w:t>
      </w:r>
      <w:r>
        <w:rPr>
          <w:rFonts w:hint="eastAsia" w:eastAsia="仿宋"/>
          <w:b/>
          <w:bCs/>
          <w:sz w:val="24"/>
        </w:rPr>
        <w:t>；</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pPr>
        <w:pStyle w:val="25"/>
        <w:tabs>
          <w:tab w:val="left" w:pos="5580"/>
        </w:tabs>
        <w:spacing w:line="360" w:lineRule="auto"/>
        <w:ind w:left="1080" w:leftChars="257" w:hanging="540"/>
        <w:rPr>
          <w:rFonts w:ascii="Times New Roman" w:hAnsi="Times New Roman" w:eastAsia="仿宋"/>
          <w:color w:val="000000"/>
          <w:sz w:val="24"/>
        </w:rPr>
      </w:pPr>
    </w:p>
    <w:p>
      <w:pPr>
        <w:spacing w:line="360" w:lineRule="auto"/>
        <w:rPr>
          <w:rFonts w:ascii="仿宋" w:hAnsi="仿宋" w:eastAsia="仿宋"/>
          <w:b/>
          <w:bCs/>
          <w:sz w:val="24"/>
        </w:rPr>
      </w:pPr>
      <w:r>
        <w:rPr>
          <w:rFonts w:hint="eastAsia" w:ascii="仿宋" w:hAnsi="仿宋" w:eastAsia="仿宋"/>
          <w:b/>
          <w:bCs/>
          <w:sz w:val="24"/>
        </w:rPr>
        <w:t>6.投标企业提供税务部门出具的近 6 个月任意一个月的完税证明；</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pPr>
        <w:pStyle w:val="25"/>
        <w:numPr>
          <w:ilvl w:val="0"/>
          <w:numId w:val="6"/>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pPr>
        <w:pStyle w:val="25"/>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pPr>
        <w:tabs>
          <w:tab w:val="left" w:pos="5580"/>
        </w:tabs>
        <w:spacing w:line="360" w:lineRule="auto"/>
        <w:ind w:left="1080" w:leftChars="257" w:hanging="540"/>
        <w:rPr>
          <w:rFonts w:eastAsia="仿宋"/>
          <w:color w:val="000000"/>
          <w:sz w:val="24"/>
        </w:rPr>
      </w:pPr>
    </w:p>
    <w:p>
      <w:pPr>
        <w:tabs>
          <w:tab w:val="left" w:pos="5580"/>
        </w:tabs>
        <w:spacing w:line="240" w:lineRule="atLeast"/>
        <w:rPr>
          <w:rFonts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p/>
    <w:p>
      <w:pPr>
        <w:tabs>
          <w:tab w:val="left" w:pos="5580"/>
        </w:tabs>
        <w:spacing w:line="240" w:lineRule="atLeast"/>
        <w:rPr>
          <w:rFonts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说明：承诺书应加盖本单位章。</w:t>
      </w:r>
    </w:p>
    <w:p>
      <w:pPr>
        <w:spacing w:line="360" w:lineRule="auto"/>
        <w:rPr>
          <w:rFonts w:ascii="仿宋" w:hAnsi="仿宋" w:eastAsia="仿宋"/>
          <w:b/>
          <w:bCs/>
        </w:rPr>
      </w:pPr>
    </w:p>
    <w:p>
      <w:pPr>
        <w:spacing w:line="360" w:lineRule="auto"/>
        <w:rPr>
          <w:rFonts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pPr>
        <w:pStyle w:val="28"/>
        <w:tabs>
          <w:tab w:val="clear" w:pos="567"/>
        </w:tabs>
        <w:rPr>
          <w:rFonts w:ascii="仿宋" w:hAnsi="仿宋" w:eastAsia="仿宋"/>
          <w:color w:val="000000"/>
        </w:rPr>
      </w:pPr>
      <w:r>
        <w:rPr>
          <w:rFonts w:hint="eastAsia" w:ascii="仿宋" w:hAnsi="仿宋" w:eastAsia="仿宋"/>
          <w:color w:val="000000"/>
        </w:rPr>
        <w:t>说明：承诺书应加盖本单位章</w:t>
      </w:r>
    </w:p>
    <w:p>
      <w:pPr>
        <w:spacing w:line="360" w:lineRule="auto"/>
        <w:rPr>
          <w:rFonts w:ascii="仿宋" w:hAnsi="仿宋" w:eastAsia="仿宋"/>
          <w:b/>
          <w:bCs/>
          <w:sz w:val="24"/>
        </w:rPr>
      </w:pPr>
      <w:bookmarkStart w:id="306" w:name="_Toc22494204"/>
      <w:bookmarkEnd w:id="306"/>
      <w:bookmarkStart w:id="307" w:name="_Toc21096"/>
      <w:bookmarkEnd w:id="307"/>
      <w:bookmarkStart w:id="308" w:name="_Toc19464"/>
      <w:bookmarkEnd w:id="308"/>
      <w:bookmarkStart w:id="309" w:name="_Toc39671745"/>
      <w:bookmarkEnd w:id="309"/>
    </w:p>
    <w:p>
      <w:pPr>
        <w:spacing w:line="360" w:lineRule="auto"/>
        <w:rPr>
          <w:rFonts w:hint="default" w:ascii="仿宋" w:hAnsi="仿宋" w:eastAsia="仿宋"/>
          <w:b/>
          <w:bCs/>
          <w:sz w:val="24"/>
          <w:lang w:val="en-US" w:eastAsia="zh-CN"/>
        </w:rPr>
      </w:pPr>
      <w:r>
        <w:rPr>
          <w:rFonts w:hint="eastAsia" w:ascii="仿宋" w:hAnsi="仿宋" w:eastAsia="仿宋"/>
          <w:b/>
          <w:bCs/>
          <w:sz w:val="24"/>
        </w:rPr>
        <w:t>10.缴纳投标保证金（电汇或转账）凭证复印件加盖公章；</w:t>
      </w:r>
      <w:r>
        <w:rPr>
          <w:rFonts w:hint="eastAsia" w:ascii="仿宋" w:hAnsi="仿宋" w:eastAsia="仿宋"/>
          <w:b/>
          <w:bCs/>
          <w:sz w:val="24"/>
          <w:lang w:val="en-US" w:eastAsia="zh-CN"/>
        </w:rPr>
        <w:t>电子保函将担保机构盖章原件上传至投标文件</w:t>
      </w:r>
    </w:p>
    <w:p>
      <w:pPr>
        <w:pStyle w:val="22"/>
        <w:ind w:firstLine="422"/>
        <w:rPr>
          <w:rFonts w:ascii="仿宋" w:hAnsi="仿宋" w:eastAsia="仿宋"/>
          <w:b/>
          <w:color w:val="000000"/>
          <w:szCs w:val="24"/>
        </w:rPr>
      </w:pPr>
    </w:p>
    <w:p>
      <w:pPr>
        <w:pStyle w:val="22"/>
        <w:ind w:firstLine="422"/>
        <w:rPr>
          <w:rFonts w:ascii="仿宋" w:hAnsi="仿宋" w:eastAsia="仿宋"/>
          <w:b/>
          <w:bCs w:val="0"/>
          <w:color w:val="000000"/>
          <w:szCs w:val="24"/>
          <w:highlight w:val="none"/>
        </w:rPr>
      </w:pPr>
      <w:r>
        <w:rPr>
          <w:rFonts w:hint="eastAsia" w:ascii="仿宋" w:hAnsi="仿宋" w:eastAsia="仿宋"/>
          <w:b/>
          <w:bCs w:val="0"/>
          <w:color w:val="000000"/>
          <w:szCs w:val="24"/>
          <w:highlight w:val="none"/>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6"/>
                    <a:stretch>
                      <a:fillRect/>
                    </a:stretch>
                  </pic:blipFill>
                  <pic:spPr>
                    <a:xfrm>
                      <a:off x="0" y="0"/>
                      <a:ext cx="135843" cy="126987"/>
                    </a:xfrm>
                    <a:prstGeom prst="rect">
                      <a:avLst/>
                    </a:prstGeom>
                  </pic:spPr>
                </pic:pic>
              </a:graphicData>
            </a:graphic>
          </wp:inline>
        </w:drawing>
      </w:r>
      <w:r>
        <w:rPr>
          <w:rFonts w:hint="eastAsia" w:ascii="仿宋" w:hAnsi="仿宋" w:eastAsia="仿宋"/>
          <w:b/>
          <w:bCs w:val="0"/>
          <w:color w:val="000000"/>
          <w:kern w:val="2"/>
          <w:szCs w:val="24"/>
          <w:highlight w:val="none"/>
        </w:rPr>
        <w:t>本项目无需换取保证金收据。</w:t>
      </w:r>
    </w:p>
    <w:p>
      <w:pPr>
        <w:rPr>
          <w:rFonts w:ascii="仿宋" w:hAnsi="仿宋" w:eastAsia="仿宋"/>
        </w:rPr>
      </w:pPr>
    </w:p>
    <w:p>
      <w:pPr>
        <w:spacing w:line="360" w:lineRule="auto"/>
        <w:rPr>
          <w:rFonts w:ascii="仿宋" w:hAnsi="仿宋" w:eastAsia="仿宋"/>
          <w:b/>
          <w:color w:val="000000"/>
          <w:kern w:val="0"/>
          <w:sz w:val="24"/>
          <w:szCs w:val="20"/>
        </w:rPr>
      </w:pPr>
    </w:p>
    <w:p>
      <w:pPr>
        <w:spacing w:line="360" w:lineRule="auto"/>
        <w:rPr>
          <w:rFonts w:ascii="仿宋" w:hAnsi="仿宋" w:eastAsia="仿宋"/>
          <w:color w:val="000000"/>
          <w:sz w:val="24"/>
        </w:rPr>
      </w:pPr>
      <w:r>
        <w:rPr>
          <w:rFonts w:hint="eastAsia" w:ascii="仿宋" w:hAnsi="仿宋" w:eastAsia="仿宋" w:cs="Times New Roman"/>
          <w:b/>
          <w:color w:val="000000"/>
          <w:kern w:val="0"/>
          <w:sz w:val="24"/>
          <w:szCs w:val="20"/>
          <w:lang w:val="en-US" w:eastAsia="zh-CN"/>
        </w:rPr>
        <w:t>11</w:t>
      </w:r>
      <w:r>
        <w:rPr>
          <w:rFonts w:hint="eastAsia" w:ascii="仿宋" w:hAnsi="仿宋" w:eastAsia="仿宋" w:cs="Times New Roman"/>
          <w:b/>
          <w:color w:val="000000"/>
          <w:kern w:val="0"/>
          <w:sz w:val="24"/>
          <w:szCs w:val="20"/>
        </w:rPr>
        <w:t>.本项</w:t>
      </w:r>
      <w:r>
        <w:rPr>
          <w:rFonts w:hint="eastAsia" w:ascii="仿宋" w:hAnsi="仿宋" w:eastAsia="仿宋"/>
          <w:b/>
          <w:color w:val="000000"/>
          <w:kern w:val="0"/>
          <w:sz w:val="24"/>
          <w:szCs w:val="20"/>
        </w:rPr>
        <w:t>目不接受</w:t>
      </w:r>
      <w:r>
        <w:rPr>
          <w:rFonts w:hint="eastAsia" w:ascii="仿宋" w:hAnsi="仿宋" w:eastAsia="仿宋"/>
          <w:b/>
          <w:kern w:val="0"/>
          <w:sz w:val="24"/>
          <w:szCs w:val="20"/>
        </w:rPr>
        <w:t>联合体投标。</w:t>
      </w:r>
    </w:p>
    <w:p>
      <w:pPr>
        <w:spacing w:line="360" w:lineRule="auto"/>
        <w:rPr>
          <w:rFonts w:ascii="仿宋" w:hAnsi="仿宋" w:eastAsia="仿宋"/>
          <w:color w:val="000000"/>
          <w:sz w:val="24"/>
        </w:rPr>
      </w:pPr>
      <w:r>
        <w:rPr>
          <w:rFonts w:hint="eastAsia" w:ascii="仿宋" w:hAnsi="仿宋" w:eastAsia="仿宋"/>
          <w:color w:val="000000"/>
          <w:sz w:val="24"/>
        </w:rPr>
        <w:t xml:space="preserve">   说明：承诺书应加盖本单位章</w:t>
      </w:r>
    </w:p>
    <w:p>
      <w:pPr>
        <w:pStyle w:val="30"/>
        <w:tabs>
          <w:tab w:val="clear" w:pos="4153"/>
          <w:tab w:val="clear" w:pos="8306"/>
        </w:tabs>
        <w:spacing w:line="360" w:lineRule="auto"/>
        <w:jc w:val="center"/>
        <w:rPr>
          <w:rFonts w:ascii="Times New Roman" w:eastAsia="仿宋"/>
          <w:bCs/>
          <w:iCs/>
          <w:color w:val="000000"/>
          <w:kern w:val="2"/>
          <w:sz w:val="24"/>
          <w:szCs w:val="24"/>
        </w:rPr>
      </w:pPr>
      <w:bookmarkStart w:id="310" w:name="_Toc16844"/>
      <w:bookmarkEnd w:id="310"/>
      <w:bookmarkStart w:id="311" w:name="_Toc518923115"/>
      <w:bookmarkEnd w:id="311"/>
      <w:r>
        <w:rPr>
          <w:rFonts w:ascii="Times New Roman" w:eastAsia="仿宋"/>
          <w:bCs/>
          <w:iCs/>
          <w:color w:val="000000"/>
          <w:kern w:val="2"/>
          <w:sz w:val="24"/>
          <w:szCs w:val="24"/>
        </w:rPr>
        <w:br w:type="page"/>
      </w:r>
      <w:r>
        <w:rPr>
          <w:rFonts w:ascii="Times New Roman" w:eastAsia="仿宋"/>
          <w:b/>
          <w:bCs/>
          <w:sz w:val="28"/>
          <w:szCs w:val="21"/>
        </w:rPr>
        <w:t>第二部分</w:t>
      </w:r>
      <w:r>
        <w:rPr>
          <w:rFonts w:hint="eastAsia" w:ascii="Times New Roman" w:eastAsia="仿宋"/>
          <w:b/>
          <w:bCs/>
          <w:sz w:val="28"/>
          <w:szCs w:val="21"/>
          <w:lang w:val="en-US" w:eastAsia="zh-CN"/>
        </w:rPr>
        <w:t xml:space="preserve"> </w:t>
      </w:r>
      <w:r>
        <w:rPr>
          <w:rFonts w:ascii="Times New Roman" w:eastAsia="仿宋"/>
          <w:b/>
          <w:bCs/>
          <w:sz w:val="28"/>
          <w:szCs w:val="21"/>
        </w:rPr>
        <w:t>商务及技术文件</w:t>
      </w:r>
    </w:p>
    <w:p>
      <w:pPr>
        <w:pStyle w:val="25"/>
        <w:spacing w:line="360" w:lineRule="auto"/>
        <w:ind w:left="1080" w:leftChars="257" w:hanging="540"/>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5-1《中小企业声明函》</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5-2 残疾人福利性单位声明函</w:t>
      </w:r>
    </w:p>
    <w:p>
      <w:pPr>
        <w:pStyle w:val="25"/>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5-3 《监狱企业声明函》</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pPr>
        <w:pStyle w:val="21"/>
        <w:spacing w:before="0" w:line="360" w:lineRule="auto"/>
        <w:ind w:left="1080" w:leftChars="257" w:hanging="540"/>
        <w:rPr>
          <w:rFonts w:eastAsia="仿宋"/>
          <w:sz w:val="24"/>
        </w:rPr>
      </w:pPr>
      <w:bookmarkStart w:id="312" w:name="_Toc14169"/>
      <w:bookmarkEnd w:id="312"/>
      <w:bookmarkStart w:id="313" w:name="_Toc10878"/>
      <w:bookmarkEnd w:id="313"/>
      <w:bookmarkStart w:id="314" w:name="_Toc26126"/>
      <w:bookmarkEnd w:id="314"/>
      <w:bookmarkStart w:id="315" w:name="_Toc9768"/>
      <w:bookmarkEnd w:id="315"/>
      <w:bookmarkStart w:id="316" w:name="_Toc518923116"/>
      <w:bookmarkEnd w:id="316"/>
      <w:bookmarkStart w:id="317" w:name="_Hlt520355504"/>
      <w:bookmarkEnd w:id="317"/>
      <w:bookmarkStart w:id="318" w:name="_Toc15081"/>
      <w:bookmarkEnd w:id="318"/>
      <w:r>
        <w:rPr>
          <w:rFonts w:eastAsia="仿宋"/>
          <w:sz w:val="24"/>
        </w:rPr>
        <w:t>1</w:t>
      </w:r>
      <w:r>
        <w:rPr>
          <w:rFonts w:hint="eastAsia" w:eastAsia="仿宋"/>
          <w:sz w:val="24"/>
        </w:rPr>
        <w:t>.</w:t>
      </w:r>
      <w:r>
        <w:rPr>
          <w:rFonts w:eastAsia="仿宋"/>
          <w:sz w:val="24"/>
        </w:rPr>
        <w:t>投标书</w:t>
      </w:r>
    </w:p>
    <w:p>
      <w:pPr>
        <w:tabs>
          <w:tab w:val="left" w:pos="5580"/>
        </w:tabs>
        <w:spacing w:line="360" w:lineRule="auto"/>
        <w:ind w:left="1080" w:leftChars="257" w:hanging="540"/>
        <w:rPr>
          <w:rFonts w:eastAsia="仿宋"/>
          <w:sz w:val="24"/>
        </w:rPr>
      </w:pPr>
    </w:p>
    <w:p>
      <w:pPr>
        <w:tabs>
          <w:tab w:val="left" w:pos="5580"/>
        </w:tabs>
        <w:spacing w:line="360" w:lineRule="auto"/>
        <w:ind w:left="1080" w:hanging="1080"/>
        <w:rPr>
          <w:rFonts w:eastAsia="仿宋"/>
          <w:sz w:val="24"/>
        </w:rPr>
      </w:pPr>
      <w:r>
        <w:rPr>
          <w:rFonts w:eastAsia="仿宋"/>
          <w:sz w:val="24"/>
        </w:rPr>
        <w:t>致：</w:t>
      </w:r>
      <w:r>
        <w:rPr>
          <w:rFonts w:hint="eastAsia" w:eastAsia="仿宋"/>
          <w:color w:val="000000"/>
          <w:sz w:val="24"/>
          <w:u w:val="single"/>
          <w:lang w:val="en-US" w:eastAsia="zh-CN"/>
        </w:rPr>
        <w:t>福海县政府采购</w:t>
      </w:r>
      <w:r>
        <w:rPr>
          <w:rFonts w:eastAsia="仿宋"/>
          <w:color w:val="000000"/>
          <w:sz w:val="24"/>
          <w:u w:val="single"/>
        </w:rPr>
        <w:t>中心</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w:t>
      </w:r>
      <w:r>
        <w:rPr>
          <w:rFonts w:hint="eastAsia" w:ascii="Times New Roman" w:hAnsi="Times New Roman" w:eastAsia="仿宋"/>
          <w:sz w:val="24"/>
          <w:u w:val="single"/>
        </w:rPr>
        <w:t xml:space="preserve">   </w:t>
      </w:r>
      <w:r>
        <w:rPr>
          <w:rFonts w:ascii="Times New Roman" w:hAnsi="Times New Roman" w:eastAsia="仿宋"/>
          <w:sz w:val="24"/>
        </w:rPr>
        <w:t>形式出具的金额为</w:t>
      </w:r>
      <w:r>
        <w:rPr>
          <w:rFonts w:hint="eastAsia" w:ascii="Times New Roman" w:hAnsi="Times New Roman" w:eastAsia="仿宋"/>
          <w:sz w:val="24"/>
          <w:u w:val="single"/>
        </w:rPr>
        <w:t xml:space="preserve">   </w:t>
      </w:r>
      <w:r>
        <w:rPr>
          <w:rFonts w:ascii="Times New Roman" w:hAnsi="Times New Roman" w:eastAsia="仿宋"/>
          <w:sz w:val="24"/>
        </w:rPr>
        <w:t>人民币元的投标保证金。</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pPr>
        <w:pStyle w:val="25"/>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rPr>
        <w:t xml:space="preserve"> 90 </w:t>
      </w:r>
      <w:r>
        <w:rPr>
          <w:rFonts w:ascii="Times New Roman" w:hAnsi="Times New Roman" w:eastAsia="仿宋"/>
          <w:sz w:val="24"/>
        </w:rPr>
        <w:t>个日历日。</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pPr>
        <w:pStyle w:val="25"/>
        <w:tabs>
          <w:tab w:val="left" w:pos="5580"/>
        </w:tabs>
        <w:spacing w:line="360" w:lineRule="auto"/>
        <w:ind w:left="359" w:leftChars="68" w:hanging="216" w:hangingChars="90"/>
        <w:rPr>
          <w:rFonts w:ascii="Times New Roman" w:hAnsi="Times New Roman" w:eastAsia="仿宋"/>
          <w:sz w:val="24"/>
        </w:rPr>
      </w:pPr>
    </w:p>
    <w:p>
      <w:pPr>
        <w:pStyle w:val="25"/>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pPr>
        <w:pStyle w:val="21"/>
        <w:spacing w:before="0" w:line="360" w:lineRule="auto"/>
        <w:ind w:left="1080" w:leftChars="257" w:hanging="540"/>
        <w:rPr>
          <w:rFonts w:eastAsia="仿宋"/>
          <w:sz w:val="24"/>
        </w:rPr>
      </w:pPr>
      <w:bookmarkStart w:id="319" w:name="_Hlt520356243"/>
      <w:bookmarkEnd w:id="319"/>
      <w:bookmarkStart w:id="320" w:name="_Hlt520355938"/>
      <w:bookmarkEnd w:id="320"/>
      <w:r>
        <w:rPr>
          <w:rFonts w:eastAsia="仿宋"/>
          <w:sz w:val="24"/>
        </w:rPr>
        <w:br w:type="page"/>
      </w:r>
    </w:p>
    <w:p>
      <w:pPr>
        <w:pStyle w:val="21"/>
        <w:spacing w:before="0" w:line="360" w:lineRule="auto"/>
        <w:ind w:left="1080" w:leftChars="257" w:hanging="540"/>
        <w:rPr>
          <w:rFonts w:eastAsia="仿宋"/>
          <w:sz w:val="24"/>
        </w:rPr>
      </w:pPr>
    </w:p>
    <w:p>
      <w:pPr>
        <w:pStyle w:val="21"/>
        <w:spacing w:before="0" w:line="360" w:lineRule="auto"/>
        <w:ind w:left="1080" w:leftChars="257" w:hanging="540"/>
        <w:rPr>
          <w:rFonts w:eastAsia="仿宋"/>
          <w:sz w:val="24"/>
        </w:rPr>
      </w:pPr>
      <w:bookmarkStart w:id="321" w:name="_Toc15800"/>
      <w:bookmarkEnd w:id="321"/>
      <w:bookmarkStart w:id="322" w:name="_Toc11050"/>
      <w:bookmarkEnd w:id="322"/>
      <w:r>
        <w:rPr>
          <w:rFonts w:hint="eastAsia" w:eastAsia="仿宋"/>
          <w:sz w:val="24"/>
        </w:rPr>
        <w:t>2.</w:t>
      </w:r>
      <w:r>
        <w:rPr>
          <w:rFonts w:eastAsia="仿宋"/>
          <w:sz w:val="24"/>
        </w:rPr>
        <w:t>投标分项报价表</w:t>
      </w:r>
    </w:p>
    <w:p>
      <w:pPr>
        <w:pStyle w:val="25"/>
        <w:spacing w:line="360" w:lineRule="auto"/>
        <w:ind w:left="1080" w:leftChars="257" w:hanging="540"/>
        <w:rPr>
          <w:rFonts w:ascii="Times New Roman" w:hAnsi="Times New Roman" w:eastAsia="仿宋"/>
          <w:sz w:val="24"/>
        </w:rPr>
      </w:pPr>
    </w:p>
    <w:p>
      <w:pPr>
        <w:pStyle w:val="2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16"/>
        <w:tblpPr w:leftFromText="180" w:rightFromText="180" w:vertAnchor="text" w:horzAnchor="page" w:tblpX="1150" w:tblpY="327"/>
        <w:tblOverlap w:val="never"/>
        <w:tblW w:w="9720" w:type="dxa"/>
        <w:tblInd w:w="0"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tblPrEx>
          <w:tblLayout w:type="fixed"/>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备注</w:t>
            </w: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rPr>
                <w:rFonts w:eastAsia="仿宋"/>
                <w:kern w:val="0"/>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sz w:val="22"/>
                <w:szCs w:val="22"/>
              </w:rPr>
            </w:pPr>
          </w:p>
        </w:tc>
      </w:tr>
    </w:tbl>
    <w:p>
      <w:pPr>
        <w:pStyle w:val="25"/>
        <w:spacing w:line="360" w:lineRule="auto"/>
        <w:ind w:left="-141" w:leftChars="-67"/>
        <w:rPr>
          <w:rFonts w:ascii="Times New Roman" w:hAnsi="Times New Roman" w:eastAsia="仿宋"/>
          <w:sz w:val="24"/>
        </w:rPr>
      </w:pPr>
    </w:p>
    <w:p>
      <w:pPr>
        <w:rPr>
          <w:b/>
          <w:bCs/>
        </w:rPr>
      </w:pPr>
    </w:p>
    <w:p>
      <w:pPr>
        <w:pStyle w:val="25"/>
        <w:spacing w:line="360" w:lineRule="auto"/>
        <w:ind w:left="-141" w:leftChars="-67"/>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pPr>
        <w:pStyle w:val="2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pPr>
        <w:pStyle w:val="25"/>
        <w:spacing w:line="360" w:lineRule="auto"/>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w:t>
      </w:r>
      <w:r>
        <w:rPr>
          <w:rFonts w:hint="eastAsia" w:ascii="Times New Roman" w:hAnsi="Times New Roman" w:eastAsia="仿宋"/>
          <w:sz w:val="24"/>
          <w:lang w:val="en-US" w:eastAsia="zh-CN"/>
        </w:rPr>
        <w:t>可</w:t>
      </w:r>
      <w:r>
        <w:rPr>
          <w:rFonts w:hint="eastAsia" w:ascii="Times New Roman" w:hAnsi="Times New Roman" w:eastAsia="仿宋"/>
          <w:sz w:val="24"/>
        </w:rPr>
        <w:t>填写一份该表。</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pPr>
        <w:pStyle w:val="25"/>
        <w:spacing w:line="360" w:lineRule="auto"/>
        <w:ind w:left="479" w:leftChars="228"/>
        <w:rPr>
          <w:rFonts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pPr>
        <w:pStyle w:val="4"/>
        <w:numPr>
          <w:ilvl w:val="1"/>
          <w:numId w:val="0"/>
        </w:numPr>
        <w:spacing w:line="360" w:lineRule="auto"/>
        <w:ind w:firstLine="482" w:firstLineChars="200"/>
        <w:rPr>
          <w:rFonts w:ascii="仿宋" w:hAnsi="仿宋" w:eastAsia="仿宋" w:cs="仿宋"/>
          <w:sz w:val="24"/>
        </w:rPr>
      </w:pPr>
      <w:bookmarkStart w:id="323" w:name="_Toc2103"/>
      <w:bookmarkEnd w:id="323"/>
      <w:bookmarkStart w:id="324" w:name="_Toc14331"/>
      <w:bookmarkEnd w:id="324"/>
      <w:bookmarkStart w:id="325" w:name="_Toc31304"/>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pPr>
        <w:pStyle w:val="9"/>
        <w:spacing w:line="360" w:lineRule="auto"/>
        <w:ind w:left="1080" w:leftChars="257" w:hanging="540"/>
        <w:rPr>
          <w:rFonts w:ascii="仿宋" w:hAnsi="仿宋" w:eastAsia="仿宋" w:cs="仿宋"/>
          <w:sz w:val="24"/>
        </w:rPr>
      </w:pPr>
    </w:p>
    <w:p>
      <w:pPr>
        <w:pStyle w:val="9"/>
        <w:spacing w:line="360" w:lineRule="auto"/>
        <w:rPr>
          <w:rFonts w:ascii="仿宋" w:hAnsi="仿宋" w:eastAsia="仿宋" w:cs="仿宋"/>
          <w:sz w:val="24"/>
        </w:rPr>
      </w:pPr>
      <w:r>
        <w:rPr>
          <w:rFonts w:hint="eastAsia" w:ascii="仿宋" w:hAnsi="仿宋" w:eastAsia="仿宋" w:cs="仿宋"/>
          <w:sz w:val="24"/>
        </w:rPr>
        <w:t xml:space="preserve">项目名称:                       招标编号:                    </w:t>
      </w:r>
    </w:p>
    <w:tbl>
      <w:tblPr>
        <w:tblStyle w:val="16"/>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1、供应商应对照采购文件采购需求中的技术参数及要求，说明所提供产品或（工程）服务已对采购文件的技术参数（需求）做出了响应或偏离。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4"/>
        <w:numPr>
          <w:ilvl w:val="1"/>
          <w:numId w:val="0"/>
        </w:numPr>
        <w:spacing w:line="360" w:lineRule="auto"/>
        <w:jc w:val="center"/>
        <w:rPr>
          <w:rFonts w:ascii="仿宋" w:hAnsi="仿宋" w:eastAsia="仿宋" w:cs="仿宋"/>
          <w:sz w:val="24"/>
        </w:rPr>
      </w:pPr>
      <w:bookmarkStart w:id="327" w:name="_Toc24529"/>
      <w:bookmarkStart w:id="328" w:name="_Toc15309"/>
      <w:bookmarkStart w:id="329" w:name="_Toc8079"/>
      <w:bookmarkStart w:id="330" w:name="_Toc20532"/>
      <w:bookmarkStart w:id="331" w:name="_Toc216582818"/>
      <w:bookmarkStart w:id="332" w:name="_Toc518923119"/>
      <w:r>
        <w:rPr>
          <w:rFonts w:hint="eastAsia" w:ascii="仿宋" w:hAnsi="仿宋" w:eastAsia="仿宋" w:cs="仿宋"/>
          <w:sz w:val="24"/>
        </w:rPr>
        <w:t>4.商务条款偏离表</w:t>
      </w:r>
      <w:bookmarkEnd w:id="327"/>
      <w:bookmarkEnd w:id="328"/>
      <w:bookmarkEnd w:id="329"/>
      <w:bookmarkEnd w:id="330"/>
      <w:bookmarkEnd w:id="331"/>
      <w:bookmarkEnd w:id="332"/>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1、商务条款包括付款方式、交货地点（履约地点）、合同履约期限等内容;</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25"/>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pPr>
        <w:pStyle w:val="21"/>
        <w:spacing w:before="0" w:line="360" w:lineRule="auto"/>
        <w:ind w:firstLine="723" w:firstLineChars="300"/>
        <w:jc w:val="both"/>
        <w:rPr>
          <w:rFonts w:hint="eastAsia" w:ascii="仿宋" w:hAnsi="仿宋" w:eastAsia="仿宋"/>
          <w:bCs/>
          <w:sz w:val="24"/>
        </w:rPr>
      </w:pPr>
      <w:bookmarkStart w:id="333" w:name="_Toc12180"/>
      <w:bookmarkEnd w:id="333"/>
      <w:bookmarkStart w:id="334" w:name="_Toc17685"/>
      <w:bookmarkEnd w:id="334"/>
      <w:bookmarkStart w:id="335" w:name="_Toc480"/>
      <w:bookmarkEnd w:id="335"/>
      <w:bookmarkStart w:id="336" w:name="_Toc518923120"/>
      <w:bookmarkEnd w:id="336"/>
      <w:bookmarkStart w:id="337" w:name="_Toc23731"/>
      <w:bookmarkEnd w:id="337"/>
      <w:bookmarkStart w:id="338" w:name="_Toc29458"/>
      <w:bookmarkEnd w:id="338"/>
      <w:r>
        <w:rPr>
          <w:rFonts w:hint="eastAsia" w:eastAsia="仿宋"/>
          <w:sz w:val="24"/>
        </w:rPr>
        <w:t xml:space="preserve">5-1 </w:t>
      </w:r>
      <w:r>
        <w:rPr>
          <w:rFonts w:hint="eastAsia" w:ascii="仿宋" w:hAnsi="仿宋" w:eastAsia="仿宋"/>
          <w:bCs/>
          <w:sz w:val="24"/>
        </w:rPr>
        <w:t>中小企业声明函</w:t>
      </w:r>
    </w:p>
    <w:p>
      <w:pPr>
        <w:pStyle w:val="21"/>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pPr>
        <w:widowControl/>
        <w:spacing w:line="330" w:lineRule="atLeast"/>
        <w:ind w:firstLine="482" w:firstLineChars="200"/>
        <w:jc w:val="left"/>
        <w:rPr>
          <w:rFonts w:ascii="仿宋" w:hAnsi="仿宋" w:eastAsia="仿宋"/>
          <w:b/>
          <w:bCs/>
          <w:color w:val="000000"/>
          <w:kern w:val="0"/>
          <w:sz w:val="24"/>
          <w:highlight w:val="none"/>
        </w:rPr>
      </w:pPr>
      <w:r>
        <w:rPr>
          <w:rFonts w:hint="eastAsia" w:ascii="仿宋" w:hAnsi="仿宋" w:eastAsia="仿宋"/>
          <w:b/>
          <w:bCs/>
          <w:color w:val="auto"/>
          <w:kern w:val="0"/>
          <w:sz w:val="24"/>
          <w:highlight w:val="none"/>
          <w:lang w:val="en-US" w:eastAsia="zh-CN"/>
        </w:rPr>
        <w:t>3、所属行业：</w:t>
      </w:r>
      <w:r>
        <w:rPr>
          <w:rFonts w:hint="eastAsia" w:ascii="仿宋" w:hAnsi="仿宋" w:eastAsia="仿宋"/>
          <w:b/>
          <w:bCs/>
          <w:color w:val="auto"/>
          <w:kern w:val="0"/>
          <w:sz w:val="24"/>
          <w:highlight w:val="none"/>
          <w:u w:val="single"/>
          <w:lang w:val="en-US" w:eastAsia="zh-CN"/>
        </w:rPr>
        <w:t>工业</w:t>
      </w:r>
      <w:r>
        <w:rPr>
          <w:rFonts w:ascii="仿宋" w:hAnsi="仿宋" w:eastAsia="仿宋"/>
          <w:b/>
          <w:bCs/>
          <w:color w:val="000000"/>
          <w:kern w:val="0"/>
          <w:sz w:val="24"/>
          <w:highlight w:val="none"/>
        </w:rPr>
        <w:br w:type="page"/>
      </w:r>
    </w:p>
    <w:p>
      <w:pPr>
        <w:widowControl/>
        <w:spacing w:before="100" w:beforeAutospacing="1" w:after="100" w:afterAutospacing="1" w:line="360" w:lineRule="auto"/>
        <w:jc w:val="left"/>
        <w:rPr>
          <w:rFonts w:ascii="仿宋" w:hAnsi="仿宋" w:eastAsia="仿宋" w:cs="仿宋"/>
          <w:b/>
          <w:sz w:val="24"/>
        </w:rPr>
      </w:pPr>
      <w:r>
        <w:rPr>
          <w:rFonts w:hint="eastAsia" w:ascii="仿宋" w:hAnsi="仿宋" w:eastAsia="仿宋" w:cs="仿宋"/>
          <w:b/>
          <w:kern w:val="0"/>
          <w:sz w:val="24"/>
        </w:rPr>
        <w:t>5-2.</w:t>
      </w:r>
      <w:r>
        <w:rPr>
          <w:rFonts w:hint="eastAsia" w:ascii="仿宋" w:hAnsi="仿宋" w:eastAsia="仿宋" w:cs="仿宋"/>
          <w:b/>
          <w:bCs/>
          <w:kern w:val="0"/>
          <w:sz w:val="24"/>
        </w:rPr>
        <w:t>残疾人福利性单位声明函（若无，可不填）</w:t>
      </w:r>
    </w:p>
    <w:p>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pPr>
        <w:snapToGrid w:val="0"/>
        <w:spacing w:line="400" w:lineRule="exact"/>
        <w:ind w:left="1080" w:leftChars="257" w:hanging="540"/>
        <w:jc w:val="center"/>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pPr>
        <w:pStyle w:val="2"/>
        <w:spacing w:line="400" w:lineRule="exact"/>
        <w:ind w:firstLine="1920" w:firstLineChars="800"/>
        <w:rPr>
          <w:rFonts w:ascii="仿宋" w:hAnsi="仿宋" w:eastAsia="仿宋" w:cs="仿宋"/>
          <w:szCs w:val="24"/>
        </w:rPr>
      </w:pPr>
      <w:r>
        <w:rPr>
          <w:rFonts w:hint="eastAsia" w:ascii="仿宋" w:hAnsi="仿宋" w:eastAsia="仿宋" w:cs="仿宋"/>
          <w:szCs w:val="24"/>
        </w:rPr>
        <w:t>日  期：_____________________</w:t>
      </w:r>
    </w:p>
    <w:p>
      <w:pPr>
        <w:widowControl/>
        <w:spacing w:before="100" w:beforeAutospacing="1" w:after="100" w:afterAutospacing="1" w:line="400" w:lineRule="exact"/>
        <w:rPr>
          <w:rFonts w:ascii="仿宋" w:hAnsi="仿宋" w:eastAsia="仿宋" w:cs="仿宋"/>
          <w:b/>
          <w:kern w:val="0"/>
          <w:sz w:val="24"/>
        </w:rPr>
      </w:pPr>
    </w:p>
    <w:p>
      <w:pPr>
        <w:widowControl/>
        <w:spacing w:before="100" w:beforeAutospacing="1" w:after="100" w:afterAutospacing="1" w:line="400" w:lineRule="exact"/>
        <w:rPr>
          <w:rFonts w:ascii="仿宋" w:hAnsi="仿宋" w:eastAsia="仿宋" w:cs="仿宋"/>
          <w:b/>
          <w:kern w:val="0"/>
          <w:sz w:val="24"/>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5-3.《监狱企业声明函》</w:t>
      </w:r>
      <w:r>
        <w:rPr>
          <w:rFonts w:hint="eastAsia" w:ascii="仿宋" w:hAnsi="仿宋" w:eastAsia="仿宋" w:cs="仿宋"/>
          <w:b/>
          <w:bCs/>
          <w:kern w:val="0"/>
          <w:sz w:val="24"/>
        </w:rPr>
        <w:t>（若无，可不填）</w:t>
      </w:r>
    </w:p>
    <w:p>
      <w:pPr>
        <w:spacing w:line="400" w:lineRule="exact"/>
        <w:ind w:left="1080" w:leftChars="257" w:hanging="540"/>
        <w:jc w:val="center"/>
        <w:rPr>
          <w:rFonts w:ascii="仿宋" w:hAnsi="仿宋" w:eastAsia="仿宋" w:cs="仿宋"/>
          <w:b/>
          <w:kern w:val="0"/>
          <w:sz w:val="24"/>
        </w:rPr>
      </w:pP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pPr>
        <w:snapToGrid w:val="0"/>
        <w:spacing w:line="400" w:lineRule="exact"/>
        <w:ind w:left="1080" w:leftChars="257" w:hanging="540"/>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pPr>
        <w:pStyle w:val="2"/>
        <w:spacing w:line="400" w:lineRule="exact"/>
        <w:rPr>
          <w:rFonts w:hAnsi="宋体" w:cs="宋体"/>
          <w:szCs w:val="24"/>
        </w:rPr>
      </w:pPr>
    </w:p>
    <w:p>
      <w:pPr>
        <w:pStyle w:val="31"/>
        <w:rPr>
          <w:rFonts w:eastAsia="仿宋"/>
        </w:rPr>
        <w:sectPr>
          <w:footerReference r:id="rId5" w:type="default"/>
          <w:pgSz w:w="11906" w:h="16840"/>
          <w:pgMar w:top="1431" w:right="978" w:bottom="1145" w:left="1107" w:header="0" w:footer="983" w:gutter="0"/>
          <w:pgNumType w:fmt="decimal" w:start="40"/>
          <w:cols w:space="720" w:num="1"/>
        </w:sectPr>
      </w:pPr>
    </w:p>
    <w:p>
      <w:pPr>
        <w:pStyle w:val="31"/>
        <w:rPr>
          <w:rFonts w:eastAsia="仿宋"/>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pPr>
        <w:pStyle w:val="25"/>
        <w:spacing w:line="360" w:lineRule="auto"/>
        <w:ind w:left="1080" w:leftChars="257" w:hanging="540"/>
        <w:rPr>
          <w:rFonts w:ascii="Times New Roman" w:hAnsi="Times New Roman" w:eastAsia="仿宋"/>
          <w:b/>
          <w:bCs/>
          <w:kern w:val="0"/>
          <w:sz w:val="24"/>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pPr>
        <w:pStyle w:val="25"/>
        <w:spacing w:line="360" w:lineRule="auto"/>
        <w:ind w:left="1080" w:leftChars="257" w:hanging="540"/>
        <w:rPr>
          <w:rFonts w:hint="eastAsia" w:ascii="Times New Roman" w:hAnsi="Times New Roman" w:eastAsia="仿宋"/>
          <w:b/>
          <w:bCs/>
          <w:kern w:val="0"/>
          <w:sz w:val="24"/>
        </w:rPr>
        <w:sectPr>
          <w:footerReference r:id="rId6" w:type="default"/>
          <w:pgSz w:w="11906" w:h="16840"/>
          <w:pgMar w:top="1431" w:right="978" w:bottom="1145" w:left="1107" w:header="0" w:footer="983" w:gutter="0"/>
          <w:pgNumType w:fmt="decimal"/>
          <w:cols w:space="720" w:num="1"/>
        </w:sect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pPr>
        <w:pStyle w:val="25"/>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pPr>
        <w:pStyle w:val="25"/>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pPr>
        <w:spacing w:line="360" w:lineRule="auto"/>
        <w:ind w:left="1080" w:leftChars="257" w:hanging="540"/>
        <w:jc w:val="left"/>
        <w:rPr>
          <w:rFonts w:eastAsia="仿宋"/>
          <w:b/>
          <w:bCs/>
          <w:kern w:val="0"/>
          <w:sz w:val="24"/>
          <w:szCs w:val="20"/>
        </w:rPr>
      </w:pPr>
    </w:p>
    <w:p>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pPr>
        <w:spacing w:line="360" w:lineRule="auto"/>
        <w:ind w:firstLine="480" w:firstLineChars="200"/>
        <w:rPr>
          <w:rFonts w:eastAsia="仿宋"/>
          <w:kern w:val="0"/>
          <w:sz w:val="24"/>
          <w:szCs w:val="20"/>
        </w:rPr>
      </w:pPr>
      <w:r>
        <w:rPr>
          <w:rFonts w:hint="eastAsia" w:eastAsia="仿宋"/>
          <w:kern w:val="0"/>
          <w:sz w:val="24"/>
          <w:szCs w:val="20"/>
        </w:rPr>
        <w:t>特此承诺</w:t>
      </w:r>
    </w:p>
    <w:p>
      <w:pPr>
        <w:spacing w:line="360" w:lineRule="auto"/>
        <w:ind w:left="1080" w:leftChars="257" w:hanging="540"/>
        <w:jc w:val="center"/>
        <w:rPr>
          <w:rFonts w:eastAsia="仿宋"/>
          <w:b/>
          <w:bCs/>
          <w:kern w:val="0"/>
          <w:sz w:val="24"/>
          <w:szCs w:val="20"/>
        </w:rPr>
      </w:pPr>
    </w:p>
    <w:p>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sz w:val="24"/>
        </w:rPr>
      </w:pPr>
      <w:r>
        <w:rPr>
          <w:rFonts w:eastAsia="仿宋"/>
          <w:sz w:val="24"/>
        </w:rPr>
        <w:br w:type="page"/>
      </w:r>
    </w:p>
    <w:p>
      <w:pPr>
        <w:spacing w:line="360" w:lineRule="auto"/>
        <w:jc w:val="center"/>
        <w:rPr>
          <w:rFonts w:eastAsia="仿宋"/>
          <w:b/>
          <w:sz w:val="44"/>
          <w:szCs w:val="44"/>
        </w:rPr>
      </w:pPr>
    </w:p>
    <w:p>
      <w:pPr>
        <w:pStyle w:val="28"/>
        <w:tabs>
          <w:tab w:val="clear" w:pos="567"/>
        </w:tabs>
        <w:rPr>
          <w:rFonts w:ascii="Times New Roman" w:hAnsi="Times New Roman" w:eastAsia="仿宋"/>
          <w:b/>
          <w:sz w:val="52"/>
          <w:szCs w:val="52"/>
        </w:rPr>
      </w:pPr>
    </w:p>
    <w:p>
      <w:pPr>
        <w:spacing w:line="400" w:lineRule="atLeast"/>
        <w:jc w:val="center"/>
        <w:rPr>
          <w:rFonts w:hint="eastAsia" w:ascii="方正小标宋简体" w:hAnsi="方正小标宋简体" w:eastAsia="方正小标宋简体"/>
          <w:b/>
          <w:color w:val="auto"/>
          <w:sz w:val="48"/>
          <w:szCs w:val="48"/>
          <w:lang w:val="en-US" w:eastAsia="zh-CN"/>
        </w:rPr>
      </w:pPr>
      <w:r>
        <w:rPr>
          <w:rFonts w:hint="eastAsia" w:ascii="方正小标宋简体" w:hAnsi="方正小标宋简体" w:eastAsia="方正小标宋简体"/>
          <w:b/>
          <w:color w:val="auto"/>
          <w:sz w:val="48"/>
          <w:szCs w:val="48"/>
          <w:lang w:val="en-US" w:eastAsia="zh-CN"/>
        </w:rPr>
        <w:t>福海县2025年教育优质均衡及普及普惠建设项目-义务段学校设备采购二标段</w:t>
      </w:r>
    </w:p>
    <w:p>
      <w:pPr>
        <w:spacing w:line="400" w:lineRule="atLeast"/>
        <w:jc w:val="center"/>
        <w:rPr>
          <w:rFonts w:hint="eastAsia" w:ascii="方正小标宋简体" w:hAnsi="方正小标宋简体" w:eastAsia="方正小标宋简体"/>
          <w:b/>
          <w:color w:val="FF0000"/>
          <w:sz w:val="36"/>
          <w:szCs w:val="36"/>
          <w:lang w:val="en-US" w:eastAsia="zh-CN"/>
        </w:rPr>
      </w:pPr>
    </w:p>
    <w:p>
      <w:pPr>
        <w:spacing w:line="400" w:lineRule="atLeast"/>
        <w:jc w:val="center"/>
        <w:rPr>
          <w:rFonts w:ascii="方正小标宋简体" w:hAnsi="方正小标宋简体" w:eastAsia="方正小标宋简体"/>
          <w:b/>
          <w:sz w:val="48"/>
          <w:szCs w:val="48"/>
        </w:rPr>
      </w:pPr>
      <w:r>
        <w:rPr>
          <w:rFonts w:ascii="方正小标宋简体" w:hAnsi="方正小标宋简体" w:eastAsia="方正小标宋简体"/>
          <w:b/>
          <w:sz w:val="48"/>
          <w:szCs w:val="48"/>
        </w:rPr>
        <w:t>公开招标文件</w:t>
      </w:r>
    </w:p>
    <w:p>
      <w:pPr>
        <w:spacing w:line="360" w:lineRule="auto"/>
        <w:ind w:left="1080" w:leftChars="257" w:hanging="540"/>
        <w:jc w:val="center"/>
        <w:rPr>
          <w:rFonts w:eastAsia="仿宋"/>
          <w:bCs/>
          <w:sz w:val="52"/>
          <w:szCs w:val="52"/>
        </w:rPr>
      </w:pPr>
    </w:p>
    <w:p>
      <w:pPr>
        <w:jc w:val="center"/>
        <w:rPr>
          <w:rFonts w:eastAsia="仿宋"/>
          <w:bCs/>
          <w:color w:val="auto"/>
          <w:sz w:val="32"/>
          <w:szCs w:val="32"/>
          <w:highlight w:val="none"/>
        </w:rPr>
      </w:pPr>
      <w:r>
        <w:rPr>
          <w:rFonts w:eastAsia="仿宋"/>
          <w:bCs/>
          <w:sz w:val="32"/>
          <w:szCs w:val="32"/>
        </w:rPr>
        <w:t>（项目编号</w:t>
      </w:r>
      <w:r>
        <w:rPr>
          <w:rFonts w:eastAsia="仿宋"/>
          <w:bCs/>
          <w:color w:val="auto"/>
          <w:sz w:val="32"/>
          <w:szCs w:val="32"/>
        </w:rPr>
        <w:t>：</w:t>
      </w:r>
      <w:r>
        <w:rPr>
          <w:rFonts w:hint="eastAsia" w:eastAsia="仿宋"/>
          <w:bCs/>
          <w:color w:val="auto"/>
          <w:sz w:val="32"/>
          <w:szCs w:val="32"/>
          <w:highlight w:val="none"/>
          <w:lang w:val="en-US" w:eastAsia="zh-CN"/>
        </w:rPr>
        <w:t>FHXZFCG-GK-2025-3</w:t>
      </w:r>
      <w:r>
        <w:rPr>
          <w:rFonts w:eastAsia="仿宋"/>
          <w:bCs/>
          <w:color w:val="auto"/>
          <w:sz w:val="32"/>
          <w:szCs w:val="32"/>
          <w:highlight w:val="none"/>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val="en-US" w:eastAsia="zh-CN"/>
        </w:rPr>
        <w:t>福海县教育局</w:t>
      </w:r>
    </w:p>
    <w:p>
      <w:pPr>
        <w:spacing w:line="360" w:lineRule="auto"/>
        <w:ind w:firstLine="837" w:firstLineChars="299"/>
        <w:rPr>
          <w:rFonts w:eastAsia="仿宋"/>
          <w:sz w:val="28"/>
          <w:szCs w:val="28"/>
        </w:rPr>
      </w:pPr>
      <w:r>
        <w:rPr>
          <w:rFonts w:eastAsia="仿宋"/>
          <w:sz w:val="28"/>
          <w:szCs w:val="28"/>
        </w:rPr>
        <w:t>采购机构：</w:t>
      </w:r>
      <w:r>
        <w:rPr>
          <w:rFonts w:hint="eastAsia" w:eastAsia="仿宋"/>
          <w:sz w:val="28"/>
          <w:szCs w:val="28"/>
          <w:u w:val="single"/>
          <w:lang w:val="en-US" w:eastAsia="zh-CN"/>
        </w:rPr>
        <w:t>福海县政府采购</w:t>
      </w:r>
      <w:r>
        <w:rPr>
          <w:rFonts w:eastAsia="仿宋"/>
          <w:sz w:val="28"/>
          <w:szCs w:val="28"/>
          <w:u w:val="single"/>
        </w:rPr>
        <w:t>中心</w:t>
      </w:r>
    </w:p>
    <w:p>
      <w:pPr>
        <w:spacing w:line="360" w:lineRule="auto"/>
        <w:ind w:firstLine="837" w:firstLineChars="299"/>
        <w:rPr>
          <w:rFonts w:eastAsia="仿宋"/>
          <w:color w:val="auto"/>
          <w:sz w:val="28"/>
          <w:szCs w:val="28"/>
        </w:rPr>
      </w:pPr>
      <w:r>
        <w:rPr>
          <w:rFonts w:eastAsia="仿宋"/>
          <w:sz w:val="28"/>
          <w:szCs w:val="28"/>
        </w:rPr>
        <w:t>发出日期：</w:t>
      </w:r>
      <w:r>
        <w:rPr>
          <w:rFonts w:eastAsia="仿宋"/>
          <w:sz w:val="28"/>
          <w:szCs w:val="28"/>
          <w:u w:val="single"/>
        </w:rPr>
        <w:t>202</w:t>
      </w:r>
      <w:r>
        <w:rPr>
          <w:rFonts w:hint="eastAsia" w:eastAsia="仿宋"/>
          <w:color w:val="auto"/>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p>
    <w:p>
      <w:pPr>
        <w:spacing w:line="360" w:lineRule="auto"/>
        <w:rPr>
          <w:rFonts w:eastAsia="仿宋"/>
          <w:b/>
          <w:sz w:val="52"/>
        </w:rPr>
      </w:pPr>
    </w:p>
    <w:p>
      <w:pPr>
        <w:pStyle w:val="20"/>
        <w:tabs>
          <w:tab w:val="left" w:pos="0"/>
        </w:tabs>
        <w:spacing w:before="0" w:after="0" w:line="360" w:lineRule="auto"/>
        <w:jc w:val="both"/>
        <w:rPr>
          <w:rFonts w:ascii="Times New Roman" w:eastAsia="仿宋"/>
          <w:b w:val="0"/>
          <w:sz w:val="52"/>
        </w:rPr>
      </w:pPr>
      <w:r>
        <w:rPr>
          <w:rFonts w:ascii="Times New Roman" w:eastAsia="仿宋"/>
          <w:b w:val="0"/>
          <w:sz w:val="52"/>
        </w:rPr>
        <w:br w:type="page"/>
      </w:r>
    </w:p>
    <w:p>
      <w:pPr>
        <w:pStyle w:val="20"/>
        <w:tabs>
          <w:tab w:val="left" w:pos="0"/>
        </w:tabs>
        <w:spacing w:before="0" w:after="0" w:line="360" w:lineRule="auto"/>
        <w:rPr>
          <w:rFonts w:ascii="Times New Roman" w:eastAsia="仿宋"/>
        </w:rPr>
      </w:pPr>
      <w:bookmarkStart w:id="339" w:name="_Toc14452"/>
      <w:bookmarkEnd w:id="339"/>
      <w:bookmarkStart w:id="340" w:name="_Toc6823"/>
      <w:bookmarkEnd w:id="340"/>
      <w:bookmarkStart w:id="341" w:name="_Toc30701"/>
      <w:bookmarkEnd w:id="341"/>
      <w:r>
        <w:rPr>
          <w:rFonts w:hint="eastAsia" w:ascii="Times New Roman" w:eastAsia="仿宋"/>
        </w:rPr>
        <w:t>第3章</w:t>
      </w:r>
      <w:r>
        <w:rPr>
          <w:rFonts w:ascii="Times New Roman" w:eastAsia="仿宋"/>
        </w:rPr>
        <w:t>投标邀请</w:t>
      </w:r>
    </w:p>
    <w:p>
      <w:pPr>
        <w:widowControl/>
        <w:spacing w:line="360" w:lineRule="auto"/>
        <w:jc w:val="center"/>
        <w:rPr>
          <w:rFonts w:hint="eastAsia" w:eastAsia="仿宋"/>
          <w:b/>
          <w:bCs/>
          <w:color w:val="auto"/>
          <w:kern w:val="0"/>
          <w:sz w:val="28"/>
          <w:szCs w:val="28"/>
          <w:lang w:val="en-US" w:eastAsia="zh-CN"/>
        </w:rPr>
      </w:pPr>
      <w:r>
        <w:rPr>
          <w:rFonts w:hint="eastAsia" w:eastAsia="仿宋"/>
          <w:b/>
          <w:bCs/>
          <w:color w:val="auto"/>
          <w:kern w:val="0"/>
          <w:sz w:val="28"/>
          <w:szCs w:val="28"/>
          <w:lang w:val="en-US" w:eastAsia="zh-CN"/>
        </w:rPr>
        <w:t>福海县2025年教育优质均衡及普及普惠建设项目</w:t>
      </w:r>
    </w:p>
    <w:p>
      <w:pPr>
        <w:widowControl/>
        <w:spacing w:line="360" w:lineRule="auto"/>
        <w:jc w:val="center"/>
        <w:rPr>
          <w:rFonts w:eastAsia="仿宋"/>
          <w:b/>
          <w:bCs/>
          <w:color w:val="auto"/>
          <w:kern w:val="0"/>
          <w:sz w:val="28"/>
          <w:szCs w:val="28"/>
        </w:rPr>
      </w:pPr>
      <w:r>
        <w:rPr>
          <w:rFonts w:hint="eastAsia" w:eastAsia="仿宋"/>
          <w:b/>
          <w:bCs/>
          <w:color w:val="auto"/>
          <w:kern w:val="0"/>
          <w:sz w:val="28"/>
          <w:szCs w:val="28"/>
          <w:lang w:val="en-US" w:eastAsia="zh-CN"/>
        </w:rPr>
        <w:t>-义务段学校设备采购二标段采购项目</w:t>
      </w:r>
      <w:r>
        <w:rPr>
          <w:rFonts w:hint="eastAsia" w:eastAsia="仿宋"/>
          <w:b/>
          <w:bCs/>
          <w:color w:val="auto"/>
          <w:kern w:val="0"/>
          <w:sz w:val="28"/>
          <w:szCs w:val="28"/>
        </w:rPr>
        <w:t>招标公告</w:t>
      </w:r>
    </w:p>
    <w:p>
      <w:pPr>
        <w:keepNext/>
        <w:keepLines/>
        <w:tabs>
          <w:tab w:val="left" w:pos="0"/>
        </w:tabs>
        <w:autoSpaceDE w:val="0"/>
        <w:autoSpaceDN w:val="0"/>
        <w:jc w:val="center"/>
        <w:outlineLvl w:val="0"/>
        <w:rPr>
          <w:rFonts w:ascii="楷体" w:hAnsi="楷体" w:eastAsia="楷体"/>
          <w:b/>
          <w:bCs/>
          <w:kern w:val="44"/>
          <w:sz w:val="24"/>
        </w:rPr>
      </w:pPr>
    </w:p>
    <w:p>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color w:val="auto"/>
          <w:sz w:val="24"/>
          <w:highlight w:val="none"/>
        </w:rPr>
      </w:pP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招标项目的潜在投标人应在政采云平台获取招标文件，</w:t>
      </w:r>
      <w:r>
        <w:rPr>
          <w:rFonts w:hint="eastAsia" w:ascii="仿宋" w:hAnsi="仿宋" w:eastAsia="仿宋"/>
          <w:color w:val="auto"/>
          <w:sz w:val="24"/>
        </w:rPr>
        <w:t>并</w:t>
      </w:r>
      <w:r>
        <w:rPr>
          <w:rFonts w:hint="eastAsia" w:ascii="仿宋" w:hAnsi="仿宋" w:eastAsia="仿宋" w:cs="Times New Roman"/>
          <w:color w:val="auto"/>
          <w:sz w:val="24"/>
        </w:rPr>
        <w:t>于</w:t>
      </w:r>
      <w:r>
        <w:rPr>
          <w:rFonts w:hint="eastAsia" w:ascii="仿宋" w:hAnsi="仿宋" w:eastAsia="仿宋" w:cs="Times New Roman"/>
          <w:color w:val="auto"/>
          <w:sz w:val="24"/>
          <w:highlight w:val="none"/>
        </w:rPr>
        <w:t>2025年</w:t>
      </w:r>
      <w:r>
        <w:rPr>
          <w:rFonts w:hint="eastAsia" w:ascii="仿宋" w:hAnsi="仿宋" w:eastAsia="仿宋" w:cs="Times New Roman"/>
          <w:color w:val="auto"/>
          <w:sz w:val="24"/>
          <w:highlight w:val="none"/>
          <w:lang w:val="en-US" w:eastAsia="zh-CN"/>
        </w:rPr>
        <w:t xml:space="preserve">7 </w:t>
      </w:r>
      <w:r>
        <w:rPr>
          <w:rFonts w:hint="eastAsia" w:ascii="仿宋" w:hAnsi="仿宋" w:eastAsia="仿宋" w:cs="Times New Roman"/>
          <w:color w:val="auto"/>
          <w:sz w:val="24"/>
          <w:highlight w:val="none"/>
        </w:rPr>
        <w:t>月</w:t>
      </w:r>
      <w:r>
        <w:rPr>
          <w:rFonts w:hint="eastAsia" w:ascii="仿宋" w:hAnsi="仿宋" w:eastAsia="仿宋" w:cs="Times New Roman"/>
          <w:color w:val="auto"/>
          <w:sz w:val="24"/>
          <w:highlight w:val="none"/>
          <w:lang w:val="en-US" w:eastAsia="zh-CN"/>
        </w:rPr>
        <w:t>15</w:t>
      </w:r>
      <w:r>
        <w:rPr>
          <w:rFonts w:hint="eastAsia" w:ascii="仿宋" w:hAnsi="仿宋" w:eastAsia="仿宋" w:cs="Times New Roman"/>
          <w:color w:val="auto"/>
          <w:sz w:val="24"/>
          <w:highlight w:val="none"/>
        </w:rPr>
        <w:t>日1</w:t>
      </w:r>
      <w:r>
        <w:rPr>
          <w:rFonts w:hint="eastAsia" w:ascii="仿宋" w:hAnsi="仿宋" w:eastAsia="仿宋" w:cs="Times New Roman"/>
          <w:color w:val="auto"/>
          <w:sz w:val="24"/>
          <w:highlight w:val="none"/>
          <w:lang w:val="en-US" w:eastAsia="zh-CN"/>
        </w:rPr>
        <w:t>0</w:t>
      </w:r>
      <w:r>
        <w:rPr>
          <w:rFonts w:hint="eastAsia" w:ascii="仿宋" w:hAnsi="仿宋" w:eastAsia="仿宋" w:cs="Times New Roman"/>
          <w:color w:val="auto"/>
          <w:sz w:val="24"/>
          <w:highlight w:val="none"/>
        </w:rPr>
        <w:t>点</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0分（北京时间）前上传投标文件。</w:t>
      </w:r>
    </w:p>
    <w:p>
      <w:pPr>
        <w:spacing w:line="360" w:lineRule="auto"/>
        <w:rPr>
          <w:rFonts w:eastAsia="仿宋"/>
        </w:rPr>
      </w:pP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一、项目基本情况</w:t>
      </w:r>
    </w:p>
    <w:p>
      <w:pPr>
        <w:keepNext w:val="0"/>
        <w:keepLines w:val="0"/>
        <w:pageBreakBefore w:val="0"/>
        <w:wordWrap/>
        <w:overflowPunct/>
        <w:topLinePunct w:val="0"/>
        <w:bidi w:val="0"/>
        <w:spacing w:line="360" w:lineRule="exact"/>
        <w:ind w:firstLine="480" w:firstLineChars="200"/>
        <w:rPr>
          <w:rFonts w:hint="eastAsia" w:ascii="宋体" w:hAnsi="宋体" w:eastAsia="仿宋" w:cs="Times New Roman"/>
          <w:b w:val="0"/>
          <w:bCs w:val="0"/>
          <w:color w:val="auto"/>
          <w:kern w:val="0"/>
          <w:sz w:val="24"/>
          <w:szCs w:val="24"/>
          <w:u w:val="none"/>
          <w:lang w:val="en-US" w:eastAsia="zh-CN" w:bidi="ar-SA"/>
        </w:rPr>
      </w:pPr>
      <w:r>
        <w:rPr>
          <w:rFonts w:hint="eastAsia" w:ascii="仿宋" w:hAnsi="仿宋" w:eastAsia="仿宋" w:cs="Times New Roman"/>
          <w:color w:val="000000"/>
          <w:kern w:val="0"/>
          <w:sz w:val="24"/>
          <w:szCs w:val="24"/>
          <w:lang w:val="en-US" w:eastAsia="zh-CN" w:bidi="ar-SA"/>
        </w:rPr>
        <w:t>1.项目编号</w:t>
      </w:r>
      <w:r>
        <w:rPr>
          <w:rFonts w:hint="eastAsia" w:ascii="仿宋" w:hAnsi="仿宋" w:eastAsia="仿宋" w:cs="Times New Roman"/>
          <w:color w:val="auto"/>
          <w:kern w:val="0"/>
          <w:sz w:val="24"/>
          <w:szCs w:val="24"/>
          <w:lang w:val="en-US" w:eastAsia="zh-CN" w:bidi="ar-SA"/>
        </w:rPr>
        <w:t>：</w:t>
      </w:r>
      <w:r>
        <w:rPr>
          <w:rFonts w:hint="eastAsia" w:ascii="宋体" w:hAnsi="宋体" w:eastAsia="仿宋" w:cs="Times New Roman"/>
          <w:b w:val="0"/>
          <w:bCs w:val="0"/>
          <w:color w:val="auto"/>
          <w:kern w:val="0"/>
          <w:sz w:val="24"/>
          <w:szCs w:val="24"/>
          <w:u w:val="none"/>
          <w:lang w:val="en-US" w:eastAsia="zh-CN" w:bidi="ar-SA"/>
        </w:rPr>
        <w:t>FHXZFCG-GK-2025-3</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color w:val="000000"/>
        </w:rPr>
        <w:t>2.项目名称：</w:t>
      </w: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pPr>
        <w:pStyle w:val="32"/>
        <w:keepNext w:val="0"/>
        <w:keepLines w:val="0"/>
        <w:pageBreakBefore w:val="0"/>
        <w:wordWrap/>
        <w:overflowPunct/>
        <w:topLinePunct w:val="0"/>
        <w:bidi w:val="0"/>
        <w:spacing w:line="360" w:lineRule="exact"/>
        <w:ind w:firstLine="480" w:firstLineChars="200"/>
        <w:rPr>
          <w:rFonts w:ascii="仿宋" w:hAnsi="仿宋" w:eastAsia="仿宋"/>
          <w:b/>
          <w:bCs/>
          <w:color w:val="auto"/>
        </w:rPr>
      </w:pPr>
      <w:r>
        <w:rPr>
          <w:rFonts w:hint="eastAsia" w:ascii="仿宋" w:hAnsi="仿宋" w:eastAsia="仿宋"/>
          <w:color w:val="auto"/>
        </w:rPr>
        <w:t>4.预算金额：</w:t>
      </w:r>
      <w:r>
        <w:rPr>
          <w:rFonts w:hint="eastAsia" w:ascii="仿宋" w:hAnsi="仿宋" w:eastAsia="仿宋"/>
          <w:color w:val="auto"/>
          <w:lang w:val="en-US" w:eastAsia="zh-CN"/>
        </w:rPr>
        <w:t>195.935万元</w:t>
      </w:r>
      <w:r>
        <w:rPr>
          <w:rFonts w:hint="eastAsia" w:ascii="仿宋" w:hAnsi="仿宋" w:eastAsia="仿宋"/>
          <w:color w:val="auto"/>
        </w:rPr>
        <w:t>；</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auto"/>
        </w:rPr>
      </w:pPr>
      <w:r>
        <w:rPr>
          <w:rFonts w:hint="eastAsia" w:ascii="仿宋" w:hAnsi="仿宋" w:eastAsia="仿宋"/>
          <w:color w:val="auto"/>
        </w:rPr>
        <w:t>5.最高限价（万元）：</w:t>
      </w:r>
      <w:r>
        <w:rPr>
          <w:rFonts w:hint="eastAsia" w:ascii="仿宋" w:hAnsi="仿宋" w:eastAsia="仿宋"/>
          <w:color w:val="auto"/>
          <w:lang w:val="en-US" w:eastAsia="zh-CN"/>
        </w:rPr>
        <w:t>195.935万元</w:t>
      </w:r>
      <w:r>
        <w:rPr>
          <w:rFonts w:hint="eastAsia" w:ascii="仿宋" w:hAnsi="仿宋" w:eastAsia="仿宋"/>
          <w:color w:val="auto"/>
        </w:rPr>
        <w:t>；</w:t>
      </w:r>
    </w:p>
    <w:p>
      <w:pPr>
        <w:keepNext w:val="0"/>
        <w:keepLines w:val="0"/>
        <w:pageBreakBefore w:val="0"/>
        <w:widowControl/>
        <w:wordWrap/>
        <w:overflowPunct/>
        <w:topLinePunct w:val="0"/>
        <w:bidi w:val="0"/>
        <w:spacing w:line="360" w:lineRule="exact"/>
        <w:ind w:firstLine="480" w:firstLineChars="200"/>
        <w:jc w:val="left"/>
        <w:rPr>
          <w:rFonts w:ascii="仿宋" w:hAnsi="仿宋" w:eastAsia="仿宋" w:cs="Times New Roman"/>
          <w:color w:val="auto"/>
          <w:kern w:val="0"/>
          <w:sz w:val="24"/>
          <w:szCs w:val="24"/>
          <w:lang w:val="en-US" w:eastAsia="zh-CN" w:bidi="ar-SA"/>
        </w:rPr>
      </w:pPr>
      <w:r>
        <w:rPr>
          <w:rFonts w:hint="eastAsia" w:ascii="仿宋" w:hAnsi="仿宋" w:eastAsia="仿宋"/>
          <w:color w:val="000000"/>
          <w:kern w:val="0"/>
          <w:sz w:val="24"/>
        </w:rPr>
        <w:t>6.采购需求：本项目不分包，</w:t>
      </w:r>
      <w:r>
        <w:rPr>
          <w:rFonts w:hint="eastAsia" w:ascii="仿宋" w:hAnsi="仿宋" w:eastAsia="仿宋" w:cs="Times New Roman"/>
          <w:color w:val="000000"/>
          <w:kern w:val="0"/>
          <w:sz w:val="24"/>
          <w:szCs w:val="24"/>
          <w:lang w:val="en-US" w:eastAsia="zh-CN" w:bidi="ar-SA"/>
        </w:rPr>
        <w:t>本项目主要包括：</w:t>
      </w:r>
      <w:r>
        <w:rPr>
          <w:rFonts w:hint="eastAsia" w:ascii="仿宋" w:hAnsi="仿宋" w:eastAsia="仿宋" w:cs="Times New Roman"/>
          <w:color w:val="auto"/>
          <w:kern w:val="0"/>
          <w:sz w:val="24"/>
          <w:szCs w:val="24"/>
          <w:lang w:val="en-US" w:eastAsia="zh-CN" w:bidi="ar-SA"/>
        </w:rPr>
        <w:t>学生课桌椅、教师讲桌、档案柜、图书架等。详细采购内容详见招标文件。</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7.本项目不接受联合体投标。</w:t>
      </w:r>
    </w:p>
    <w:p>
      <w:pPr>
        <w:pStyle w:val="32"/>
        <w:keepNext w:val="0"/>
        <w:keepLines w:val="0"/>
        <w:pageBreakBefore w:val="0"/>
        <w:wordWrap/>
        <w:overflowPunct/>
        <w:topLinePunct w:val="0"/>
        <w:bidi w:val="0"/>
        <w:spacing w:line="360" w:lineRule="exact"/>
        <w:rPr>
          <w:rFonts w:ascii="仿宋" w:hAnsi="仿宋" w:eastAsia="仿宋"/>
          <w:b/>
          <w:bCs/>
          <w:color w:val="000000"/>
        </w:rPr>
      </w:pPr>
      <w:bookmarkStart w:id="342" w:name="_Toc35393799"/>
      <w:bookmarkEnd w:id="342"/>
      <w:bookmarkStart w:id="343" w:name="_Toc28359090"/>
      <w:bookmarkEnd w:id="343"/>
      <w:bookmarkStart w:id="344" w:name="_Toc35393630"/>
      <w:bookmarkEnd w:id="344"/>
      <w:bookmarkStart w:id="345" w:name="_Toc28359013"/>
      <w:bookmarkEnd w:id="345"/>
      <w:r>
        <w:rPr>
          <w:rFonts w:hint="eastAsia" w:ascii="仿宋" w:hAnsi="仿宋" w:eastAsia="仿宋"/>
          <w:b/>
          <w:bCs/>
          <w:color w:val="000000"/>
        </w:rPr>
        <w:t>二、投标供应商资格要求：</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b/>
          <w:bCs/>
          <w:color w:val="auto"/>
        </w:rPr>
      </w:pPr>
      <w:r>
        <w:rPr>
          <w:rFonts w:hint="eastAsia" w:ascii="仿宋" w:hAnsi="仿宋" w:eastAsia="仿宋"/>
          <w:b w:val="0"/>
          <w:bCs w:val="0"/>
          <w:color w:val="auto"/>
          <w:lang w:val="en-US" w:eastAsia="zh-CN"/>
        </w:rPr>
        <w:t>3</w:t>
      </w:r>
      <w:r>
        <w:rPr>
          <w:rFonts w:hint="eastAsia" w:ascii="仿宋" w:hAnsi="仿宋" w:eastAsia="仿宋"/>
          <w:b w:val="0"/>
          <w:bCs w:val="0"/>
          <w:color w:val="auto"/>
        </w:rPr>
        <w:t>.</w:t>
      </w:r>
      <w:r>
        <w:rPr>
          <w:rFonts w:hint="eastAsia" w:ascii="仿宋" w:hAnsi="仿宋" w:eastAsia="仿宋"/>
          <w:color w:val="auto"/>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三、获取采购文件</w:t>
      </w:r>
    </w:p>
    <w:p>
      <w:pPr>
        <w:keepNext w:val="0"/>
        <w:keepLines w:val="0"/>
        <w:pageBreakBefore w:val="0"/>
        <w:wordWrap/>
        <w:overflowPunct/>
        <w:topLinePunct w:val="0"/>
        <w:bidi w:val="0"/>
        <w:spacing w:line="360" w:lineRule="exact"/>
        <w:ind w:firstLine="480" w:firstLineChars="200"/>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w:t>
      </w:r>
      <w:r>
        <w:rPr>
          <w:rFonts w:hint="eastAsia" w:ascii="仿宋" w:hAnsi="仿宋" w:eastAsia="仿宋" w:cs="Times New Roman"/>
          <w:color w:val="auto"/>
          <w:kern w:val="0"/>
          <w:sz w:val="24"/>
          <w:szCs w:val="24"/>
          <w:highlight w:val="none"/>
          <w:lang w:val="en-US" w:eastAsia="zh-CN" w:bidi="ar-SA"/>
        </w:rPr>
        <w:t>2025年6月24日至2025年7月1日</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highlight w:val="none"/>
        </w:rPr>
      </w:pPr>
      <w:r>
        <w:rPr>
          <w:rFonts w:hint="eastAsia" w:ascii="仿宋" w:hAnsi="仿宋" w:eastAsia="仿宋"/>
          <w:sz w:val="24"/>
          <w:highlight w:val="none"/>
        </w:rPr>
        <w:t>获取方式：</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”应用，在获取采购文件菜单中选择项目，</w:t>
      </w:r>
      <w:r>
        <w:rPr>
          <w:rFonts w:ascii="仿宋" w:hAnsi="仿宋" w:eastAsia="仿宋" w:cs="仿宋"/>
          <w:spacing w:val="-27"/>
          <w:sz w:val="24"/>
          <w:szCs w:val="24"/>
          <w:highlight w:val="none"/>
        </w:rPr>
        <w:t xml:space="preserve"> </w:t>
      </w:r>
      <w:r>
        <w:rPr>
          <w:rFonts w:ascii="仿宋" w:hAnsi="仿宋" w:eastAsia="仿宋" w:cs="仿宋"/>
          <w:spacing w:val="-9"/>
          <w:sz w:val="24"/>
          <w:szCs w:val="24"/>
          <w:highlight w:val="none"/>
        </w:rPr>
        <w:t>申请</w:t>
      </w:r>
      <w:r>
        <w:rPr>
          <w:rFonts w:ascii="仿宋" w:hAnsi="仿宋" w:eastAsia="仿宋" w:cs="仿宋"/>
          <w:spacing w:val="-10"/>
          <w:sz w:val="24"/>
          <w:szCs w:val="24"/>
          <w:highlight w:val="none"/>
        </w:rPr>
        <w:t>获取采购文件</w:t>
      </w:r>
      <w:r>
        <w:rPr>
          <w:rFonts w:ascii="仿宋" w:hAnsi="仿宋" w:eastAsia="仿宋" w:cs="仿宋"/>
          <w:spacing w:val="-2"/>
          <w:sz w:val="24"/>
          <w:szCs w:val="24"/>
          <w:highlight w:val="none"/>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rPr>
      </w:pPr>
      <w:r>
        <w:rPr>
          <w:rFonts w:hint="eastAsia" w:ascii="仿宋" w:hAnsi="仿宋" w:eastAsia="仿宋"/>
          <w:sz w:val="24"/>
          <w:highlight w:val="none"/>
        </w:rPr>
        <w:t>获取地点：</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w:t>
      </w:r>
      <w:r>
        <w:rPr>
          <w:rFonts w:ascii="仿宋" w:hAnsi="仿宋" w:eastAsia="仿宋" w:cs="仿宋"/>
          <w:spacing w:val="-9"/>
          <w:sz w:val="24"/>
          <w:szCs w:val="24"/>
        </w:rPr>
        <w:t>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ordWrap/>
        <w:overflowPunct/>
        <w:topLinePunct w:val="0"/>
        <w:bidi w:val="0"/>
        <w:spacing w:line="360" w:lineRule="exact"/>
        <w:rPr>
          <w:rFonts w:hint="eastAsia" w:ascii="仿宋" w:hAnsi="仿宋" w:eastAsia="仿宋" w:cs="Times New Roman"/>
          <w:b/>
          <w:bCs/>
          <w:color w:val="000000"/>
          <w:kern w:val="0"/>
          <w:sz w:val="24"/>
          <w:szCs w:val="24"/>
          <w:lang w:val="en-US" w:eastAsia="zh-CN" w:bidi="ar-SA"/>
        </w:rPr>
      </w:pPr>
      <w:bookmarkStart w:id="346" w:name="_Toc28359082"/>
      <w:bookmarkEnd w:id="346"/>
      <w:bookmarkStart w:id="347" w:name="_Toc2532"/>
      <w:bookmarkEnd w:id="347"/>
      <w:bookmarkStart w:id="348" w:name="_Toc952"/>
      <w:bookmarkEnd w:id="348"/>
      <w:bookmarkStart w:id="349" w:name="_Toc35393793"/>
      <w:bookmarkEnd w:id="349"/>
      <w:bookmarkStart w:id="350" w:name="_Toc28359005"/>
      <w:bookmarkEnd w:id="350"/>
      <w:bookmarkStart w:id="351" w:name="_Toc9047"/>
      <w:bookmarkEnd w:id="351"/>
      <w:bookmarkStart w:id="352" w:name="_Toc2422"/>
      <w:bookmarkEnd w:id="352"/>
      <w:bookmarkStart w:id="353" w:name="_Toc35393624"/>
      <w:bookmarkEnd w:id="353"/>
      <w:r>
        <w:rPr>
          <w:rFonts w:hint="eastAsia" w:ascii="仿宋" w:hAnsi="仿宋" w:eastAsia="仿宋" w:cs="Times New Roman"/>
          <w:b/>
          <w:bCs/>
          <w:color w:val="000000"/>
          <w:kern w:val="0"/>
          <w:sz w:val="24"/>
          <w:szCs w:val="24"/>
          <w:lang w:val="en-US" w:eastAsia="zh-CN" w:bidi="ar-SA"/>
        </w:rPr>
        <w:t>四、项目内容及需求：</w:t>
      </w:r>
    </w:p>
    <w:p>
      <w:pPr>
        <w:keepNext w:val="0"/>
        <w:keepLines w:val="0"/>
        <w:pageBreakBefore w:val="0"/>
        <w:wordWrap/>
        <w:overflowPunct/>
        <w:topLinePunct w:val="0"/>
        <w:bidi w:val="0"/>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w:t>
      </w:r>
      <w:r>
        <w:rPr>
          <w:rFonts w:hint="eastAsia" w:ascii="仿宋" w:hAnsi="仿宋" w:eastAsia="仿宋"/>
          <w:b/>
          <w:bCs/>
          <w:sz w:val="24"/>
          <w:szCs w:val="24"/>
          <w:lang w:val="en-US" w:eastAsia="zh-CN"/>
        </w:rPr>
        <w:t>标</w:t>
      </w:r>
      <w:r>
        <w:rPr>
          <w:rFonts w:hint="eastAsia" w:ascii="仿宋" w:hAnsi="仿宋" w:eastAsia="仿宋"/>
          <w:b/>
          <w:bCs/>
          <w:sz w:val="24"/>
          <w:szCs w:val="24"/>
        </w:rPr>
        <w:t>文</w:t>
      </w:r>
      <w:r>
        <w:rPr>
          <w:rFonts w:hint="eastAsia" w:ascii="仿宋" w:hAnsi="仿宋" w:eastAsia="仿宋"/>
          <w:b/>
          <w:bCs/>
          <w:sz w:val="24"/>
          <w:szCs w:val="24"/>
          <w:lang w:val="en-US" w:eastAsia="zh-CN"/>
        </w:rPr>
        <w:t>件</w:t>
      </w:r>
      <w:r>
        <w:rPr>
          <w:rFonts w:hint="eastAsia" w:eastAsia="仿宋"/>
          <w:b/>
          <w:bCs/>
          <w:sz w:val="24"/>
          <w:szCs w:val="24"/>
        </w:rPr>
        <w:t>货物需求一览表及技术规格</w:t>
      </w:r>
      <w:r>
        <w:rPr>
          <w:rFonts w:hint="eastAsia" w:ascii="仿宋" w:hAnsi="仿宋" w:eastAsia="仿宋"/>
          <w:b/>
          <w:bCs/>
          <w:sz w:val="24"/>
        </w:rPr>
        <w:t xml:space="preserve">。 </w:t>
      </w:r>
    </w:p>
    <w:p>
      <w:pPr>
        <w:keepNext w:val="0"/>
        <w:keepLines w:val="0"/>
        <w:pageBreakBefore w:val="0"/>
        <w:wordWrap/>
        <w:overflowPunct/>
        <w:topLinePunct w:val="0"/>
        <w:bidi w:val="0"/>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货物采购。</w:t>
      </w:r>
    </w:p>
    <w:p>
      <w:pPr>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sz w:val="24"/>
        </w:rPr>
        <w:t>3、需要落实的政府采购政策：</w:t>
      </w:r>
      <w:bookmarkStart w:id="354" w:name="OLE_LINK1"/>
      <w:r>
        <w:rPr>
          <w:rFonts w:hint="eastAsia" w:ascii="仿宋" w:hAnsi="仿宋" w:eastAsia="仿宋"/>
          <w:sz w:val="24"/>
        </w:rPr>
        <w:t xml:space="preserve">《政府采购促进中小企业发展管理办法》（财库〔2020〕46号）、《关于政府采购支持监狱企业发展有关问题的通知》(财库〔2014〕68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bookmarkEnd w:id="354"/>
    <w:p>
      <w:pPr>
        <w:keepNext w:val="0"/>
        <w:keepLines w:val="0"/>
        <w:pageBreakBefore w:val="0"/>
        <w:wordWrap/>
        <w:overflowPunct/>
        <w:topLinePunct w:val="0"/>
        <w:bidi w:val="0"/>
        <w:spacing w:line="360" w:lineRule="exact"/>
        <w:ind w:firstLine="480" w:firstLineChars="200"/>
        <w:rPr>
          <w:rFonts w:hint="eastAsia" w:ascii="仿宋" w:hAnsi="仿宋" w:eastAsia="仿宋"/>
          <w:b/>
          <w:bCs/>
          <w:color w:val="FF0000"/>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color w:val="auto"/>
          <w:sz w:val="24"/>
          <w:u w:val="single"/>
          <w:lang w:val="en-US" w:eastAsia="zh-CN"/>
        </w:rPr>
        <w:t>是</w:t>
      </w:r>
    </w:p>
    <w:p>
      <w:pPr>
        <w:keepNext w:val="0"/>
        <w:keepLines w:val="0"/>
        <w:pageBreakBefore w:val="0"/>
        <w:wordWrap/>
        <w:overflowPunct/>
        <w:topLinePunct w:val="0"/>
        <w:bidi w:val="0"/>
        <w:spacing w:line="360" w:lineRule="exact"/>
        <w:ind w:firstLine="480" w:firstLineChars="200"/>
        <w:rPr>
          <w:rFonts w:hint="eastAsia" w:ascii="仿宋" w:hAnsi="仿宋" w:eastAsia="仿宋"/>
          <w:b/>
          <w:sz w:val="24"/>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color w:val="auto"/>
          <w:sz w:val="24"/>
          <w:u w:val="single"/>
          <w:lang w:val="en-US" w:eastAsia="zh-CN"/>
        </w:rPr>
        <w:t>工</w:t>
      </w:r>
      <w:r>
        <w:rPr>
          <w:rFonts w:hint="eastAsia" w:ascii="仿宋" w:hAnsi="仿宋" w:eastAsia="仿宋"/>
          <w:b/>
          <w:bCs/>
          <w:color w:val="auto"/>
          <w:sz w:val="24"/>
          <w:u w:val="single"/>
        </w:rPr>
        <w:t>业</w:t>
      </w:r>
      <w:r>
        <w:rPr>
          <w:rFonts w:hint="eastAsia" w:ascii="仿宋" w:hAnsi="仿宋" w:eastAsia="仿宋"/>
          <w:b/>
          <w:bCs/>
          <w:color w:val="auto"/>
          <w:sz w:val="24"/>
        </w:rPr>
        <w:t>。</w:t>
      </w:r>
      <w:r>
        <w:rPr>
          <w:rFonts w:hint="eastAsia" w:ascii="仿宋" w:hAnsi="仿宋" w:eastAsia="仿宋"/>
          <w:sz w:val="24"/>
        </w:rPr>
        <w:t xml:space="preserve"> </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pPr>
        <w:keepNext w:val="0"/>
        <w:keepLines w:val="0"/>
        <w:pageBreakBefore w:val="0"/>
        <w:wordWrap/>
        <w:overflowPunct/>
        <w:topLinePunct w:val="0"/>
        <w:bidi w:val="0"/>
        <w:spacing w:line="360" w:lineRule="exact"/>
        <w:ind w:firstLine="480" w:firstLineChars="200"/>
        <w:rPr>
          <w:rFonts w:hint="eastAsia" w:ascii="仿宋" w:hAnsi="仿宋" w:eastAsia="仿宋"/>
          <w:kern w:val="0"/>
          <w:sz w:val="24"/>
          <w:highlight w:val="none"/>
        </w:rPr>
      </w:pPr>
      <w:r>
        <w:rPr>
          <w:rFonts w:hint="eastAsia" w:ascii="仿宋" w:hAnsi="仿宋" w:eastAsia="仿宋"/>
          <w:sz w:val="24"/>
          <w:highlight w:val="none"/>
        </w:rPr>
        <w:t>提交</w:t>
      </w:r>
      <w:r>
        <w:rPr>
          <w:rFonts w:hint="eastAsia" w:ascii="仿宋" w:hAnsi="仿宋" w:eastAsia="仿宋"/>
          <w:kern w:val="0"/>
          <w:sz w:val="24"/>
          <w:highlight w:val="none"/>
        </w:rPr>
        <w:t>投标文件截止时间：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7</w:t>
      </w:r>
      <w:r>
        <w:rPr>
          <w:rFonts w:hint="eastAsia" w:ascii="仿宋" w:hAnsi="仿宋" w:eastAsia="仿宋"/>
          <w:color w:val="auto"/>
          <w:kern w:val="0"/>
          <w:sz w:val="24"/>
          <w:highlight w:val="none"/>
        </w:rPr>
        <w:t xml:space="preserve"> 月</w:t>
      </w:r>
      <w:r>
        <w:rPr>
          <w:rFonts w:hint="eastAsia" w:ascii="仿宋" w:hAnsi="仿宋" w:eastAsia="仿宋"/>
          <w:color w:val="auto"/>
          <w:kern w:val="0"/>
          <w:sz w:val="24"/>
          <w:highlight w:val="none"/>
          <w:lang w:val="en-US" w:eastAsia="zh-CN"/>
        </w:rPr>
        <w:t>15</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kern w:val="0"/>
          <w:sz w:val="24"/>
          <w:highlight w:val="none"/>
        </w:rPr>
        <w:t>投标地点：</w:t>
      </w:r>
      <w:r>
        <w:rPr>
          <w:rFonts w:ascii="仿宋" w:hAnsi="仿宋" w:eastAsia="仿宋" w:cs="仿宋"/>
          <w:spacing w:val="1"/>
          <w:sz w:val="24"/>
          <w:szCs w:val="24"/>
        </w:rPr>
        <w:t>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yellow"/>
        </w:rPr>
      </w:pPr>
      <w:r>
        <w:rPr>
          <w:rFonts w:hint="eastAsia" w:ascii="仿宋" w:hAnsi="仿宋" w:eastAsia="仿宋"/>
          <w:kern w:val="0"/>
          <w:sz w:val="24"/>
          <w:highlight w:val="none"/>
        </w:rPr>
        <w:t>开标时间：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 xml:space="preserve">7 </w:t>
      </w:r>
      <w:r>
        <w:rPr>
          <w:rFonts w:hint="eastAsia" w:ascii="仿宋" w:hAnsi="仿宋" w:eastAsia="仿宋"/>
          <w:color w:val="auto"/>
          <w:kern w:val="0"/>
          <w:sz w:val="24"/>
          <w:highlight w:val="none"/>
        </w:rPr>
        <w:t>月</w:t>
      </w:r>
      <w:r>
        <w:rPr>
          <w:rFonts w:hint="eastAsia" w:ascii="仿宋" w:hAnsi="仿宋" w:eastAsia="仿宋"/>
          <w:color w:val="auto"/>
          <w:kern w:val="0"/>
          <w:sz w:val="24"/>
          <w:highlight w:val="none"/>
          <w:lang w:val="en-US" w:eastAsia="zh-CN"/>
        </w:rPr>
        <w:t xml:space="preserve">15 </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 </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w:t>
      </w:r>
      <w:r>
        <w:rPr>
          <w:rFonts w:hint="eastAsia" w:ascii="仿宋" w:hAnsi="仿宋" w:eastAsia="仿宋"/>
          <w:sz w:val="24"/>
          <w:highlight w:val="none"/>
        </w:rPr>
        <w:t>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sz w:val="24"/>
          <w:highlight w:val="none"/>
        </w:rPr>
        <w:t>开标地点：</w:t>
      </w:r>
      <w:r>
        <w:rPr>
          <w:rFonts w:ascii="仿宋" w:hAnsi="仿宋" w:eastAsia="仿宋" w:cs="仿宋"/>
          <w:spacing w:val="1"/>
          <w:sz w:val="24"/>
          <w:szCs w:val="24"/>
          <w:highlight w:val="none"/>
        </w:rPr>
        <w:t>新</w:t>
      </w:r>
      <w:r>
        <w:rPr>
          <w:rFonts w:ascii="仿宋" w:hAnsi="仿宋" w:eastAsia="仿宋" w:cs="仿宋"/>
          <w:spacing w:val="1"/>
          <w:sz w:val="24"/>
          <w:szCs w:val="24"/>
        </w:rPr>
        <w:t>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pPr>
        <w:keepNext w:val="0"/>
        <w:keepLines w:val="0"/>
        <w:pageBreakBefore w:val="0"/>
        <w:wordWrap/>
        <w:overflowPunct/>
        <w:topLinePunct w:val="0"/>
        <w:bidi w:val="0"/>
        <w:spacing w:line="360" w:lineRule="exact"/>
        <w:ind w:firstLine="480" w:firstLineChars="200"/>
        <w:rPr>
          <w:rFonts w:ascii="仿宋" w:hAnsi="仿宋" w:eastAsia="仿宋"/>
          <w:kern w:val="0"/>
          <w:sz w:val="24"/>
        </w:rPr>
      </w:pPr>
      <w:r>
        <w:rPr>
          <w:rFonts w:hint="eastAsia" w:ascii="仿宋" w:hAnsi="仿宋" w:eastAsia="仿宋"/>
          <w:kern w:val="0"/>
          <w:sz w:val="24"/>
        </w:rPr>
        <w:t>自本公告发布之日起5个工作日。</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ascii="仿宋" w:hAnsi="仿宋" w:eastAsia="仿宋" w:cs="仿宋"/>
          <w:sz w:val="24"/>
          <w:szCs w:val="24"/>
        </w:rPr>
      </w:pPr>
      <w:bookmarkStart w:id="355" w:name="_Toc28359095"/>
      <w:bookmarkEnd w:id="355"/>
      <w:bookmarkStart w:id="356" w:name="_Toc35393805"/>
      <w:bookmarkEnd w:id="356"/>
      <w:bookmarkStart w:id="357" w:name="_Toc35393636"/>
      <w:bookmarkEnd w:id="357"/>
      <w:bookmarkStart w:id="358" w:name="_Toc28359018"/>
      <w:bookmarkEnd w:id="358"/>
      <w:bookmarkStart w:id="359" w:name="OLE_LINK3"/>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bookmarkEnd w:id="359"/>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hint="default" w:ascii="仿宋" w:hAnsi="仿宋" w:eastAsia="仿宋" w:cs="仿宋"/>
          <w:color w:val="auto"/>
          <w:sz w:val="24"/>
          <w:szCs w:val="24"/>
          <w:lang w:val="en-US" w:eastAsia="zh-CN"/>
        </w:rPr>
      </w:pPr>
      <w:r>
        <w:rPr>
          <w:rFonts w:ascii="仿宋" w:hAnsi="仿宋" w:eastAsia="仿宋" w:cs="仿宋"/>
          <w:spacing w:val="-3"/>
          <w:sz w:val="24"/>
          <w:szCs w:val="24"/>
        </w:rPr>
        <w:t>1、</w:t>
      </w:r>
      <w:r>
        <w:rPr>
          <w:rFonts w:ascii="仿宋" w:hAnsi="仿宋" w:eastAsia="仿宋" w:cs="仿宋"/>
          <w:color w:val="auto"/>
          <w:spacing w:val="-3"/>
          <w:sz w:val="24"/>
          <w:szCs w:val="24"/>
        </w:rPr>
        <w:t>采购人：</w:t>
      </w:r>
      <w:r>
        <w:rPr>
          <w:rFonts w:hint="eastAsia" w:ascii="仿宋" w:hAnsi="仿宋" w:eastAsia="仿宋" w:cs="仿宋"/>
          <w:color w:val="auto"/>
          <w:spacing w:val="-3"/>
          <w:sz w:val="24"/>
          <w:szCs w:val="24"/>
          <w:lang w:val="en-US" w:eastAsia="zh-CN"/>
        </w:rPr>
        <w:t xml:space="preserve">福海县教育局  </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联系人：</w:t>
      </w:r>
      <w:r>
        <w:rPr>
          <w:rFonts w:hint="eastAsia" w:ascii="仿宋" w:hAnsi="仿宋" w:eastAsia="仿宋" w:cs="仿宋"/>
          <w:color w:val="auto"/>
          <w:spacing w:val="-3"/>
          <w:sz w:val="24"/>
          <w:szCs w:val="24"/>
          <w:lang w:val="en-US" w:eastAsia="zh-CN"/>
        </w:rPr>
        <w:t>李新宏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联系</w:t>
      </w:r>
      <w:r>
        <w:rPr>
          <w:rFonts w:hint="eastAsia" w:ascii="仿宋" w:hAnsi="仿宋" w:eastAsia="仿宋" w:cs="仿宋"/>
          <w:color w:val="auto"/>
          <w:spacing w:val="-2"/>
          <w:sz w:val="24"/>
          <w:szCs w:val="24"/>
          <w:lang w:val="en-US" w:eastAsia="zh-CN"/>
        </w:rPr>
        <w:t>电话</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15009072906</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default" w:ascii="仿宋" w:hAnsi="仿宋" w:eastAsia="仿宋" w:cs="仿宋"/>
          <w:sz w:val="24"/>
          <w:szCs w:val="24"/>
          <w:lang w:val="en-US" w:eastAsia="zh-CN"/>
        </w:rPr>
      </w:pPr>
      <w:r>
        <w:rPr>
          <w:rFonts w:hint="eastAsia" w:ascii="仿宋" w:hAnsi="仿宋" w:eastAsia="仿宋" w:cs="仿宋"/>
          <w:color w:val="auto"/>
          <w:spacing w:val="-2"/>
          <w:sz w:val="24"/>
          <w:szCs w:val="24"/>
          <w:lang w:val="en-US" w:eastAsia="zh-CN"/>
        </w:rPr>
        <w:t>2</w:t>
      </w:r>
      <w:r>
        <w:rPr>
          <w:rFonts w:ascii="仿宋" w:hAnsi="仿宋" w:eastAsia="仿宋" w:cs="仿宋"/>
          <w:spacing w:val="-2"/>
          <w:sz w:val="24"/>
          <w:szCs w:val="24"/>
        </w:rPr>
        <w:t>、代理机构：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6" w:firstLineChars="200"/>
        <w:textAlignment w:val="baseline"/>
        <w:rPr>
          <w:rFonts w:hint="default" w:ascii="仿宋" w:hAnsi="仿宋" w:eastAsia="仿宋" w:cs="仿宋"/>
          <w:sz w:val="24"/>
          <w:szCs w:val="24"/>
          <w:lang w:val="en-US" w:eastAsia="zh-CN"/>
        </w:rPr>
        <w:sectPr>
          <w:footerReference r:id="rId7" w:type="default"/>
          <w:pgSz w:w="11906" w:h="16840"/>
          <w:pgMar w:top="1431" w:right="978" w:bottom="1145" w:left="1107" w:header="0" w:footer="983" w:gutter="0"/>
          <w:pgNumType w:fmt="decimal"/>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pPr>
        <w:pStyle w:val="20"/>
        <w:tabs>
          <w:tab w:val="left" w:pos="0"/>
        </w:tabs>
        <w:spacing w:before="0" w:after="0" w:line="360" w:lineRule="auto"/>
        <w:rPr>
          <w:rFonts w:ascii="Times New Roman" w:eastAsia="仿宋"/>
          <w:sz w:val="24"/>
        </w:rPr>
      </w:pPr>
      <w:r>
        <w:rPr>
          <w:rFonts w:ascii="Times New Roman" w:eastAsia="仿宋"/>
        </w:rPr>
        <w:t>第4章投标人须知资料表</w:t>
      </w:r>
    </w:p>
    <w:p>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6"/>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firstLine="480" w:firstLineChars="200"/>
              <w:rPr>
                <w:rFonts w:eastAsia="仿宋"/>
                <w:sz w:val="24"/>
              </w:rPr>
            </w:pPr>
            <w:r>
              <w:rPr>
                <w:rFonts w:hint="eastAsia" w:eastAsia="仿宋"/>
                <w:sz w:val="24"/>
              </w:rPr>
              <w:t>序号</w:t>
            </w:r>
          </w:p>
        </w:tc>
        <w:tc>
          <w:tcPr>
            <w:tcW w:w="6840" w:type="dxa"/>
            <w:vAlign w:val="center"/>
          </w:tcPr>
          <w:p>
            <w:pPr>
              <w:spacing w:line="360" w:lineRule="auto"/>
              <w:ind w:left="1080" w:leftChars="257" w:hanging="540"/>
              <w:rPr>
                <w:rFonts w:eastAsia="仿宋"/>
                <w:b/>
                <w:sz w:val="24"/>
              </w:rPr>
            </w:pPr>
            <w:r>
              <w:rPr>
                <w:rFonts w:eastAsia="仿宋"/>
                <w:b/>
                <w:sz w:val="24"/>
              </w:rPr>
              <w:t>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805" w:hRule="atLeast"/>
        </w:trPr>
        <w:tc>
          <w:tcPr>
            <w:tcW w:w="1468" w:type="dxa"/>
            <w:vAlign w:val="center"/>
          </w:tcPr>
          <w:p>
            <w:pPr>
              <w:spacing w:line="360" w:lineRule="auto"/>
              <w:ind w:left="1080" w:leftChars="257" w:hanging="540"/>
              <w:rPr>
                <w:rFonts w:eastAsia="仿宋"/>
                <w:sz w:val="24"/>
              </w:rPr>
            </w:pPr>
            <w:r>
              <w:rPr>
                <w:rFonts w:hint="eastAsia" w:eastAsia="仿宋"/>
                <w:sz w:val="24"/>
              </w:rPr>
              <w:t>1</w:t>
            </w:r>
          </w:p>
        </w:tc>
        <w:tc>
          <w:tcPr>
            <w:tcW w:w="6840" w:type="dxa"/>
            <w:vAlign w:val="center"/>
          </w:tcPr>
          <w:p>
            <w:pPr>
              <w:spacing w:line="360" w:lineRule="auto"/>
              <w:rPr>
                <w:rFonts w:hint="default" w:eastAsia="仿宋"/>
                <w:sz w:val="24"/>
                <w:u w:val="single"/>
                <w:lang w:val="en-US" w:eastAsia="zh-CN"/>
              </w:rPr>
            </w:pPr>
            <w:r>
              <w:rPr>
                <w:rFonts w:eastAsia="仿宋"/>
                <w:sz w:val="24"/>
              </w:rPr>
              <w:t>采购人：</w:t>
            </w:r>
            <w:r>
              <w:rPr>
                <w:rFonts w:hint="eastAsia" w:eastAsia="仿宋"/>
                <w:sz w:val="24"/>
                <w:u w:val="single"/>
                <w:lang w:val="en-US" w:eastAsia="zh-CN"/>
              </w:rPr>
              <w:t>福海县教育局</w:t>
            </w:r>
          </w:p>
          <w:p>
            <w:pPr>
              <w:rPr>
                <w:rFonts w:hint="default" w:eastAsia="仿宋"/>
                <w:sz w:val="24"/>
                <w:u w:val="single"/>
                <w:lang w:val="en-US" w:eastAsia="zh-CN"/>
              </w:rPr>
            </w:pPr>
            <w:r>
              <w:rPr>
                <w:rFonts w:eastAsia="仿宋"/>
                <w:sz w:val="24"/>
              </w:rPr>
              <w:t>地  址：</w:t>
            </w:r>
            <w:r>
              <w:rPr>
                <w:rFonts w:hint="eastAsia" w:eastAsia="仿宋"/>
                <w:sz w:val="24"/>
                <w:u w:val="single"/>
                <w:lang w:val="en-US" w:eastAsia="zh-CN"/>
              </w:rPr>
              <w:t>福海县银海东路102号</w:t>
            </w:r>
          </w:p>
          <w:p>
            <w:pPr>
              <w:spacing w:line="360" w:lineRule="auto"/>
              <w:rPr>
                <w:rFonts w:hint="default" w:eastAsia="仿宋"/>
                <w:sz w:val="24"/>
                <w:lang w:val="en-US" w:eastAsia="zh-CN"/>
              </w:rPr>
            </w:pPr>
            <w:r>
              <w:rPr>
                <w:rFonts w:eastAsia="仿宋"/>
                <w:sz w:val="24"/>
              </w:rPr>
              <w:t>电  话：</w:t>
            </w:r>
            <w:r>
              <w:rPr>
                <w:rFonts w:hint="eastAsia" w:ascii="仿宋" w:hAnsi="仿宋" w:eastAsia="仿宋" w:cs="仿宋"/>
                <w:color w:val="auto"/>
                <w:sz w:val="24"/>
                <w:u w:val="single"/>
                <w:lang w:eastAsia="zh-CN"/>
              </w:rPr>
              <w:t>150</w:t>
            </w:r>
            <w:r>
              <w:rPr>
                <w:rFonts w:hint="eastAsia" w:ascii="仿宋" w:hAnsi="仿宋" w:eastAsia="仿宋" w:cs="仿宋"/>
                <w:color w:val="auto"/>
                <w:sz w:val="24"/>
                <w:u w:val="single"/>
                <w:lang w:val="en-US" w:eastAsia="zh-CN"/>
              </w:rPr>
              <w:t>09072906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2</w:t>
            </w:r>
          </w:p>
        </w:tc>
        <w:tc>
          <w:tcPr>
            <w:tcW w:w="6840" w:type="dxa"/>
            <w:vAlign w:val="center"/>
          </w:tcPr>
          <w:p>
            <w:pPr>
              <w:spacing w:line="360" w:lineRule="auto"/>
              <w:rPr>
                <w:rFonts w:eastAsia="仿宋"/>
                <w:sz w:val="24"/>
              </w:rPr>
            </w:pPr>
            <w:r>
              <w:rPr>
                <w:rFonts w:eastAsia="仿宋"/>
                <w:sz w:val="24"/>
              </w:rPr>
              <w:t>采购代理机构：</w:t>
            </w:r>
            <w:r>
              <w:rPr>
                <w:rFonts w:hint="eastAsia" w:eastAsia="仿宋"/>
                <w:sz w:val="24"/>
                <w:u w:val="single"/>
                <w:lang w:val="en-US" w:eastAsia="zh-CN"/>
              </w:rPr>
              <w:t>福海县政府采购</w:t>
            </w:r>
            <w:r>
              <w:rPr>
                <w:rFonts w:eastAsia="仿宋"/>
                <w:sz w:val="24"/>
                <w:u w:val="single"/>
              </w:rPr>
              <w:t>中心</w:t>
            </w:r>
          </w:p>
          <w:p>
            <w:pPr>
              <w:spacing w:line="360" w:lineRule="auto"/>
              <w:rPr>
                <w:rFonts w:hint="default" w:eastAsia="仿宋"/>
                <w:sz w:val="24"/>
                <w:highlight w:val="yellow"/>
                <w:lang w:val="en-US" w:eastAsia="zh-CN"/>
              </w:rPr>
            </w:pPr>
            <w:r>
              <w:rPr>
                <w:rFonts w:eastAsia="仿宋"/>
                <w:sz w:val="24"/>
              </w:rPr>
              <w:t>地址</w:t>
            </w:r>
            <w:r>
              <w:rPr>
                <w:rFonts w:eastAsia="仿宋"/>
                <w:sz w:val="24"/>
                <w:highlight w:val="none"/>
              </w:rPr>
              <w:t>：</w:t>
            </w:r>
            <w:r>
              <w:rPr>
                <w:rFonts w:hint="eastAsia" w:eastAsia="仿宋"/>
                <w:sz w:val="24"/>
                <w:highlight w:val="none"/>
                <w:u w:val="single"/>
                <w:lang w:val="en-US" w:eastAsia="zh-CN"/>
              </w:rPr>
              <w:t>福海县财政局一楼</w:t>
            </w:r>
          </w:p>
          <w:p>
            <w:pPr>
              <w:spacing w:line="360" w:lineRule="auto"/>
              <w:rPr>
                <w:rFonts w:hint="default" w:eastAsia="仿宋"/>
                <w:sz w:val="24"/>
                <w:lang w:val="en-US" w:eastAsia="zh-CN"/>
              </w:rPr>
            </w:pPr>
            <w:r>
              <w:rPr>
                <w:rFonts w:eastAsia="仿宋"/>
                <w:sz w:val="24"/>
              </w:rPr>
              <w:t>业务联系人：</w:t>
            </w:r>
            <w:r>
              <w:rPr>
                <w:rFonts w:hint="eastAsia" w:eastAsia="仿宋"/>
                <w:sz w:val="24"/>
                <w:u w:val="single"/>
                <w:lang w:val="en-US" w:eastAsia="zh-CN"/>
              </w:rPr>
              <w:t>邹俊迪</w:t>
            </w:r>
            <w:r>
              <w:rPr>
                <w:rFonts w:hint="eastAsia" w:eastAsia="仿宋"/>
                <w:sz w:val="24"/>
                <w:u w:val="single"/>
              </w:rPr>
              <w:t xml:space="preserve"> </w:t>
            </w:r>
            <w:r>
              <w:rPr>
                <w:rFonts w:eastAsia="仿宋"/>
                <w:sz w:val="24"/>
              </w:rPr>
              <w:t>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3</w:t>
            </w:r>
          </w:p>
        </w:tc>
        <w:tc>
          <w:tcPr>
            <w:tcW w:w="6840" w:type="dxa"/>
            <w:vAlign w:val="center"/>
          </w:tcPr>
          <w:p>
            <w:pPr>
              <w:spacing w:line="360" w:lineRule="auto"/>
              <w:rPr>
                <w:rFonts w:ascii="仿宋" w:hAnsi="仿宋" w:eastAsia="仿宋"/>
                <w:kern w:val="0"/>
                <w:sz w:val="24"/>
              </w:rPr>
            </w:pPr>
            <w:r>
              <w:rPr>
                <w:rFonts w:hint="eastAsia" w:ascii="仿宋" w:hAnsi="仿宋" w:eastAsia="仿宋"/>
                <w:kern w:val="0"/>
                <w:sz w:val="24"/>
              </w:rPr>
              <w:t>合格投标人资格要求：</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1.满足《中华人民共和国政府采购法》第二十二条规定；</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2.独立承担民事责任能力的企业、事业、自然人，提供营业执照等经营性证件；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3.法人身份证明或法人授权委托书（含法人身份证复印件）和被授权人身份有效证件；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4.</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5.投标企业依法缴纳近 6 个月任意一个月社会保险的凭据；</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6.投标企业提供税务部门出具的近 6 个月任意一个月的完税证明；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8.参与政府采购活动前3年内未被列入失信、重大税收违法案件、财政部门禁止参加政府采购活动的承诺书；</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9.提供针对本次项目《反商业贿赂承诺书》；</w:t>
            </w:r>
          </w:p>
          <w:p>
            <w:pPr>
              <w:pStyle w:val="26"/>
              <w:ind w:firstLine="0" w:firstLineChars="0"/>
              <w:rPr>
                <w:rFonts w:hint="eastAsia" w:ascii="仿宋" w:hAnsi="仿宋" w:eastAsia="仿宋"/>
                <w:kern w:val="0"/>
                <w:sz w:val="22"/>
                <w:szCs w:val="22"/>
              </w:rPr>
            </w:pPr>
            <w:r>
              <w:rPr>
                <w:rFonts w:hint="eastAsia" w:ascii="仿宋" w:hAnsi="仿宋" w:eastAsia="仿宋"/>
                <w:kern w:val="0"/>
                <w:sz w:val="22"/>
                <w:szCs w:val="22"/>
              </w:rPr>
              <w:t>10.缴纳投标保证金有效凭证；</w:t>
            </w:r>
          </w:p>
          <w:p>
            <w:pPr>
              <w:pStyle w:val="26"/>
              <w:ind w:firstLine="0" w:firstLineChars="0"/>
              <w:rPr>
                <w:rFonts w:ascii="仿宋" w:hAnsi="仿宋" w:eastAsia="仿宋"/>
                <w:kern w:val="0"/>
                <w:sz w:val="24"/>
              </w:rPr>
            </w:pPr>
            <w:r>
              <w:rPr>
                <w:rFonts w:hint="eastAsia" w:ascii="仿宋" w:hAnsi="仿宋" w:eastAsia="仿宋"/>
                <w:kern w:val="0"/>
                <w:sz w:val="22"/>
                <w:szCs w:val="22"/>
                <w:lang w:val="en-US" w:eastAsia="zh-CN"/>
              </w:rPr>
              <w:t>11</w:t>
            </w:r>
            <w:r>
              <w:rPr>
                <w:rFonts w:hint="eastAsia" w:ascii="仿宋" w:hAnsi="仿宋" w:eastAsia="仿宋"/>
                <w:kern w:val="0"/>
                <w:sz w:val="22"/>
                <w:szCs w:val="22"/>
              </w:rPr>
              <w:t>.本项目不接受联合体投标。</w:t>
            </w:r>
          </w:p>
          <w:p>
            <w:pPr>
              <w:pStyle w:val="33"/>
              <w:ind w:firstLine="0" w:firstLineChars="0"/>
              <w:rPr>
                <w:rFonts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8"/>
              <w:tabs>
                <w:tab w:val="clear" w:pos="567"/>
              </w:tabs>
              <w:rPr>
                <w:rFonts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4</w:t>
            </w:r>
          </w:p>
        </w:tc>
        <w:tc>
          <w:tcPr>
            <w:tcW w:w="6840" w:type="dxa"/>
            <w:vAlign w:val="center"/>
          </w:tcPr>
          <w:p>
            <w:pPr>
              <w:spacing w:line="360" w:lineRule="auto"/>
              <w:rPr>
                <w:rFonts w:hint="eastAsia" w:eastAsia="楷体"/>
                <w:b/>
                <w:bCs/>
                <w:color w:val="000000"/>
                <w:sz w:val="24"/>
                <w:lang w:eastAsia="zh-CN"/>
              </w:rPr>
            </w:pPr>
            <w:r>
              <w:rPr>
                <w:rFonts w:eastAsia="仿宋"/>
                <w:b/>
                <w:bCs/>
                <w:color w:val="000000"/>
                <w:sz w:val="24"/>
              </w:rPr>
              <w:t>是否为专门面向中小企业采购：</w:t>
            </w:r>
            <w:r>
              <w:rPr>
                <w:rFonts w:hint="eastAsia" w:eastAsia="仿宋"/>
                <w:b/>
                <w:bCs/>
                <w:color w:val="auto"/>
                <w:sz w:val="24"/>
                <w:u w:val="single"/>
                <w:lang w:val="en-US" w:eastAsia="zh-CN"/>
              </w:rPr>
              <w:t>是</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highlight w:val="none"/>
                <w:u w:val="single"/>
                <w:lang w:val="en-US" w:eastAsia="zh-CN"/>
              </w:rPr>
              <w:t>工业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5</w:t>
            </w:r>
          </w:p>
        </w:tc>
        <w:tc>
          <w:tcPr>
            <w:tcW w:w="6840" w:type="dxa"/>
            <w:vAlign w:val="center"/>
          </w:tcPr>
          <w:p>
            <w:pPr>
              <w:spacing w:line="360" w:lineRule="auto"/>
              <w:rPr>
                <w:rFonts w:eastAsia="仿宋"/>
                <w:sz w:val="24"/>
              </w:rPr>
            </w:pPr>
            <w:r>
              <w:rPr>
                <w:rFonts w:eastAsia="仿宋"/>
                <w:sz w:val="24"/>
              </w:rPr>
              <w:t>是否允许联合体投标：否（是、否）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6</w:t>
            </w:r>
          </w:p>
        </w:tc>
        <w:tc>
          <w:tcPr>
            <w:tcW w:w="6840" w:type="dxa"/>
            <w:vAlign w:val="center"/>
          </w:tcPr>
          <w:p>
            <w:pPr>
              <w:spacing w:line="360" w:lineRule="auto"/>
              <w:rPr>
                <w:rFonts w:hint="default" w:eastAsia="仿宋"/>
                <w:sz w:val="24"/>
                <w:lang w:val="en-US" w:eastAsia="zh-CN"/>
              </w:rPr>
            </w:pPr>
            <w:r>
              <w:rPr>
                <w:rFonts w:hint="eastAsia" w:eastAsia="仿宋"/>
                <w:b/>
                <w:bCs/>
                <w:color w:val="auto"/>
                <w:sz w:val="24"/>
                <w:highlight w:val="none"/>
                <w:lang w:val="en-US" w:eastAsia="zh-CN"/>
              </w:rPr>
              <w:t>核心</w:t>
            </w:r>
            <w:r>
              <w:rPr>
                <w:rFonts w:hint="eastAsia" w:ascii="Times New Roman" w:hAnsi="Times New Roman" w:eastAsia="仿宋" w:cs="Times New Roman"/>
                <w:b/>
                <w:bCs/>
                <w:color w:val="auto"/>
                <w:sz w:val="24"/>
                <w:highlight w:val="none"/>
                <w:lang w:val="en-US" w:eastAsia="zh-CN"/>
              </w:rPr>
              <w:t>产品：</w:t>
            </w:r>
            <w:r>
              <w:rPr>
                <w:rFonts w:hint="eastAsia" w:eastAsia="仿宋"/>
                <w:sz w:val="24"/>
                <w:lang w:val="en-US" w:eastAsia="zh-CN"/>
              </w:rPr>
              <w:t>教师办公桌、教师办公椅、档案柜、学生课桌椅（小学）、学生课桌椅（初中）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7</w:t>
            </w:r>
          </w:p>
        </w:tc>
        <w:tc>
          <w:tcPr>
            <w:tcW w:w="6840" w:type="dxa"/>
            <w:vAlign w:val="center"/>
          </w:tcPr>
          <w:p>
            <w:pPr>
              <w:pStyle w:val="32"/>
              <w:spacing w:line="360" w:lineRule="exact"/>
              <w:rPr>
                <w:rFonts w:eastAsia="仿宋"/>
                <w:color w:val="auto"/>
                <w:sz w:val="32"/>
                <w:szCs w:val="32"/>
              </w:rPr>
            </w:pPr>
            <w:r>
              <w:rPr>
                <w:rFonts w:ascii="Times New Roman" w:hAnsi="Times New Roman" w:eastAsia="仿宋"/>
                <w:color w:val="auto"/>
              </w:rPr>
              <w:t>项目</w:t>
            </w:r>
            <w:r>
              <w:rPr>
                <w:rFonts w:hint="eastAsia" w:ascii="Times New Roman" w:hAnsi="Times New Roman" w:eastAsia="仿宋"/>
                <w:color w:val="auto"/>
              </w:rPr>
              <w:t>总</w:t>
            </w:r>
            <w:r>
              <w:rPr>
                <w:rFonts w:ascii="Times New Roman" w:hAnsi="Times New Roman" w:eastAsia="仿宋"/>
                <w:color w:val="auto"/>
              </w:rPr>
              <w:t>预算金额：</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8</w:t>
            </w:r>
          </w:p>
        </w:tc>
        <w:tc>
          <w:tcPr>
            <w:tcW w:w="6840" w:type="dxa"/>
            <w:vAlign w:val="center"/>
          </w:tcPr>
          <w:p>
            <w:pPr>
              <w:pStyle w:val="32"/>
              <w:spacing w:line="360" w:lineRule="exact"/>
              <w:rPr>
                <w:rFonts w:eastAsia="仿宋"/>
                <w:color w:val="auto"/>
              </w:rPr>
            </w:pPr>
            <w:r>
              <w:rPr>
                <w:rFonts w:hint="eastAsia" w:ascii="Times New Roman" w:hAnsi="Times New Roman" w:eastAsia="仿宋"/>
                <w:color w:val="auto"/>
              </w:rPr>
              <w:t>本项目最高限价：</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eastAsia="仿宋"/>
                <w:sz w:val="24"/>
              </w:rPr>
            </w:pPr>
            <w:r>
              <w:rPr>
                <w:rFonts w:hint="eastAsia" w:eastAsia="仿宋"/>
                <w:sz w:val="24"/>
              </w:rPr>
              <w:t>9</w:t>
            </w:r>
          </w:p>
        </w:tc>
        <w:tc>
          <w:tcPr>
            <w:tcW w:w="6840" w:type="dxa"/>
            <w:vAlign w:val="center"/>
          </w:tcPr>
          <w:p>
            <w:pPr>
              <w:spacing w:line="360" w:lineRule="auto"/>
              <w:rPr>
                <w:rFonts w:ascii="仿宋" w:hAnsi="仿宋" w:eastAsia="仿宋" w:cs="仿宋"/>
                <w:b/>
                <w:bCs/>
                <w:sz w:val="24"/>
              </w:rPr>
            </w:pPr>
            <w:r>
              <w:rPr>
                <w:rFonts w:hint="eastAsia" w:ascii="仿宋" w:hAnsi="仿宋" w:eastAsia="仿宋" w:cs="仿宋"/>
                <w:b/>
                <w:bCs/>
                <w:sz w:val="24"/>
              </w:rPr>
              <w:t>签字盖章：</w:t>
            </w:r>
          </w:p>
          <w:p>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val="en-US" w:eastAsia="zh-CN"/>
              </w:rPr>
              <w:t>公开招标</w:t>
            </w:r>
            <w:r>
              <w:rPr>
                <w:rFonts w:hint="eastAsia" w:ascii="仿宋" w:hAnsi="仿宋" w:eastAsia="仿宋" w:cs="仿宋"/>
                <w:sz w:val="24"/>
              </w:rPr>
              <w:t>文件的规定和要求进行签章。</w:t>
            </w:r>
          </w:p>
          <w:p>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10</w:t>
            </w:r>
          </w:p>
        </w:tc>
        <w:tc>
          <w:tcPr>
            <w:tcW w:w="6840" w:type="dxa"/>
            <w:vAlign w:val="center"/>
          </w:tcPr>
          <w:p>
            <w:pPr>
              <w:pStyle w:val="22"/>
              <w:spacing w:line="360" w:lineRule="auto"/>
              <w:ind w:firstLine="0"/>
              <w:rPr>
                <w:rFonts w:ascii="Times New Roman" w:eastAsia="仿宋"/>
                <w:kern w:val="2"/>
                <w:szCs w:val="24"/>
                <w:highlight w:val="none"/>
              </w:rPr>
            </w:pPr>
            <w:r>
              <w:rPr>
                <w:rFonts w:ascii="Times New Roman" w:eastAsia="仿宋"/>
                <w:kern w:val="2"/>
                <w:szCs w:val="24"/>
              </w:rPr>
              <w:t>投标保证金形式：</w:t>
            </w:r>
            <w:r>
              <w:rPr>
                <w:rFonts w:hint="eastAsia" w:ascii="仿宋" w:hAnsi="仿宋" w:eastAsia="仿宋"/>
                <w:highlight w:val="none"/>
              </w:rPr>
              <w:t>☑保函  ☑ 电汇 ☑</w:t>
            </w:r>
            <w:r>
              <w:rPr>
                <w:rFonts w:hint="eastAsia" w:ascii="仿宋" w:hAnsi="仿宋" w:eastAsia="仿宋"/>
                <w:highlight w:val="none"/>
                <w:lang w:val="en-US" w:eastAsia="zh-CN"/>
              </w:rPr>
              <w:t xml:space="preserve">支票 </w:t>
            </w:r>
            <w:r>
              <w:rPr>
                <w:rFonts w:hint="eastAsia" w:ascii="仿宋" w:hAnsi="仿宋" w:eastAsia="仿宋"/>
                <w:highlight w:val="none"/>
              </w:rPr>
              <w:t>☑</w:t>
            </w:r>
            <w:r>
              <w:rPr>
                <w:rFonts w:hint="eastAsia" w:ascii="仿宋" w:hAnsi="仿宋" w:eastAsia="仿宋"/>
                <w:highlight w:val="none"/>
                <w:lang w:val="en-US" w:eastAsia="zh-CN"/>
              </w:rPr>
              <w:t>本票</w:t>
            </w:r>
            <w:r>
              <w:rPr>
                <w:rFonts w:hint="eastAsia" w:ascii="仿宋" w:hAnsi="仿宋" w:eastAsia="仿宋"/>
                <w:highlight w:val="none"/>
              </w:rPr>
              <w:t>☑ 企业账户网银汇款（本项目允许的其他形式）</w:t>
            </w:r>
          </w:p>
          <w:p>
            <w:pPr>
              <w:spacing w:line="360" w:lineRule="auto"/>
              <w:rPr>
                <w:rFonts w:hint="default" w:eastAsia="仿宋"/>
                <w:b/>
                <w:bCs/>
                <w:color w:val="auto"/>
                <w:sz w:val="24"/>
                <w:highlight w:val="none"/>
                <w:lang w:val="en-US" w:eastAsia="zh-CN"/>
              </w:rPr>
            </w:pPr>
            <w:r>
              <w:rPr>
                <w:rFonts w:eastAsia="仿宋"/>
                <w:b/>
                <w:bCs/>
                <w:color w:val="auto"/>
                <w:sz w:val="24"/>
                <w:highlight w:val="none"/>
              </w:rPr>
              <w:t>保证金</w:t>
            </w:r>
            <w:r>
              <w:rPr>
                <w:rFonts w:hint="eastAsia" w:ascii="仿宋" w:hAnsi="仿宋" w:eastAsia="仿宋" w:cs="仿宋"/>
                <w:b/>
                <w:bCs/>
                <w:color w:val="auto"/>
                <w:sz w:val="24"/>
                <w:highlight w:val="none"/>
              </w:rPr>
              <w:t>数额：</w:t>
            </w:r>
            <w:r>
              <w:rPr>
                <w:rFonts w:hint="eastAsia" w:ascii="仿宋" w:hAnsi="仿宋" w:eastAsia="仿宋" w:cs="仿宋"/>
                <w:b/>
                <w:bCs/>
                <w:color w:val="auto"/>
                <w:sz w:val="24"/>
                <w:highlight w:val="none"/>
                <w:lang w:val="en-US" w:eastAsia="zh-CN"/>
              </w:rPr>
              <w:t>2万元</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投标保证金收款人：</w:t>
            </w:r>
            <w:r>
              <w:rPr>
                <w:rFonts w:hint="eastAsia" w:ascii="仿宋" w:hAnsi="仿宋" w:eastAsia="仿宋" w:cs="Times New Roman"/>
                <w:b/>
                <w:bCs/>
                <w:color w:val="auto"/>
                <w:highlight w:val="none"/>
                <w:lang w:val="en-US" w:eastAsia="zh-CN"/>
              </w:rPr>
              <w:t>福海</w:t>
            </w:r>
            <w:r>
              <w:rPr>
                <w:rFonts w:hint="eastAsia" w:ascii="仿宋" w:hAnsi="仿宋" w:eastAsia="仿宋" w:cs="Times New Roman"/>
                <w:b/>
                <w:bCs/>
                <w:color w:val="auto"/>
                <w:highlight w:val="none"/>
              </w:rPr>
              <w:t>县</w:t>
            </w:r>
            <w:r>
              <w:rPr>
                <w:rFonts w:hint="eastAsia" w:ascii="仿宋" w:hAnsi="仿宋" w:eastAsia="仿宋" w:cs="Times New Roman"/>
                <w:b/>
                <w:bCs/>
                <w:color w:val="auto"/>
                <w:highlight w:val="none"/>
                <w:lang w:val="en-US" w:eastAsia="zh-CN"/>
              </w:rPr>
              <w:t>财政局</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开户银行：</w:t>
            </w:r>
            <w:r>
              <w:rPr>
                <w:rFonts w:hint="eastAsia" w:ascii="仿宋" w:hAnsi="仿宋" w:eastAsia="仿宋" w:cs="Times New Roman"/>
                <w:b/>
                <w:bCs/>
                <w:color w:val="auto"/>
                <w:highlight w:val="none"/>
                <w:lang w:val="en-US" w:eastAsia="zh-CN"/>
              </w:rPr>
              <w:t>中国工商银行股份有限公司福海支行</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账号：3008180109026406965</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行号：102902418010</w:t>
            </w:r>
          </w:p>
          <w:p>
            <w:pPr>
              <w:rPr>
                <w:rFonts w:ascii="仿宋" w:hAnsi="仿宋" w:eastAsia="仿宋"/>
                <w:szCs w:val="21"/>
              </w:rPr>
            </w:pPr>
            <w:r>
              <w:rPr>
                <w:rFonts w:hint="eastAsia" w:ascii="仿宋" w:hAnsi="仿宋" w:eastAsia="仿宋"/>
                <w:szCs w:val="21"/>
              </w:rPr>
              <w:t>1.打款时必须注明投标保证金项目名称或项目编号。到账截止时间：投标截止时间前（以到账时间为准，节假日除外）。</w:t>
            </w:r>
          </w:p>
          <w:p>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w:t>
            </w:r>
            <w:r>
              <w:rPr>
                <w:rFonts w:hint="eastAsia" w:ascii="仿宋" w:hAnsi="仿宋" w:eastAsia="仿宋"/>
                <w:szCs w:val="21"/>
                <w:lang w:val="en-US" w:eastAsia="zh-CN"/>
              </w:rPr>
              <w:t>机构</w:t>
            </w:r>
            <w:r>
              <w:rPr>
                <w:rFonts w:hint="eastAsia" w:ascii="仿宋" w:hAnsi="仿宋" w:eastAsia="仿宋"/>
                <w:szCs w:val="21"/>
              </w:rPr>
              <w:t>不承担任何责任。</w:t>
            </w:r>
          </w:p>
          <w:p>
            <w:pPr>
              <w:rPr>
                <w:rFonts w:hint="eastAsia" w:ascii="仿宋" w:hAnsi="仿宋" w:eastAsia="仿宋" w:cs="Times New Roman"/>
                <w:szCs w:val="21"/>
              </w:rPr>
            </w:pPr>
            <w:r>
              <w:rPr>
                <w:rFonts w:hint="eastAsia" w:ascii="仿宋" w:hAnsi="仿宋" w:eastAsia="仿宋"/>
                <w:szCs w:val="21"/>
              </w:rPr>
              <w:t>3.中标人应在与采购人签订合同之日起5个工作日内，保证金收受机构根据中标人提供的打款</w:t>
            </w:r>
            <w:r>
              <w:rPr>
                <w:rFonts w:hint="eastAsia" w:ascii="仿宋" w:hAnsi="仿宋" w:eastAsia="仿宋" w:cs="Times New Roman"/>
                <w:szCs w:val="21"/>
              </w:rPr>
              <w:t>凭证及时办理投标保证金无息退还手续。</w:t>
            </w:r>
          </w:p>
          <w:p>
            <w:pPr>
              <w:rPr>
                <w:rFonts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4.未中标投标人的投标保证金将在中标通知书发出之日暨中标结果公告公布之日起5个工作日内无息退还，保证金收受机构根据未中标人提供的打款凭证及时办理退还投标保证金手</w:t>
            </w:r>
            <w:r>
              <w:rPr>
                <w:rFonts w:hint="eastAsia" w:ascii="仿宋" w:hAnsi="仿宋" w:eastAsia="仿宋"/>
                <w:szCs w:val="21"/>
              </w:rPr>
              <w:t>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eastAsia="仿宋"/>
                <w:sz w:val="24"/>
              </w:rPr>
            </w:pPr>
            <w:r>
              <w:rPr>
                <w:rFonts w:hint="eastAsia" w:eastAsia="仿宋"/>
                <w:sz w:val="24"/>
              </w:rPr>
              <w:t>11</w:t>
            </w:r>
          </w:p>
        </w:tc>
        <w:tc>
          <w:tcPr>
            <w:tcW w:w="6840" w:type="dxa"/>
            <w:vAlign w:val="center"/>
          </w:tcPr>
          <w:p>
            <w:pPr>
              <w:spacing w:line="360" w:lineRule="auto"/>
              <w:rPr>
                <w:rFonts w:eastAsia="仿宋"/>
                <w:sz w:val="24"/>
              </w:rPr>
            </w:pPr>
            <w:r>
              <w:rPr>
                <w:rFonts w:eastAsia="仿宋"/>
                <w:sz w:val="24"/>
              </w:rPr>
              <w:t>投标有效期：</w:t>
            </w:r>
            <w:r>
              <w:rPr>
                <w:rFonts w:eastAsia="仿宋"/>
                <w:b/>
                <w:bCs/>
                <w:color w:val="auto"/>
                <w:sz w:val="24"/>
                <w:u w:val="single"/>
              </w:rPr>
              <w:t>90</w:t>
            </w:r>
            <w:r>
              <w:rPr>
                <w:rFonts w:eastAsia="仿宋"/>
                <w:b/>
                <w:bCs/>
                <w:color w:val="auto"/>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eastAsia="仿宋"/>
                <w:sz w:val="24"/>
              </w:rPr>
            </w:pPr>
            <w:r>
              <w:rPr>
                <w:rFonts w:hint="eastAsia" w:eastAsia="仿宋"/>
                <w:sz w:val="24"/>
              </w:rPr>
              <w:t>12</w:t>
            </w:r>
          </w:p>
        </w:tc>
        <w:tc>
          <w:tcPr>
            <w:tcW w:w="6840" w:type="dxa"/>
            <w:vAlign w:val="center"/>
          </w:tcPr>
          <w:p>
            <w:pPr>
              <w:rPr>
                <w:rFonts w:ascii="仿宋" w:hAnsi="仿宋" w:eastAsia="仿宋"/>
                <w:szCs w:val="21"/>
              </w:rPr>
            </w:pPr>
            <w:r>
              <w:rPr>
                <w:rFonts w:hint="eastAsia" w:ascii="仿宋" w:hAnsi="仿宋" w:eastAsia="仿宋" w:cs="仿宋"/>
                <w:color w:val="auto"/>
              </w:rPr>
              <w:t>本项目采用远程不见面交易的模式。开标当日，供应商无</w:t>
            </w:r>
            <w:r>
              <w:rPr>
                <w:rFonts w:hint="eastAsia" w:ascii="仿宋" w:hAnsi="仿宋" w:eastAsia="仿宋" w:cs="仿宋"/>
                <w:color w:val="auto"/>
                <w:spacing w:val="6"/>
              </w:rPr>
              <w:t xml:space="preserve"> </w:t>
            </w:r>
            <w:r>
              <w:rPr>
                <w:rFonts w:hint="eastAsia" w:ascii="仿宋" w:hAnsi="仿宋" w:eastAsia="仿宋" w:cs="仿宋"/>
                <w:color w:val="auto"/>
                <w:spacing w:val="-18"/>
              </w:rPr>
              <w:t>需</w:t>
            </w:r>
            <w:r>
              <w:rPr>
                <w:rFonts w:hint="eastAsia" w:ascii="仿宋" w:hAnsi="仿宋" w:eastAsia="仿宋" w:cs="仿宋"/>
                <w:color w:val="auto"/>
                <w:spacing w:val="-31"/>
              </w:rPr>
              <w:t xml:space="preserve"> </w:t>
            </w:r>
            <w:r>
              <w:rPr>
                <w:rFonts w:hint="eastAsia" w:ascii="仿宋" w:hAnsi="仿宋" w:eastAsia="仿宋" w:cs="仿宋"/>
                <w:color w:val="auto"/>
                <w:spacing w:val="-18"/>
              </w:rPr>
              <w:t>到</w:t>
            </w:r>
            <w:r>
              <w:rPr>
                <w:rFonts w:hint="eastAsia" w:ascii="仿宋" w:hAnsi="仿宋" w:eastAsia="仿宋" w:cs="仿宋"/>
                <w:color w:val="auto"/>
                <w:spacing w:val="-60"/>
              </w:rPr>
              <w:t xml:space="preserve"> </w:t>
            </w:r>
            <w:r>
              <w:rPr>
                <w:rFonts w:hint="eastAsia" w:ascii="仿宋" w:hAnsi="仿宋" w:eastAsia="仿宋" w:cs="仿宋"/>
                <w:color w:val="auto"/>
                <w:spacing w:val="-18"/>
              </w:rPr>
              <w:t>达</w:t>
            </w:r>
            <w:r>
              <w:rPr>
                <w:rFonts w:hint="eastAsia" w:ascii="仿宋" w:hAnsi="仿宋" w:eastAsia="仿宋" w:cs="仿宋"/>
                <w:color w:val="auto"/>
                <w:spacing w:val="-71"/>
              </w:rPr>
              <w:t xml:space="preserve"> </w:t>
            </w:r>
            <w:r>
              <w:rPr>
                <w:rFonts w:hint="eastAsia" w:ascii="仿宋" w:hAnsi="仿宋" w:eastAsia="仿宋" w:cs="仿宋"/>
                <w:color w:val="auto"/>
                <w:spacing w:val="-18"/>
              </w:rPr>
              <w:t>开</w:t>
            </w:r>
            <w:r>
              <w:rPr>
                <w:rFonts w:hint="eastAsia" w:ascii="仿宋" w:hAnsi="仿宋" w:eastAsia="仿宋" w:cs="仿宋"/>
                <w:color w:val="auto"/>
                <w:spacing w:val="-71"/>
              </w:rPr>
              <w:t xml:space="preserve"> </w:t>
            </w:r>
            <w:r>
              <w:rPr>
                <w:rFonts w:hint="eastAsia" w:ascii="仿宋" w:hAnsi="仿宋" w:eastAsia="仿宋" w:cs="仿宋"/>
                <w:color w:val="auto"/>
                <w:spacing w:val="-18"/>
              </w:rPr>
              <w:t>标</w:t>
            </w:r>
            <w:r>
              <w:rPr>
                <w:rFonts w:hint="eastAsia" w:ascii="仿宋" w:hAnsi="仿宋" w:eastAsia="仿宋" w:cs="仿宋"/>
                <w:color w:val="auto"/>
                <w:spacing w:val="-69"/>
              </w:rPr>
              <w:t xml:space="preserve"> </w:t>
            </w:r>
            <w:r>
              <w:rPr>
                <w:rFonts w:hint="eastAsia" w:ascii="仿宋" w:hAnsi="仿宋" w:eastAsia="仿宋" w:cs="仿宋"/>
                <w:color w:val="auto"/>
                <w:spacing w:val="-18"/>
              </w:rPr>
              <w:t>现</w:t>
            </w:r>
            <w:r>
              <w:rPr>
                <w:rFonts w:hint="eastAsia" w:ascii="仿宋" w:hAnsi="仿宋" w:eastAsia="仿宋" w:cs="仿宋"/>
                <w:color w:val="auto"/>
                <w:spacing w:val="-70"/>
              </w:rPr>
              <w:t xml:space="preserve"> </w:t>
            </w:r>
            <w:r>
              <w:rPr>
                <w:rFonts w:hint="eastAsia" w:ascii="仿宋" w:hAnsi="仿宋" w:eastAsia="仿宋" w:cs="仿宋"/>
                <w:color w:val="auto"/>
                <w:spacing w:val="-18"/>
              </w:rPr>
              <w:t>场</w:t>
            </w:r>
            <w:r>
              <w:rPr>
                <w:rFonts w:hint="eastAsia" w:ascii="仿宋" w:hAnsi="仿宋" w:eastAsia="仿宋" w:cs="仿宋"/>
                <w:color w:val="auto"/>
                <w:spacing w:val="-34"/>
              </w:rPr>
              <w:t xml:space="preserve"> </w:t>
            </w:r>
            <w:r>
              <w:rPr>
                <w:rFonts w:hint="eastAsia" w:ascii="仿宋" w:hAnsi="仿宋" w:eastAsia="仿宋" w:cs="仿宋"/>
                <w:color w:val="auto"/>
                <w:spacing w:val="-18"/>
              </w:rPr>
              <w:t>，</w:t>
            </w:r>
            <w:r>
              <w:rPr>
                <w:rFonts w:hint="eastAsia" w:ascii="仿宋" w:hAnsi="仿宋" w:eastAsia="仿宋" w:cs="仿宋"/>
                <w:color w:val="auto"/>
                <w:spacing w:val="-71"/>
              </w:rPr>
              <w:t xml:space="preserve"> </w:t>
            </w:r>
            <w:r>
              <w:rPr>
                <w:rFonts w:hint="eastAsia" w:ascii="仿宋" w:hAnsi="仿宋" w:eastAsia="仿宋" w:cs="仿宋"/>
                <w:color w:val="auto"/>
                <w:spacing w:val="-18"/>
              </w:rPr>
              <w:t>仅</w:t>
            </w:r>
            <w:r>
              <w:rPr>
                <w:rFonts w:hint="eastAsia" w:ascii="仿宋" w:hAnsi="仿宋" w:eastAsia="仿宋" w:cs="仿宋"/>
                <w:color w:val="auto"/>
                <w:spacing w:val="-52"/>
              </w:rPr>
              <w:t xml:space="preserve"> </w:t>
            </w:r>
            <w:r>
              <w:rPr>
                <w:rFonts w:hint="eastAsia" w:ascii="仿宋" w:hAnsi="仿宋" w:eastAsia="仿宋" w:cs="仿宋"/>
                <w:color w:val="auto"/>
                <w:spacing w:val="-18"/>
              </w:rPr>
              <w:t>需</w:t>
            </w:r>
            <w:r>
              <w:rPr>
                <w:rFonts w:hint="eastAsia" w:ascii="仿宋" w:hAnsi="仿宋" w:eastAsia="仿宋" w:cs="仿宋"/>
                <w:color w:val="auto"/>
                <w:spacing w:val="-64"/>
              </w:rPr>
              <w:t xml:space="preserve"> </w:t>
            </w:r>
            <w:r>
              <w:rPr>
                <w:rFonts w:hint="eastAsia" w:ascii="仿宋" w:hAnsi="仿宋" w:eastAsia="仿宋" w:cs="仿宋"/>
                <w:color w:val="auto"/>
                <w:spacing w:val="-18"/>
              </w:rPr>
              <w:t>在</w:t>
            </w:r>
            <w:r>
              <w:rPr>
                <w:rFonts w:hint="eastAsia" w:ascii="仿宋" w:hAnsi="仿宋" w:eastAsia="仿宋" w:cs="仿宋"/>
                <w:color w:val="auto"/>
                <w:spacing w:val="-70"/>
              </w:rPr>
              <w:t xml:space="preserve"> </w:t>
            </w:r>
            <w:r>
              <w:rPr>
                <w:rFonts w:hint="eastAsia" w:ascii="仿宋" w:hAnsi="仿宋" w:eastAsia="仿宋" w:cs="仿宋"/>
                <w:color w:val="auto"/>
                <w:spacing w:val="-18"/>
              </w:rPr>
              <w:t>任意</w:t>
            </w:r>
            <w:r>
              <w:rPr>
                <w:rFonts w:hint="eastAsia" w:ascii="仿宋" w:hAnsi="仿宋" w:eastAsia="仿宋" w:cs="仿宋"/>
                <w:color w:val="auto"/>
                <w:spacing w:val="-70"/>
              </w:rPr>
              <w:t xml:space="preserve"> </w:t>
            </w:r>
            <w:r>
              <w:rPr>
                <w:rFonts w:hint="eastAsia" w:ascii="仿宋" w:hAnsi="仿宋" w:eastAsia="仿宋" w:cs="仿宋"/>
                <w:color w:val="auto"/>
                <w:spacing w:val="-18"/>
              </w:rPr>
              <w:t>地</w:t>
            </w:r>
            <w:r>
              <w:rPr>
                <w:rFonts w:hint="eastAsia" w:ascii="仿宋" w:hAnsi="仿宋" w:eastAsia="仿宋" w:cs="仿宋"/>
                <w:color w:val="auto"/>
                <w:spacing w:val="-43"/>
              </w:rPr>
              <w:t xml:space="preserve"> </w:t>
            </w:r>
            <w:r>
              <w:rPr>
                <w:rFonts w:hint="eastAsia" w:ascii="仿宋" w:hAnsi="仿宋" w:eastAsia="仿宋" w:cs="仿宋"/>
                <w:color w:val="auto"/>
                <w:spacing w:val="-18"/>
              </w:rPr>
              <w:t>点通</w:t>
            </w:r>
            <w:r>
              <w:rPr>
                <w:rFonts w:hint="eastAsia" w:ascii="仿宋" w:hAnsi="仿宋" w:eastAsia="仿宋" w:cs="仿宋"/>
                <w:color w:val="auto"/>
                <w:spacing w:val="-63"/>
              </w:rPr>
              <w:t xml:space="preserve"> </w:t>
            </w:r>
            <w:r>
              <w:rPr>
                <w:rFonts w:hint="eastAsia" w:ascii="仿宋" w:hAnsi="仿宋" w:eastAsia="仿宋" w:cs="仿宋"/>
                <w:color w:val="auto"/>
                <w:spacing w:val="-18"/>
              </w:rPr>
              <w:t>过</w:t>
            </w:r>
            <w:r>
              <w:rPr>
                <w:rFonts w:hint="eastAsia" w:ascii="仿宋" w:hAnsi="仿宋" w:eastAsia="仿宋" w:cs="仿宋"/>
                <w:color w:val="auto"/>
                <w:spacing w:val="-69"/>
              </w:rPr>
              <w:t xml:space="preserve"> </w:t>
            </w:r>
            <w:r>
              <w:rPr>
                <w:rFonts w:hint="eastAsia" w:ascii="仿宋" w:hAnsi="仿宋" w:eastAsia="仿宋" w:cs="仿宋"/>
                <w:color w:val="auto"/>
                <w:spacing w:val="-18"/>
              </w:rPr>
              <w:t>政</w:t>
            </w:r>
            <w:r>
              <w:rPr>
                <w:rFonts w:hint="eastAsia" w:ascii="仿宋" w:hAnsi="仿宋" w:eastAsia="仿宋" w:cs="仿宋"/>
                <w:color w:val="auto"/>
                <w:spacing w:val="-64"/>
              </w:rPr>
              <w:t xml:space="preserve"> </w:t>
            </w:r>
            <w:r>
              <w:rPr>
                <w:rFonts w:hint="eastAsia" w:ascii="仿宋" w:hAnsi="仿宋" w:eastAsia="仿宋" w:cs="仿宋"/>
                <w:color w:val="auto"/>
                <w:spacing w:val="-18"/>
              </w:rPr>
              <w:t>采</w:t>
            </w:r>
            <w:r>
              <w:rPr>
                <w:rFonts w:hint="eastAsia" w:ascii="仿宋" w:hAnsi="仿宋" w:eastAsia="仿宋" w:cs="仿宋"/>
                <w:color w:val="auto"/>
                <w:spacing w:val="-67"/>
              </w:rPr>
              <w:t xml:space="preserve"> </w:t>
            </w:r>
            <w:r>
              <w:rPr>
                <w:rFonts w:hint="eastAsia" w:ascii="仿宋" w:hAnsi="仿宋" w:eastAsia="仿宋" w:cs="仿宋"/>
                <w:color w:val="auto"/>
                <w:spacing w:val="-18"/>
              </w:rPr>
              <w:t>云</w:t>
            </w:r>
            <w:r>
              <w:rPr>
                <w:rFonts w:hint="eastAsia" w:ascii="仿宋" w:hAnsi="仿宋" w:eastAsia="仿宋" w:cs="仿宋"/>
                <w:color w:val="auto"/>
                <w:spacing w:val="-68"/>
              </w:rPr>
              <w:t xml:space="preserve"> </w:t>
            </w:r>
            <w:r>
              <w:rPr>
                <w:rFonts w:hint="eastAsia" w:ascii="仿宋" w:hAnsi="仿宋" w:eastAsia="仿宋" w:cs="仿宋"/>
                <w:color w:val="auto"/>
                <w:spacing w:val="-18"/>
              </w:rPr>
              <w:t>平 台</w:t>
            </w:r>
            <w:r>
              <w:rPr>
                <w:rFonts w:hint="eastAsia" w:ascii="仿宋" w:hAnsi="仿宋" w:eastAsia="仿宋" w:cs="仿宋"/>
                <w:color w:val="auto"/>
                <w:spacing w:val="-2"/>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"http://www.ccgp-xinjiang.gov.cn" </w:instrText>
            </w:r>
            <w:r>
              <w:rPr>
                <w:rFonts w:hint="eastAsia" w:ascii="仿宋" w:hAnsi="仿宋" w:eastAsia="仿宋" w:cs="仿宋"/>
                <w:color w:val="auto"/>
              </w:rPr>
              <w:fldChar w:fldCharType="separate"/>
            </w:r>
            <w:r>
              <w:rPr>
                <w:rFonts w:hint="eastAsia" w:ascii="仿宋" w:hAnsi="仿宋" w:eastAsia="仿宋" w:cs="仿宋"/>
                <w:color w:val="auto"/>
                <w:spacing w:val="-2"/>
              </w:rPr>
              <w:t>http://www.ccgp-xinjiang</w:t>
            </w:r>
            <w:r>
              <w:rPr>
                <w:rFonts w:hint="eastAsia" w:ascii="仿宋" w:hAnsi="仿宋" w:eastAsia="仿宋" w:cs="仿宋"/>
                <w:color w:val="auto"/>
                <w:spacing w:val="-3"/>
              </w:rPr>
              <w:t>.gov.cn</w:t>
            </w:r>
            <w:r>
              <w:rPr>
                <w:rFonts w:hint="eastAsia" w:ascii="仿宋" w:hAnsi="仿宋" w:eastAsia="仿宋" w:cs="仿宋"/>
                <w:color w:val="auto"/>
                <w:spacing w:val="-3"/>
              </w:rPr>
              <w:fldChar w:fldCharType="end"/>
            </w:r>
            <w:r>
              <w:rPr>
                <w:rFonts w:hint="eastAsia" w:ascii="仿宋" w:hAnsi="仿宋" w:eastAsia="仿宋" w:cs="仿宋"/>
                <w:color w:val="auto"/>
                <w:spacing w:val="-3"/>
              </w:rPr>
              <w:t>）不见面开标系统完</w:t>
            </w:r>
            <w:r>
              <w:rPr>
                <w:rFonts w:hint="eastAsia" w:ascii="仿宋" w:hAnsi="仿宋" w:eastAsia="仿宋" w:cs="仿宋"/>
                <w:color w:val="auto"/>
                <w:spacing w:val="-7"/>
              </w:rPr>
              <w:t>成远程解密、提疑澄清、开标唱标、结果公布等交互环节。</w:t>
            </w:r>
            <w:r>
              <w:rPr>
                <w:rFonts w:hint="eastAsia" w:ascii="仿宋" w:hAnsi="仿宋" w:eastAsia="仿宋" w:cs="仿宋"/>
                <w:color w:val="auto"/>
                <w:spacing w:val="-6"/>
              </w:rPr>
              <w:t>投标人必须使用能正确解密投标文件的“CA 锁</w:t>
            </w:r>
            <w:r>
              <w:rPr>
                <w:rFonts w:hint="eastAsia" w:ascii="仿宋" w:hAnsi="仿宋" w:eastAsia="仿宋" w:cs="仿宋"/>
                <w:color w:val="auto"/>
                <w:spacing w:val="-54"/>
              </w:rPr>
              <w:t xml:space="preserve"> </w:t>
            </w:r>
            <w:r>
              <w:rPr>
                <w:rFonts w:hint="eastAsia" w:ascii="仿宋" w:hAnsi="仿宋" w:eastAsia="仿宋" w:cs="仿宋"/>
                <w:color w:val="auto"/>
                <w:spacing w:val="-6"/>
              </w:rPr>
              <w:t>”在规定的</w:t>
            </w:r>
            <w:r>
              <w:rPr>
                <w:rFonts w:hint="eastAsia" w:ascii="仿宋" w:hAnsi="仿宋" w:eastAsia="仿宋" w:cs="仿宋"/>
                <w:color w:val="auto"/>
              </w:rPr>
              <w:t>时间内完成远程解密，因供应商原因未能解密、解密失败</w:t>
            </w:r>
            <w:r>
              <w:rPr>
                <w:rFonts w:hint="eastAsia" w:ascii="仿宋" w:hAnsi="仿宋" w:eastAsia="仿宋" w:cs="仿宋"/>
                <w:color w:val="auto"/>
                <w:spacing w:val="-7"/>
              </w:rPr>
              <w:t>或解密超时，视为投标人撤销其投标文件，默认自动放弃；</w:t>
            </w:r>
            <w:r>
              <w:rPr>
                <w:rFonts w:hint="eastAsia" w:ascii="仿宋" w:hAnsi="仿宋" w:eastAsia="仿宋" w:cs="仿宋"/>
                <w:color w:val="auto"/>
              </w:rPr>
              <w:t>因采购人原因或网上招投标平台发生故障，导致无法按时完成投标文件解密的，投标人需将未加密的投标文件提供</w:t>
            </w:r>
            <w:r>
              <w:rPr>
                <w:rFonts w:hint="eastAsia" w:ascii="仿宋" w:hAnsi="仿宋" w:eastAsia="仿宋" w:cs="仿宋"/>
                <w:color w:val="auto"/>
                <w:spacing w:val="-7"/>
              </w:rPr>
              <w:t>给采购代理机构，采购代理机构通过异常口上传、</w:t>
            </w:r>
            <w:r>
              <w:rPr>
                <w:rFonts w:hint="eastAsia" w:ascii="仿宋" w:hAnsi="仿宋" w:eastAsia="仿宋" w:cs="仿宋"/>
                <w:color w:val="auto"/>
                <w:spacing w:val="1"/>
              </w:rPr>
              <w:t>解密或可根据实际情况相应延迟解密时间、</w:t>
            </w:r>
            <w:r>
              <w:rPr>
                <w:rFonts w:hint="eastAsia" w:ascii="仿宋" w:hAnsi="仿宋" w:eastAsia="仿宋" w:cs="仿宋"/>
                <w:color w:val="auto"/>
              </w:rPr>
              <w:t>调整开评标时</w:t>
            </w:r>
            <w:r>
              <w:rPr>
                <w:rFonts w:hint="eastAsia" w:ascii="仿宋" w:hAnsi="仿宋" w:eastAsia="仿宋" w:cs="仿宋"/>
                <w:color w:val="auto"/>
                <w:spacing w:val="-2"/>
              </w:rPr>
              <w:t>间。（友情提示：投标人编制标书的</w:t>
            </w:r>
            <w:r>
              <w:rPr>
                <w:rFonts w:hint="eastAsia" w:ascii="仿宋" w:hAnsi="仿宋" w:eastAsia="仿宋" w:cs="仿宋"/>
                <w:color w:val="auto"/>
                <w:spacing w:val="-25"/>
              </w:rPr>
              <w:t xml:space="preserve"> </w:t>
            </w:r>
            <w:r>
              <w:rPr>
                <w:rFonts w:hint="eastAsia" w:ascii="仿宋" w:hAnsi="仿宋" w:eastAsia="仿宋" w:cs="仿宋"/>
                <w:color w:val="auto"/>
                <w:spacing w:val="-2"/>
              </w:rPr>
              <w:t>CA 需与解密CA</w:t>
            </w:r>
            <w:r>
              <w:rPr>
                <w:rFonts w:hint="eastAsia" w:ascii="仿宋" w:hAnsi="仿宋" w:eastAsia="仿宋" w:cs="仿宋"/>
                <w:color w:val="auto"/>
                <w:spacing w:val="-24"/>
              </w:rPr>
              <w:t xml:space="preserve"> </w:t>
            </w:r>
            <w:r>
              <w:rPr>
                <w:rFonts w:hint="eastAsia" w:ascii="仿宋" w:hAnsi="仿宋" w:eastAsia="仿宋" w:cs="仿宋"/>
                <w:color w:val="auto"/>
                <w:spacing w:val="-2"/>
              </w:rPr>
              <w:t>保持</w:t>
            </w:r>
            <w:r>
              <w:rPr>
                <w:rFonts w:hint="eastAsia" w:ascii="仿宋" w:hAnsi="仿宋" w:eastAsia="仿宋" w:cs="仿宋"/>
                <w:color w:val="auto"/>
              </w:rPr>
              <w:t>一致，若投标人已领取副锁（含多把副锁）请注意正副锁</w:t>
            </w:r>
            <w:r>
              <w:rPr>
                <w:rFonts w:hint="eastAsia" w:ascii="仿宋" w:hAnsi="仿宋" w:eastAsia="仿宋" w:cs="仿宋"/>
                <w:color w:val="auto"/>
                <w:spacing w:val="-2"/>
              </w:rPr>
              <w:t>的使用差别，务必使用生成投标文件的那把锁解密）。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eastAsia="仿宋"/>
                <w:sz w:val="24"/>
              </w:rPr>
            </w:pPr>
            <w:r>
              <w:rPr>
                <w:rFonts w:hint="eastAsia" w:eastAsia="仿宋"/>
                <w:sz w:val="24"/>
              </w:rPr>
              <w:t>13</w:t>
            </w:r>
          </w:p>
        </w:tc>
        <w:tc>
          <w:tcPr>
            <w:tcW w:w="6840" w:type="dxa"/>
            <w:vAlign w:val="center"/>
          </w:tcPr>
          <w:p>
            <w:pPr>
              <w:spacing w:line="360" w:lineRule="auto"/>
              <w:rPr>
                <w:rFonts w:eastAsia="仿宋"/>
                <w:color w:val="auto"/>
                <w:sz w:val="24"/>
                <w:highlight w:val="none"/>
              </w:rPr>
            </w:pPr>
            <w:r>
              <w:rPr>
                <w:rFonts w:eastAsia="仿宋"/>
                <w:color w:val="auto"/>
                <w:sz w:val="24"/>
                <w:highlight w:val="none"/>
              </w:rPr>
              <w:t>投标截止时间：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lang w:val="en-US" w:eastAsia="zh-CN"/>
              </w:rPr>
              <w:t>10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eastAsia="仿宋"/>
                <w:sz w:val="24"/>
              </w:rPr>
            </w:pPr>
            <w:r>
              <w:rPr>
                <w:rFonts w:hint="eastAsia" w:eastAsia="仿宋"/>
                <w:sz w:val="24"/>
              </w:rPr>
              <w:t>14</w:t>
            </w:r>
          </w:p>
        </w:tc>
        <w:tc>
          <w:tcPr>
            <w:tcW w:w="6840" w:type="dxa"/>
            <w:vAlign w:val="center"/>
          </w:tcPr>
          <w:p>
            <w:pPr>
              <w:spacing w:line="360" w:lineRule="auto"/>
              <w:rPr>
                <w:rFonts w:eastAsia="仿宋"/>
                <w:b/>
                <w:bCs/>
                <w:color w:val="auto"/>
                <w:sz w:val="24"/>
                <w:highlight w:val="none"/>
              </w:rPr>
            </w:pPr>
            <w:r>
              <w:rPr>
                <w:rFonts w:eastAsia="仿宋"/>
                <w:color w:val="auto"/>
                <w:sz w:val="24"/>
                <w:highlight w:val="none"/>
              </w:rPr>
              <w:t>开标时间：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rPr>
              <w:t>1</w:t>
            </w:r>
            <w:r>
              <w:rPr>
                <w:rFonts w:hint="eastAsia" w:eastAsia="仿宋"/>
                <w:b/>
                <w:bCs/>
                <w:color w:val="auto"/>
                <w:sz w:val="24"/>
                <w:highlight w:val="none"/>
                <w:u w:val="single"/>
                <w:lang w:val="en-US" w:eastAsia="zh-CN"/>
              </w:rPr>
              <w:t>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开标地点：政采云平台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eastAsia="仿宋"/>
                <w:sz w:val="24"/>
              </w:rPr>
            </w:pPr>
            <w:r>
              <w:rPr>
                <w:rFonts w:hint="eastAsia" w:eastAsia="仿宋"/>
                <w:sz w:val="24"/>
              </w:rPr>
              <w:t>15</w:t>
            </w:r>
          </w:p>
        </w:tc>
        <w:tc>
          <w:tcPr>
            <w:tcW w:w="6840" w:type="dxa"/>
            <w:vAlign w:val="center"/>
          </w:tcPr>
          <w:p>
            <w:pPr>
              <w:spacing w:line="360" w:lineRule="auto"/>
              <w:rPr>
                <w:rFonts w:eastAsia="仿宋"/>
                <w:sz w:val="24"/>
              </w:rPr>
            </w:pPr>
            <w:r>
              <w:rPr>
                <w:rFonts w:eastAsia="仿宋"/>
                <w:sz w:val="24"/>
              </w:rPr>
              <w:t>评标方法：适用</w:t>
            </w:r>
            <w:r>
              <w:rPr>
                <w:rFonts w:eastAsia="仿宋"/>
                <w:sz w:val="24"/>
                <w:u w:val="single"/>
              </w:rPr>
              <w:t>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16</w:t>
            </w:r>
          </w:p>
        </w:tc>
        <w:tc>
          <w:tcPr>
            <w:tcW w:w="6840" w:type="dxa"/>
            <w:vAlign w:val="center"/>
          </w:tcPr>
          <w:p>
            <w:pPr>
              <w:spacing w:line="360" w:lineRule="auto"/>
              <w:rPr>
                <w:rFonts w:eastAsia="仿宋"/>
                <w:sz w:val="24"/>
              </w:rPr>
            </w:pPr>
            <w:r>
              <w:rPr>
                <w:rFonts w:eastAsia="仿宋"/>
                <w:sz w:val="24"/>
              </w:rPr>
              <w:t>推荐中标候选供应商的数量：</w:t>
            </w:r>
            <w:r>
              <w:rPr>
                <w:rFonts w:eastAsia="仿宋"/>
                <w:sz w:val="24"/>
                <w:u w:val="single"/>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17</w:t>
            </w:r>
          </w:p>
        </w:tc>
        <w:tc>
          <w:tcPr>
            <w:tcW w:w="6840" w:type="dxa"/>
            <w:vAlign w:val="center"/>
          </w:tcPr>
          <w:p>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18</w:t>
            </w:r>
          </w:p>
        </w:tc>
        <w:tc>
          <w:tcPr>
            <w:tcW w:w="6840" w:type="dxa"/>
            <w:vAlign w:val="center"/>
          </w:tcPr>
          <w:p>
            <w:pPr>
              <w:spacing w:line="360" w:lineRule="auto"/>
              <w:rPr>
                <w:rFonts w:eastAsia="仿宋"/>
                <w:color w:val="auto"/>
                <w:sz w:val="24"/>
                <w:highlight w:val="none"/>
              </w:rPr>
            </w:pPr>
            <w:r>
              <w:rPr>
                <w:rFonts w:eastAsia="仿宋"/>
                <w:sz w:val="24"/>
              </w:rPr>
              <w:t>履</w:t>
            </w:r>
            <w:r>
              <w:rPr>
                <w:rFonts w:eastAsia="仿宋"/>
                <w:color w:val="auto"/>
                <w:sz w:val="24"/>
              </w:rPr>
              <w:t>约保证金金额：</w:t>
            </w:r>
            <w:r>
              <w:rPr>
                <w:rFonts w:eastAsia="仿宋"/>
                <w:b/>
                <w:bCs/>
                <w:color w:val="auto"/>
                <w:sz w:val="24"/>
                <w:highlight w:val="none"/>
              </w:rPr>
              <w:t>合同总价的</w:t>
            </w:r>
            <w:r>
              <w:rPr>
                <w:rFonts w:hint="eastAsia" w:eastAsia="仿宋"/>
                <w:b/>
                <w:bCs/>
                <w:color w:val="auto"/>
                <w:sz w:val="24"/>
                <w:highlight w:val="none"/>
                <w:lang w:val="en-US" w:eastAsia="zh-CN"/>
              </w:rPr>
              <w:t>5</w:t>
            </w:r>
            <w:r>
              <w:rPr>
                <w:rFonts w:eastAsia="仿宋"/>
                <w:b/>
                <w:bCs/>
                <w:color w:val="auto"/>
                <w:sz w:val="24"/>
                <w:highlight w:val="none"/>
              </w:rPr>
              <w:t>%计算向下取整至万元（不得超过政府采购合同金额的10%）</w:t>
            </w:r>
            <w:r>
              <w:rPr>
                <w:rFonts w:eastAsia="仿宋"/>
                <w:color w:val="auto"/>
                <w:sz w:val="24"/>
                <w:highlight w:val="none"/>
              </w:rPr>
              <w:t>。</w:t>
            </w:r>
          </w:p>
          <w:p>
            <w:pPr>
              <w:spacing w:line="360" w:lineRule="auto"/>
              <w:rPr>
                <w:rFonts w:eastAsia="仿宋"/>
                <w:sz w:val="24"/>
              </w:rPr>
            </w:pPr>
            <w:bookmarkStart w:id="360" w:name="_Hlk22725541"/>
            <w:bookmarkEnd w:id="360"/>
            <w:r>
              <w:rPr>
                <w:rFonts w:eastAsia="仿宋"/>
                <w:sz w:val="24"/>
                <w:highlight w:val="none"/>
              </w:rPr>
              <w:t>履约保证金形式：电汇或企业账户网</w:t>
            </w:r>
            <w:r>
              <w:rPr>
                <w:rFonts w:eastAsia="仿宋"/>
                <w:sz w:val="24"/>
              </w:rPr>
              <w:t>银汇款。</w:t>
            </w:r>
          </w:p>
          <w:p>
            <w:pPr>
              <w:spacing w:line="360" w:lineRule="auto"/>
              <w:rPr>
                <w:rFonts w:ascii="仿宋" w:hAnsi="仿宋" w:eastAsia="仿宋"/>
                <w:sz w:val="24"/>
              </w:rPr>
            </w:pPr>
            <w:r>
              <w:rPr>
                <w:rFonts w:hint="eastAsia" w:ascii="仿宋" w:hAnsi="仿宋" w:eastAsia="仿宋"/>
                <w:sz w:val="24"/>
              </w:rPr>
              <w:t>提交履约保证金的时间：签订合同前打入甲方指定账户</w:t>
            </w:r>
          </w:p>
          <w:p>
            <w:pPr>
              <w:spacing w:line="360" w:lineRule="auto"/>
              <w:rPr>
                <w:rFonts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pPr>
              <w:spacing w:line="360" w:lineRule="auto"/>
              <w:rPr>
                <w:rFonts w:hint="default" w:eastAsia="仿宋"/>
                <w:sz w:val="24"/>
                <w:lang w:val="en-US" w:eastAsia="zh-CN"/>
              </w:rPr>
            </w:pPr>
            <w:r>
              <w:rPr>
                <w:rFonts w:eastAsia="仿宋"/>
                <w:sz w:val="24"/>
              </w:rPr>
              <w:t>履约保证金收款人：</w:t>
            </w:r>
            <w:r>
              <w:rPr>
                <w:rFonts w:hint="eastAsia" w:eastAsia="仿宋"/>
                <w:sz w:val="24"/>
                <w:lang w:val="en-US" w:eastAsia="zh-CN"/>
              </w:rPr>
              <w:t>福海县教育局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hint="eastAsia" w:eastAsia="仿宋"/>
                <w:sz w:val="24"/>
              </w:rPr>
              <w:t>19</w:t>
            </w:r>
          </w:p>
        </w:tc>
        <w:tc>
          <w:tcPr>
            <w:tcW w:w="6840" w:type="dxa"/>
            <w:vAlign w:val="center"/>
          </w:tcPr>
          <w:p>
            <w:pPr>
              <w:spacing w:line="360" w:lineRule="auto"/>
              <w:rPr>
                <w:rFonts w:eastAsia="仿宋"/>
                <w:sz w:val="24"/>
              </w:rPr>
            </w:pPr>
            <w:r>
              <w:rPr>
                <w:rFonts w:eastAsia="仿宋"/>
                <w:sz w:val="24"/>
              </w:rPr>
              <w:t>本项目无中标服务费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1"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0</w:t>
            </w:r>
          </w:p>
        </w:tc>
        <w:tc>
          <w:tcPr>
            <w:tcW w:w="6840" w:type="dxa"/>
            <w:vAlign w:val="center"/>
          </w:tcPr>
          <w:p>
            <w:pPr>
              <w:spacing w:line="360" w:lineRule="auto"/>
              <w:ind w:left="710" w:leftChars="-23" w:hanging="758" w:hangingChars="316"/>
              <w:rPr>
                <w:rFonts w:hint="default" w:eastAsia="仿宋"/>
                <w:sz w:val="24"/>
                <w:lang w:val="en-US" w:eastAsia="zh-CN"/>
              </w:rPr>
            </w:pPr>
            <w:r>
              <w:rPr>
                <w:rFonts w:eastAsia="仿宋"/>
                <w:sz w:val="24"/>
              </w:rPr>
              <w:t>反腐倡廉监督电话/邮箱：</w:t>
            </w:r>
            <w:r>
              <w:rPr>
                <w:rFonts w:eastAsia="仿宋"/>
                <w:sz w:val="24"/>
                <w:highlight w:val="none"/>
                <w:u w:val="single"/>
              </w:rPr>
              <w:t>0</w:t>
            </w:r>
            <w:r>
              <w:rPr>
                <w:rFonts w:hint="eastAsia" w:eastAsia="仿宋"/>
                <w:sz w:val="24"/>
                <w:highlight w:val="none"/>
                <w:u w:val="single"/>
                <w:lang w:val="en-US" w:eastAsia="zh-CN"/>
              </w:rPr>
              <w:t>906-7557708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993"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1</w:t>
            </w:r>
          </w:p>
        </w:tc>
        <w:tc>
          <w:tcPr>
            <w:tcW w:w="6840" w:type="dxa"/>
            <w:vAlign w:val="center"/>
          </w:tcPr>
          <w:p>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lang w:val="en-US" w:eastAsia="zh-CN"/>
              </w:rPr>
              <w:t>福海县政府采购</w:t>
            </w:r>
            <w:r>
              <w:rPr>
                <w:rFonts w:eastAsia="仿宋"/>
                <w:sz w:val="24"/>
                <w:u w:val="single"/>
              </w:rPr>
              <w:t>中心</w:t>
            </w:r>
          </w:p>
          <w:p>
            <w:pPr>
              <w:rPr>
                <w:rFonts w:hint="default" w:eastAsia="仿宋"/>
                <w:sz w:val="24"/>
                <w:lang w:val="en-US" w:eastAsia="zh-CN"/>
              </w:rPr>
            </w:pPr>
            <w:r>
              <w:rPr>
                <w:rFonts w:eastAsia="仿宋"/>
                <w:sz w:val="24"/>
              </w:rPr>
              <w:t>联系电话：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28" w:type="dxa"/>
            <w:bottom w:w="0" w:type="dxa"/>
            <w:right w:w="28" w:type="dxa"/>
          </w:tblCellMar>
        </w:tblPrEx>
        <w:trPr>
          <w:trHeight w:val="611" w:hRule="atLeast"/>
        </w:trPr>
        <w:tc>
          <w:tcPr>
            <w:tcW w:w="8308" w:type="dxa"/>
            <w:gridSpan w:val="2"/>
            <w:vAlign w:val="center"/>
          </w:tcPr>
          <w:p>
            <w:pPr>
              <w:spacing w:line="360" w:lineRule="auto"/>
              <w:rPr>
                <w:rFonts w:eastAsia="仿宋"/>
                <w:sz w:val="24"/>
              </w:rPr>
            </w:pPr>
          </w:p>
        </w:tc>
      </w:tr>
    </w:tbl>
    <w:p>
      <w:pPr>
        <w:spacing w:line="360" w:lineRule="auto"/>
        <w:ind w:left="1080" w:leftChars="257" w:hanging="540"/>
        <w:rPr>
          <w:rFonts w:eastAsia="仿宋"/>
          <w:sz w:val="24"/>
        </w:rPr>
        <w:sectPr>
          <w:footerReference r:id="rId8" w:type="default"/>
          <w:pgSz w:w="11906" w:h="16838"/>
          <w:pgMar w:top="1440" w:right="1797" w:bottom="1440" w:left="1797" w:header="851" w:footer="992" w:gutter="0"/>
          <w:pgNumType w:fmt="decimal"/>
          <w:cols w:space="720" w:num="1"/>
          <w:docGrid w:linePitch="312" w:charSpace="0"/>
        </w:sectPr>
      </w:pPr>
    </w:p>
    <w:p>
      <w:pPr>
        <w:pStyle w:val="20"/>
        <w:rPr>
          <w:sz w:val="24"/>
          <w:szCs w:val="16"/>
        </w:rPr>
      </w:pPr>
      <w:bookmarkStart w:id="361" w:name="_Toc24868"/>
      <w:bookmarkEnd w:id="361"/>
      <w:bookmarkStart w:id="362" w:name="_Toc20390"/>
      <w:bookmarkEnd w:id="362"/>
      <w:bookmarkStart w:id="363" w:name="_Toc7753"/>
      <w:bookmarkEnd w:id="363"/>
      <w:bookmarkStart w:id="364" w:name="_Toc20857"/>
      <w:bookmarkEnd w:id="364"/>
      <w:r>
        <w:rPr>
          <w:sz w:val="24"/>
          <w:szCs w:val="16"/>
        </w:rPr>
        <w:t>资格审查表</w:t>
      </w:r>
    </w:p>
    <w:p>
      <w:pPr>
        <w:rPr>
          <w:rFonts w:eastAsia="仿宋"/>
        </w:rPr>
      </w:pPr>
    </w:p>
    <w:tbl>
      <w:tblPr>
        <w:tblStyle w:val="16"/>
        <w:tblpPr w:leftFromText="180" w:rightFromText="180" w:vertAnchor="text" w:horzAnchor="page" w:tblpXSpec="center" w:tblpY="373"/>
        <w:tblOverlap w:val="never"/>
        <w:tblW w:w="8631" w:type="dxa"/>
        <w:jc w:val="center"/>
        <w:tblInd w:w="0" w:type="dxa"/>
        <w:tblLayout w:type="fixed"/>
        <w:tblCellMar>
          <w:top w:w="0" w:type="dxa"/>
          <w:left w:w="108" w:type="dxa"/>
          <w:bottom w:w="0" w:type="dxa"/>
          <w:right w:w="108" w:type="dxa"/>
        </w:tblCellMar>
      </w:tblPr>
      <w:tblGrid>
        <w:gridCol w:w="945"/>
        <w:gridCol w:w="6138"/>
        <w:gridCol w:w="355"/>
        <w:gridCol w:w="329"/>
        <w:gridCol w:w="399"/>
        <w:gridCol w:w="465"/>
      </w:tblGrid>
      <w:tr>
        <w:tblPrEx>
          <w:tblLayout w:type="fixed"/>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tblPrEx>
          <w:tblLayout w:type="fixed"/>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tblPrEx>
          <w:tblLayout w:type="fixed"/>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highlight w:val="none"/>
              </w:rPr>
              <w:t>法人身份证明或法人授权委托书（含法人身份证复印件）和被授权人身份有效证件</w:t>
            </w:r>
            <w:r>
              <w:rPr>
                <w:rFonts w:hint="eastAsia" w:ascii="仿宋" w:hAnsi="仿宋" w:eastAsia="仿宋"/>
                <w:color w:val="000000"/>
                <w:kern w:val="0"/>
                <w:szCs w:val="21"/>
                <w:highlight w:val="none"/>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25"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pPr>
              <w:pStyle w:val="26"/>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参与政府采购活动前3年内未被列入失信、重大税收违法案件、财政部门禁止参加政府采购活动的承诺书；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lang w:eastAsia="zh-CN"/>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1</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根据要求上传《中小企业声明函》</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tc>
        <w:tc>
          <w:tcPr>
            <w:tcW w:w="6138"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bl>
    <w:p>
      <w:pPr>
        <w:rPr>
          <w:rFonts w:eastAsia="仿宋"/>
        </w:rPr>
      </w:pPr>
      <w:r>
        <w:rPr>
          <w:rFonts w:eastAsia="仿宋"/>
        </w:rPr>
        <w:br w:type="page"/>
      </w:r>
    </w:p>
    <w:p>
      <w:pPr>
        <w:pStyle w:val="31"/>
        <w:rPr>
          <w:rFonts w:eastAsia="仿宋"/>
        </w:rPr>
      </w:pPr>
    </w:p>
    <w:p>
      <w:pPr>
        <w:pStyle w:val="20"/>
        <w:tabs>
          <w:tab w:val="left" w:pos="0"/>
        </w:tabs>
        <w:spacing w:before="0" w:after="0" w:line="240" w:lineRule="atLeast"/>
        <w:ind w:left="630"/>
        <w:rPr>
          <w:rFonts w:ascii="Times New Roman" w:eastAsia="仿宋"/>
          <w:color w:val="auto"/>
          <w:sz w:val="21"/>
          <w:szCs w:val="21"/>
        </w:rPr>
      </w:pPr>
      <w:bookmarkStart w:id="365" w:name="_Toc7801"/>
      <w:bookmarkEnd w:id="365"/>
      <w:bookmarkStart w:id="366" w:name="_Toc12390"/>
      <w:bookmarkEnd w:id="366"/>
      <w:bookmarkStart w:id="367" w:name="_Toc6254"/>
      <w:bookmarkEnd w:id="367"/>
      <w:r>
        <w:rPr>
          <w:rFonts w:ascii="Times New Roman" w:eastAsia="仿宋"/>
        </w:rPr>
        <w:t>第5章</w:t>
      </w:r>
      <w:r>
        <w:rPr>
          <w:rFonts w:hint="eastAsia" w:ascii="Times New Roman" w:eastAsia="仿宋"/>
          <w:color w:val="auto"/>
        </w:rPr>
        <w:t xml:space="preserve"> 项目服务需求及技术规格</w:t>
      </w:r>
    </w:p>
    <w:tbl>
      <w:tblPr>
        <w:tblStyle w:val="17"/>
        <w:tblpPr w:leftFromText="180" w:rightFromText="180" w:vertAnchor="text" w:horzAnchor="page" w:tblpX="1440" w:tblpY="167"/>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20"/>
        <w:gridCol w:w="2250"/>
        <w:gridCol w:w="4485"/>
        <w:gridCol w:w="600"/>
        <w:gridCol w:w="64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序号</w:t>
            </w:r>
          </w:p>
        </w:tc>
        <w:tc>
          <w:tcPr>
            <w:tcW w:w="72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产品名称</w:t>
            </w:r>
          </w:p>
        </w:tc>
        <w:tc>
          <w:tcPr>
            <w:tcW w:w="2250"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参考图片</w:t>
            </w:r>
          </w:p>
        </w:tc>
        <w:tc>
          <w:tcPr>
            <w:tcW w:w="4485"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技术参数</w:t>
            </w:r>
          </w:p>
        </w:tc>
        <w:tc>
          <w:tcPr>
            <w:tcW w:w="60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单位</w:t>
            </w:r>
          </w:p>
        </w:tc>
        <w:tc>
          <w:tcPr>
            <w:tcW w:w="645" w:type="dxa"/>
            <w:vAlign w:val="center"/>
          </w:tcPr>
          <w:p>
            <w:pPr>
              <w:keepNext w:val="0"/>
              <w:keepLines w:val="0"/>
              <w:widowControl/>
              <w:suppressLineNumbers w:val="0"/>
              <w:jc w:val="center"/>
              <w:textAlignment w:val="center"/>
              <w:rPr>
                <w:rFonts w:hint="default"/>
                <w:b/>
                <w:bCs/>
                <w:sz w:val="21"/>
                <w:szCs w:val="21"/>
                <w:lang w:val="en-US"/>
              </w:rPr>
            </w:pPr>
            <w:r>
              <w:rPr>
                <w:rFonts w:hint="eastAsia" w:ascii="华文中宋" w:hAnsi="华文中宋" w:eastAsia="华文中宋" w:cs="华文中宋"/>
                <w:b/>
                <w:i w:val="0"/>
                <w:color w:val="000000"/>
                <w:kern w:val="0"/>
                <w:sz w:val="21"/>
                <w:szCs w:val="21"/>
                <w:u w:val="none"/>
                <w:lang w:val="en-US" w:eastAsia="zh-CN" w:bidi="ar"/>
              </w:rPr>
              <w:t>数量</w:t>
            </w:r>
          </w:p>
        </w:tc>
        <w:tc>
          <w:tcPr>
            <w:tcW w:w="510" w:type="dxa"/>
            <w:vAlign w:val="center"/>
          </w:tcPr>
          <w:p>
            <w:pPr>
              <w:keepNext w:val="0"/>
              <w:keepLines w:val="0"/>
              <w:widowControl/>
              <w:suppressLineNumbers w:val="0"/>
              <w:jc w:val="center"/>
              <w:textAlignment w:val="center"/>
              <w:rPr>
                <w:rFonts w:hint="default" w:eastAsia="宋体"/>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教师讲桌</w:t>
            </w:r>
          </w:p>
        </w:tc>
        <w:tc>
          <w:tcPr>
            <w:tcW w:w="2250" w:type="dxa"/>
            <w:vAlign w:val="center"/>
          </w:tcPr>
          <w:p>
            <w:pPr>
              <w:keepNext w:val="0"/>
              <w:keepLines w:val="0"/>
              <w:widowControl/>
              <w:suppressLineNumbers w:val="0"/>
              <w:jc w:val="center"/>
              <w:textAlignment w:val="center"/>
              <w:rPr>
                <w:sz w:val="16"/>
                <w:szCs w:val="20"/>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-56515</wp:posOffset>
                  </wp:positionH>
                  <wp:positionV relativeFrom="paragraph">
                    <wp:posOffset>1607185</wp:posOffset>
                  </wp:positionV>
                  <wp:extent cx="1406525" cy="1076325"/>
                  <wp:effectExtent l="0" t="0" r="3175" b="9525"/>
                  <wp:wrapNone/>
                  <wp:docPr id="29" name="图片_3"/>
                  <wp:cNvGraphicFramePr/>
                  <a:graphic xmlns:a="http://schemas.openxmlformats.org/drawingml/2006/main">
                    <a:graphicData uri="http://schemas.openxmlformats.org/drawingml/2006/picture">
                      <pic:pic xmlns:pic="http://schemas.openxmlformats.org/drawingml/2006/picture">
                        <pic:nvPicPr>
                          <pic:cNvPr id="29" name="图片_3"/>
                          <pic:cNvPicPr/>
                        </pic:nvPicPr>
                        <pic:blipFill>
                          <a:blip r:link="rId17"/>
                          <a:stretch>
                            <a:fillRect/>
                          </a:stretch>
                        </pic:blipFill>
                        <pic:spPr>
                          <a:xfrm>
                            <a:off x="0" y="0"/>
                            <a:ext cx="1406525" cy="1076325"/>
                          </a:xfrm>
                          <a:prstGeom prst="rect">
                            <a:avLst/>
                          </a:prstGeom>
                          <a:noFill/>
                          <a:ln>
                            <a:noFill/>
                          </a:ln>
                        </pic:spPr>
                      </pic:pic>
                    </a:graphicData>
                  </a:graphic>
                </wp:anchor>
              </w:drawing>
            </w: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808990</wp:posOffset>
                  </wp:positionH>
                  <wp:positionV relativeFrom="paragraph">
                    <wp:posOffset>67945</wp:posOffset>
                  </wp:positionV>
                  <wp:extent cx="504190" cy="964565"/>
                  <wp:effectExtent l="0" t="0" r="10160" b="6985"/>
                  <wp:wrapNone/>
                  <wp:docPr id="28" name="图片_1"/>
                  <wp:cNvGraphicFramePr/>
                  <a:graphic xmlns:a="http://schemas.openxmlformats.org/drawingml/2006/main">
                    <a:graphicData uri="http://schemas.openxmlformats.org/drawingml/2006/picture">
                      <pic:pic xmlns:pic="http://schemas.openxmlformats.org/drawingml/2006/picture">
                        <pic:nvPicPr>
                          <pic:cNvPr id="28" name="图片_1"/>
                          <pic:cNvPicPr/>
                        </pic:nvPicPr>
                        <pic:blipFill>
                          <a:blip r:link="rId18"/>
                          <a:stretch>
                            <a:fillRect/>
                          </a:stretch>
                        </pic:blipFill>
                        <pic:spPr>
                          <a:xfrm>
                            <a:off x="0" y="0"/>
                            <a:ext cx="504190" cy="964565"/>
                          </a:xfrm>
                          <a:prstGeom prst="rect">
                            <a:avLst/>
                          </a:prstGeom>
                          <a:noFill/>
                          <a:ln>
                            <a:noFill/>
                          </a:ln>
                        </pic:spPr>
                      </pic:pic>
                    </a:graphicData>
                  </a:graphic>
                </wp:anchor>
              </w:drawing>
            </w: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40005</wp:posOffset>
                  </wp:positionV>
                  <wp:extent cx="763905" cy="1039495"/>
                  <wp:effectExtent l="0" t="0" r="17145" b="8255"/>
                  <wp:wrapNone/>
                  <wp:docPr id="27" name="图片_2"/>
                  <wp:cNvGraphicFramePr/>
                  <a:graphic xmlns:a="http://schemas.openxmlformats.org/drawingml/2006/main">
                    <a:graphicData uri="http://schemas.openxmlformats.org/drawingml/2006/picture">
                      <pic:pic xmlns:pic="http://schemas.openxmlformats.org/drawingml/2006/picture">
                        <pic:nvPicPr>
                          <pic:cNvPr id="27" name="图片_2"/>
                          <pic:cNvPicPr/>
                        </pic:nvPicPr>
                        <pic:blipFill>
                          <a:blip r:link="rId19"/>
                          <a:stretch>
                            <a:fillRect/>
                          </a:stretch>
                        </pic:blipFill>
                        <pic:spPr>
                          <a:xfrm>
                            <a:off x="0" y="0"/>
                            <a:ext cx="763905" cy="1039495"/>
                          </a:xfrm>
                          <a:prstGeom prst="rect">
                            <a:avLst/>
                          </a:prstGeom>
                          <a:noFill/>
                          <a:ln>
                            <a:noFill/>
                          </a:ln>
                        </pic:spPr>
                      </pic:pic>
                    </a:graphicData>
                  </a:graphic>
                </wp:anchor>
              </w:drawing>
            </w:r>
          </w:p>
        </w:tc>
        <w:tc>
          <w:tcPr>
            <w:tcW w:w="4485" w:type="dxa"/>
            <w:vAlign w:val="center"/>
          </w:tcPr>
          <w:p>
            <w:pPr>
              <w:keepNext w:val="0"/>
              <w:keepLines w:val="0"/>
              <w:widowControl/>
              <w:numPr>
                <w:ilvl w:val="0"/>
                <w:numId w:val="7"/>
              </w:numPr>
              <w:suppressLineNumbers w:val="0"/>
              <w:jc w:val="left"/>
              <w:textAlignment w:val="center"/>
              <w:rPr>
                <w:rFonts w:hint="eastAsia"/>
                <w:lang w:val="en-US" w:eastAsia="zh-CN"/>
              </w:rPr>
            </w:pPr>
            <w:r>
              <w:rPr>
                <w:rFonts w:hint="eastAsia"/>
                <w:highlight w:val="none"/>
                <w:lang w:val="en-US" w:eastAsia="zh-CN"/>
              </w:rPr>
              <w:t>尺寸为</w:t>
            </w:r>
            <w:r>
              <w:rPr>
                <w:rFonts w:hint="eastAsia"/>
                <w:lang w:val="en-US" w:eastAsia="zh-CN"/>
              </w:rPr>
              <w:t>1100*600*500（mm）；</w:t>
            </w:r>
          </w:p>
          <w:p>
            <w:pPr>
              <w:keepNext w:val="0"/>
              <w:keepLines w:val="0"/>
              <w:widowControl/>
              <w:numPr>
                <w:ilvl w:val="0"/>
                <w:numId w:val="7"/>
              </w:numPr>
              <w:suppressLineNumbers w:val="0"/>
              <w:jc w:val="left"/>
              <w:textAlignment w:val="center"/>
            </w:pPr>
            <w:r>
              <w:rPr>
                <w:rFonts w:hint="eastAsia"/>
                <w:lang w:val="en-US" w:eastAsia="zh-CN"/>
              </w:rPr>
              <w:t>桌面高度为960mm；</w:t>
            </w:r>
          </w:p>
          <w:p>
            <w:pPr>
              <w:keepNext w:val="0"/>
              <w:keepLines w:val="0"/>
              <w:widowControl/>
              <w:numPr>
                <w:ilvl w:val="0"/>
                <w:numId w:val="7"/>
              </w:numPr>
              <w:suppressLineNumbers w:val="0"/>
              <w:jc w:val="left"/>
              <w:textAlignment w:val="center"/>
            </w:pPr>
            <w:r>
              <w:rPr>
                <w:rFonts w:hint="eastAsia"/>
                <w:lang w:val="en-US" w:eastAsia="zh-CN"/>
              </w:rPr>
              <w:t>主要材料为一级实木颗粒板；</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4.提供产品检测报告，检测机构需具备CMA或CNAS认证，报告需附带可验证的真伪信息（二维码或官网查询）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220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2</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室外乒乓球台</w:t>
            </w:r>
          </w:p>
        </w:tc>
        <w:tc>
          <w:tcPr>
            <w:tcW w:w="2250" w:type="dxa"/>
            <w:vAlign w:val="center"/>
          </w:tcPr>
          <w:p>
            <w:pPr>
              <w:keepNext w:val="0"/>
              <w:keepLines w:val="0"/>
              <w:widowControl/>
              <w:suppressLineNumbers w:val="0"/>
              <w:jc w:val="center"/>
              <w:textAlignment w:val="center"/>
              <w:rPr>
                <w:sz w:val="16"/>
                <w:szCs w:val="16"/>
                <w:lang w:bidi="ar"/>
              </w:rPr>
            </w:pP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1.★优质钛钢板；</w:t>
            </w:r>
          </w:p>
          <w:p>
            <w:pPr>
              <w:keepNext w:val="0"/>
              <w:keepLines w:val="0"/>
              <w:widowControl/>
              <w:numPr>
                <w:ilvl w:val="0"/>
                <w:numId w:val="0"/>
              </w:numPr>
              <w:suppressLineNumbers w:val="0"/>
              <w:jc w:val="left"/>
              <w:textAlignment w:val="center"/>
            </w:pPr>
            <w:r>
              <w:rPr>
                <w:rFonts w:hint="eastAsia"/>
                <w:lang w:val="en-US" w:eastAsia="zh-CN"/>
              </w:rPr>
              <w:t>2.尺寸2740*1525*760mm；</w:t>
            </w:r>
          </w:p>
          <w:p>
            <w:pPr>
              <w:keepNext w:val="0"/>
              <w:keepLines w:val="0"/>
              <w:widowControl/>
              <w:numPr>
                <w:ilvl w:val="0"/>
                <w:numId w:val="0"/>
              </w:numPr>
              <w:suppressLineNumbers w:val="0"/>
              <w:jc w:val="left"/>
              <w:textAlignment w:val="center"/>
            </w:pPr>
            <w:r>
              <w:rPr>
                <w:rFonts w:hint="eastAsia"/>
                <w:lang w:val="en-US" w:eastAsia="zh-CN"/>
              </w:rPr>
              <w:t>3.桌腿：粗60mm圆管拱形腿；</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lang w:val="en-US" w:eastAsia="zh-CN"/>
              </w:rPr>
              <w:t>4.★台面厚度：一体翻边厚度40mm，球台中心厚度1.8mm。</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20</w:t>
            </w:r>
          </w:p>
        </w:tc>
        <w:tc>
          <w:tcPr>
            <w:tcW w:w="510" w:type="dxa"/>
            <w:vAlign w:val="center"/>
          </w:tcPr>
          <w:p>
            <w:pPr>
              <w:keepNext w:val="0"/>
              <w:keepLines w:val="0"/>
              <w:widowControl/>
              <w:suppressLineNumbers w:val="0"/>
              <w:jc w:val="center"/>
              <w:textAlignment w:val="center"/>
              <w:rPr>
                <w:rFonts w:hint="eastAsia" w:eastAsia="宋体"/>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7"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3</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教师办公桌</w:t>
            </w:r>
          </w:p>
        </w:tc>
        <w:tc>
          <w:tcPr>
            <w:tcW w:w="2250" w:type="dxa"/>
            <w:vAlign w:val="center"/>
          </w:tcPr>
          <w:p>
            <w:pPr>
              <w:keepNext w:val="0"/>
              <w:keepLines w:val="0"/>
              <w:widowControl/>
              <w:suppressLineNumbers w:val="0"/>
              <w:jc w:val="center"/>
              <w:textAlignment w:val="center"/>
              <w:rPr>
                <w:sz w:val="16"/>
                <w:szCs w:val="16"/>
                <w:lang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68580</wp:posOffset>
                  </wp:positionH>
                  <wp:positionV relativeFrom="paragraph">
                    <wp:posOffset>79375</wp:posOffset>
                  </wp:positionV>
                  <wp:extent cx="1323340" cy="1545590"/>
                  <wp:effectExtent l="0" t="0" r="10160" b="16510"/>
                  <wp:wrapNone/>
                  <wp:docPr id="30" name="图片_4"/>
                  <wp:cNvGraphicFramePr/>
                  <a:graphic xmlns:a="http://schemas.openxmlformats.org/drawingml/2006/main">
                    <a:graphicData uri="http://schemas.openxmlformats.org/drawingml/2006/picture">
                      <pic:pic xmlns:pic="http://schemas.openxmlformats.org/drawingml/2006/picture">
                        <pic:nvPicPr>
                          <pic:cNvPr id="30" name="图片_4"/>
                          <pic:cNvPicPr/>
                        </pic:nvPicPr>
                        <pic:blipFill>
                          <a:blip r:link="rId20"/>
                          <a:stretch>
                            <a:fillRect/>
                          </a:stretch>
                        </pic:blipFill>
                        <pic:spPr>
                          <a:xfrm>
                            <a:off x="0" y="0"/>
                            <a:ext cx="1323340" cy="1545590"/>
                          </a:xfrm>
                          <a:prstGeom prst="rect">
                            <a:avLst/>
                          </a:prstGeom>
                          <a:noFill/>
                          <a:ln>
                            <a:noFill/>
                          </a:ln>
                        </pic:spPr>
                      </pic:pic>
                    </a:graphicData>
                  </a:graphic>
                </wp:anchor>
              </w:drawing>
            </w:r>
          </w:p>
        </w:tc>
        <w:tc>
          <w:tcPr>
            <w:tcW w:w="4485" w:type="dxa"/>
            <w:vAlign w:val="center"/>
          </w:tcPr>
          <w:p>
            <w:pPr>
              <w:keepNext w:val="0"/>
              <w:keepLines w:val="0"/>
              <w:widowControl/>
              <w:numPr>
                <w:ilvl w:val="0"/>
                <w:numId w:val="8"/>
              </w:numPr>
              <w:suppressLineNumbers w:val="0"/>
              <w:jc w:val="left"/>
              <w:textAlignment w:val="center"/>
              <w:rPr>
                <w:rFonts w:hint="eastAsia"/>
                <w:lang w:val="en-US" w:eastAsia="zh-CN"/>
              </w:rPr>
            </w:pPr>
            <w:r>
              <w:rPr>
                <w:rFonts w:hint="eastAsia"/>
                <w:lang w:val="en-US" w:eastAsia="zh-CN"/>
              </w:rPr>
              <w:t>尺寸为1400*700*750mm；</w:t>
            </w:r>
          </w:p>
          <w:p>
            <w:pPr>
              <w:keepNext w:val="0"/>
              <w:keepLines w:val="0"/>
              <w:widowControl/>
              <w:numPr>
                <w:ilvl w:val="0"/>
                <w:numId w:val="8"/>
              </w:numPr>
              <w:suppressLineNumbers w:val="0"/>
              <w:ind w:left="0" w:leftChars="0" w:firstLine="0" w:firstLineChars="0"/>
              <w:jc w:val="left"/>
              <w:textAlignment w:val="center"/>
              <w:rPr>
                <w:rFonts w:hint="eastAsia"/>
                <w:lang w:val="en-US" w:eastAsia="zh-CN"/>
              </w:rPr>
            </w:pPr>
            <w:r>
              <w:rPr>
                <w:rFonts w:hint="eastAsia"/>
                <w:lang w:val="en-US" w:eastAsia="zh-CN"/>
              </w:rPr>
              <w:t>台面E0级实木颗粒板周加厚41mm，平面抗拉强度大于0.66mpa，握钉力大于1287N，吸水厚度膨胀率小于3.2%，表面耐磨，耐刮，耐高温，耐酸碱，耐污染。</w:t>
            </w:r>
          </w:p>
          <w:p>
            <w:pPr>
              <w:pStyle w:val="2"/>
              <w:numPr>
                <w:ilvl w:val="0"/>
                <w:numId w:val="0"/>
              </w:numPr>
              <w:ind w:leftChars="0"/>
            </w:pPr>
            <w:r>
              <w:rPr>
                <w:rFonts w:hint="eastAsia" w:ascii="Times New Roman"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452</w:t>
            </w:r>
          </w:p>
        </w:tc>
        <w:tc>
          <w:tcPr>
            <w:tcW w:w="510" w:type="dxa"/>
            <w:vAlign w:val="center"/>
          </w:tcPr>
          <w:p>
            <w:pPr>
              <w:keepNext w:val="0"/>
              <w:keepLines w:val="0"/>
              <w:widowControl/>
              <w:suppressLineNumbers w:val="0"/>
              <w:jc w:val="center"/>
              <w:textAlignment w:val="center"/>
              <w:rPr>
                <w:rFonts w:hint="default" w:eastAsia="宋体"/>
                <w:b/>
                <w:bCs/>
                <w:sz w:val="16"/>
                <w:szCs w:val="16"/>
                <w:lang w:val="en-US" w:eastAsia="zh-CN"/>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4</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教师办公椅</w:t>
            </w:r>
          </w:p>
        </w:tc>
        <w:tc>
          <w:tcPr>
            <w:tcW w:w="2250" w:type="dxa"/>
            <w:vAlign w:val="center"/>
          </w:tcPr>
          <w:p>
            <w:pPr>
              <w:jc w:val="center"/>
              <w:rPr>
                <w:sz w:val="16"/>
                <w:szCs w:val="16"/>
                <w:lang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74930</wp:posOffset>
                  </wp:positionH>
                  <wp:positionV relativeFrom="paragraph">
                    <wp:posOffset>100330</wp:posOffset>
                  </wp:positionV>
                  <wp:extent cx="1134110" cy="1308100"/>
                  <wp:effectExtent l="0" t="0" r="8890" b="6350"/>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link="rId21"/>
                          <a:stretch>
                            <a:fillRect/>
                          </a:stretch>
                        </pic:blipFill>
                        <pic:spPr>
                          <a:xfrm>
                            <a:off x="0" y="0"/>
                            <a:ext cx="1134110" cy="1308100"/>
                          </a:xfrm>
                          <a:prstGeom prst="rect">
                            <a:avLst/>
                          </a:prstGeom>
                          <a:noFill/>
                          <a:ln>
                            <a:noFill/>
                          </a:ln>
                        </pic:spPr>
                      </pic:pic>
                    </a:graphicData>
                  </a:graphic>
                </wp:anchor>
              </w:drawing>
            </w:r>
          </w:p>
        </w:tc>
        <w:tc>
          <w:tcPr>
            <w:tcW w:w="4485" w:type="dxa"/>
            <w:vAlign w:val="center"/>
          </w:tcPr>
          <w:p>
            <w:pPr>
              <w:keepNext w:val="0"/>
              <w:keepLines w:val="0"/>
              <w:widowControl/>
              <w:numPr>
                <w:ilvl w:val="0"/>
                <w:numId w:val="9"/>
              </w:numPr>
              <w:suppressLineNumbers w:val="0"/>
              <w:jc w:val="left"/>
              <w:textAlignment w:val="center"/>
              <w:rPr>
                <w:rFonts w:hint="eastAsia"/>
                <w:lang w:val="en-US" w:eastAsia="zh-CN"/>
              </w:rPr>
            </w:pPr>
            <w:r>
              <w:rPr>
                <w:rFonts w:hint="eastAsia"/>
                <w:lang w:val="en-US" w:eastAsia="zh-CN"/>
              </w:rPr>
              <w:t>椅面离地高度46cm，宽度50cm，深度52cm；</w:t>
            </w:r>
          </w:p>
          <w:p>
            <w:pPr>
              <w:keepNext w:val="0"/>
              <w:keepLines w:val="0"/>
              <w:widowControl/>
              <w:numPr>
                <w:ilvl w:val="0"/>
                <w:numId w:val="9"/>
              </w:numPr>
              <w:suppressLineNumbers w:val="0"/>
              <w:jc w:val="left"/>
              <w:textAlignment w:val="center"/>
            </w:pPr>
            <w:r>
              <w:rPr>
                <w:rFonts w:hint="eastAsia"/>
                <w:lang w:val="en-US" w:eastAsia="zh-CN"/>
              </w:rPr>
              <w:t>扶手材质：pp材质；</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背网：双层透气横条纹网；</w:t>
            </w:r>
          </w:p>
          <w:p>
            <w:pPr>
              <w:keepNext w:val="0"/>
              <w:keepLines w:val="0"/>
              <w:widowControl/>
              <w:numPr>
                <w:ilvl w:val="0"/>
                <w:numId w:val="9"/>
              </w:numPr>
              <w:suppressLineNumbers w:val="0"/>
              <w:ind w:left="0" w:leftChars="0" w:firstLine="0" w:firstLineChars="0"/>
              <w:jc w:val="left"/>
              <w:textAlignment w:val="center"/>
            </w:pPr>
            <w:r>
              <w:rPr>
                <w:rFonts w:hint="eastAsia"/>
                <w:lang w:val="en-US" w:eastAsia="zh-CN"/>
              </w:rPr>
              <w:t>座网：双层透气横条纹网；</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座板厚度：12mm；</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金属架：20*30方管镀铬五金架</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530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5</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档案柜</w:t>
            </w:r>
          </w:p>
        </w:tc>
        <w:tc>
          <w:tcPr>
            <w:tcW w:w="2250" w:type="dxa"/>
            <w:vAlign w:val="center"/>
          </w:tcPr>
          <w:p>
            <w:pPr>
              <w:keepNext w:val="0"/>
              <w:keepLines w:val="0"/>
              <w:widowControl/>
              <w:suppressLineNumbers w:val="0"/>
              <w:jc w:val="center"/>
              <w:textAlignment w:val="center"/>
              <w:rPr>
                <w:sz w:val="16"/>
                <w:szCs w:val="16"/>
                <w:lang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111760</wp:posOffset>
                  </wp:positionH>
                  <wp:positionV relativeFrom="paragraph">
                    <wp:posOffset>14605</wp:posOffset>
                  </wp:positionV>
                  <wp:extent cx="1163955" cy="1572895"/>
                  <wp:effectExtent l="0" t="0" r="17145" b="8255"/>
                  <wp:wrapNone/>
                  <wp:docPr id="32" name="图片_6"/>
                  <wp:cNvGraphicFramePr/>
                  <a:graphic xmlns:a="http://schemas.openxmlformats.org/drawingml/2006/main">
                    <a:graphicData uri="http://schemas.openxmlformats.org/drawingml/2006/picture">
                      <pic:pic xmlns:pic="http://schemas.openxmlformats.org/drawingml/2006/picture">
                        <pic:nvPicPr>
                          <pic:cNvPr id="32" name="图片_6"/>
                          <pic:cNvPicPr/>
                        </pic:nvPicPr>
                        <pic:blipFill>
                          <a:blip r:link="rId22"/>
                          <a:stretch>
                            <a:fillRect/>
                          </a:stretch>
                        </pic:blipFill>
                        <pic:spPr>
                          <a:xfrm>
                            <a:off x="0" y="0"/>
                            <a:ext cx="1163955" cy="1572895"/>
                          </a:xfrm>
                          <a:prstGeom prst="rect">
                            <a:avLst/>
                          </a:prstGeom>
                          <a:noFill/>
                          <a:ln>
                            <a:noFill/>
                          </a:ln>
                        </pic:spPr>
                      </pic:pic>
                    </a:graphicData>
                  </a:graphic>
                </wp:anchor>
              </w:drawing>
            </w:r>
          </w:p>
        </w:tc>
        <w:tc>
          <w:tcPr>
            <w:tcW w:w="4485" w:type="dxa"/>
            <w:vAlign w:val="center"/>
          </w:tcPr>
          <w:p>
            <w:pPr>
              <w:keepNext w:val="0"/>
              <w:keepLines w:val="0"/>
              <w:widowControl/>
              <w:numPr>
                <w:ilvl w:val="0"/>
                <w:numId w:val="10"/>
              </w:numPr>
              <w:suppressLineNumbers w:val="0"/>
              <w:jc w:val="left"/>
              <w:textAlignment w:val="center"/>
              <w:rPr>
                <w:lang w:val="en-US" w:eastAsia="zh-CN"/>
              </w:rPr>
            </w:pPr>
            <w:r>
              <w:rPr>
                <w:rFonts w:hint="eastAsia"/>
                <w:lang w:val="en-US" w:eastAsia="zh-CN"/>
              </w:rPr>
              <w:t>尺寸为1850*900*400（mm）</w:t>
            </w:r>
            <w:r>
              <w:rPr>
                <w:rFonts w:hint="eastAsia"/>
                <w:lang w:val="en-US" w:eastAsia="zh-CN"/>
              </w:rPr>
              <w:br w:type="textWrapping"/>
            </w:r>
            <w:r>
              <w:rPr>
                <w:rFonts w:hint="eastAsia"/>
                <w:lang w:val="en-US" w:eastAsia="zh-CN"/>
              </w:rPr>
              <w:t>2.★主要材料为0.6mm厚度的优质冷轧钢板，所有金属部分经浸泡或喷淋脱脂、除锈、磷化后，采用轿车级磷化处理300°C的高温喷涂处理，高压静电喷塑，高温固化处理，使用漆洁合力提高；</w:t>
            </w:r>
          </w:p>
          <w:p>
            <w:pPr>
              <w:keepNext w:val="0"/>
              <w:keepLines w:val="0"/>
              <w:widowControl/>
              <w:numPr>
                <w:ilvl w:val="0"/>
                <w:numId w:val="0"/>
              </w:numPr>
              <w:suppressLineNumbers w:val="0"/>
              <w:jc w:val="left"/>
              <w:textAlignment w:val="center"/>
              <w:rPr>
                <w:lang w:val="en-US" w:eastAsia="zh-CN"/>
              </w:rPr>
            </w:pPr>
            <w:r>
              <w:rPr>
                <w:rFonts w:hint="eastAsia"/>
                <w:lang w:val="en-US" w:eastAsia="zh-CN"/>
              </w:rPr>
              <w:t>3.</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4.</w:t>
            </w:r>
            <w:r>
              <w:rPr>
                <w:lang w:val="en-US" w:eastAsia="zh-CN"/>
              </w:rPr>
              <w:t>涂层要求 ：涂层外观：无花斑、无“桔皮”，无肉眼能见机械杂质、污浊、气泡、针孔；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5.</w:t>
            </w:r>
            <w:r>
              <w:rPr>
                <w:lang w:val="en-US" w:eastAsia="zh-CN"/>
              </w:rPr>
              <w:t>涂层附着力及涂层冲击强度。</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6.</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36</w:t>
            </w:r>
          </w:p>
        </w:tc>
        <w:tc>
          <w:tcPr>
            <w:tcW w:w="510" w:type="dxa"/>
            <w:vAlign w:val="center"/>
          </w:tcPr>
          <w:p>
            <w:pPr>
              <w:pStyle w:val="2"/>
              <w:rPr>
                <w:rFonts w:hint="default"/>
                <w:lang w:val="en-US"/>
              </w:rPr>
            </w:pPr>
            <w:r>
              <w:rPr>
                <w:rFonts w:hint="eastAsia"/>
                <w:b/>
                <w:bCs/>
                <w:sz w:val="16"/>
                <w:szCs w:val="16"/>
                <w:lang w:val="en-US" w:eastAsia="zh-CN"/>
              </w:rPr>
              <w:t>核核心产品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6</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图书架</w:t>
            </w:r>
          </w:p>
        </w:tc>
        <w:tc>
          <w:tcPr>
            <w:tcW w:w="2250" w:type="dxa"/>
            <w:vAlign w:val="center"/>
          </w:tcPr>
          <w:p>
            <w:pPr>
              <w:keepNext w:val="0"/>
              <w:keepLines w:val="0"/>
              <w:widowControl/>
              <w:suppressLineNumbers w:val="0"/>
              <w:jc w:val="center"/>
              <w:textAlignment w:val="center"/>
              <w:rPr>
                <w:sz w:val="16"/>
                <w:szCs w:val="16"/>
                <w:lang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2540</wp:posOffset>
                  </wp:positionH>
                  <wp:positionV relativeFrom="paragraph">
                    <wp:posOffset>48260</wp:posOffset>
                  </wp:positionV>
                  <wp:extent cx="1181100" cy="1464945"/>
                  <wp:effectExtent l="0" t="0" r="0" b="1905"/>
                  <wp:wrapNone/>
                  <wp:docPr id="33" name="图片_1_SpCnt_1"/>
                  <wp:cNvGraphicFramePr/>
                  <a:graphic xmlns:a="http://schemas.openxmlformats.org/drawingml/2006/main">
                    <a:graphicData uri="http://schemas.openxmlformats.org/drawingml/2006/picture">
                      <pic:pic xmlns:pic="http://schemas.openxmlformats.org/drawingml/2006/picture">
                        <pic:nvPicPr>
                          <pic:cNvPr id="33" name="图片_1_SpCnt_1"/>
                          <pic:cNvPicPr/>
                        </pic:nvPicPr>
                        <pic:blipFill>
                          <a:blip r:link="rId23"/>
                          <a:stretch>
                            <a:fillRect/>
                          </a:stretch>
                        </pic:blipFill>
                        <pic:spPr>
                          <a:xfrm>
                            <a:off x="0" y="0"/>
                            <a:ext cx="1181100" cy="1464945"/>
                          </a:xfrm>
                          <a:prstGeom prst="rect">
                            <a:avLst/>
                          </a:prstGeom>
                          <a:noFill/>
                          <a:ln>
                            <a:noFill/>
                          </a:ln>
                        </pic:spPr>
                      </pic:pic>
                    </a:graphicData>
                  </a:graphic>
                </wp:anchor>
              </w:drawing>
            </w:r>
          </w:p>
        </w:tc>
        <w:tc>
          <w:tcPr>
            <w:tcW w:w="4485" w:type="dxa"/>
            <w:vAlign w:val="center"/>
          </w:tcPr>
          <w:p>
            <w:pPr>
              <w:keepNext w:val="0"/>
              <w:keepLines w:val="0"/>
              <w:widowControl/>
              <w:numPr>
                <w:ilvl w:val="0"/>
                <w:numId w:val="11"/>
              </w:numPr>
              <w:suppressLineNumbers w:val="0"/>
              <w:jc w:val="left"/>
              <w:textAlignment w:val="center"/>
              <w:rPr>
                <w:lang w:val="en-US" w:eastAsia="zh-CN"/>
              </w:rPr>
            </w:pPr>
            <w:r>
              <w:rPr>
                <w:rFonts w:hint="eastAsia"/>
                <w:lang w:val="en-US" w:eastAsia="zh-CN"/>
              </w:rPr>
              <w:t>材质：立柱1.2mm加厚管壁</w:t>
            </w:r>
            <w:r>
              <w:rPr>
                <w:rFonts w:hint="eastAsia"/>
                <w:lang w:val="en-US" w:eastAsia="zh-CN"/>
              </w:rPr>
              <w:br w:type="textWrapping"/>
            </w:r>
            <w:r>
              <w:rPr>
                <w:rFonts w:hint="eastAsia"/>
                <w:lang w:val="en-US" w:eastAsia="zh-CN"/>
              </w:rPr>
              <w:t>2.横梁1.0mm加厚管壁</w:t>
            </w:r>
            <w:r>
              <w:rPr>
                <w:rFonts w:hint="eastAsia"/>
                <w:lang w:val="en-US" w:eastAsia="zh-CN"/>
              </w:rPr>
              <w:br w:type="textWrapping"/>
            </w:r>
            <w:r>
              <w:rPr>
                <w:rFonts w:hint="eastAsia"/>
                <w:lang w:val="en-US" w:eastAsia="zh-CN"/>
              </w:rPr>
              <w:t>3.隔板0.8mm厚</w:t>
            </w:r>
            <w:r>
              <w:rPr>
                <w:rFonts w:hint="eastAsia"/>
                <w:lang w:val="en-US" w:eastAsia="zh-CN"/>
              </w:rPr>
              <w:br w:type="textWrapping"/>
            </w:r>
            <w:r>
              <w:rPr>
                <w:rFonts w:hint="eastAsia"/>
                <w:lang w:val="en-US" w:eastAsia="zh-CN"/>
              </w:rPr>
              <w:t>4.★所有金属部分经浸泡或喷淋脱脂、除锈、磷化后，采用轿车级磷化处理300°C的高温喷涂处理，高压静电喷塑，高温固化处理，使用漆洁合力提高；</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5.</w:t>
            </w:r>
            <w:r>
              <w:rPr>
                <w:lang w:val="en-US" w:eastAsia="zh-CN"/>
              </w:rPr>
              <w:t>涂层要求 ：涂层外观：无花斑、无“桔皮”，无肉眼能见机械杂质、污浊、气泡、针孔；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6.</w:t>
            </w:r>
            <w:r>
              <w:rPr>
                <w:lang w:val="en-US" w:eastAsia="zh-CN"/>
              </w:rPr>
              <w:t>涂层附着力及涂层冲击强度。</w:t>
            </w:r>
          </w:p>
          <w:p>
            <w:pPr>
              <w:pStyle w:val="2"/>
              <w:ind w:left="0" w:leftChars="0" w:firstLine="0" w:firstLineChars="0"/>
              <w:rPr>
                <w:rFonts w:hint="default" w:eastAsia="宋体"/>
                <w:lang w:val="en-US" w:eastAsia="zh-CN"/>
              </w:rPr>
            </w:pPr>
            <w:r>
              <w:rPr>
                <w:rFonts w:hint="eastAsia"/>
                <w:lang w:val="en-US" w:eastAsia="zh-CN"/>
              </w:rPr>
              <w:t>7.</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7</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阅览室长桌</w:t>
            </w:r>
          </w:p>
        </w:tc>
        <w:tc>
          <w:tcPr>
            <w:tcW w:w="2250" w:type="dxa"/>
            <w:vAlign w:val="center"/>
          </w:tcPr>
          <w:p>
            <w:pPr>
              <w:keepNext w:val="0"/>
              <w:keepLines w:val="0"/>
              <w:widowControl/>
              <w:suppressLineNumbers w:val="0"/>
              <w:jc w:val="center"/>
              <w:textAlignment w:val="center"/>
              <w:rPr>
                <w:b/>
                <w:bCs/>
                <w:sz w:val="16"/>
                <w:szCs w:val="16"/>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55880</wp:posOffset>
                  </wp:positionH>
                  <wp:positionV relativeFrom="paragraph">
                    <wp:posOffset>41910</wp:posOffset>
                  </wp:positionV>
                  <wp:extent cx="1007110" cy="970915"/>
                  <wp:effectExtent l="0" t="0" r="2540" b="635"/>
                  <wp:wrapNone/>
                  <wp:docPr id="34" name="图片_2_SpCnt_1"/>
                  <wp:cNvGraphicFramePr/>
                  <a:graphic xmlns:a="http://schemas.openxmlformats.org/drawingml/2006/main">
                    <a:graphicData uri="http://schemas.openxmlformats.org/drawingml/2006/picture">
                      <pic:pic xmlns:pic="http://schemas.openxmlformats.org/drawingml/2006/picture">
                        <pic:nvPicPr>
                          <pic:cNvPr id="34" name="图片_2_SpCnt_1"/>
                          <pic:cNvPicPr/>
                        </pic:nvPicPr>
                        <pic:blipFill>
                          <a:blip r:link="rId24"/>
                          <a:stretch>
                            <a:fillRect/>
                          </a:stretch>
                        </pic:blipFill>
                        <pic:spPr>
                          <a:xfrm>
                            <a:off x="0" y="0"/>
                            <a:ext cx="1007110" cy="970915"/>
                          </a:xfrm>
                          <a:prstGeom prst="rect">
                            <a:avLst/>
                          </a:prstGeom>
                          <a:noFill/>
                          <a:ln>
                            <a:noFill/>
                          </a:ln>
                        </pic:spPr>
                      </pic:pic>
                    </a:graphicData>
                  </a:graphic>
                </wp:anchor>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1.面/基材：采用国标E1级实木颗粒板，防蚀、防霉,强度大，尺寸稳定性好；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2.★封边：同色PVC硬封边，可见部分厚度≥1.5MM</w:t>
            </w:r>
            <w:r>
              <w:rPr>
                <w:rFonts w:hint="eastAsia"/>
                <w:lang w:val="en-US" w:eastAsia="zh-CN"/>
              </w:rPr>
              <w:br w:type="textWrapping"/>
            </w:r>
            <w:r>
              <w:rPr>
                <w:rFonts w:hint="eastAsia"/>
                <w:lang w:val="en-US" w:eastAsia="zh-CN"/>
              </w:rPr>
              <w:t>桌脚采用优质钢材，钢架壁厚＞1.5mm、经酸洗、磷化除锈后清漆工艺处理，表面光滑、环保无异味。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3.提供产品检测报告，检测机构需具备CMA或CNAS认证，报告需附带可验证的真伪信息（二维码或官网查询</w:t>
            </w:r>
            <w:r>
              <w:rPr>
                <w:rFonts w:hint="eastAsia" w:ascii="宋体" w:hAnsi="宋体" w:eastAsia="宋体" w:cs="宋体"/>
                <w:i w:val="0"/>
                <w:color w:val="000000"/>
                <w:kern w:val="0"/>
                <w:sz w:val="18"/>
                <w:szCs w:val="18"/>
                <w:u w:val="none"/>
                <w:lang w:val="en-US" w:eastAsia="zh-CN" w:bidi="ar"/>
              </w:rPr>
              <w:t>）</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阅览室椅子</w:t>
            </w:r>
          </w:p>
        </w:tc>
        <w:tc>
          <w:tcPr>
            <w:tcW w:w="2250" w:type="dxa"/>
            <w:vAlign w:val="center"/>
          </w:tcPr>
          <w:p>
            <w:pPr>
              <w:keepNext w:val="0"/>
              <w:keepLines w:val="0"/>
              <w:widowControl/>
              <w:suppressLineNumbers w:val="0"/>
              <w:jc w:val="center"/>
              <w:textAlignment w:val="center"/>
              <w:rPr>
                <w:b/>
                <w:bCs/>
                <w:sz w:val="16"/>
                <w:szCs w:val="16"/>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66040</wp:posOffset>
                  </wp:positionH>
                  <wp:positionV relativeFrom="paragraph">
                    <wp:posOffset>57785</wp:posOffset>
                  </wp:positionV>
                  <wp:extent cx="1122045" cy="995680"/>
                  <wp:effectExtent l="0" t="0" r="1905" b="13970"/>
                  <wp:wrapNone/>
                  <wp:docPr id="35" name="图片_4_SpCnt_1"/>
                  <wp:cNvGraphicFramePr/>
                  <a:graphic xmlns:a="http://schemas.openxmlformats.org/drawingml/2006/main">
                    <a:graphicData uri="http://schemas.openxmlformats.org/drawingml/2006/picture">
                      <pic:pic xmlns:pic="http://schemas.openxmlformats.org/drawingml/2006/picture">
                        <pic:nvPicPr>
                          <pic:cNvPr id="35" name="图片_4_SpCnt_1"/>
                          <pic:cNvPicPr/>
                        </pic:nvPicPr>
                        <pic:blipFill>
                          <a:blip r:link="rId25"/>
                          <a:stretch>
                            <a:fillRect/>
                          </a:stretch>
                        </pic:blipFill>
                        <pic:spPr>
                          <a:xfrm>
                            <a:off x="0" y="0"/>
                            <a:ext cx="1122045" cy="995680"/>
                          </a:xfrm>
                          <a:prstGeom prst="rect">
                            <a:avLst/>
                          </a:prstGeom>
                          <a:noFill/>
                          <a:ln>
                            <a:noFill/>
                          </a:ln>
                        </pic:spPr>
                      </pic:pic>
                    </a:graphicData>
                  </a:graphic>
                </wp:anchor>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ascii="宋体" w:hAnsi="宋体" w:cs="宋体"/>
                <w:i w:val="0"/>
                <w:color w:val="000000"/>
                <w:kern w:val="0"/>
                <w:sz w:val="18"/>
                <w:szCs w:val="18"/>
                <w:u w:val="none"/>
                <w:lang w:val="en-US" w:eastAsia="zh-CN" w:bidi="ar"/>
              </w:rPr>
              <w:t>1</w:t>
            </w:r>
            <w:r>
              <w:rPr>
                <w:rFonts w:hint="eastAsia"/>
                <w:lang w:val="en-US" w:eastAsia="zh-CN"/>
              </w:rPr>
              <w:t>.★凳子尺寸为810*460*510（mm）</w:t>
            </w:r>
            <w:r>
              <w:rPr>
                <w:rFonts w:hint="eastAsia"/>
                <w:lang w:val="en-US" w:eastAsia="zh-CN"/>
              </w:rPr>
              <w:br w:type="textWrapping"/>
            </w:r>
            <w:r>
              <w:rPr>
                <w:rFonts w:hint="eastAsia"/>
                <w:lang w:val="en-US" w:eastAsia="zh-CN"/>
              </w:rPr>
              <w:t xml:space="preserve">PP（聚丙烯）和玻纤料配比合成树脂一体注塑成型。强度高韧性好，性能稳定，环保无臭、无毒；             </w:t>
            </w:r>
            <w:r>
              <w:rPr>
                <w:rFonts w:hint="eastAsia"/>
                <w:lang w:val="en-US" w:eastAsia="zh-CN"/>
              </w:rPr>
              <w:br w:type="textWrapping"/>
            </w:r>
            <w:r>
              <w:rPr>
                <w:rFonts w:hint="eastAsia"/>
                <w:lang w:val="en-US" w:eastAsia="zh-CN"/>
              </w:rPr>
              <w:t>2.承重150公斤左右。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3.提供产品检测报告，检测机构需具备CMA或CNAS认证，报告需附带可验证的真伪信息（二维码或官网查询）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240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9</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床垫</w:t>
            </w:r>
          </w:p>
        </w:tc>
        <w:tc>
          <w:tcPr>
            <w:tcW w:w="2250" w:type="dxa"/>
            <w:vAlign w:val="center"/>
          </w:tcPr>
          <w:p>
            <w:pPr>
              <w:keepNext w:val="0"/>
              <w:keepLines w:val="0"/>
              <w:widowControl/>
              <w:suppressLineNumbers w:val="0"/>
              <w:jc w:val="center"/>
              <w:textAlignment w:val="center"/>
              <w:rPr>
                <w:b/>
                <w:bCs/>
                <w:color w:val="auto"/>
                <w:sz w:val="16"/>
                <w:szCs w:val="16"/>
              </w:rPr>
            </w:pPr>
            <w:r>
              <w:rPr>
                <w:rFonts w:hint="eastAsia" w:ascii="华文中宋" w:hAnsi="华文中宋" w:eastAsia="华文中宋" w:cs="华文中宋"/>
                <w:i w:val="0"/>
                <w:color w:val="auto"/>
                <w:kern w:val="0"/>
                <w:sz w:val="28"/>
                <w:szCs w:val="2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50800</wp:posOffset>
                  </wp:positionH>
                  <wp:positionV relativeFrom="paragraph">
                    <wp:posOffset>49530</wp:posOffset>
                  </wp:positionV>
                  <wp:extent cx="1252220" cy="1409065"/>
                  <wp:effectExtent l="0" t="0" r="5080" b="635"/>
                  <wp:wrapNone/>
                  <wp:docPr id="36" name="图片_6_SpCnt_1"/>
                  <wp:cNvGraphicFramePr/>
                  <a:graphic xmlns:a="http://schemas.openxmlformats.org/drawingml/2006/main">
                    <a:graphicData uri="http://schemas.openxmlformats.org/drawingml/2006/picture">
                      <pic:pic xmlns:pic="http://schemas.openxmlformats.org/drawingml/2006/picture">
                        <pic:nvPicPr>
                          <pic:cNvPr id="36" name="图片_6_SpCnt_1"/>
                          <pic:cNvPicPr/>
                        </pic:nvPicPr>
                        <pic:blipFill>
                          <a:blip r:link="rId26"/>
                          <a:stretch>
                            <a:fillRect/>
                          </a:stretch>
                        </pic:blipFill>
                        <pic:spPr>
                          <a:xfrm>
                            <a:off x="0" y="0"/>
                            <a:ext cx="1252220" cy="1409065"/>
                          </a:xfrm>
                          <a:prstGeom prst="rect">
                            <a:avLst/>
                          </a:prstGeom>
                          <a:noFill/>
                          <a:ln>
                            <a:noFill/>
                          </a:ln>
                        </pic:spPr>
                      </pic:pic>
                    </a:graphicData>
                  </a:graphic>
                </wp:anchor>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1.尺寸为1900*850*60（mm）；</w:t>
            </w:r>
            <w:r>
              <w:rPr>
                <w:rFonts w:hint="eastAsia"/>
                <w:lang w:val="en-US" w:eastAsia="zh-CN"/>
              </w:rPr>
              <w:br w:type="textWrapping"/>
            </w:r>
            <w:r>
              <w:rPr>
                <w:rFonts w:hint="eastAsia"/>
                <w:lang w:val="en-US" w:eastAsia="zh-CN"/>
              </w:rPr>
              <w:t>2.★天然环保椰棕床垫；</w:t>
            </w:r>
            <w:r>
              <w:rPr>
                <w:rFonts w:hint="eastAsia"/>
                <w:lang w:val="en-US" w:eastAsia="zh-CN"/>
              </w:rPr>
              <w:br w:type="textWrapping"/>
            </w:r>
            <w:r>
              <w:rPr>
                <w:rFonts w:hint="eastAsia"/>
                <w:lang w:val="en-US" w:eastAsia="zh-CN"/>
              </w:rPr>
              <w:t>3.★内部结构采用3公分高密度环保棕芯；</w:t>
            </w:r>
            <w:r>
              <w:rPr>
                <w:rFonts w:hint="eastAsia"/>
                <w:lang w:val="en-US" w:eastAsia="zh-CN"/>
              </w:rPr>
              <w:br w:type="textWrapping"/>
            </w:r>
            <w:r>
              <w:rPr>
                <w:rFonts w:hint="eastAsia"/>
                <w:lang w:val="en-US" w:eastAsia="zh-CN"/>
              </w:rPr>
              <w:t>4.外表处理：正反面采用环保面料＋0.5cm绵舒适层，单边处理工艺完成。</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1476</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0</w:t>
            </w:r>
          </w:p>
        </w:tc>
        <w:tc>
          <w:tcPr>
            <w:tcW w:w="720" w:type="dxa"/>
            <w:vAlign w:val="center"/>
          </w:tcPr>
          <w:p>
            <w:pPr>
              <w:keepNext w:val="0"/>
              <w:keepLines w:val="0"/>
              <w:widowControl/>
              <w:suppressLineNumbers w:val="0"/>
              <w:jc w:val="left"/>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w:t>
            </w:r>
            <w:r>
              <w:rPr>
                <w:rFonts w:hint="eastAsia" w:ascii="宋体" w:hAnsi="宋体" w:cs="宋体"/>
                <w:i w:val="0"/>
                <w:color w:val="000000"/>
                <w:kern w:val="0"/>
                <w:sz w:val="18"/>
                <w:szCs w:val="18"/>
                <w:u w:val="none"/>
                <w:lang w:val="en-US" w:eastAsia="zh-CN" w:bidi="ar"/>
              </w:rPr>
              <w:t>小学</w:t>
            </w:r>
            <w:r>
              <w:rPr>
                <w:rFonts w:hint="eastAsia" w:ascii="宋体" w:hAnsi="宋体" w:eastAsia="宋体" w:cs="宋体"/>
                <w:i w:val="0"/>
                <w:color w:val="000000"/>
                <w:kern w:val="0"/>
                <w:sz w:val="18"/>
                <w:szCs w:val="18"/>
                <w:u w:val="none"/>
                <w:lang w:val="en-US" w:eastAsia="zh-CN" w:bidi="ar"/>
              </w:rPr>
              <w:t>）</w:t>
            </w:r>
          </w:p>
        </w:tc>
        <w:tc>
          <w:tcPr>
            <w:tcW w:w="2250" w:type="dxa"/>
            <w:vAlign w:val="center"/>
          </w:tcPr>
          <w:p>
            <w:pPr>
              <w:keepNext w:val="0"/>
              <w:keepLines w:val="0"/>
              <w:widowControl/>
              <w:suppressLineNumbers w:val="0"/>
              <w:jc w:val="left"/>
              <w:textAlignment w:val="center"/>
              <w:rPr>
                <w:b/>
                <w:bCs/>
                <w:sz w:val="16"/>
                <w:szCs w:val="16"/>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-20955</wp:posOffset>
                  </wp:positionH>
                  <wp:positionV relativeFrom="paragraph">
                    <wp:posOffset>124460</wp:posOffset>
                  </wp:positionV>
                  <wp:extent cx="1108710" cy="1009015"/>
                  <wp:effectExtent l="0" t="0" r="15240" b="635"/>
                  <wp:wrapNone/>
                  <wp:docPr id="38" name="图片_11"/>
                  <wp:cNvGraphicFramePr/>
                  <a:graphic xmlns:a="http://schemas.openxmlformats.org/drawingml/2006/main">
                    <a:graphicData uri="http://schemas.openxmlformats.org/drawingml/2006/picture">
                      <pic:pic xmlns:pic="http://schemas.openxmlformats.org/drawingml/2006/picture">
                        <pic:nvPicPr>
                          <pic:cNvPr id="38" name="图片_11"/>
                          <pic:cNvPicPr/>
                        </pic:nvPicPr>
                        <pic:blipFill>
                          <a:blip r:link="rId27"/>
                          <a:stretch>
                            <a:fillRect/>
                          </a:stretch>
                        </pic:blipFill>
                        <pic:spPr>
                          <a:xfrm>
                            <a:off x="0" y="0"/>
                            <a:ext cx="1108710" cy="1009015"/>
                          </a:xfrm>
                          <a:prstGeom prst="rect">
                            <a:avLst/>
                          </a:prstGeom>
                          <a:noFill/>
                          <a:ln>
                            <a:noFill/>
                          </a:ln>
                        </pic:spPr>
                      </pic:pic>
                    </a:graphicData>
                  </a:graphic>
                </wp:anchor>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1.材质：密度板，白象蓝边，圆弧边，整体美观大方，符合人体工学。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2.尺寸：600*400*18mm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1.材质：采用共聚级PP塑料一级新料一体射出成型。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2.书箱外径尺寸：580mm±5mm×368mm±5mm×200mm±5mm;内径尺寸为：450mm±5mm×345mm±5mm×200mm±5mm;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3.功能与工艺要求：书箱底部不能有排水槽缝设计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2.尺寸：桌脚贴地部钢管尺寸为：30mm×60mm× 1.2mm椭圆管； 桌脚上部伸缩管尺寸为：20mm×50mm×1.2mm椭圆管，下部伸缩管尺寸30mm×60mm×1.2mm椭圆管。支撑桌斗为20*40*1.2mm椭圆管，成U字型，桌子下部带有书包框，主管为16圆管，4mm钢筋焊接而成。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2.尺寸：395mm(±5mm)×320mm±5mm；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3.功能：靠背有对流透气缝，靠背设计有完整的曲线弧度，能很服帖地包覆支撑着正在成长中学童的背部脊椎，使其免于侧弯；靠背采用螺丝锁付，防止掉落。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4.靠背支撑杆，采用20*30×1.2mm椭圆形钢管镶入靠背两侧，支撑杆靠近座板后部有小弯，由液压弯管机一次弯曲而成，整体承重受力更好，起到加固不会摇晃。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1.材质：采用耐冲击共聚级聚丙烯PP新料一体注塑成型，高刚性高韧性，零下40度温度下，依然保持很好的抗冲击强度。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2.尺寸：390mm(±5mm)×360mm±5mm；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3.功能：坐垫对流透气缝；坐垫中间有20mm的内凹漩涡弧形，能让学生整个臀部坐在内凹处，借此可分散上半身的所有重量，使学童在学习时更舒服，更健康地成长。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2.尺寸：椅脚贴地部钢管尺寸为：30mm×60mm× 1.2mm椭圆管；椅脚上部伸缩管尺寸为：20mm×50mm×1.2mm椭圆管，下部伸缩管尺寸30mm×60mm×1.2mm椭圆管。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cs="宋体"/>
                <w:i w:val="0"/>
                <w:color w:val="000000"/>
                <w:kern w:val="0"/>
                <w:sz w:val="18"/>
                <w:szCs w:val="18"/>
                <w:u w:val="none"/>
                <w:lang w:val="en-US" w:eastAsia="zh-CN" w:bidi="ar"/>
              </w:rPr>
              <w:t>1800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4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学生课桌椅（初中）</w:t>
            </w:r>
          </w:p>
        </w:tc>
        <w:tc>
          <w:tcPr>
            <w:tcW w:w="2250" w:type="dxa"/>
            <w:vAlign w:val="center"/>
          </w:tcPr>
          <w:p>
            <w:pPr>
              <w:keepNext w:val="0"/>
              <w:keepLines w:val="0"/>
              <w:widowControl/>
              <w:suppressLineNumbers w:val="0"/>
              <w:jc w:val="left"/>
              <w:textAlignment w:val="center"/>
              <w:rPr>
                <w:rFonts w:hint="eastAsia" w:ascii="华文中宋" w:hAnsi="华文中宋" w:eastAsia="华文中宋" w:cs="华文中宋"/>
                <w:i w:val="0"/>
                <w:color w:val="000000"/>
                <w:kern w:val="0"/>
                <w:sz w:val="28"/>
                <w:szCs w:val="28"/>
                <w:u w:val="none"/>
                <w:bdr w:val="single" w:color="000000" w:sz="4" w:space="0"/>
                <w:lang w:val="en-US" w:eastAsia="zh-CN"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12825" cy="1190625"/>
                  <wp:effectExtent l="0" t="0" r="15875" b="9525"/>
                  <wp:wrapNone/>
                  <wp:docPr id="41" name="图片_14"/>
                  <wp:cNvGraphicFramePr/>
                  <a:graphic xmlns:a="http://schemas.openxmlformats.org/drawingml/2006/main">
                    <a:graphicData uri="http://schemas.openxmlformats.org/drawingml/2006/picture">
                      <pic:pic xmlns:pic="http://schemas.openxmlformats.org/drawingml/2006/picture">
                        <pic:nvPicPr>
                          <pic:cNvPr id="41" name="图片_14"/>
                          <pic:cNvPicPr/>
                        </pic:nvPicPr>
                        <pic:blipFill>
                          <a:blip r:link="rId28"/>
                          <a:stretch>
                            <a:fillRect/>
                          </a:stretch>
                        </pic:blipFill>
                        <pic:spPr>
                          <a:xfrm>
                            <a:off x="0" y="0"/>
                            <a:ext cx="1012825" cy="1190625"/>
                          </a:xfrm>
                          <a:prstGeom prst="rect">
                            <a:avLst/>
                          </a:prstGeom>
                          <a:noFill/>
                          <a:ln>
                            <a:noFill/>
                          </a:ln>
                        </pic:spPr>
                      </pic:pic>
                    </a:graphicData>
                  </a:graphic>
                </wp:anchor>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1.材质：桌面为密度板，带有笔槽，边缘注塑封边，前鸭嘴边，符合人体工学，整体美观大方。</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2.尺寸：600mm*450mm×18mm。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1.材质：采用冷板一次性拉伸成型。</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2.书箱尺寸：440mm*31mm*150mm; 厚度0.8mm。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3.功能与工艺要求：一次性拉伸成型，边缘卷边，防止刮伤。</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2.尺寸：桌脚贴地部钢管尺寸为：25mm×50mm× 1.5mm椭圆管，液压弯管机一次弯曲而成，整体流线型； 桌脚上部伸缩管尺寸为：20mm×40mm×1.5mm椭圆管，上连接管为20*40*1.5mm椭圆管，下连接管为25*50*1.5mm椭圆管，桌架整体成c字型。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2.桌腿底部弯曲处有c型胶套支撑，增加桌子整体平稳性。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2.尺寸：410mm(±5mm)×230mm±5mm；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3.功能：靠背设计有完整的曲线弧度，能很服帖地包覆支撑着正在成长中学童的背部脊椎，使其免于侧弯。</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4.靠背支撑杆，采用20*40×1.5mm椭圆形钢管插入靠背两侧，起到加固不会摇晃。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B.坐板要求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2.尺寸：380mm(±5mm)×365mm±5mm；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3.功能：坐垫中间有10mm的内凹漩涡弧形，能让学生整个臀部坐在内凹处，借此可分散上半身的所有重量，使学童在学习时更舒服，更健康地成长。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4.坐板支撑杆，采用20*40×1.5mm椭圆形钢管，经折弯变形，贴紧坐板，起到支撑作用。</w:t>
            </w: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2.尺寸：椅脚贴地部钢管尺寸为：25mm×50mm× 1.5mm椭圆管，液压弯管机一次弯曲而成，整体流线型；椅脚上部升降管尺寸为：20mm×40mm×1.5mm椭圆管，坐板支撑为u字形钢架，由20mm×40mm×1.5mm椭圆管弯曲而成。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2.椅腿底部弯曲处有c型胶套支撑，增加桌子整体平稳性。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bl>
    <w:p>
      <w:pPr>
        <w:rPr>
          <w:rFonts w:asciiTheme="minorEastAsia" w:hAnsiTheme="minorEastAsia" w:eastAsiaTheme="minorEastAsia" w:cstheme="minorEastAsia"/>
          <w:b/>
          <w:bCs/>
          <w:szCs w:val="21"/>
        </w:rPr>
      </w:pPr>
    </w:p>
    <w:p>
      <w:pPr>
        <w:widowControl/>
        <w:spacing w:line="360" w:lineRule="auto"/>
        <w:jc w:val="left"/>
        <w:rPr>
          <w:rFonts w:ascii="仿宋" w:hAnsi="仿宋" w:eastAsia="仿宋" w:cs="仿宋"/>
          <w:b/>
          <w:bCs/>
          <w:kern w:val="0"/>
          <w:sz w:val="28"/>
          <w:szCs w:val="28"/>
        </w:rPr>
      </w:pPr>
    </w:p>
    <w:p>
      <w:pPr>
        <w:widowControl/>
        <w:numPr>
          <w:ilvl w:val="0"/>
          <w:numId w:val="12"/>
        </w:numPr>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采购</w:t>
      </w:r>
      <w:r>
        <w:rPr>
          <w:rFonts w:hint="eastAsia" w:ascii="仿宋" w:hAnsi="仿宋" w:eastAsia="仿宋" w:cs="仿宋"/>
          <w:b/>
          <w:bCs/>
          <w:kern w:val="0"/>
          <w:sz w:val="28"/>
          <w:szCs w:val="28"/>
          <w:lang w:val="en-US" w:eastAsia="zh-CN"/>
        </w:rPr>
        <w:t>货物</w:t>
      </w:r>
      <w:r>
        <w:rPr>
          <w:rFonts w:hint="eastAsia" w:ascii="仿宋" w:hAnsi="仿宋" w:eastAsia="仿宋" w:cs="仿宋"/>
          <w:b/>
          <w:bCs/>
          <w:kern w:val="0"/>
          <w:sz w:val="28"/>
          <w:szCs w:val="28"/>
        </w:rPr>
        <w:t>参数及技术要求</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1、报价;包含运输、安装、调试等费用；</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质量检测：（1）所有产品需提供有效期内的产品检测报告，检测机构需具备CMA或CNAS认证，报告需附带可验证的真伪信息（二维码或官网查询）；（2）检测报告完整性：需覆盖成品+关键组件的有害物质和物理性能；（3）检测报告造假或认证范围与投标产品不符，作废标处理。</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3、所投核心产品必须是环境标志产品。需提供国家确定的认证机构出具的、处于有效期之内的环境标志产品认证证书；认证范围匹配：环保认证必须明确标注“课桌椅”或“钢木/钢塑家具”，仅泛用证书无效。</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4、安装后抽检不合格需承担整改费用，虚假报告将列入采购黑名单。</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5、质保期：免费质保期1年；</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6、售后服务：需提供售后服务措施、方案；</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7、供货期及供货地点：</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供货期：签订合同后20天内完成安装及调试工作。</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供货地点：采购人指定地点。</w:t>
      </w:r>
    </w:p>
    <w:p>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8、</w:t>
      </w:r>
      <w:r>
        <w:rPr>
          <w:rFonts w:hint="eastAsia" w:ascii="仿宋" w:hAnsi="仿宋" w:eastAsia="仿宋" w:cs="仿宋"/>
          <w:b/>
          <w:bCs/>
          <w:color w:val="auto"/>
          <w:kern w:val="0"/>
          <w:sz w:val="24"/>
        </w:rPr>
        <w:t>付款方式</w:t>
      </w:r>
    </w:p>
    <w:p>
      <w:pPr>
        <w:widowControl/>
        <w:spacing w:line="360" w:lineRule="auto"/>
        <w:ind w:firstLine="482" w:firstLineChars="200"/>
        <w:jc w:val="left"/>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auto"/>
          <w:kern w:val="0"/>
          <w:sz w:val="24"/>
        </w:rPr>
        <w:t>签订合同后支付</w:t>
      </w:r>
      <w:r>
        <w:rPr>
          <w:rFonts w:hint="eastAsia" w:ascii="仿宋" w:hAnsi="仿宋" w:eastAsia="仿宋" w:cs="仿宋"/>
          <w:b/>
          <w:bCs/>
          <w:color w:val="auto"/>
          <w:kern w:val="0"/>
          <w:sz w:val="24"/>
          <w:lang w:val="en-US" w:eastAsia="zh-CN"/>
        </w:rPr>
        <w:t>5</w:t>
      </w:r>
      <w:r>
        <w:rPr>
          <w:rFonts w:hint="eastAsia" w:ascii="仿宋" w:hAnsi="仿宋" w:eastAsia="仿宋" w:cs="仿宋"/>
          <w:b/>
          <w:bCs/>
          <w:color w:val="auto"/>
          <w:kern w:val="0"/>
          <w:sz w:val="24"/>
        </w:rPr>
        <w:t>0%的预付款，安装验收合格后支付合同</w:t>
      </w:r>
      <w:r>
        <w:rPr>
          <w:rFonts w:hint="eastAsia" w:ascii="仿宋" w:hAnsi="仿宋" w:eastAsia="仿宋" w:cs="仿宋"/>
          <w:b/>
          <w:bCs/>
          <w:color w:val="auto"/>
          <w:kern w:val="0"/>
          <w:sz w:val="24"/>
          <w:lang w:val="en-US" w:eastAsia="zh-CN"/>
        </w:rPr>
        <w:t>总价的</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0%。</w:t>
      </w:r>
      <w:r>
        <w:rPr>
          <w:rFonts w:hint="eastAsia" w:ascii="仿宋" w:hAnsi="仿宋" w:eastAsia="仿宋" w:cs="仿宋"/>
          <w:b/>
          <w:bCs/>
          <w:color w:val="000000" w:themeColor="text1"/>
          <w:kern w:val="0"/>
          <w:sz w:val="24"/>
          <w:highlight w:val="none"/>
          <w14:textFill>
            <w14:solidFill>
              <w14:schemeClr w14:val="tx1"/>
            </w14:solidFill>
          </w14:textFill>
        </w:rPr>
        <w:t>签订合同后15天内</w:t>
      </w:r>
      <w:r>
        <w:rPr>
          <w:rFonts w:hint="eastAsia" w:ascii="仿宋" w:hAnsi="仿宋" w:eastAsia="仿宋" w:cs="仿宋"/>
          <w:b/>
          <w:bCs/>
          <w:color w:val="000000" w:themeColor="text1"/>
          <w:kern w:val="0"/>
          <w:sz w:val="24"/>
          <w14:textFill>
            <w14:solidFill>
              <w14:schemeClr w14:val="tx1"/>
            </w14:solidFill>
          </w14:textFill>
        </w:rPr>
        <w:t>中标企业交纳</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%的履约保证金，在供货安装完成验收后退还履约保证金。</w:t>
      </w:r>
    </w:p>
    <w:p>
      <w:pPr>
        <w:pStyle w:val="15"/>
      </w:pPr>
    </w:p>
    <w:p>
      <w:pPr>
        <w:spacing w:line="91" w:lineRule="auto"/>
        <w:rPr>
          <w:rFonts w:ascii="宋体" w:hAnsi="宋体"/>
          <w:sz w:val="18"/>
          <w:szCs w:val="18"/>
        </w:rPr>
      </w:pPr>
    </w:p>
    <w:p>
      <w:pPr>
        <w:spacing w:line="360" w:lineRule="auto"/>
        <w:jc w:val="center"/>
        <w:outlineLvl w:val="0"/>
        <w:rPr>
          <w:rFonts w:eastAsia="仿宋"/>
          <w:b/>
          <w:color w:val="000000"/>
          <w:sz w:val="28"/>
          <w:szCs w:val="28"/>
        </w:rPr>
      </w:pPr>
      <w:bookmarkStart w:id="368" w:name="_Toc518923127"/>
      <w:bookmarkEnd w:id="368"/>
      <w:bookmarkStart w:id="369" w:name="_Toc507399907"/>
      <w:bookmarkEnd w:id="369"/>
      <w:bookmarkStart w:id="370" w:name="_Toc14323"/>
      <w:bookmarkEnd w:id="370"/>
      <w:bookmarkStart w:id="371" w:name="_Toc10220"/>
      <w:bookmarkEnd w:id="371"/>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pPr>
        <w:pStyle w:val="28"/>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pPr>
        <w:pStyle w:val="28"/>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w:t>
      </w:r>
      <w:r>
        <w:rPr>
          <w:rFonts w:eastAsia="仿宋"/>
          <w:bCs/>
          <w:color w:val="000000"/>
          <w:sz w:val="24"/>
          <w:highlight w:val="none"/>
        </w:rPr>
        <w:t>报价扣除</w:t>
      </w:r>
      <w:r>
        <w:rPr>
          <w:rFonts w:eastAsia="仿宋"/>
          <w:bCs/>
          <w:color w:val="000000"/>
          <w:sz w:val="24"/>
          <w:highlight w:val="none"/>
          <w:u w:val="single"/>
        </w:rPr>
        <w:t xml:space="preserve">  10 </w:t>
      </w:r>
      <w:r>
        <w:rPr>
          <w:rFonts w:eastAsia="仿宋"/>
          <w:bCs/>
          <w:color w:val="000000"/>
          <w:sz w:val="24"/>
          <w:highlight w:val="none"/>
        </w:rPr>
        <w:t xml:space="preserve"> %后参与评审。</w:t>
      </w:r>
      <w:r>
        <w:rPr>
          <w:rFonts w:eastAsia="仿宋"/>
          <w:bCs/>
          <w:color w:val="000000"/>
          <w:sz w:val="24"/>
        </w:rPr>
        <w:t>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w:t>
      </w:r>
      <w:r>
        <w:rPr>
          <w:rFonts w:hint="eastAsia" w:eastAsia="仿宋"/>
          <w:bCs/>
          <w:color w:val="000000"/>
          <w:sz w:val="24"/>
          <w:lang w:val="en-US" w:eastAsia="zh-CN"/>
        </w:rPr>
        <w:t>2%—3</w:t>
      </w:r>
      <w:r>
        <w:rPr>
          <w:rFonts w:eastAsia="仿宋"/>
          <w:bCs/>
          <w:color w:val="000000"/>
          <w:sz w:val="24"/>
        </w:rPr>
        <w:t>%的价格扣除。</w:t>
      </w:r>
    </w:p>
    <w:p>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pPr>
        <w:pStyle w:val="28"/>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w:t>
      </w:r>
      <w:r>
        <w:rPr>
          <w:rFonts w:ascii="Times New Roman" w:hAnsi="Times New Roman" w:eastAsia="仿宋"/>
          <w:bCs/>
          <w:color w:val="000000"/>
          <w:highlight w:val="none"/>
        </w:rPr>
        <w:t>的节能产品目录或环境标志产品目录或无线局域网产品目录，应提供相关证明，在评标时予以优先采购，具体优惠措施为</w:t>
      </w:r>
      <w:r>
        <w:rPr>
          <w:rFonts w:ascii="Times New Roman" w:hAnsi="Times New Roman" w:eastAsia="仿宋"/>
          <w:bCs/>
          <w:color w:val="000000"/>
          <w:highlight w:val="none"/>
          <w:u w:val="single"/>
        </w:rPr>
        <w:t>：《财政部、发展改革委、生态环境部、市场监管总局</w:t>
      </w:r>
      <w:bookmarkStart w:id="372" w:name="OLE_LINK2"/>
      <w:r>
        <w:rPr>
          <w:rFonts w:ascii="Times New Roman" w:hAnsi="Times New Roman" w:eastAsia="仿宋"/>
          <w:bCs/>
          <w:color w:val="000000"/>
          <w:highlight w:val="none"/>
          <w:u w:val="single"/>
        </w:rPr>
        <w:t>关于优化节能产品、环境标</w:t>
      </w:r>
      <w:r>
        <w:rPr>
          <w:rFonts w:ascii="Times New Roman" w:hAnsi="Times New Roman" w:eastAsia="仿宋"/>
          <w:bCs/>
          <w:color w:val="000000"/>
          <w:u w:val="single"/>
        </w:rPr>
        <w:t>志产品</w:t>
      </w:r>
      <w:bookmarkEnd w:id="372"/>
      <w:r>
        <w:rPr>
          <w:rFonts w:ascii="Times New Roman" w:hAnsi="Times New Roman" w:eastAsia="仿宋"/>
          <w:bCs/>
          <w:color w:val="000000"/>
          <w:u w:val="single"/>
        </w:rPr>
        <w:t>政府采购执行机制的通知》（财库〔2019〕9号）。</w:t>
      </w:r>
    </w:p>
    <w:p>
      <w:pPr>
        <w:pStyle w:val="28"/>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pPr>
        <w:pStyle w:val="28"/>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pPr>
        <w:rPr>
          <w:rFonts w:ascii="仿宋" w:hAnsi="仿宋" w:eastAsia="仿宋"/>
          <w:bCs/>
          <w:color w:val="000000"/>
        </w:rPr>
      </w:pPr>
      <w:r>
        <w:rPr>
          <w:rFonts w:hint="eastAsia" w:ascii="仿宋" w:hAnsi="仿宋" w:eastAsia="仿宋"/>
          <w:bCs/>
          <w:color w:val="000000"/>
        </w:rPr>
        <w:br w:type="page"/>
      </w:r>
    </w:p>
    <w:p>
      <w:pPr>
        <w:ind w:firstLine="474" w:firstLineChars="200"/>
        <w:outlineLvl w:val="0"/>
        <w:rPr>
          <w:rFonts w:ascii="仿宋" w:hAnsi="仿宋" w:eastAsia="仿宋"/>
          <w:b/>
          <w:color w:val="000000"/>
          <w:spacing w:val="-2"/>
          <w:sz w:val="24"/>
        </w:rPr>
      </w:pPr>
      <w:bookmarkStart w:id="373" w:name="_Toc21823"/>
      <w:bookmarkEnd w:id="373"/>
      <w:r>
        <w:rPr>
          <w:rFonts w:hint="eastAsia" w:ascii="仿宋" w:hAnsi="仿宋" w:eastAsia="仿宋"/>
          <w:b/>
          <w:color w:val="000000"/>
          <w:spacing w:val="-2"/>
          <w:sz w:val="24"/>
        </w:rPr>
        <w:t>5.评审附表</w:t>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符合性审查表</w:t>
      </w:r>
    </w:p>
    <w:p>
      <w:pPr>
        <w:rPr>
          <w:bCs/>
          <w:color w:val="000000"/>
        </w:rPr>
      </w:pPr>
    </w:p>
    <w:tbl>
      <w:tblPr>
        <w:tblStyle w:val="16"/>
        <w:tblW w:w="79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restart"/>
            <w:vAlign w:val="center"/>
          </w:tcPr>
          <w:p>
            <w:pPr>
              <w:rPr>
                <w:rFonts w:ascii="仿宋" w:hAnsi="仿宋" w:eastAsia="仿宋"/>
                <w:bCs/>
                <w:color w:val="000000"/>
              </w:rPr>
            </w:pPr>
            <w:r>
              <w:rPr>
                <w:rFonts w:hint="eastAsia" w:ascii="仿宋" w:hAnsi="仿宋" w:eastAsia="仿宋"/>
                <w:bCs/>
                <w:color w:val="000000"/>
              </w:rPr>
              <w:t>符合性审查</w:t>
            </w:r>
          </w:p>
        </w:tc>
        <w:tc>
          <w:tcPr>
            <w:tcW w:w="815" w:type="dxa"/>
            <w:vAlign w:val="bottom"/>
          </w:tcPr>
          <w:p>
            <w:pPr>
              <w:jc w:val="center"/>
              <w:rPr>
                <w:rFonts w:ascii="仿宋" w:hAnsi="仿宋" w:eastAsia="仿宋"/>
                <w:bCs/>
                <w:color w:val="000000"/>
              </w:rPr>
            </w:pPr>
            <w:r>
              <w:rPr>
                <w:rFonts w:hint="eastAsia" w:ascii="仿宋" w:hAnsi="仿宋" w:eastAsia="仿宋"/>
                <w:bCs/>
                <w:color w:val="000000"/>
              </w:rPr>
              <w:t>序号</w:t>
            </w:r>
          </w:p>
        </w:tc>
        <w:tc>
          <w:tcPr>
            <w:tcW w:w="6428" w:type="dxa"/>
            <w:vAlign w:val="bottom"/>
          </w:tcPr>
          <w:p>
            <w:pPr>
              <w:ind w:firstLine="480"/>
              <w:jc w:val="center"/>
              <w:rPr>
                <w:rFonts w:ascii="仿宋" w:hAnsi="仿宋" w:eastAsia="仿宋"/>
                <w:bCs/>
                <w:color w:val="000000"/>
              </w:rPr>
            </w:pPr>
            <w:r>
              <w:rPr>
                <w:rFonts w:hint="eastAsia" w:ascii="仿宋" w:hAnsi="仿宋" w:eastAsia="仿宋"/>
                <w:bCs/>
                <w:color w:val="000000"/>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lang w:val="en-US" w:eastAsia="zh-CN"/>
              </w:rPr>
              <w:t>供货期、质保期是否符合招标文件要求。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pPr>
              <w:ind w:left="105" w:right="62" w:hanging="105" w:hangingChars="50"/>
              <w:jc w:val="left"/>
              <w:rPr>
                <w:rFonts w:ascii="仿宋" w:hAnsi="仿宋" w:eastAsia="仿宋"/>
                <w:bCs/>
                <w:color w:val="000000"/>
              </w:rPr>
            </w:pPr>
            <w:r>
              <w:rPr>
                <w:rFonts w:hint="eastAsia" w:ascii="仿宋" w:hAnsi="仿宋" w:eastAsia="仿宋"/>
                <w:bCs/>
                <w:color w:val="000000"/>
                <w:lang w:val="en-US" w:eastAsia="zh-CN"/>
              </w:rPr>
              <w:t>是否存在</w:t>
            </w:r>
            <w:r>
              <w:rPr>
                <w:rFonts w:hint="eastAsia" w:ascii="仿宋" w:hAnsi="仿宋" w:eastAsia="仿宋"/>
                <w:bCs/>
                <w:color w:val="000000"/>
              </w:rPr>
              <w:t>评审小组共同确定没有实质上响应</w:t>
            </w:r>
            <w:r>
              <w:rPr>
                <w:rFonts w:hint="eastAsia" w:ascii="仿宋" w:hAnsi="仿宋" w:eastAsia="仿宋"/>
                <w:bCs/>
                <w:color w:val="000000"/>
                <w:szCs w:val="21"/>
              </w:rPr>
              <w:t>招标</w:t>
            </w:r>
            <w:r>
              <w:rPr>
                <w:rFonts w:hint="eastAsia" w:ascii="仿宋" w:hAnsi="仿宋" w:eastAsia="仿宋"/>
                <w:bCs/>
                <w:color w:val="000000"/>
              </w:rPr>
              <w:t>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w:t>
            </w:r>
            <w:r>
              <w:rPr>
                <w:rFonts w:hint="eastAsia" w:ascii="仿宋" w:hAnsi="仿宋" w:eastAsia="仿宋"/>
                <w:bCs/>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投标报价是否高于采购预算价</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缴纳投标保证金与</w:t>
            </w:r>
            <w:r>
              <w:rPr>
                <w:rFonts w:hint="eastAsia" w:ascii="仿宋" w:hAnsi="仿宋" w:eastAsia="仿宋"/>
                <w:bCs/>
                <w:color w:val="000000"/>
                <w:szCs w:val="21"/>
              </w:rPr>
              <w:t>招标</w:t>
            </w:r>
            <w:r>
              <w:rPr>
                <w:rFonts w:hint="eastAsia" w:ascii="仿宋" w:hAnsi="仿宋" w:eastAsia="仿宋"/>
                <w:bCs/>
                <w:color w:val="000000"/>
                <w:kern w:val="0"/>
              </w:rPr>
              <w:t>文件金额是否一致</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kern w:val="0"/>
                <w:lang w:val="en-US" w:eastAsia="zh-CN"/>
              </w:rPr>
              <w:t>商务、技术偏离表是否有偏离情况。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8</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投标文件是否附有招标人不能接受条件的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9</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是否存在法律、法规和招标文件规定的其他无效情形</w:t>
            </w:r>
            <w:r>
              <w:rPr>
                <w:rFonts w:hint="eastAsia" w:ascii="仿宋" w:hAnsi="仿宋" w:eastAsia="仿宋"/>
                <w:bCs/>
                <w:color w:val="000000"/>
                <w:kern w:val="0"/>
                <w:lang w:eastAsia="zh-CN"/>
              </w:rPr>
              <w:t>。</w:t>
            </w:r>
          </w:p>
        </w:tc>
      </w:tr>
    </w:tbl>
    <w:p>
      <w:pPr>
        <w:pStyle w:val="28"/>
        <w:tabs>
          <w:tab w:val="clear" w:pos="567"/>
        </w:tabs>
        <w:spacing w:before="0" w:line="240" w:lineRule="auto"/>
        <w:rPr>
          <w:rFonts w:ascii="仿宋" w:hAnsi="仿宋" w:eastAsia="仿宋"/>
          <w:bCs/>
          <w:color w:val="000000"/>
          <w:spacing w:val="-2"/>
        </w:rPr>
      </w:pPr>
    </w:p>
    <w:p>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w:t>
      </w:r>
      <w:r>
        <w:rPr>
          <w:rFonts w:hint="eastAsia" w:ascii="仿宋" w:hAnsi="仿宋" w:eastAsia="仿宋"/>
          <w:b/>
          <w:bCs w:val="0"/>
          <w:color w:val="000000"/>
          <w:szCs w:val="21"/>
        </w:rPr>
        <w:t>废标</w:t>
      </w:r>
      <w:r>
        <w:rPr>
          <w:rFonts w:hint="eastAsia" w:ascii="仿宋" w:hAnsi="仿宋" w:eastAsia="仿宋"/>
          <w:bCs/>
          <w:color w:val="000000"/>
          <w:szCs w:val="21"/>
        </w:rPr>
        <w:t>处理。</w:t>
      </w:r>
    </w:p>
    <w:p>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pPr>
        <w:pStyle w:val="28"/>
        <w:tabs>
          <w:tab w:val="clear" w:pos="567"/>
        </w:tabs>
        <w:spacing w:before="0" w:line="360" w:lineRule="auto"/>
        <w:rPr>
          <w:rFonts w:ascii="Times New Roman" w:hAnsi="Times New Roman" w:eastAsia="仿宋"/>
          <w:bCs/>
          <w:color w:val="000000"/>
        </w:rPr>
      </w:pPr>
    </w:p>
    <w:p>
      <w:pPr>
        <w:pStyle w:val="28"/>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16"/>
        <w:tblW w:w="9120" w:type="dxa"/>
        <w:tblInd w:w="-496" w:type="dxa"/>
        <w:tblLayout w:type="fixed"/>
        <w:tblCellMar>
          <w:top w:w="0" w:type="dxa"/>
          <w:left w:w="108" w:type="dxa"/>
          <w:bottom w:w="0" w:type="dxa"/>
          <w:right w:w="108" w:type="dxa"/>
        </w:tblCellMar>
      </w:tblPr>
      <w:tblGrid>
        <w:gridCol w:w="928"/>
        <w:gridCol w:w="916"/>
        <w:gridCol w:w="1"/>
        <w:gridCol w:w="6188"/>
        <w:gridCol w:w="1087"/>
      </w:tblGrid>
      <w:tr>
        <w:tblPrEx>
          <w:tblLayout w:type="fixed"/>
          <w:tblCellMar>
            <w:top w:w="0" w:type="dxa"/>
            <w:left w:w="108" w:type="dxa"/>
            <w:bottom w:w="0" w:type="dxa"/>
            <w:right w:w="108" w:type="dxa"/>
          </w:tblCellMar>
        </w:tblPrEx>
        <w:trPr>
          <w:trHeight w:val="368" w:hRule="atLeast"/>
        </w:trPr>
        <w:tc>
          <w:tcPr>
            <w:tcW w:w="18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4" w:name="EB5c8b89cc3ad8494791e32efc4e7c0949"/>
            <w:r>
              <w:rPr>
                <w:rFonts w:hint="eastAsia" w:ascii="宋体" w:hAnsi="宋体" w:cs="宋体"/>
                <w:b/>
                <w:bCs/>
                <w:kern w:val="0"/>
                <w:sz w:val="18"/>
                <w:szCs w:val="18"/>
              </w:rPr>
              <w:t>考核项目</w:t>
            </w:r>
          </w:p>
        </w:tc>
        <w:tc>
          <w:tcPr>
            <w:tcW w:w="6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tblPrEx>
          <w:tblLayout w:type="fixed"/>
          <w:tblCellMar>
            <w:top w:w="0" w:type="dxa"/>
            <w:left w:w="108" w:type="dxa"/>
            <w:bottom w:w="0" w:type="dxa"/>
            <w:right w:w="108" w:type="dxa"/>
          </w:tblCellMar>
        </w:tblPrEx>
        <w:trPr>
          <w:trHeight w:val="2091" w:hRule="atLeast"/>
        </w:trPr>
        <w:tc>
          <w:tcPr>
            <w:tcW w:w="9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10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w:t>
            </w:r>
            <w:r>
              <w:rPr>
                <w:rFonts w:hint="eastAsia" w:ascii="宋体" w:hAnsi="宋体" w:eastAsia="宋体" w:cs="宋体"/>
                <w:kern w:val="0"/>
                <w:sz w:val="18"/>
                <w:szCs w:val="18"/>
              </w:rPr>
              <w:t>（备注：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w:t>
            </w:r>
            <w:r>
              <w:rPr>
                <w:rFonts w:hint="default" w:ascii="宋体" w:hAnsi="宋体" w:eastAsia="宋体" w:cs="宋体"/>
                <w:kern w:val="0"/>
                <w:sz w:val="18"/>
                <w:szCs w:val="18"/>
              </w:rPr>
              <w:t>属于小微企业</w:t>
            </w:r>
            <w:r>
              <w:rPr>
                <w:rFonts w:hint="eastAsia" w:ascii="宋体" w:hAnsi="宋体" w:eastAsia="宋体" w:cs="宋体"/>
                <w:kern w:val="0"/>
                <w:sz w:val="18"/>
                <w:szCs w:val="18"/>
              </w:rPr>
              <w:t>、</w:t>
            </w:r>
            <w:r>
              <w:rPr>
                <w:rFonts w:hint="default" w:ascii="宋体" w:hAnsi="宋体" w:eastAsia="宋体" w:cs="宋体"/>
                <w:kern w:val="0"/>
                <w:sz w:val="18"/>
                <w:szCs w:val="18"/>
              </w:rPr>
              <w:t>监狱企业</w:t>
            </w:r>
            <w:r>
              <w:rPr>
                <w:rFonts w:hint="eastAsia" w:ascii="宋体" w:hAnsi="宋体" w:eastAsia="宋体" w:cs="宋体"/>
                <w:kern w:val="0"/>
                <w:sz w:val="18"/>
                <w:szCs w:val="18"/>
              </w:rPr>
              <w:t>或</w:t>
            </w:r>
            <w:r>
              <w:rPr>
                <w:rFonts w:hint="default" w:ascii="宋体" w:hAnsi="宋体" w:eastAsia="宋体" w:cs="宋体"/>
                <w:kern w:val="0"/>
                <w:sz w:val="18"/>
                <w:szCs w:val="18"/>
              </w:rPr>
              <w:t>残疾人福利性单位的，不重复进行投标报价扣除。</w:t>
            </w:r>
            <w:r>
              <w:rPr>
                <w:rFonts w:hint="eastAsia" w:ascii="宋体" w:hAnsi="宋体" w:eastAsia="宋体" w:cs="宋体"/>
                <w:kern w:val="0"/>
                <w:sz w:val="18"/>
                <w:szCs w:val="18"/>
              </w:rPr>
              <w:t>）</w:t>
            </w:r>
          </w:p>
        </w:tc>
        <w:tc>
          <w:tcPr>
            <w:tcW w:w="10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tblPrEx>
          <w:tblLayout w:type="fixed"/>
          <w:tblCellMar>
            <w:top w:w="0" w:type="dxa"/>
            <w:left w:w="108" w:type="dxa"/>
            <w:bottom w:w="0" w:type="dxa"/>
            <w:right w:w="108" w:type="dxa"/>
          </w:tblCellMar>
        </w:tblPrEx>
        <w:trPr>
          <w:trHeight w:val="2062"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53</w:t>
            </w:r>
            <w:r>
              <w:rPr>
                <w:rFonts w:hint="eastAsia" w:ascii="宋体" w:hAnsi="宋体" w:cs="宋体"/>
                <w:kern w:val="0"/>
                <w:sz w:val="18"/>
                <w:szCs w:val="18"/>
              </w:rPr>
              <w:t>分）</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kern w:val="0"/>
                <w:sz w:val="18"/>
                <w:szCs w:val="18"/>
                <w:lang w:val="en-US" w:eastAsia="zh-CN"/>
              </w:rPr>
              <w:t>参数指标响应</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32</w:t>
            </w:r>
            <w:r>
              <w:rPr>
                <w:rFonts w:hint="eastAsia" w:ascii="宋体" w:hAnsi="宋体" w:eastAsia="宋体" w:cs="宋体"/>
                <w:color w:val="auto"/>
                <w:kern w:val="0"/>
                <w:sz w:val="16"/>
                <w:szCs w:val="16"/>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color w:val="000000"/>
                <w:sz w:val="18"/>
                <w:szCs w:val="18"/>
                <w:highlight w:val="none"/>
                <w:lang w:val="en-US" w:eastAsia="zh-CN"/>
              </w:rPr>
              <w:t>参数指标响应</w:t>
            </w:r>
            <w:r>
              <w:rPr>
                <w:rFonts w:hint="eastAsia" w:ascii="宋体" w:hAnsi="宋体" w:eastAsia="宋体" w:cs="宋体"/>
                <w:kern w:val="0"/>
                <w:sz w:val="18"/>
                <w:szCs w:val="18"/>
                <w:lang w:val="en-US" w:eastAsia="zh-CN"/>
              </w:rPr>
              <w:t>（</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分）：根据所投项目产品清单的技术参数指标的响应程度打分，招标文件中所有技术参数须逐条响应，所提供的</w:t>
            </w:r>
            <w:r>
              <w:rPr>
                <w:rFonts w:hint="eastAsia" w:ascii="宋体" w:hAnsi="宋体" w:cs="宋体"/>
                <w:kern w:val="0"/>
                <w:sz w:val="18"/>
                <w:szCs w:val="18"/>
                <w:lang w:val="en-US" w:eastAsia="zh-CN"/>
              </w:rPr>
              <w:t>产品</w:t>
            </w:r>
            <w:r>
              <w:rPr>
                <w:rFonts w:hint="eastAsia" w:ascii="宋体" w:hAnsi="宋体" w:eastAsia="宋体" w:cs="宋体"/>
                <w:kern w:val="0"/>
                <w:sz w:val="18"/>
                <w:szCs w:val="18"/>
                <w:lang w:val="en-US" w:eastAsia="zh-CN"/>
              </w:rPr>
              <w:t>资料应尽可能全面详细。全部响应招标文件的得</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lang w:val="en-US" w:eastAsia="zh-CN"/>
              </w:rPr>
              <w:t>注：</w:t>
            </w:r>
            <w:r>
              <w:rPr>
                <w:rFonts w:hint="eastAsia" w:ascii="宋体" w:hAnsi="宋体" w:eastAsia="宋体" w:cs="宋体"/>
                <w:kern w:val="0"/>
                <w:sz w:val="18"/>
                <w:szCs w:val="18"/>
              </w:rPr>
              <w:t>“▲”号</w:t>
            </w:r>
            <w:r>
              <w:rPr>
                <w:rFonts w:hint="eastAsia" w:ascii="宋体" w:hAnsi="宋体" w:eastAsia="宋体" w:cs="宋体"/>
                <w:kern w:val="0"/>
                <w:sz w:val="18"/>
                <w:szCs w:val="18"/>
                <w:lang w:val="en-US" w:eastAsia="zh-CN"/>
              </w:rPr>
              <w:t>表示</w:t>
            </w:r>
            <w:r>
              <w:rPr>
                <w:rFonts w:hint="eastAsia" w:ascii="宋体" w:hAnsi="宋体" w:eastAsia="宋体" w:cs="宋体"/>
                <w:kern w:val="0"/>
                <w:sz w:val="18"/>
                <w:szCs w:val="18"/>
              </w:rPr>
              <w:t>核心产品，所有参数需全部响应，</w:t>
            </w:r>
            <w:r>
              <w:rPr>
                <w:rFonts w:hint="eastAsia" w:ascii="宋体" w:hAnsi="宋体" w:eastAsia="宋体" w:cs="宋体"/>
                <w:b/>
                <w:bCs/>
                <w:color w:val="auto"/>
                <w:kern w:val="0"/>
                <w:sz w:val="18"/>
                <w:szCs w:val="18"/>
              </w:rPr>
              <w:t>未响应或负偏离作废标处理</w:t>
            </w:r>
            <w:r>
              <w:rPr>
                <w:rFonts w:hint="eastAsia" w:ascii="宋体" w:hAnsi="宋体" w:eastAsia="宋体" w:cs="宋体"/>
                <w:kern w:val="0"/>
                <w:sz w:val="18"/>
                <w:szCs w:val="18"/>
                <w:lang w:val="en-US" w:eastAsia="zh-CN"/>
              </w:rPr>
              <w:t>。</w:t>
            </w:r>
            <w:bookmarkStart w:id="375" w:name="OLE_LINK4"/>
            <w:r>
              <w:rPr>
                <w:rFonts w:hint="eastAsia" w:ascii="宋体" w:hAnsi="宋体" w:eastAsia="宋体" w:cs="宋体"/>
                <w:kern w:val="0"/>
                <w:sz w:val="18"/>
                <w:szCs w:val="18"/>
              </w:rPr>
              <w:t>“★”表示</w:t>
            </w:r>
            <w:r>
              <w:rPr>
                <w:rFonts w:hint="eastAsia" w:ascii="宋体" w:hAnsi="宋体" w:eastAsia="宋体" w:cs="宋体"/>
                <w:kern w:val="0"/>
                <w:sz w:val="18"/>
                <w:szCs w:val="18"/>
                <w:lang w:val="en-US" w:eastAsia="zh-CN"/>
              </w:rPr>
              <w:t>产品</w:t>
            </w:r>
            <w:r>
              <w:rPr>
                <w:rFonts w:hint="eastAsia" w:ascii="宋体" w:hAnsi="宋体" w:eastAsia="宋体" w:cs="宋体"/>
                <w:kern w:val="0"/>
                <w:sz w:val="18"/>
                <w:szCs w:val="18"/>
              </w:rPr>
              <w:t>重要参数</w:t>
            </w:r>
            <w:bookmarkEnd w:id="375"/>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每有1项</w:t>
            </w:r>
            <w:r>
              <w:rPr>
                <w:rFonts w:hint="eastAsia" w:ascii="宋体" w:hAnsi="宋体" w:eastAsia="宋体" w:cs="宋体"/>
                <w:kern w:val="0"/>
                <w:sz w:val="18"/>
                <w:szCs w:val="18"/>
              </w:rPr>
              <w:t>出现不满足或不提供</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负偏离</w:t>
            </w:r>
            <w:r>
              <w:rPr>
                <w:rFonts w:hint="eastAsia" w:ascii="宋体" w:hAnsi="宋体" w:eastAsia="宋体" w:cs="宋体"/>
                <w:kern w:val="0"/>
                <w:sz w:val="18"/>
                <w:szCs w:val="18"/>
              </w:rPr>
              <w:t>的扣</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其他一般参数每有1项</w:t>
            </w:r>
            <w:r>
              <w:rPr>
                <w:rFonts w:hint="eastAsia" w:ascii="宋体" w:hAnsi="宋体" w:eastAsia="宋体" w:cs="宋体"/>
                <w:kern w:val="0"/>
                <w:sz w:val="18"/>
                <w:szCs w:val="18"/>
                <w:highlight w:val="none"/>
              </w:rPr>
              <w:t>出现不满足或不提供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负偏离</w:t>
            </w:r>
            <w:r>
              <w:rPr>
                <w:rFonts w:hint="eastAsia" w:ascii="宋体" w:hAnsi="宋体" w:eastAsia="宋体" w:cs="宋体"/>
                <w:kern w:val="0"/>
                <w:sz w:val="18"/>
                <w:szCs w:val="18"/>
                <w:highlight w:val="none"/>
              </w:rPr>
              <w:t>的扣</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16"/>
                <w:szCs w:val="16"/>
                <w:lang w:val="en-US" w:eastAsia="zh-CN" w:bidi="ar-SA"/>
              </w:rPr>
            </w:pPr>
            <w:r>
              <w:rPr>
                <w:rFonts w:hint="default" w:cs="宋体"/>
                <w:color w:val="auto"/>
                <w:kern w:val="0"/>
                <w:sz w:val="16"/>
                <w:szCs w:val="16"/>
                <w:highlight w:val="none"/>
                <w:lang w:eastAsia="zh-CN"/>
              </w:rPr>
              <w:t>（</w:t>
            </w:r>
            <w:r>
              <w:rPr>
                <w:rFonts w:hint="eastAsia" w:cs="宋体"/>
                <w:b/>
                <w:bCs/>
                <w:color w:val="auto"/>
                <w:kern w:val="0"/>
                <w:sz w:val="16"/>
                <w:szCs w:val="16"/>
                <w:highlight w:val="none"/>
                <w:lang w:val="en-US" w:eastAsia="zh-CN"/>
              </w:rPr>
              <w:t>注：投标单位若带</w:t>
            </w:r>
            <w:r>
              <w:rPr>
                <w:rFonts w:hint="eastAsia" w:ascii="宋体" w:hAnsi="宋体" w:eastAsia="宋体" w:cs="宋体"/>
                <w:color w:val="auto"/>
                <w:kern w:val="0"/>
                <w:sz w:val="16"/>
                <w:szCs w:val="16"/>
                <w:highlight w:val="none"/>
              </w:rPr>
              <w:t>“★”</w:t>
            </w:r>
            <w:r>
              <w:rPr>
                <w:rFonts w:hint="eastAsia" w:cs="宋体"/>
                <w:b/>
                <w:bCs/>
                <w:color w:val="000000" w:themeColor="text1"/>
                <w:kern w:val="0"/>
                <w:sz w:val="16"/>
                <w:szCs w:val="16"/>
                <w:highlight w:val="none"/>
                <w:lang w:val="en-US" w:eastAsia="zh-CN"/>
                <w14:textFill>
                  <w14:solidFill>
                    <w14:schemeClr w14:val="tx1"/>
                  </w14:solidFill>
                </w14:textFill>
              </w:rPr>
              <w:t>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cs="宋体"/>
                <w:b/>
                <w:bCs/>
                <w:color w:val="000000" w:themeColor="text1"/>
                <w:kern w:val="0"/>
                <w:sz w:val="16"/>
                <w:szCs w:val="16"/>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项负偏离或不响应做废标处理</w:t>
            </w:r>
            <w:r>
              <w:rPr>
                <w:rFonts w:hint="eastAsia" w:ascii="宋体" w:hAnsi="宋体" w:eastAsia="宋体" w:cs="宋体"/>
                <w:b/>
                <w:bCs/>
                <w:color w:val="000000" w:themeColor="text1"/>
                <w:kern w:val="0"/>
                <w:sz w:val="16"/>
                <w:szCs w:val="16"/>
                <w:highlight w:val="none"/>
                <w:lang w:eastAsia="zh-CN"/>
                <w14:textFill>
                  <w14:solidFill>
                    <w14:schemeClr w14:val="tx1"/>
                  </w14:solidFill>
                </w14:textFill>
              </w:rPr>
              <w:t>，</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其他一般参数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w:t>
            </w:r>
            <w:r>
              <w:rPr>
                <w:rFonts w:hint="eastAsia" w:ascii="宋体" w:hAnsi="宋体" w:eastAsia="宋体" w:cs="宋体"/>
                <w:b/>
                <w:bCs/>
                <w:color w:val="000000" w:themeColor="text1"/>
                <w:kern w:val="0"/>
                <w:sz w:val="18"/>
                <w:szCs w:val="18"/>
                <w:highlight w:val="none"/>
                <w14:textFill>
                  <w14:solidFill>
                    <w14:schemeClr w14:val="tx1"/>
                  </w14:solidFill>
                </w14:textFill>
              </w:rPr>
              <w:t>废标处理</w:t>
            </w:r>
            <w:r>
              <w:rPr>
                <w:rFonts w:hint="eastAsia" w:ascii="宋体" w:hAnsi="宋体" w:eastAsia="宋体" w:cs="宋体"/>
                <w:b/>
                <w:bCs/>
                <w:color w:val="000000" w:themeColor="text1"/>
                <w:kern w:val="0"/>
                <w:sz w:val="16"/>
                <w:szCs w:val="16"/>
                <w:highlight w:val="none"/>
                <w14:textFill>
                  <w14:solidFill>
                    <w14:schemeClr w14:val="tx1"/>
                  </w14:solidFill>
                </w14:textFill>
              </w:rPr>
              <w:t>。</w:t>
            </w:r>
            <w:r>
              <w:rPr>
                <w:rFonts w:hint="default" w:ascii="宋体" w:hAnsi="宋体" w:eastAsia="宋体" w:cs="宋体"/>
                <w:color w:val="000000" w:themeColor="text1"/>
                <w:kern w:val="0"/>
                <w:sz w:val="16"/>
                <w:szCs w:val="16"/>
                <w:highlight w:val="none"/>
                <w14:textFill>
                  <w14:solidFill>
                    <w14:schemeClr w14:val="tx1"/>
                  </w14:solidFill>
                </w14:textFill>
              </w:rPr>
              <w:t>）</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2612"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w:t>
            </w:r>
            <w:r>
              <w:rPr>
                <w:rFonts w:hint="eastAsia" w:ascii="宋体" w:hAnsi="宋体" w:eastAsia="宋体" w:cs="宋体"/>
                <w:color w:val="auto"/>
                <w:kern w:val="0"/>
                <w:sz w:val="16"/>
                <w:szCs w:val="16"/>
                <w:highlight w:val="none"/>
              </w:rPr>
              <w:t>目实施方案（</w:t>
            </w: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项目服务实施方案（</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分）：根据投标人对本项目实际情况，阐述内容须包括但不限于以下内容：</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①整体实施方案；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②质量保证措施；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③产品包装运输方案；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④供货、安装及调试方案；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⑤</w:t>
            </w:r>
            <w:r>
              <w:rPr>
                <w:rFonts w:hint="default" w:ascii="宋体" w:hAnsi="宋体" w:eastAsia="宋体" w:cs="宋体"/>
                <w:kern w:val="0"/>
                <w:sz w:val="18"/>
                <w:szCs w:val="18"/>
                <w:lang w:val="en-US" w:eastAsia="zh-CN"/>
              </w:rPr>
              <w:t>质量故障退（换）协调反馈方案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评标委员会根据各投标人方案内容完整度及可行性进行评审，评审内容包含</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项，项目服务实施方案中</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小项内容完整可行最多得</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分，每有一小项内容描述不清晰或有缺失内容的扣</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050"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highlight w:val="none"/>
                <w:lang w:val="en-US" w:eastAsia="zh-CN"/>
              </w:rPr>
              <w:t>质量检测（11分）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量检测（11分）：需提供有效期内的产品检测报告，检测机构需具备CMA或CNAS认证，报告需附带可验证的真伪信息（二维码或官网查询），检测报告需覆盖成品+关键组件的有害物质和物理性能，每提供一个产品的检测报告得1分；最高可得11分；检测报告不符合以上要求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157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售后服务方案（5分）：针对本项目制定的合理完善的售后服务方案（包括1.产品的故障处理及响应时间、2.验收程序、3.质保期外服务方式、4.优惠承诺及售后服务网点证明、5.</w:t>
            </w:r>
            <w:r>
              <w:rPr>
                <w:rFonts w:hint="eastAsia" w:ascii="宋体" w:hAnsi="宋体" w:cs="宋体"/>
                <w:kern w:val="0"/>
                <w:sz w:val="18"/>
                <w:szCs w:val="18"/>
                <w:lang w:val="en-US" w:eastAsia="zh-CN"/>
              </w:rPr>
              <w:t>备品备件</w:t>
            </w:r>
            <w:r>
              <w:rPr>
                <w:rFonts w:hint="eastAsia" w:ascii="宋体" w:hAnsi="宋体" w:eastAsia="宋体" w:cs="宋体"/>
                <w:kern w:val="0"/>
                <w:sz w:val="18"/>
                <w:szCs w:val="18"/>
                <w:lang w:val="en-US" w:eastAsia="zh-CN"/>
              </w:rPr>
              <w:t>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评标委员会根据各投标人售后服务方案内容完整度及可行性进行评审，评审内容必须包含以上5项，项每1小项内容完整可行最多得1分，每有一小项内容描述不清晰或有缺失内容的扣1分，扣完为止。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791"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color w:val="auto"/>
                <w:kern w:val="0"/>
                <w:sz w:val="18"/>
                <w:szCs w:val="18"/>
              </w:rPr>
              <w:t>商务部分（</w:t>
            </w:r>
            <w:r>
              <w:rPr>
                <w:rFonts w:hint="eastAsia" w:ascii="宋体" w:hAnsi="宋体" w:cs="宋体"/>
                <w:color w:val="auto"/>
                <w:kern w:val="0"/>
                <w:sz w:val="18"/>
                <w:szCs w:val="18"/>
                <w:lang w:val="en-US" w:eastAsia="zh-CN"/>
              </w:rPr>
              <w:t>17</w:t>
            </w:r>
            <w:r>
              <w:rPr>
                <w:rFonts w:hint="eastAsia" w:ascii="宋体" w:hAnsi="宋体" w:cs="宋体"/>
                <w:color w:val="auto"/>
                <w:kern w:val="0"/>
                <w:sz w:val="18"/>
                <w:szCs w:val="18"/>
              </w:rPr>
              <w:t>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同类案例证明（</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分）：投标人提供近三年与本项目相似的项目业绩（业绩需提供：中标通知书、验收报告或合同等相关资料，提供以上任意一个均可）。提供一份证明得</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分，最多</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分，未提供不得分。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31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lang w:val="en-US" w:eastAsia="zh-CN"/>
              </w:rPr>
            </w:pPr>
            <w:r>
              <w:rPr>
                <w:rFonts w:hint="default" w:ascii="宋体" w:hAnsi="宋体" w:eastAsia="宋体" w:cs="宋体"/>
                <w:color w:val="auto"/>
                <w:kern w:val="0"/>
                <w:sz w:val="16"/>
                <w:szCs w:val="16"/>
                <w:highlight w:val="none"/>
                <w:lang w:val="en-US" w:eastAsia="zh-CN"/>
              </w:rPr>
              <w:t>环保</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default" w:ascii="宋体" w:hAnsi="宋体" w:eastAsia="宋体" w:cs="宋体"/>
                <w:color w:val="auto"/>
                <w:kern w:val="0"/>
                <w:sz w:val="16"/>
                <w:szCs w:val="16"/>
                <w:highlight w:val="none"/>
                <w:lang w:val="en-US" w:eastAsia="zh-CN"/>
              </w:rPr>
              <w:t>要求</w:t>
            </w:r>
            <w:r>
              <w:rPr>
                <w:rFonts w:hint="eastAsia" w:ascii="宋体" w:hAnsi="宋体" w:eastAsia="宋体" w:cs="宋体"/>
                <w:color w:val="auto"/>
                <w:kern w:val="0"/>
                <w:sz w:val="16"/>
                <w:szCs w:val="16"/>
                <w:highlight w:val="none"/>
                <w:lang w:val="en-US" w:eastAsia="zh-CN"/>
              </w:rPr>
              <w:t>（</w:t>
            </w:r>
            <w:r>
              <w:rPr>
                <w:rFonts w:hint="eastAsia" w:ascii="宋体" w:hAnsi="宋体" w:cs="宋体"/>
                <w:color w:val="auto"/>
                <w:kern w:val="0"/>
                <w:sz w:val="16"/>
                <w:szCs w:val="16"/>
                <w:highlight w:val="none"/>
                <w:lang w:val="en-US" w:eastAsia="zh-CN"/>
              </w:rPr>
              <w:t>10</w:t>
            </w:r>
            <w:r>
              <w:rPr>
                <w:rFonts w:hint="eastAsia" w:ascii="宋体" w:hAnsi="宋体" w:eastAsia="宋体" w:cs="宋体"/>
                <w:color w:val="auto"/>
                <w:kern w:val="0"/>
                <w:sz w:val="16"/>
                <w:szCs w:val="16"/>
                <w:highlight w:val="none"/>
                <w:lang w:val="en-US" w:eastAsia="zh-CN"/>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环保要求</w:t>
            </w:r>
            <w:r>
              <w:rPr>
                <w:rFonts w:hint="eastAsia" w:ascii="宋体" w:hAnsi="宋体" w:eastAsia="宋体" w:cs="宋体"/>
                <w:kern w:val="0"/>
                <w:sz w:val="18"/>
                <w:szCs w:val="18"/>
                <w:lang w:val="en-US" w:eastAsia="zh-CN"/>
              </w:rPr>
              <w:t>（10分）：所投核心产品必须是环境标志产品。需提供国家确定的认证机构出具的、处于有效期之内的环境标志产品认证证书；环保认证必须明确标注“课桌椅”或“钢木/钢塑家具”，仅泛用证书无效。每提供一个产品的环保认证得2分，最高可得10分</w:t>
            </w:r>
            <w:r>
              <w:rPr>
                <w:rFonts w:hint="eastAsia" w:ascii="宋体" w:hAnsi="宋体" w:cs="宋体"/>
                <w:kern w:val="0"/>
                <w:sz w:val="18"/>
                <w:szCs w:val="18"/>
                <w:lang w:val="en-US" w:eastAsia="zh-CN"/>
              </w:rPr>
              <w:t>。</w:t>
            </w:r>
            <w:r>
              <w:rPr>
                <w:rFonts w:hint="eastAsia" w:ascii="宋体" w:hAnsi="宋体" w:eastAsia="宋体" w:cs="宋体"/>
                <w:kern w:val="0"/>
                <w:sz w:val="18"/>
                <w:szCs w:val="18"/>
                <w:lang w:val="en-US" w:eastAsia="zh-CN"/>
              </w:rPr>
              <w:t>不符合以上要求不得分</w:t>
            </w:r>
            <w:r>
              <w:rPr>
                <w:rFonts w:hint="eastAsia" w:ascii="宋体" w:hAnsi="宋体" w:cs="宋体"/>
                <w:kern w:val="0"/>
                <w:sz w:val="18"/>
                <w:szCs w:val="18"/>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供</w:t>
            </w:r>
            <w:r>
              <w:rPr>
                <w:rFonts w:hint="eastAsia" w:ascii="宋体" w:hAnsi="宋体" w:eastAsia="宋体" w:cs="宋体"/>
                <w:color w:val="auto"/>
                <w:kern w:val="0"/>
                <w:sz w:val="16"/>
                <w:szCs w:val="16"/>
                <w:highlight w:val="none"/>
              </w:rPr>
              <w:t>货期（2分）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供货期（2分）：满足招标文件要求得1分，提供交货承诺书，承诺书中投标人承诺的交货期，每优于招标文件要求5天得0.5分，最高加1分。</w:t>
            </w:r>
          </w:p>
        </w:tc>
        <w:tc>
          <w:tcPr>
            <w:tcW w:w="1087" w:type="dxa"/>
            <w:vMerge w:val="restart"/>
            <w:tcBorders>
              <w:top w:val="nil"/>
              <w:left w:val="nil"/>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质保期（2分）：质保期满足招标文件要求得1分，提供质保承诺书，承诺书中投标人承诺的质保期，每增加一年加0.5分，最多加1分。</w:t>
            </w:r>
          </w:p>
        </w:tc>
        <w:tc>
          <w:tcPr>
            <w:tcW w:w="1087" w:type="dxa"/>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tblPrEx>
          <w:tblLayout w:type="fixed"/>
          <w:tblCellMar>
            <w:top w:w="0" w:type="dxa"/>
            <w:left w:w="108" w:type="dxa"/>
            <w:bottom w:w="0" w:type="dxa"/>
            <w:right w:w="108" w:type="dxa"/>
          </w:tblCellMar>
        </w:tblPrEx>
        <w:trPr>
          <w:trHeight w:val="373" w:hRule="atLeast"/>
        </w:trPr>
        <w:tc>
          <w:tcPr>
            <w:tcW w:w="8033"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108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4"/>
    </w:tbl>
    <w:p>
      <w:pPr>
        <w:spacing w:line="400" w:lineRule="atLeast"/>
        <w:jc w:val="center"/>
        <w:rPr>
          <w:rFonts w:hint="default" w:ascii="方正小标宋简体" w:hAnsi="方正小标宋简体" w:eastAsia="方正小标宋简体"/>
          <w:b/>
          <w:color w:val="auto"/>
          <w:sz w:val="52"/>
          <w:szCs w:val="52"/>
          <w:lang w:val="en-US" w:eastAsia="zh-CN"/>
        </w:rPr>
      </w:pPr>
      <w:r>
        <w:rPr>
          <w:rFonts w:hint="eastAsia" w:ascii="方正小标宋简体" w:hAnsi="方正小标宋简体" w:eastAsia="方正小标宋简体"/>
          <w:b/>
          <w:color w:val="auto"/>
          <w:sz w:val="52"/>
          <w:szCs w:val="52"/>
          <w:lang w:val="en-US" w:eastAsia="zh-CN"/>
        </w:rPr>
        <w:t>福海县2025年教育优质均衡及普及普惠建设项目-义务段学校设备采购二标段</w:t>
      </w:r>
    </w:p>
    <w:p>
      <w:pPr>
        <w:pStyle w:val="2"/>
        <w:rPr>
          <w:color w:val="auto"/>
        </w:rPr>
      </w:pPr>
    </w:p>
    <w:p>
      <w:pPr>
        <w:spacing w:line="400" w:lineRule="atLeast"/>
        <w:jc w:val="center"/>
        <w:rPr>
          <w:rFonts w:eastAsia="仿宋"/>
          <w:bCs/>
          <w:color w:val="auto"/>
          <w:sz w:val="32"/>
          <w:szCs w:val="32"/>
        </w:rPr>
      </w:pPr>
      <w:r>
        <w:rPr>
          <w:rFonts w:ascii="方正小标宋简体" w:hAnsi="方正小标宋简体" w:eastAsia="方正小标宋简体"/>
          <w:b/>
          <w:color w:val="auto"/>
          <w:sz w:val="52"/>
          <w:szCs w:val="52"/>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color w:val="FF0000"/>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pPr>
        <w:spacing w:line="360" w:lineRule="auto"/>
        <w:ind w:left="1080" w:leftChars="257" w:hanging="540"/>
        <w:jc w:val="center"/>
        <w:rPr>
          <w:rFonts w:eastAsia="仿宋"/>
          <w:b/>
          <w:sz w:val="52"/>
        </w:rPr>
      </w:pP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bookmarkStart w:id="395" w:name="_GoBack"/>
      <w:bookmarkEnd w:id="395"/>
    </w:p>
    <w:p>
      <w:pPr>
        <w:pStyle w:val="20"/>
        <w:tabs>
          <w:tab w:val="left" w:pos="0"/>
        </w:tabs>
        <w:spacing w:before="0" w:after="0" w:line="360" w:lineRule="auto"/>
        <w:jc w:val="center"/>
        <w:rPr>
          <w:rFonts w:ascii="Times New Roman" w:eastAsia="仿宋"/>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hint="eastAsia" w:eastAsia="仿宋"/>
          <w:sz w:val="28"/>
          <w:szCs w:val="28"/>
          <w:u w:val="single"/>
        </w:rPr>
        <w:t xml:space="preserve"> </w:t>
      </w:r>
      <w:r>
        <w:rPr>
          <w:rFonts w:eastAsia="仿宋"/>
          <w:b/>
          <w:sz w:val="52"/>
        </w:rPr>
        <w:br w:type="page"/>
      </w:r>
    </w:p>
    <w:p>
      <w:pPr>
        <w:pStyle w:val="35"/>
      </w:pPr>
      <w:bookmarkStart w:id="376" w:name="_Hlt487972895"/>
      <w:bookmarkEnd w:id="376"/>
      <w:bookmarkStart w:id="377" w:name="_Toc26032"/>
      <w:bookmarkEnd w:id="377"/>
    </w:p>
    <w:p>
      <w:pPr>
        <w:pStyle w:val="3"/>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8" w:name="_Toc216513788"/>
      <w:bookmarkStart w:id="379" w:name="_Toc487900382"/>
    </w:p>
    <w:bookmarkEnd w:id="378"/>
    <w:bookmarkEnd w:id="379"/>
    <w:p>
      <w:pPr>
        <w:pStyle w:val="2"/>
        <w:spacing w:line="360" w:lineRule="auto"/>
        <w:ind w:left="1080" w:leftChars="257" w:hanging="540"/>
        <w:rPr>
          <w:rFonts w:ascii="Times New Roman" w:eastAsia="仿宋"/>
          <w:sz w:val="28"/>
        </w:rPr>
      </w:pPr>
    </w:p>
    <w:p>
      <w:pPr>
        <w:pStyle w:val="10"/>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pPr>
        <w:rPr>
          <w:rFonts w:hint="eastAsia" w:ascii="仿宋" w:hAnsi="仿宋" w:eastAsia="仿宋" w:cs="仿宋"/>
          <w:b/>
          <w:bCs/>
          <w:sz w:val="24"/>
          <w:szCs w:val="24"/>
        </w:rPr>
      </w:pPr>
    </w:p>
    <w:p>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pPr>
        <w:spacing w:line="360" w:lineRule="auto"/>
        <w:rPr>
          <w:rFonts w:eastAsia="仿宋"/>
          <w:sz w:val="28"/>
          <w:szCs w:val="28"/>
        </w:rPr>
      </w:pPr>
    </w:p>
    <w:p>
      <w:pPr>
        <w:spacing w:line="360" w:lineRule="auto"/>
        <w:rPr>
          <w:rFonts w:eastAsia="仿宋"/>
          <w:sz w:val="28"/>
          <w:szCs w:val="28"/>
          <w:u w:val="single"/>
        </w:rPr>
      </w:pPr>
      <w:r>
        <w:rPr>
          <w:rFonts w:eastAsia="仿宋"/>
          <w:sz w:val="28"/>
          <w:szCs w:val="28"/>
        </w:rPr>
        <w:t>合同编号：</w:t>
      </w:r>
    </w:p>
    <w:p>
      <w:pPr>
        <w:spacing w:line="360" w:lineRule="auto"/>
        <w:rPr>
          <w:rFonts w:eastAsia="仿宋"/>
          <w:b/>
          <w:bCs/>
          <w:sz w:val="28"/>
          <w:szCs w:val="28"/>
        </w:rPr>
      </w:pPr>
    </w:p>
    <w:p>
      <w:pPr>
        <w:spacing w:line="360" w:lineRule="auto"/>
        <w:jc w:val="center"/>
        <w:outlineLvl w:val="0"/>
        <w:rPr>
          <w:rFonts w:eastAsia="仿宋"/>
          <w:b/>
          <w:bCs/>
          <w:sz w:val="28"/>
          <w:szCs w:val="28"/>
        </w:rPr>
      </w:pPr>
      <w:bookmarkStart w:id="380" w:name="_Toc23874"/>
      <w:bookmarkStart w:id="381" w:name="_Toc2691"/>
      <w:bookmarkStart w:id="382" w:name="_Toc28076"/>
      <w:bookmarkStart w:id="383" w:name="_Toc12783"/>
      <w:bookmarkStart w:id="384" w:name="_Toc11640"/>
      <w:r>
        <w:rPr>
          <w:rFonts w:eastAsia="仿宋"/>
          <w:b/>
          <w:bCs/>
          <w:sz w:val="28"/>
          <w:szCs w:val="28"/>
        </w:rPr>
        <w:t>政府采购合同</w:t>
      </w:r>
      <w:bookmarkEnd w:id="380"/>
      <w:bookmarkEnd w:id="381"/>
      <w:bookmarkEnd w:id="382"/>
      <w:bookmarkEnd w:id="383"/>
      <w:bookmarkEnd w:id="384"/>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pStyle w:val="36"/>
        <w:spacing w:line="360" w:lineRule="auto"/>
        <w:ind w:firstLine="0"/>
        <w:jc w:val="center"/>
        <w:outlineLvl w:val="0"/>
        <w:rPr>
          <w:rFonts w:ascii="Times New Roman" w:eastAsia="仿宋"/>
          <w:b/>
          <w:bCs/>
          <w:sz w:val="28"/>
          <w:szCs w:val="28"/>
        </w:rPr>
      </w:pPr>
      <w:bookmarkStart w:id="385" w:name="_Toc1212"/>
      <w:bookmarkStart w:id="386" w:name="_Toc23162"/>
      <w:bookmarkStart w:id="387" w:name="_Toc5404"/>
      <w:bookmarkStart w:id="388" w:name="_Toc7173"/>
      <w:bookmarkStart w:id="389" w:name="_Toc21311"/>
      <w:r>
        <w:rPr>
          <w:rFonts w:ascii="Times New Roman" w:eastAsia="仿宋"/>
          <w:b/>
          <w:bCs/>
          <w:sz w:val="28"/>
          <w:szCs w:val="28"/>
        </w:rPr>
        <w:t>第一部分合同书</w:t>
      </w:r>
      <w:bookmarkEnd w:id="385"/>
      <w:bookmarkEnd w:id="386"/>
      <w:bookmarkEnd w:id="387"/>
      <w:bookmarkEnd w:id="388"/>
      <w:bookmarkEnd w:id="389"/>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spacing w:before="120" w:line="360" w:lineRule="auto"/>
        <w:rPr>
          <w:rFonts w:eastAsia="仿宋"/>
          <w:sz w:val="28"/>
          <w:szCs w:val="28"/>
        </w:rPr>
      </w:pPr>
    </w:p>
    <w:p>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pPr>
        <w:spacing w:line="360" w:lineRule="auto"/>
        <w:ind w:left="2520" w:hanging="2520" w:hangingChars="900"/>
        <w:jc w:val="left"/>
        <w:rPr>
          <w:rFonts w:eastAsia="仿宋"/>
          <w:sz w:val="28"/>
          <w:szCs w:val="28"/>
          <w:u w:val="single"/>
        </w:rPr>
      </w:pPr>
    </w:p>
    <w:p>
      <w:pPr>
        <w:spacing w:before="120" w:line="360" w:lineRule="auto"/>
        <w:ind w:left="960"/>
        <w:rPr>
          <w:rFonts w:eastAsia="仿宋"/>
          <w:sz w:val="28"/>
          <w:szCs w:val="28"/>
        </w:rPr>
      </w:pPr>
    </w:p>
    <w:p>
      <w:pPr>
        <w:pStyle w:val="37"/>
        <w:spacing w:before="120"/>
        <w:rPr>
          <w:rFonts w:ascii="Times New Roman" w:eastAsia="仿宋"/>
          <w:sz w:val="28"/>
          <w:szCs w:val="28"/>
        </w:rPr>
      </w:pPr>
    </w:p>
    <w:p>
      <w:pPr>
        <w:spacing w:line="360" w:lineRule="auto"/>
        <w:rPr>
          <w:rFonts w:eastAsia="仿宋"/>
          <w:sz w:val="28"/>
          <w:szCs w:val="28"/>
        </w:rPr>
      </w:pPr>
    </w:p>
    <w:p>
      <w:pPr>
        <w:spacing w:before="120" w:line="360" w:lineRule="auto"/>
        <w:ind w:firstLine="560" w:firstLineChars="200"/>
        <w:rPr>
          <w:rFonts w:eastAsia="仿宋"/>
          <w:sz w:val="28"/>
          <w:szCs w:val="28"/>
        </w:rPr>
      </w:pPr>
      <w:r>
        <w:rPr>
          <w:rFonts w:eastAsia="仿宋"/>
          <w:sz w:val="28"/>
          <w:szCs w:val="28"/>
        </w:rPr>
        <w:t>甲方：</w:t>
      </w:r>
    </w:p>
    <w:p>
      <w:pPr>
        <w:spacing w:before="120" w:line="360" w:lineRule="auto"/>
        <w:ind w:firstLine="560" w:firstLineChars="200"/>
        <w:rPr>
          <w:rFonts w:eastAsia="仿宋"/>
          <w:sz w:val="28"/>
          <w:szCs w:val="28"/>
        </w:rPr>
      </w:pPr>
      <w:r>
        <w:rPr>
          <w:rFonts w:eastAsia="仿宋"/>
          <w:sz w:val="28"/>
          <w:szCs w:val="28"/>
        </w:rPr>
        <w:t>乙方：</w:t>
      </w:r>
    </w:p>
    <w:p>
      <w:pPr>
        <w:spacing w:before="120" w:line="360" w:lineRule="auto"/>
        <w:ind w:firstLine="560" w:firstLineChars="200"/>
        <w:rPr>
          <w:rFonts w:eastAsia="仿宋"/>
          <w:sz w:val="28"/>
          <w:szCs w:val="28"/>
        </w:rPr>
      </w:pPr>
      <w:r>
        <w:rPr>
          <w:rFonts w:eastAsia="仿宋"/>
          <w:sz w:val="28"/>
          <w:szCs w:val="28"/>
        </w:rPr>
        <w:t>签订地：</w:t>
      </w:r>
    </w:p>
    <w:p>
      <w:pPr>
        <w:spacing w:before="120" w:line="360" w:lineRule="auto"/>
        <w:ind w:firstLine="560" w:firstLineChars="200"/>
        <w:rPr>
          <w:rFonts w:eastAsia="仿宋"/>
          <w:sz w:val="28"/>
          <w:szCs w:val="28"/>
          <w:u w:val="single"/>
        </w:rPr>
      </w:pPr>
      <w:r>
        <w:rPr>
          <w:rFonts w:eastAsia="仿宋"/>
          <w:sz w:val="28"/>
          <w:szCs w:val="28"/>
        </w:rPr>
        <w:t>签订日期：年月日</w:t>
      </w:r>
    </w:p>
    <w:p>
      <w:pPr>
        <w:autoSpaceDE w:val="0"/>
        <w:autoSpaceDN w:val="0"/>
        <w:adjustRightInd w:val="0"/>
        <w:spacing w:line="360" w:lineRule="auto"/>
        <w:ind w:firstLine="640"/>
        <w:jc w:val="center"/>
        <w:rPr>
          <w:rFonts w:eastAsia="仿宋"/>
          <w:sz w:val="28"/>
          <w:szCs w:val="28"/>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pPr>
        <w:rPr>
          <w:rFonts w:hint="eastAsia" w:ascii="仿宋" w:hAnsi="仿宋" w:eastAsia="仿宋" w:cs="仿宋"/>
          <w:b/>
          <w:bCs/>
          <w:sz w:val="24"/>
          <w:szCs w:val="24"/>
        </w:rPr>
      </w:pPr>
    </w:p>
    <w:p>
      <w:pPr>
        <w:pStyle w:val="5"/>
        <w:tabs>
          <w:tab w:val="left" w:pos="567"/>
        </w:tabs>
        <w:spacing w:after="0"/>
        <w:jc w:val="center"/>
        <w:rPr>
          <w:rFonts w:ascii="宋体" w:hAnsi="宋体" w:cs="宋体"/>
          <w:b/>
          <w:bCs/>
          <w:spacing w:val="-20"/>
          <w:kern w:val="44"/>
          <w:sz w:val="48"/>
          <w:szCs w:val="48"/>
        </w:rPr>
      </w:pPr>
      <w:bookmarkStart w:id="390" w:name="_Toc3995"/>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pPr>
        <w:pStyle w:val="5"/>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pPr>
        <w:rPr>
          <w:rFonts w:hint="eastAsia" w:ascii="仿宋" w:hAnsi="仿宋" w:eastAsia="仿宋" w:cs="仿宋"/>
        </w:rPr>
      </w:pPr>
    </w:p>
    <w:p>
      <w:pPr>
        <w:rPr>
          <w:rFonts w:hint="eastAsia" w:ascii="仿宋" w:hAnsi="仿宋" w:eastAsia="仿宋" w:cs="仿宋"/>
          <w:sz w:val="44"/>
          <w:szCs w:val="44"/>
        </w:rPr>
      </w:pPr>
      <w:r>
        <w:rPr>
          <w:rFonts w:hint="eastAsia" w:ascii="仿宋" w:hAnsi="仿宋" w:eastAsia="仿宋" w:cs="仿宋"/>
          <w:sz w:val="44"/>
          <w:szCs w:val="44"/>
        </w:rPr>
        <w:br w:type="page"/>
      </w:r>
    </w:p>
    <w:p>
      <w:pPr>
        <w:rPr>
          <w:rFonts w:hint="eastAsia" w:ascii="仿宋" w:hAnsi="仿宋" w:eastAsia="仿宋" w:cs="仿宋"/>
          <w:sz w:val="44"/>
          <w:szCs w:val="44"/>
        </w:rPr>
      </w:pPr>
    </w:p>
    <w:p>
      <w:pPr>
        <w:rPr>
          <w:rFonts w:hint="eastAsia" w:ascii="仿宋" w:hAnsi="仿宋" w:eastAsia="仿宋" w:cs="仿宋"/>
          <w:sz w:val="44"/>
          <w:szCs w:val="44"/>
        </w:rPr>
      </w:pP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0"/>
    <w:p>
      <w:pPr>
        <w:bidi w:val="0"/>
        <w:rPr>
          <w:rFonts w:hint="eastAsia" w:ascii="仿宋" w:hAnsi="仿宋" w:eastAsia="仿宋" w:cs="仿宋"/>
        </w:rPr>
      </w:pPr>
      <w:bookmarkStart w:id="391" w:name="_Toc22209"/>
    </w:p>
    <w:p>
      <w:pPr>
        <w:pStyle w:val="4"/>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1"/>
    </w:p>
    <w:p>
      <w:pPr>
        <w:bidi w:val="0"/>
        <w:rPr>
          <w:rFonts w:hint="eastAsia" w:ascii="仿宋" w:hAnsi="仿宋" w:eastAsia="仿宋" w:cs="仿宋"/>
        </w:rPr>
      </w:pP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spacing w:beforeLines="0" w:line="400" w:lineRule="exact"/>
        <w:rPr>
          <w:rFonts w:hint="eastAsia" w:ascii="仿宋" w:hAnsi="仿宋" w:eastAsia="仿宋" w:cs="仿宋"/>
          <w:lang w:val="en-US" w:eastAsia="zh-CN"/>
        </w:rPr>
      </w:pPr>
    </w:p>
    <w:p>
      <w:pPr>
        <w:pStyle w:val="7"/>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pPr>
        <w:pStyle w:val="7"/>
        <w:numPr>
          <w:ilvl w:val="0"/>
          <w:numId w:val="14"/>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pPr>
        <w:pStyle w:val="7"/>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pPr>
        <w:pStyle w:val="35"/>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pPr>
        <w:pStyle w:val="35"/>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pPr>
        <w:pStyle w:val="35"/>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pPr>
        <w:pStyle w:val="35"/>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pStyle w:val="35"/>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pPr>
        <w:pStyle w:val="26"/>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pPr>
        <w:numPr>
          <w:ilvl w:val="0"/>
          <w:numId w:val="13"/>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pPr>
        <w:pStyle w:val="35"/>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pPr>
        <w:pStyle w:val="35"/>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pPr>
        <w:numPr>
          <w:ilvl w:val="0"/>
          <w:numId w:val="15"/>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pPr>
        <w:pStyle w:val="35"/>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pPr>
        <w:pStyle w:val="35"/>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pPr>
        <w:bidi w:val="0"/>
        <w:rPr>
          <w:rFonts w:hint="eastAsia" w:ascii="仿宋" w:hAnsi="仿宋" w:eastAsia="仿宋" w:cs="仿宋"/>
          <w:lang w:val="en-US" w:eastAsia="zh-CN"/>
        </w:rPr>
      </w:pPr>
      <w:r>
        <w:rPr>
          <w:rFonts w:hint="eastAsia" w:ascii="仿宋" w:hAnsi="仿宋" w:eastAsia="仿宋" w:cs="仿宋"/>
          <w:lang w:val="en"/>
        </w:rPr>
        <w:t xml:space="preserve">   </w:t>
      </w:r>
    </w:p>
    <w:p>
      <w:pPr>
        <w:rPr>
          <w:rFonts w:hint="eastAsia" w:ascii="仿宋" w:hAnsi="仿宋" w:eastAsia="仿宋" w:cs="仿宋"/>
        </w:rPr>
      </w:pPr>
      <w:r>
        <w:rPr>
          <w:rFonts w:hint="eastAsia" w:ascii="仿宋" w:hAnsi="仿宋" w:eastAsia="仿宋" w:cs="仿宋"/>
        </w:rPr>
        <w:br w:type="page"/>
      </w:r>
    </w:p>
    <w:p>
      <w:pPr>
        <w:pStyle w:val="26"/>
        <w:rPr>
          <w:rFonts w:hint="eastAsia" w:ascii="仿宋" w:hAnsi="仿宋" w:eastAsia="仿宋" w:cs="仿宋"/>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7"/>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pPr>
        <w:pStyle w:val="4"/>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2" w:name="_Toc27624"/>
      <w:r>
        <w:rPr>
          <w:rFonts w:hint="eastAsia" w:ascii="黑体" w:hAnsi="黑体" w:eastAsia="黑体" w:cs="黑体"/>
          <w:b w:val="0"/>
          <w:bCs w:val="0"/>
          <w:sz w:val="28"/>
          <w:szCs w:val="28"/>
        </w:rPr>
        <w:t>第二节 政府采购合同通用条款</w:t>
      </w:r>
      <w:bookmarkEnd w:id="392"/>
    </w:p>
    <w:p>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numPr>
          <w:ilvl w:val="0"/>
          <w:numId w:val="16"/>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pPr>
        <w:numPr>
          <w:ilvl w:val="0"/>
          <w:numId w:val="17"/>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pPr>
        <w:pStyle w:val="35"/>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pPr>
        <w:pStyle w:val="9"/>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pPr>
        <w:pStyle w:val="9"/>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3"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3"/>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pPr>
        <w:pStyle w:val="4"/>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pPr>
        <w:pStyle w:val="5"/>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pPr>
        <w:pStyle w:val="35"/>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pPr>
        <w:numPr>
          <w:ilvl w:val="0"/>
          <w:numId w:val="18"/>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pPr>
        <w:pStyle w:val="35"/>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pPr>
        <w:pStyle w:val="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pPr>
        <w:pStyle w:val="35"/>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pPr>
        <w:pStyle w:val="5"/>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pPr>
        <w:pStyle w:val="35"/>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pPr>
        <w:numPr>
          <w:ilvl w:val="0"/>
          <w:numId w:val="19"/>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4" w:name="_Toc20313"/>
    </w:p>
    <w:p>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pStyle w:val="4"/>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szCs w:val="21"/>
              </w:rPr>
            </w:pP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pPr>
              <w:pStyle w:val="35"/>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pPr>
              <w:adjustRightInd w:val="0"/>
              <w:snapToGrid w:val="0"/>
              <w:jc w:val="left"/>
              <w:rPr>
                <w:rFonts w:hint="eastAsia" w:ascii="仿宋" w:hAnsi="仿宋" w:eastAsia="仿宋" w:cs="仿宋"/>
                <w:szCs w:val="21"/>
                <w:lang w:val="en-US" w:eastAsia="zh-CN"/>
              </w:rPr>
            </w:pPr>
          </w:p>
        </w:tc>
      </w:tr>
    </w:tbl>
    <w:p>
      <w:pPr>
        <w:rPr>
          <w:rFonts w:hint="eastAsia" w:ascii="仿宋" w:hAnsi="仿宋" w:eastAsia="仿宋" w:cs="仿宋"/>
        </w:rPr>
      </w:pPr>
    </w:p>
    <w:p>
      <w:pPr>
        <w:rPr>
          <w:rFonts w:ascii="仿宋" w:hAnsi="仿宋" w:eastAsia="仿宋" w:cs="Times New Roman"/>
          <w:b/>
          <w:bCs/>
          <w:sz w:val="44"/>
          <w:szCs w:val="44"/>
        </w:rPr>
      </w:pPr>
    </w:p>
    <w:p/>
    <w:p/>
    <w:sectPr>
      <w:headerReference r:id="rId13" w:type="default"/>
      <w:footerReference r:id="rId14" w:type="default"/>
      <w:pgSz w:w="11907" w:h="16840"/>
      <w:pgMar w:top="1474" w:right="1814" w:bottom="1474" w:left="175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3149600</wp:posOffset>
              </wp:positionH>
              <wp:positionV relativeFrom="paragraph">
                <wp:posOffset>415925</wp:posOffset>
              </wp:positionV>
              <wp:extent cx="256540" cy="1631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56540" cy="163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pt;margin-top:32.75pt;height:12.85pt;width:20.2pt;mso-position-horizontal-relative:margin;z-index:251659264;mso-width-relative:page;mso-height-relative:page;" filled="f" stroked="f" coordsize="21600,21600" o:gfxdata="UEsDBAoAAAAAAIdO4kAAAAAAAAAAAAAAAAAEAAAAZHJzL1BLAwQUAAAACACHTuJA/xPGz9kAAAAJ&#10;AQAADwAAAGRycy9kb3ducmV2LnhtbE2Py07DMBRE90j8g3WR2FE7pYloiNMFjx3Ptkiwc+JLEmFf&#10;R7aTlr/HrGA5mtHMmWpztIbN6MPgSEK2EMCQWqcH6iTsd/cXV8BCVKSVcYQSvjHApj49qVSp3YFe&#10;cd7GjqUSCqWS0Mc4lpyHtkerwsKNSMn7dN6qmKTvuPbqkMqt4UshCm7VQGmhVyPe9Nh+bScrwbwH&#10;/9CI+DHfdo/x5ZlPb3fZk5TnZ5m4BhbxGP/C8Iuf0KFOTI2bSAdmJKzWRfoSJRR5DiwF8stiBayR&#10;sM6WwOuK/39Q/wBQSwMEFAAAAAgAh07iQM4oDcIbAgAAFQQAAA4AAABkcnMvZTJvRG9jLnhtbK1T&#10;wY7TMBC9I/EPlu80bZcWqJquyq6KkCp2pYI4u47dWLI9xnablA+AP9gTF+58V7+DsdN0EXBCXJzJ&#10;zHhm3pvn+XVrNDkIHxTYko4GQ0qE5VApuyvph/erZy8pCZHZimmwoqRHEej14umTeeNmYgw16Ep4&#10;gkVsmDWupHWMblYUgdfCsDAAJywGJXjDIv76XVF51mB1o4vxcDgtGvCV88BFCOi97YJ0ketLKXi8&#10;kzKISHRJcbaYT5/PbTqLxZzNdp65WvHzGOwfpjBMWWx6KXXLIiN7r/4oZRT3EEDGAQdTgJSKi4wB&#10;0YyGv6HZ1MyJjAXJCe5CU/h/Zfm7w70nqsLdvaDEMoM7Oj18PX37cfr+haAPCWpcmGHexmFmbF9D&#10;i8m9P6Az4W6lN+mLiAjGkerjhV7RRsLROZ5MJ88xwjE0ml6NXk1SleLxsvMhvhFgSDJK6nF7mVR2&#10;WIfYpfYpqZeFldI6b1Bb0pR0ejUZ5guXCBbXFnskCN2oyYrttj3j2kJ1RFgeOmUEx1cKm69ZiPfM&#10;oxRwXpR3vMNDasAmcLYoqcF//ps/5eOGMEpJg9Iqafi0Z15Qot9a3F3SYW/43tj2ht2bG0C1jvDh&#10;OJ5NvOCj7k3pwXxE1S9TFwwxy7FXSWNv3sRO4PhquFguc9LeebWruwuoPMfi2m4cT206Kpf7CFJl&#10;lhNFHS9n5lB7eU/nd5LE/et/znp8z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PGz9kAAAAJ&#10;AQAADwAAAAAAAAABACAAAAAiAAAAZHJzL2Rvd25yZXYueG1sUEsBAhQAFAAAAAgAh07iQM4oDcIb&#10;AgAAFQQAAA4AAAAAAAAAAQAgAAAAKAEAAGRycy9lMm9Eb2MueG1sUEsFBgAAAAAGAAYAWQEAALUF&#10;AAAAAA==&#10;">
              <v:fill on="f" focussize="0,0"/>
              <v:stroke on="f" weight="0.5pt"/>
              <v:imagedata o:title=""/>
              <o:lock v:ext="edit" aspectratio="f"/>
              <v:textbox inset="0mm,0mm,0mm,0mm">
                <w:txbxContent>
                  <w:p>
                    <w:pPr>
                      <w:pStyle w:val="1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3025775</wp:posOffset>
              </wp:positionH>
              <wp:positionV relativeFrom="paragraph">
                <wp:posOffset>210185</wp:posOffset>
              </wp:positionV>
              <wp:extent cx="26543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25pt;margin-top:16.55pt;height:12pt;width:20.9pt;mso-position-horizontal-relative:margin;z-index:251660288;mso-width-relative:page;mso-height-relative:page;" filled="f" stroked="f" coordsize="21600,21600" o:gfxdata="UEsDBAoAAAAAAIdO4kAAAAAAAAAAAAAAAAAEAAAAZHJzL1BLAwQUAAAACACHTuJAA2c5iNgAAAAJ&#10;AQAADwAAAGRycy9kb3ducmV2LnhtbE2Py07EMAxF90j8Q2QkdkwSyjxUms6Cx47nABLs0ia0FYlT&#10;JWln+HvMCna2fHR9brU9eMdmG9MQUIFcCGAW22AG7BS8vtyebYClrNFoF9Aq+LYJtvXxUaVLE/b4&#10;bOdd7hiFYCq1gj7nseQ8tb31Oi3CaJFunyF6nWmNHTdR7yncO34uxIp7PSB96PVor3rbfu0mr8C9&#10;p3jXiPwxX3f3+emRT2838kGp0xMpLoFle8h/MPzqkzrU5NSECU1iTsHFerUkVEFRSGAELOWmANbQ&#10;sJbA64r/b1D/AFBLAwQUAAAACACHTuJASSGkWBkCAAATBAAADgAAAGRycy9lMm9Eb2MueG1srVPN&#10;jtMwEL4j8Q6W7zRtt61Q1XRVdlWEVLErFcTZdezGku0xttukPAC8AScu3HmuPgdjp+ki4IS4OJP5&#10;n2++Wdy2RpOj8EGBLeloMKREWA6VsvuSvn+3fvGSkhCZrZgGK0p6EoHeLp8/WzRuLsZQg66EJ5jE&#10;hnnjSlrH6OZFEXgtDAsDcMKiUYI3LOKv3xeVZw1mN7oYD4ezogFfOQ9chIDa+85Ilzm/lILHBymD&#10;iESXFHuL+fX53aW3WC7YfO+ZqxW/tMH+oQvDlMWi11T3LDJy8OqPVEZxDwFkHHAwBUipuMgz4DSj&#10;4W/TbGvmRJ4FwQnuClP4f2n52+OjJ6oq6YQSywyu6Pz1y/nbj/P3z2SS4GlcmKPX1qFfbF9Bi2vu&#10;9QGVaepWepO+OA9BOwJ9uoIr2kg4Ksez6eQGLRxNo+l4MszgF0/Bzof4WoAhSSipx91lSNlxEyI2&#10;gq69S6plYa20zvvTljQlnd1MhzngasEIbTEwjdC1mqTY7trLXDuoTjiWh44XwfG1wuIbFuIj80gE&#10;7BfJHR/wkRqwCFwkSmrwn/6mT/64H7RS0iCxSho+HpgXlOg3FjeXWNgLvhd2vWAP5g6QqyM8G8ez&#10;iAE+6l6UHswH5PwqVUETsxxrlTT24l3s6I03w8VqlZ0Ozqt93QUg7xyLG7t1PJXpoFwdIkiVUU4Q&#10;dbhckEPmZfAvV5Ko/et/9nq65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2c5iNgAAAAJAQAA&#10;DwAAAAAAAAABACAAAAAiAAAAZHJzL2Rvd25yZXYueG1sUEsBAhQAFAAAAAgAh07iQEkhpFgZAgAA&#10;EwQAAA4AAAAAAAAAAQAgAAAAJwEAAGRycy9lMm9Eb2MueG1sUEsFBgAAAAAGAAYAWQEAALIFAAAA&#10;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3338195</wp:posOffset>
              </wp:positionH>
              <wp:positionV relativeFrom="paragraph">
                <wp:posOffset>-50165</wp:posOffset>
              </wp:positionV>
              <wp:extent cx="224790" cy="153670"/>
              <wp:effectExtent l="0" t="0" r="0" b="0"/>
              <wp:wrapNone/>
              <wp:docPr id="5" name="文本框 5"/>
              <wp:cNvGraphicFramePr/>
              <a:graphic xmlns:a="http://schemas.openxmlformats.org/drawingml/2006/main">
                <a:graphicData uri="http://schemas.microsoft.com/office/word/2010/wordprocessingShape">
                  <wps:wsp>
                    <wps:cNvSpPr txBox="1"/>
                    <wps:spPr>
                      <a:xfrm flipH="1">
                        <a:off x="0" y="0"/>
                        <a:ext cx="224790" cy="153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62.85pt;margin-top:-3.95pt;height:12.1pt;width:17.7pt;mso-position-horizontal-relative:margin;z-index:251661312;mso-width-relative:page;mso-height-relative:page;" filled="f" stroked="f" coordsize="21600,21600" o:gfxdata="UEsDBAoAAAAAAIdO4kAAAAAAAAAAAAAAAAAEAAAAZHJzL1BLAwQUAAAACACHTuJAT+vpE9kAAAAJ&#10;AQAADwAAAGRycy9kb3ducmV2LnhtbE2PwU7DMBBE70j8g7VI3Fo7RUnbEKcHEEKcEC0q5ebE2yQi&#10;Xkexm5a/ZznBcTVPM2+LzcX1YsIxdJ40JHMFAqn2tqNGw/vuabYCEaIha3pPqOEbA2zK66vC5Naf&#10;6Q2nbWwEl1DIjYY2xiGXMtQtOhPmfkDi7OhHZyKfYyPtaM5c7nq5UCqTznTEC60Z8KHF+mt7cryr&#10;PuX+8WVfrSZ/cO3ueTraj1etb28SdQ8i4iX+wfCrz+pQslPlT2SD6DWki3TJqIbZcg2CgTRLEhAV&#10;k9kdyLKQ/z8ofwBQSwMEFAAAAAgAh07iQK5R99YgAgAAHQQAAA4AAABkcnMvZTJvRG9jLnhtbK1T&#10;S44TMRDdI3EHy3vSSYZkIEpnFGYUQIqYkQJi7bjttCXbZWwn3eEAcANWbNhzrpyDsjsdELBCbKxy&#10;/evVq/lNazQ5CB8U2JKOBkNKhOVQKbsr6bu3qyfPKAmR2YppsKKkRxHozeLxo3njZmIMNehKeIJJ&#10;bJg1rqR1jG5WFIHXwrAwACcsGiV4wyJ+/a6oPGswu9HFeDicFg34ynngIgTU3nVGusj5pRQ83ksZ&#10;RCS6pNhbzK/P7za9xWLOZjvPXK34uQ32D10YpiwWvaS6Y5GRvVd/pDKKewgg44CDKUBKxUWeAacZ&#10;DX+bZlMzJ/IsCE5wF5jC/0vL3xwePFFVSSeUWGZwRacvn09fv5++fSKTBE/jwgy9Ng79YvsCWlxz&#10;rw+oTFO30hsitXKvkjFpcDKCngj58QKzaCPhqByPn14/RwtH02hyNb3Oayi6NCnY+RBfCjAkCSX1&#10;uMWclB3WIWJL6Nq7JHcLK6V13qS2pCnp9GoyzAEXC0Zoi4FpmK7pJMV2254n3EJ1xAE9dAwJjq8U&#10;Fl+zEB+YR0pgv0jzeI+P1IBF4CxRUoP/+Dd98sdNoZWSBilW0vBhz7ygRL+2uMPEx17wvbDtBbs3&#10;t4CsHeEBOZ5FDPBR96L0YN4j+5epCpqY5VirpLEXb2NHdLweLpbL7LR3Xu3qLgAZ6Fhc243j/dos&#10;LPcRpMooJ4g6XM7IIQcz+Od7SST/9Z+9fl71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6+kT&#10;2QAAAAkBAAAPAAAAAAAAAAEAIAAAACIAAABkcnMvZG93bnJldi54bWxQSwECFAAUAAAACACHTuJA&#10;rlH31iACAAAdBAAADgAAAAAAAAABACAAAAAoAQAAZHJzL2Uyb0RvYy54bWxQSwUGAAAAAAYABgBZ&#10;AQAAugUAAA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p>
    <w:pPr>
      <w:pStyle w:val="30"/>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A9021"/>
    <w:multiLevelType w:val="singleLevel"/>
    <w:tmpl w:val="8D1A9021"/>
    <w:lvl w:ilvl="0" w:tentative="0">
      <w:start w:val="1"/>
      <w:numFmt w:val="chineseCounting"/>
      <w:suff w:val="nothing"/>
      <w:lvlText w:val="%1、"/>
      <w:lvlJc w:val="left"/>
      <w:rPr>
        <w:rFonts w:hint="eastAsia"/>
      </w:r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0A1ED5F"/>
    <w:multiLevelType w:val="singleLevel"/>
    <w:tmpl w:val="C0A1ED5F"/>
    <w:lvl w:ilvl="0" w:tentative="0">
      <w:start w:val="1"/>
      <w:numFmt w:val="decimal"/>
      <w:lvlText w:val="%1."/>
      <w:lvlJc w:val="left"/>
      <w:pPr>
        <w:tabs>
          <w:tab w:val="left" w:pos="312"/>
        </w:tabs>
      </w:pPr>
    </w:lvl>
  </w:abstractNum>
  <w:abstractNum w:abstractNumId="4">
    <w:nsid w:val="C3FD11EC"/>
    <w:multiLevelType w:val="singleLevel"/>
    <w:tmpl w:val="C3FD11EC"/>
    <w:lvl w:ilvl="0" w:tentative="0">
      <w:start w:val="8"/>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2">
    <w:nsid w:val="1D39F4C3"/>
    <w:multiLevelType w:val="singleLevel"/>
    <w:tmpl w:val="1D39F4C3"/>
    <w:lvl w:ilvl="0" w:tentative="0">
      <w:start w:val="1"/>
      <w:numFmt w:val="decimal"/>
      <w:lvlText w:val="%1."/>
      <w:lvlJc w:val="left"/>
      <w:pPr>
        <w:tabs>
          <w:tab w:val="left" w:pos="312"/>
        </w:tabs>
      </w:pPr>
    </w:lvl>
  </w:abstractNum>
  <w:abstractNum w:abstractNumId="1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1ACC9F1"/>
    <w:multiLevelType w:val="singleLevel"/>
    <w:tmpl w:val="41ACC9F1"/>
    <w:lvl w:ilvl="0" w:tentative="0">
      <w:start w:val="1"/>
      <w:numFmt w:val="decimal"/>
      <w:lvlText w:val="%1."/>
      <w:lvlJc w:val="left"/>
      <w:pPr>
        <w:tabs>
          <w:tab w:val="left" w:pos="312"/>
        </w:tabs>
      </w:pPr>
    </w:lvl>
  </w:abstractNum>
  <w:abstractNum w:abstractNumId="15">
    <w:nsid w:val="4CFDCD6A"/>
    <w:multiLevelType w:val="singleLevel"/>
    <w:tmpl w:val="4CFDCD6A"/>
    <w:lvl w:ilvl="0" w:tentative="0">
      <w:start w:val="1"/>
      <w:numFmt w:val="decimal"/>
      <w:lvlText w:val="%1."/>
      <w:lvlJc w:val="left"/>
      <w:pPr>
        <w:tabs>
          <w:tab w:val="left" w:pos="312"/>
        </w:tabs>
      </w:pPr>
    </w:lvl>
  </w:abstractNum>
  <w:abstractNum w:abstractNumId="16">
    <w:nsid w:val="5B22D606"/>
    <w:multiLevelType w:val="singleLevel"/>
    <w:tmpl w:val="5B22D606"/>
    <w:lvl w:ilvl="0" w:tentative="0">
      <w:start w:val="3"/>
      <w:numFmt w:val="decimal"/>
      <w:suff w:val="nothing"/>
      <w:lvlText w:val="%1、"/>
      <w:lvlJc w:val="left"/>
    </w:lvl>
  </w:abstractNum>
  <w:abstractNum w:abstractNumId="17">
    <w:nsid w:val="77BD4695"/>
    <w:multiLevelType w:val="singleLevel"/>
    <w:tmpl w:val="77BD4695"/>
    <w:lvl w:ilvl="0" w:tentative="0">
      <w:start w:val="1"/>
      <w:numFmt w:val="decimal"/>
      <w:lvlText w:val="%1."/>
      <w:lvlJc w:val="left"/>
      <w:pPr>
        <w:tabs>
          <w:tab w:val="left" w:pos="312"/>
        </w:tabs>
      </w:pPr>
    </w:lvl>
  </w:abstractNum>
  <w:abstractNum w:abstractNumId="18">
    <w:nsid w:val="7A0F6431"/>
    <w:multiLevelType w:val="singleLevel"/>
    <w:tmpl w:val="7A0F6431"/>
    <w:lvl w:ilvl="0" w:tentative="0">
      <w:start w:val="1"/>
      <w:numFmt w:val="decimal"/>
      <w:suff w:val="space"/>
      <w:lvlText w:val="%1."/>
      <w:lvlJc w:val="left"/>
    </w:lvl>
  </w:abstractNum>
  <w:num w:numId="1">
    <w:abstractNumId w:val="1"/>
  </w:num>
  <w:num w:numId="2">
    <w:abstractNumId w:val="13"/>
  </w:num>
  <w:num w:numId="3">
    <w:abstractNumId w:val="4"/>
  </w:num>
  <w:num w:numId="4">
    <w:abstractNumId w:val="11"/>
  </w:num>
  <w:num w:numId="5">
    <w:abstractNumId w:val="16"/>
  </w:num>
  <w:num w:numId="6">
    <w:abstractNumId w:val="10"/>
  </w:num>
  <w:num w:numId="7">
    <w:abstractNumId w:val="14"/>
  </w:num>
  <w:num w:numId="8">
    <w:abstractNumId w:val="17"/>
  </w:num>
  <w:num w:numId="9">
    <w:abstractNumId w:val="3"/>
  </w:num>
  <w:num w:numId="10">
    <w:abstractNumId w:val="15"/>
  </w:num>
  <w:num w:numId="11">
    <w:abstractNumId w:val="12"/>
  </w:num>
  <w:num w:numId="12">
    <w:abstractNumId w:val="0"/>
  </w:num>
  <w:num w:numId="13">
    <w:abstractNumId w:val="18"/>
  </w:num>
  <w:num w:numId="14">
    <w:abstractNumId w:val="5"/>
  </w:num>
  <w:num w:numId="15">
    <w:abstractNumId w:val="9"/>
  </w:num>
  <w:num w:numId="16">
    <w:abstractNumId w:val="7"/>
  </w:num>
  <w:num w:numId="17">
    <w:abstractNumId w:val="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6075"/>
    <w:rsid w:val="00EA5D1B"/>
    <w:rsid w:val="0129330C"/>
    <w:rsid w:val="01F63750"/>
    <w:rsid w:val="02425E8D"/>
    <w:rsid w:val="02456F42"/>
    <w:rsid w:val="0259560B"/>
    <w:rsid w:val="0388419B"/>
    <w:rsid w:val="051834C0"/>
    <w:rsid w:val="052B3876"/>
    <w:rsid w:val="0599510A"/>
    <w:rsid w:val="05AA284D"/>
    <w:rsid w:val="05B343D2"/>
    <w:rsid w:val="05D87FDB"/>
    <w:rsid w:val="05DB71DC"/>
    <w:rsid w:val="061860BA"/>
    <w:rsid w:val="06B01C17"/>
    <w:rsid w:val="08304AA5"/>
    <w:rsid w:val="09385BFB"/>
    <w:rsid w:val="09895505"/>
    <w:rsid w:val="09A56B44"/>
    <w:rsid w:val="09F074EF"/>
    <w:rsid w:val="0C005296"/>
    <w:rsid w:val="0C6446C2"/>
    <w:rsid w:val="0CD733C4"/>
    <w:rsid w:val="0D34431A"/>
    <w:rsid w:val="0D6F624B"/>
    <w:rsid w:val="0DDC2E50"/>
    <w:rsid w:val="0E4E088E"/>
    <w:rsid w:val="0EFF16F0"/>
    <w:rsid w:val="0FE755C5"/>
    <w:rsid w:val="0FEF1702"/>
    <w:rsid w:val="108A7B10"/>
    <w:rsid w:val="10CB5947"/>
    <w:rsid w:val="1142794C"/>
    <w:rsid w:val="11803B39"/>
    <w:rsid w:val="11C20769"/>
    <w:rsid w:val="11F06798"/>
    <w:rsid w:val="144B7840"/>
    <w:rsid w:val="149B2368"/>
    <w:rsid w:val="14BD01F6"/>
    <w:rsid w:val="14CC028B"/>
    <w:rsid w:val="14F74EA5"/>
    <w:rsid w:val="15347A74"/>
    <w:rsid w:val="156C52A1"/>
    <w:rsid w:val="15C273D4"/>
    <w:rsid w:val="16B435B0"/>
    <w:rsid w:val="174C193E"/>
    <w:rsid w:val="17A32E48"/>
    <w:rsid w:val="194800BF"/>
    <w:rsid w:val="1B2262F7"/>
    <w:rsid w:val="1BAB38AA"/>
    <w:rsid w:val="1C4132DC"/>
    <w:rsid w:val="1E966C40"/>
    <w:rsid w:val="1EA221AF"/>
    <w:rsid w:val="1EAB18AF"/>
    <w:rsid w:val="1F1E14C1"/>
    <w:rsid w:val="1F235E9B"/>
    <w:rsid w:val="2066777A"/>
    <w:rsid w:val="20C23DDE"/>
    <w:rsid w:val="20C33D1C"/>
    <w:rsid w:val="213D05C7"/>
    <w:rsid w:val="21551BBC"/>
    <w:rsid w:val="21884043"/>
    <w:rsid w:val="21A07FB6"/>
    <w:rsid w:val="22563220"/>
    <w:rsid w:val="22D55407"/>
    <w:rsid w:val="22E564F6"/>
    <w:rsid w:val="24401CF4"/>
    <w:rsid w:val="249840F6"/>
    <w:rsid w:val="25AA2A94"/>
    <w:rsid w:val="265D644F"/>
    <w:rsid w:val="267E2CFD"/>
    <w:rsid w:val="26A0257F"/>
    <w:rsid w:val="27586D98"/>
    <w:rsid w:val="29A60AD9"/>
    <w:rsid w:val="2A9B3DE9"/>
    <w:rsid w:val="2B022329"/>
    <w:rsid w:val="2BA83F47"/>
    <w:rsid w:val="2BF56E20"/>
    <w:rsid w:val="2C326D53"/>
    <w:rsid w:val="2C3360BB"/>
    <w:rsid w:val="2C844B41"/>
    <w:rsid w:val="2CC677C8"/>
    <w:rsid w:val="2D3A4E94"/>
    <w:rsid w:val="2DC415B6"/>
    <w:rsid w:val="2DC55730"/>
    <w:rsid w:val="2DCE0643"/>
    <w:rsid w:val="2E4D4615"/>
    <w:rsid w:val="2FDD4C6E"/>
    <w:rsid w:val="2FE37A26"/>
    <w:rsid w:val="30E73E9A"/>
    <w:rsid w:val="31112F65"/>
    <w:rsid w:val="31E8600B"/>
    <w:rsid w:val="3266568D"/>
    <w:rsid w:val="32804A94"/>
    <w:rsid w:val="36DC2F43"/>
    <w:rsid w:val="37052C33"/>
    <w:rsid w:val="378C3A50"/>
    <w:rsid w:val="384D4E47"/>
    <w:rsid w:val="39537365"/>
    <w:rsid w:val="39831633"/>
    <w:rsid w:val="3A4C357A"/>
    <w:rsid w:val="3AB20747"/>
    <w:rsid w:val="3B415E0E"/>
    <w:rsid w:val="3BBC1B0D"/>
    <w:rsid w:val="3CB650A5"/>
    <w:rsid w:val="3D33544F"/>
    <w:rsid w:val="3D3770B0"/>
    <w:rsid w:val="3D7F2432"/>
    <w:rsid w:val="3D8F7672"/>
    <w:rsid w:val="3DCC082D"/>
    <w:rsid w:val="3E173514"/>
    <w:rsid w:val="3EB4164D"/>
    <w:rsid w:val="3ED820B6"/>
    <w:rsid w:val="40404369"/>
    <w:rsid w:val="40DE6EF4"/>
    <w:rsid w:val="418A38FD"/>
    <w:rsid w:val="41AE3FF4"/>
    <w:rsid w:val="42074497"/>
    <w:rsid w:val="42852A16"/>
    <w:rsid w:val="42C155F5"/>
    <w:rsid w:val="432F1F96"/>
    <w:rsid w:val="43AD702B"/>
    <w:rsid w:val="456E4711"/>
    <w:rsid w:val="4581127B"/>
    <w:rsid w:val="458D3B2F"/>
    <w:rsid w:val="46E042E6"/>
    <w:rsid w:val="47F01668"/>
    <w:rsid w:val="47F72835"/>
    <w:rsid w:val="49433DC6"/>
    <w:rsid w:val="496D32C2"/>
    <w:rsid w:val="49947395"/>
    <w:rsid w:val="4A2E3FDB"/>
    <w:rsid w:val="4AA40645"/>
    <w:rsid w:val="4AFB6584"/>
    <w:rsid w:val="4B1A6945"/>
    <w:rsid w:val="4B6D5087"/>
    <w:rsid w:val="4BC604A6"/>
    <w:rsid w:val="4BDF62D1"/>
    <w:rsid w:val="4C342693"/>
    <w:rsid w:val="4CE971D1"/>
    <w:rsid w:val="4D262CEA"/>
    <w:rsid w:val="4D5505D2"/>
    <w:rsid w:val="4D915C1D"/>
    <w:rsid w:val="4DA71531"/>
    <w:rsid w:val="4DC11880"/>
    <w:rsid w:val="4E253EFE"/>
    <w:rsid w:val="4FBA1ACA"/>
    <w:rsid w:val="4FF94CCF"/>
    <w:rsid w:val="512F539A"/>
    <w:rsid w:val="51CD76AE"/>
    <w:rsid w:val="51FE5642"/>
    <w:rsid w:val="525F16FE"/>
    <w:rsid w:val="527A3778"/>
    <w:rsid w:val="52985CE7"/>
    <w:rsid w:val="53163864"/>
    <w:rsid w:val="5320706B"/>
    <w:rsid w:val="53BE0667"/>
    <w:rsid w:val="54C811C0"/>
    <w:rsid w:val="56BC27FE"/>
    <w:rsid w:val="56F225D9"/>
    <w:rsid w:val="56F56E0E"/>
    <w:rsid w:val="57F84D78"/>
    <w:rsid w:val="5AC819C7"/>
    <w:rsid w:val="5B494852"/>
    <w:rsid w:val="5B5F3E5D"/>
    <w:rsid w:val="5BD023F5"/>
    <w:rsid w:val="5BF67887"/>
    <w:rsid w:val="5C5A390F"/>
    <w:rsid w:val="5C6F5175"/>
    <w:rsid w:val="5CC72B2B"/>
    <w:rsid w:val="5D016260"/>
    <w:rsid w:val="5D040F7C"/>
    <w:rsid w:val="5D411F30"/>
    <w:rsid w:val="5E6A06CE"/>
    <w:rsid w:val="5E950C40"/>
    <w:rsid w:val="5F084FC9"/>
    <w:rsid w:val="5F341594"/>
    <w:rsid w:val="6005285B"/>
    <w:rsid w:val="60450B52"/>
    <w:rsid w:val="612613D3"/>
    <w:rsid w:val="61B82C97"/>
    <w:rsid w:val="6296416B"/>
    <w:rsid w:val="62E5408A"/>
    <w:rsid w:val="62ED04B6"/>
    <w:rsid w:val="641E2A55"/>
    <w:rsid w:val="642B783F"/>
    <w:rsid w:val="64C97365"/>
    <w:rsid w:val="650B28F4"/>
    <w:rsid w:val="65136487"/>
    <w:rsid w:val="66687D60"/>
    <w:rsid w:val="66A2748D"/>
    <w:rsid w:val="672E060E"/>
    <w:rsid w:val="674E2BF8"/>
    <w:rsid w:val="67F761DA"/>
    <w:rsid w:val="688B3B81"/>
    <w:rsid w:val="68C1411F"/>
    <w:rsid w:val="69293A11"/>
    <w:rsid w:val="69E00902"/>
    <w:rsid w:val="69F476EB"/>
    <w:rsid w:val="69FD12BC"/>
    <w:rsid w:val="6AAC387F"/>
    <w:rsid w:val="6AE87043"/>
    <w:rsid w:val="6B8411FA"/>
    <w:rsid w:val="6BC75080"/>
    <w:rsid w:val="6C924753"/>
    <w:rsid w:val="6D176964"/>
    <w:rsid w:val="6D776C22"/>
    <w:rsid w:val="6D856FEF"/>
    <w:rsid w:val="6DA1189A"/>
    <w:rsid w:val="6DE5557A"/>
    <w:rsid w:val="6E390C5D"/>
    <w:rsid w:val="6E5B0CCE"/>
    <w:rsid w:val="6FA25E64"/>
    <w:rsid w:val="70391793"/>
    <w:rsid w:val="70E70A8A"/>
    <w:rsid w:val="70F62D60"/>
    <w:rsid w:val="719E3905"/>
    <w:rsid w:val="730651FE"/>
    <w:rsid w:val="730D63A0"/>
    <w:rsid w:val="73751AB9"/>
    <w:rsid w:val="73E225A2"/>
    <w:rsid w:val="75666C4A"/>
    <w:rsid w:val="756C6B85"/>
    <w:rsid w:val="763B5060"/>
    <w:rsid w:val="766D3311"/>
    <w:rsid w:val="76DA29B4"/>
    <w:rsid w:val="77254C7C"/>
    <w:rsid w:val="77535D04"/>
    <w:rsid w:val="793C138C"/>
    <w:rsid w:val="79C33008"/>
    <w:rsid w:val="79F07A4A"/>
    <w:rsid w:val="7A814DC3"/>
    <w:rsid w:val="7AC5311B"/>
    <w:rsid w:val="7B295909"/>
    <w:rsid w:val="7B754966"/>
    <w:rsid w:val="7C37019C"/>
    <w:rsid w:val="7CA65E84"/>
    <w:rsid w:val="7D39677F"/>
    <w:rsid w:val="7D4F5A94"/>
    <w:rsid w:val="7D993A34"/>
    <w:rsid w:val="7DB51F7A"/>
    <w:rsid w:val="7DB8223E"/>
    <w:rsid w:val="7E110EE5"/>
    <w:rsid w:val="7E3D51A1"/>
    <w:rsid w:val="7ECB3F26"/>
    <w:rsid w:val="7FBC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semiHidden/>
    <w:qFormat/>
    <w:uiPriority w:val="0"/>
    <w:rPr>
      <w:rFonts w:ascii="Arial" w:hAnsi="Arial" w:eastAsia="Arial" w:cs="Arial"/>
      <w:szCs w:val="21"/>
      <w:lang w:eastAsia="en-US"/>
    </w:r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Body Text Indent"/>
    <w:basedOn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14">
    <w:name w:val="toc 2"/>
    <w:basedOn w:val="1"/>
    <w:next w:val="1"/>
    <w:qFormat/>
    <w:uiPriority w:val="0"/>
    <w:pPr>
      <w:ind w:left="420" w:leftChars="200"/>
    </w:pPr>
  </w:style>
  <w:style w:type="paragraph" w:styleId="1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19">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0">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1">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2">
    <w:name w:val="正文缩进11"/>
    <w:basedOn w:val="1"/>
    <w:qFormat/>
    <w:uiPriority w:val="0"/>
    <w:pPr>
      <w:autoSpaceDE w:val="0"/>
      <w:autoSpaceDN w:val="0"/>
      <w:ind w:firstLine="420"/>
      <w:jc w:val="left"/>
    </w:pPr>
    <w:rPr>
      <w:rFonts w:ascii="宋体"/>
      <w:kern w:val="0"/>
      <w:sz w:val="24"/>
      <w:szCs w:val="20"/>
    </w:rPr>
  </w:style>
  <w:style w:type="paragraph" w:customStyle="1" w:styleId="23">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4">
    <w:name w:val="样式 正文首行缩进 2 + 首行缩进:  2 字符"/>
    <w:basedOn w:val="1"/>
    <w:qFormat/>
    <w:uiPriority w:val="0"/>
    <w:pPr>
      <w:spacing w:after="120"/>
      <w:ind w:left="200" w:leftChars="200" w:firstLine="170" w:firstLineChars="170"/>
    </w:pPr>
    <w:rPr>
      <w:szCs w:val="20"/>
    </w:rPr>
  </w:style>
  <w:style w:type="paragraph" w:customStyle="1" w:styleId="25">
    <w:name w:val="纯文本11"/>
    <w:basedOn w:val="1"/>
    <w:qFormat/>
    <w:uiPriority w:val="0"/>
    <w:rPr>
      <w:rFonts w:ascii="宋体" w:hAnsi="Courier New"/>
      <w:szCs w:val="20"/>
    </w:rPr>
  </w:style>
  <w:style w:type="paragraph" w:customStyle="1" w:styleId="26">
    <w:name w:val="列出段落1"/>
    <w:basedOn w:val="1"/>
    <w:qFormat/>
    <w:uiPriority w:val="0"/>
    <w:pPr>
      <w:ind w:firstLine="420" w:firstLineChars="200"/>
    </w:p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文本1"/>
    <w:basedOn w:val="1"/>
    <w:qFormat/>
    <w:uiPriority w:val="0"/>
    <w:pPr>
      <w:tabs>
        <w:tab w:val="left" w:pos="567"/>
      </w:tabs>
      <w:spacing w:before="120" w:line="22" w:lineRule="atLeast"/>
    </w:pPr>
    <w:rPr>
      <w:rFonts w:ascii="宋体" w:hAnsi="宋体"/>
      <w:sz w:val="24"/>
    </w:rPr>
  </w:style>
  <w:style w:type="paragraph" w:customStyle="1" w:styleId="29">
    <w:name w:val="脚注文本1"/>
    <w:basedOn w:val="1"/>
    <w:qFormat/>
    <w:uiPriority w:val="0"/>
    <w:pPr>
      <w:snapToGrid w:val="0"/>
    </w:pPr>
    <w:rPr>
      <w:sz w:val="18"/>
    </w:rPr>
  </w:style>
  <w:style w:type="paragraph" w:customStyle="1" w:styleId="30">
    <w:name w:val="页脚1"/>
    <w:basedOn w:val="1"/>
    <w:qFormat/>
    <w:uiPriority w:val="0"/>
    <w:pPr>
      <w:tabs>
        <w:tab w:val="center" w:pos="4153"/>
        <w:tab w:val="right" w:pos="8306"/>
      </w:tabs>
      <w:autoSpaceDE w:val="0"/>
      <w:autoSpaceDN w:val="0"/>
      <w:snapToGrid w:val="0"/>
      <w:jc w:val="left"/>
    </w:pPr>
    <w:rPr>
      <w:rFonts w:ascii="宋体"/>
      <w:kern w:val="0"/>
      <w:sz w:val="18"/>
      <w:szCs w:val="20"/>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普通(网站)1"/>
    <w:basedOn w:val="1"/>
    <w:qFormat/>
    <w:uiPriority w:val="0"/>
    <w:pPr>
      <w:widowControl/>
      <w:jc w:val="left"/>
    </w:pPr>
    <w:rPr>
      <w:rFonts w:ascii="宋体" w:hAnsi="宋体"/>
      <w:kern w:val="0"/>
      <w:sz w:val="24"/>
    </w:rPr>
  </w:style>
  <w:style w:type="paragraph" w:customStyle="1" w:styleId="33">
    <w:name w:val="正文首行缩进 21"/>
    <w:basedOn w:val="34"/>
    <w:qFormat/>
    <w:uiPriority w:val="0"/>
    <w:pPr>
      <w:ind w:firstLine="420" w:firstLineChars="200"/>
    </w:pPr>
  </w:style>
  <w:style w:type="paragraph" w:customStyle="1" w:styleId="34">
    <w:name w:val="正文文本缩进1"/>
    <w:basedOn w:val="1"/>
    <w:qFormat/>
    <w:uiPriority w:val="0"/>
    <w:pPr>
      <w:spacing w:line="360" w:lineRule="auto"/>
      <w:ind w:firstLine="570"/>
    </w:pPr>
    <w:rPr>
      <w:sz w:val="24"/>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1"/>
    <w:basedOn w:val="1"/>
    <w:qFormat/>
    <w:uiPriority w:val="0"/>
    <w:pPr>
      <w:autoSpaceDE w:val="0"/>
      <w:autoSpaceDN w:val="0"/>
      <w:ind w:firstLine="420"/>
      <w:jc w:val="left"/>
    </w:pPr>
    <w:rPr>
      <w:rFonts w:ascii="宋体"/>
      <w:kern w:val="0"/>
      <w:sz w:val="24"/>
      <w:szCs w:val="20"/>
    </w:rPr>
  </w:style>
  <w:style w:type="paragraph" w:customStyle="1" w:styleId="37">
    <w:name w:val="索引 11"/>
    <w:basedOn w:val="1"/>
    <w:next w:val="1"/>
    <w:qFormat/>
    <w:uiPriority w:val="0"/>
    <w:pPr>
      <w:spacing w:line="360" w:lineRule="auto"/>
    </w:pPr>
    <w:rPr>
      <w:rFonts w:ascii="仿宋_GB2312" w:eastAsia="仿宋_GB2312"/>
      <w:sz w:val="24"/>
      <w:szCs w:val="20"/>
    </w:rPr>
  </w:style>
  <w:style w:type="paragraph" w:customStyle="1" w:styleId="38">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font41"/>
    <w:basedOn w:val="18"/>
    <w:qFormat/>
    <w:uiPriority w:val="0"/>
    <w:rPr>
      <w:rFonts w:hint="eastAsia" w:ascii="宋体" w:hAnsi="宋体" w:eastAsia="宋体" w:cs="宋体"/>
      <w:color w:val="FF0000"/>
      <w:sz w:val="18"/>
      <w:szCs w:val="18"/>
      <w:u w:val="none"/>
    </w:rPr>
  </w:style>
  <w:style w:type="character" w:customStyle="1" w:styleId="40">
    <w:name w:val="font5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file:///C:\Users\Lenovo\AppData\Local\Temp\ksohtml\clip_image15.png" TargetMode="External"/><Relationship Id="rId27" Type="http://schemas.openxmlformats.org/officeDocument/2006/relationships/image" Target="file:///C:\Users\Lenovo\AppData\Local\Temp\ksohtml\clip_image12.png" TargetMode="External"/><Relationship Id="rId26" Type="http://schemas.openxmlformats.org/officeDocument/2006/relationships/image" Target="file:///C:\Users\Lenovo\AppData\Local\Temp\ksohtml\clip_image6.png" TargetMode="External"/><Relationship Id="rId25" Type="http://schemas.openxmlformats.org/officeDocument/2006/relationships/image" Target="file:///C:\Users\Lenovo\AppData\Local\Temp\ksohtml\clip_image11.png" TargetMode="External"/><Relationship Id="rId24" Type="http://schemas.openxmlformats.org/officeDocument/2006/relationships/image" Target="file:///C:\Users\Lenovo\AppData\Local\Temp\ksohtml\clip_image8.png" TargetMode="External"/><Relationship Id="rId23" Type="http://schemas.openxmlformats.org/officeDocument/2006/relationships/image" Target="file:///C:\Users\Lenovo\AppData\Local\Temp\ksohtml\clip_image7.png" TargetMode="External"/><Relationship Id="rId22" Type="http://schemas.openxmlformats.org/officeDocument/2006/relationships/image" Target="file:///C:\Users\Lenovo\AppData\Local\Temp\ksohtml\clip_image5.png" TargetMode="External"/><Relationship Id="rId21" Type="http://schemas.openxmlformats.org/officeDocument/2006/relationships/image" Target="file:///C:\Users\Lenovo\AppData\Local\Temp\ksohtml\clip_image4.png" TargetMode="External"/><Relationship Id="rId20" Type="http://schemas.openxmlformats.org/officeDocument/2006/relationships/image" Target="file:///C:\Users\Lenovo\AppData\Local\Temp\ksohtml\clip_image3.png" TargetMode="External"/><Relationship Id="rId2" Type="http://schemas.openxmlformats.org/officeDocument/2006/relationships/settings" Target="settings.xml"/><Relationship Id="rId19" Type="http://schemas.openxmlformats.org/officeDocument/2006/relationships/image" Target="file:///C:\Users\Lenovo\AppData\Local\Temp\ksohtml\clip_image10.png" TargetMode="External"/><Relationship Id="rId18" Type="http://schemas.openxmlformats.org/officeDocument/2006/relationships/image" Target="file:///C:\Users\Lenovo\AppData\Local\Temp\ksohtml\clip_image9.png" TargetMode="External"/><Relationship Id="rId17" Type="http://schemas.openxmlformats.org/officeDocument/2006/relationships/image" Target="file:///C:\Users\Lenovo\AppData\Local\Temp\ksohtml\clip_image2.png" TargetMode="Externa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21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2025-04-03T08:18:00Z</dcterms:created>
  <dc:creator>Lenovo</dc:creator>
  <cp:lastModifiedBy>开心～乐乐～</cp:lastModifiedBy>
  <cp:lastPrinted>2025-06-23T11:56:00Z</cp:lastPrinted>
  <dcterms:modified xsi:type="dcterms:W3CDTF">2025-06-23T12:22:50Z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eyJoZGlkIjoiN2RlYjRmNmM2NTI0MTYzMWNlNWY1ZjAzZTA5YzA3YTQifQ==</vt:lpwstr>
  </property>
  <property fmtid="{D5CDD505-2E9C-101B-9397-08002B2CF9AE}" pid="4" name="ICV">
    <vt:lpwstr>8AD9F5E910AB4289B00DE10AC0A34244_12</vt:lpwstr>
  </property>
</Properties>
</file>