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700" w:lineRule="exact"/>
        <w:jc w:val="center"/>
        <w:textAlignment w:val="auto"/>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2023年义务教育薄弱环节改善与能力提升项目中央资金（第二批）</w:t>
      </w:r>
    </w:p>
    <w:p>
      <w:pPr>
        <w:keepNext w:val="0"/>
        <w:keepLines w:val="0"/>
        <w:pageBreakBefore w:val="0"/>
        <w:widowControl w:val="0"/>
        <w:kinsoku/>
        <w:wordWrap/>
        <w:overflowPunct/>
        <w:topLinePunct w:val="0"/>
        <w:autoSpaceDE/>
        <w:autoSpaceDN/>
        <w:bidi w:val="0"/>
        <w:adjustRightInd w:val="0"/>
        <w:snapToGrid/>
        <w:spacing w:line="700" w:lineRule="exact"/>
        <w:jc w:val="center"/>
        <w:textAlignment w:val="auto"/>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建设项目招标文件</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b/>
          <w:bCs/>
          <w:sz w:val="44"/>
          <w:szCs w:val="44"/>
        </w:rPr>
        <w:t>（电子招投标）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采购项目编号：</w:t>
      </w:r>
      <w:r>
        <w:rPr>
          <w:rFonts w:hint="eastAsia" w:ascii="宋体" w:hAnsi="宋体" w:eastAsia="宋体" w:cs="宋体"/>
          <w:sz w:val="28"/>
          <w:szCs w:val="28"/>
        </w:rPr>
        <w:t>FYXCGZX-JC2023-016</w:t>
      </w:r>
    </w:p>
    <w:p>
      <w:pPr>
        <w:pStyle w:val="4"/>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采购项目名称：</w:t>
      </w:r>
      <w:r>
        <w:rPr>
          <w:rFonts w:hint="eastAsia" w:ascii="宋体" w:hAnsi="宋体" w:eastAsia="宋体" w:cs="宋体"/>
          <w:sz w:val="28"/>
          <w:szCs w:val="28"/>
        </w:rPr>
        <w:t>2023年义务教育薄弱环节改善与能力提升项目中央资金（第二批）建设项目</w:t>
      </w:r>
    </w:p>
    <w:p>
      <w:pPr>
        <w:pStyle w:val="4"/>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rPr>
      </w:pPr>
      <w:r>
        <w:rPr>
          <w:rFonts w:hint="eastAsia" w:ascii="宋体" w:hAnsi="宋体" w:eastAsia="宋体" w:cs="宋体"/>
          <w:b/>
          <w:bCs/>
          <w:sz w:val="28"/>
          <w:szCs w:val="28"/>
        </w:rPr>
        <w:t>采购单位：</w:t>
      </w:r>
      <w:r>
        <w:rPr>
          <w:rFonts w:hint="eastAsia" w:ascii="宋体" w:hAnsi="宋体" w:eastAsia="宋体" w:cs="宋体"/>
          <w:sz w:val="28"/>
          <w:szCs w:val="28"/>
        </w:rPr>
        <w:t>富蕴县教育局</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cs="宋体"/>
          <w:b/>
          <w:bCs/>
          <w:sz w:val="28"/>
          <w:szCs w:val="28"/>
          <w:lang w:val="en-US" w:eastAsia="zh-CN"/>
        </w:rPr>
      </w:pPr>
      <w:r>
        <w:rPr>
          <w:rFonts w:hint="eastAsia" w:ascii="宋体" w:hAnsi="宋体" w:eastAsia="宋体" w:cs="宋体"/>
          <w:b/>
          <w:bCs/>
          <w:sz w:val="28"/>
          <w:szCs w:val="28"/>
        </w:rPr>
        <w:t>项目联系人：</w:t>
      </w:r>
      <w:r>
        <w:rPr>
          <w:rFonts w:hint="eastAsia" w:ascii="宋体" w:hAnsi="宋体" w:cs="宋体"/>
          <w:b w:val="0"/>
          <w:bCs w:val="0"/>
          <w:sz w:val="28"/>
          <w:szCs w:val="28"/>
          <w:lang w:val="en-US" w:eastAsia="zh-CN"/>
        </w:rPr>
        <w:t>李玲</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rPr>
        <w:t>联系电话：</w:t>
      </w:r>
      <w:r>
        <w:rPr>
          <w:rFonts w:hint="eastAsia" w:ascii="宋体" w:hAnsi="宋体" w:eastAsia="宋体" w:cs="宋体"/>
          <w:sz w:val="28"/>
          <w:szCs w:val="28"/>
        </w:rPr>
        <w:t>1899751</w:t>
      </w:r>
      <w:r>
        <w:rPr>
          <w:rFonts w:hint="eastAsia" w:ascii="宋体" w:hAnsi="宋体" w:cs="宋体"/>
          <w:sz w:val="28"/>
          <w:szCs w:val="28"/>
          <w:lang w:val="en-US" w:eastAsia="zh-CN"/>
        </w:rPr>
        <w:t>7727</w:t>
      </w:r>
    </w:p>
    <w:p>
      <w:pPr>
        <w:pStyle w:val="4"/>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招标代理机构：</w:t>
      </w:r>
      <w:r>
        <w:rPr>
          <w:rFonts w:hint="eastAsia" w:ascii="宋体" w:hAnsi="宋体" w:eastAsia="宋体" w:cs="宋体"/>
          <w:sz w:val="28"/>
          <w:szCs w:val="28"/>
        </w:rPr>
        <w:t>富蕴县政府采购中心</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项目负责人：</w:t>
      </w:r>
      <w:r>
        <w:rPr>
          <w:rFonts w:hint="eastAsia" w:ascii="宋体" w:hAnsi="宋体" w:eastAsia="宋体" w:cs="宋体"/>
          <w:sz w:val="28"/>
          <w:szCs w:val="28"/>
        </w:rPr>
        <w:t xml:space="preserve">曲昌婧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联系电话：</w:t>
      </w:r>
      <w:r>
        <w:rPr>
          <w:rFonts w:hint="eastAsia" w:ascii="宋体" w:hAnsi="宋体" w:eastAsia="宋体" w:cs="宋体"/>
          <w:sz w:val="28"/>
          <w:szCs w:val="28"/>
        </w:rPr>
        <w:t>18719900100</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p>
    <w:p>
      <w:pPr>
        <w:pStyle w:val="4"/>
        <w:rPr>
          <w:rFonts w:hint="eastAsia" w:ascii="宋体" w:hAnsi="宋体" w:eastAsia="宋体" w:cs="宋体"/>
          <w:sz w:val="28"/>
          <w:szCs w:val="28"/>
        </w:rPr>
      </w:pPr>
    </w:p>
    <w:p>
      <w:pPr>
        <w:rPr>
          <w:rFonts w:hint="eastAsia" w:ascii="宋体" w:hAnsi="宋体" w:eastAsia="宋体" w:cs="宋体"/>
          <w:sz w:val="28"/>
          <w:szCs w:val="28"/>
        </w:rPr>
      </w:pPr>
    </w:p>
    <w:p>
      <w:pPr>
        <w:pStyle w:val="4"/>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sz w:val="40"/>
          <w:szCs w:val="40"/>
        </w:rPr>
      </w:pPr>
      <w:r>
        <w:rPr>
          <w:rFonts w:hint="eastAsia" w:ascii="宋体" w:hAnsi="宋体" w:eastAsia="宋体" w:cs="宋体"/>
          <w:b/>
          <w:bCs/>
          <w:sz w:val="40"/>
          <w:szCs w:val="40"/>
        </w:rPr>
        <w:t>2023年8月</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sdt>
      <w:sdtPr>
        <w:rPr>
          <w:rFonts w:ascii="宋体" w:hAnsi="宋体" w:eastAsia="宋体" w:cs="Times New Roman"/>
          <w:kern w:val="2"/>
          <w:sz w:val="21"/>
          <w:szCs w:val="24"/>
          <w:lang w:val="en-US" w:eastAsia="zh-CN" w:bidi="ar-SA"/>
        </w:rPr>
        <w:id w:val="147482369"/>
        <w:docPartObj>
          <w:docPartGallery w:val="Table of Contents"/>
          <w:docPartUnique/>
        </w:docPartObj>
      </w:sdtPr>
      <w:sdtEndPr>
        <w:rPr>
          <w:rFonts w:hint="eastAsia" w:ascii="仿宋" w:hAnsi="仿宋" w:eastAsia="仿宋" w:cs="仿宋"/>
          <w:kern w:val="2"/>
          <w:sz w:val="30"/>
          <w:szCs w:val="30"/>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30"/>
              <w:szCs w:val="30"/>
            </w:rPr>
          </w:pPr>
          <w:bookmarkStart w:id="0" w:name="_Toc7028_WPSOffice_Type1"/>
          <w:bookmarkStart w:id="1" w:name="第一部分"/>
          <w:r>
            <w:rPr>
              <w:rFonts w:hint="eastAsia" w:ascii="仿宋" w:hAnsi="仿宋" w:eastAsia="仿宋" w:cs="仿宋"/>
              <w:sz w:val="30"/>
              <w:szCs w:val="30"/>
            </w:rPr>
            <w:t>目录</w:t>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_Toc14857_WPSOffice_Level1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79d3007b-39a6-4cad-ae18-48f3370b04e7}"/>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第一部分 招标公告</w:t>
              </w:r>
            </w:sdtContent>
          </w:sdt>
          <w:r>
            <w:rPr>
              <w:rFonts w:hint="eastAsia" w:ascii="仿宋" w:hAnsi="仿宋" w:eastAsia="仿宋" w:cs="仿宋"/>
              <w:sz w:val="30"/>
              <w:szCs w:val="30"/>
            </w:rPr>
            <w:tab/>
          </w:r>
          <w:bookmarkStart w:id="2" w:name="_Toc14857_WPSOffice_Level1Page"/>
          <w:r>
            <w:rPr>
              <w:rFonts w:hint="eastAsia" w:ascii="仿宋" w:hAnsi="仿宋" w:eastAsia="仿宋" w:cs="仿宋"/>
              <w:sz w:val="30"/>
              <w:szCs w:val="30"/>
            </w:rPr>
            <w:t>4</w:t>
          </w:r>
          <w:bookmarkEnd w:id="2"/>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_Toc7028_WPSOffice_Level1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e53b5a9a-437f-452e-8d24-bf414897ea68}"/>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第二部分 投标人须知</w:t>
              </w:r>
            </w:sdtContent>
          </w:sdt>
          <w:r>
            <w:rPr>
              <w:rFonts w:hint="eastAsia" w:ascii="仿宋" w:hAnsi="仿宋" w:eastAsia="仿宋" w:cs="仿宋"/>
              <w:sz w:val="30"/>
              <w:szCs w:val="30"/>
            </w:rPr>
            <w:tab/>
          </w:r>
          <w:bookmarkStart w:id="3" w:name="_Toc7028_WPSOffice_Level1Page"/>
          <w:r>
            <w:rPr>
              <w:rFonts w:hint="eastAsia" w:ascii="仿宋" w:hAnsi="仿宋" w:eastAsia="仿宋" w:cs="仿宋"/>
              <w:sz w:val="30"/>
              <w:szCs w:val="30"/>
            </w:rPr>
            <w:t>9</w:t>
          </w:r>
          <w:bookmarkEnd w:id="3"/>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_Toc18002_WPSOffice_Level1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7983e74e-3530-4461-ae56-016ba67e33d7}"/>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第三部分 采购需求</w:t>
              </w:r>
            </w:sdtContent>
          </w:sdt>
          <w:r>
            <w:rPr>
              <w:rFonts w:hint="eastAsia" w:ascii="仿宋" w:hAnsi="仿宋" w:eastAsia="仿宋" w:cs="仿宋"/>
              <w:sz w:val="30"/>
              <w:szCs w:val="30"/>
            </w:rPr>
            <w:tab/>
          </w:r>
          <w:bookmarkStart w:id="4" w:name="_Toc18002_WPSOffice_Level1Page"/>
          <w:r>
            <w:rPr>
              <w:rFonts w:hint="eastAsia" w:ascii="仿宋" w:hAnsi="仿宋" w:eastAsia="仿宋" w:cs="仿宋"/>
              <w:sz w:val="30"/>
              <w:szCs w:val="30"/>
            </w:rPr>
            <w:t>24</w:t>
          </w:r>
          <w:bookmarkEnd w:id="4"/>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_Toc16746_WPSOffice_Level1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e5489cab-0052-4427-a189-943d3f4a347d}"/>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第四部分 评标办法</w:t>
              </w:r>
            </w:sdtContent>
          </w:sdt>
          <w:r>
            <w:rPr>
              <w:rFonts w:hint="eastAsia" w:ascii="仿宋" w:hAnsi="仿宋" w:eastAsia="仿宋" w:cs="仿宋"/>
              <w:sz w:val="30"/>
              <w:szCs w:val="30"/>
            </w:rPr>
            <w:tab/>
          </w:r>
          <w:bookmarkStart w:id="5" w:name="_Toc16746_WPSOffice_Level1Page"/>
          <w:r>
            <w:rPr>
              <w:rFonts w:hint="eastAsia" w:ascii="仿宋" w:hAnsi="仿宋" w:eastAsia="仿宋" w:cs="仿宋"/>
              <w:sz w:val="30"/>
              <w:szCs w:val="30"/>
            </w:rPr>
            <w:t>139</w:t>
          </w:r>
          <w:bookmarkEnd w:id="5"/>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_Toc18873_WPSOffice_Level1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ad1fd500-9f0b-4b21-b2a0-51ff2b54e618}"/>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第五部分 拟签订的合同文本</w:t>
              </w:r>
            </w:sdtContent>
          </w:sdt>
          <w:r>
            <w:rPr>
              <w:rFonts w:hint="eastAsia" w:ascii="仿宋" w:hAnsi="仿宋" w:eastAsia="仿宋" w:cs="仿宋"/>
              <w:sz w:val="30"/>
              <w:szCs w:val="30"/>
            </w:rPr>
            <w:tab/>
          </w:r>
          <w:bookmarkStart w:id="6" w:name="_Toc18873_WPSOffice_Level1Page"/>
          <w:r>
            <w:rPr>
              <w:rFonts w:hint="eastAsia" w:ascii="仿宋" w:hAnsi="仿宋" w:eastAsia="仿宋" w:cs="仿宋"/>
              <w:sz w:val="30"/>
              <w:szCs w:val="30"/>
            </w:rPr>
            <w:t>146</w:t>
          </w:r>
          <w:bookmarkEnd w:id="6"/>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_Toc15867_WPSOffice_Level1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d50b2190-05df-4595-b591-640e93304c70}"/>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第六部分 应提交的有关格式范例</w:t>
              </w:r>
            </w:sdtContent>
          </w:sdt>
          <w:r>
            <w:rPr>
              <w:rFonts w:hint="eastAsia" w:ascii="仿宋" w:hAnsi="仿宋" w:eastAsia="仿宋" w:cs="仿宋"/>
              <w:sz w:val="30"/>
              <w:szCs w:val="30"/>
            </w:rPr>
            <w:tab/>
          </w:r>
          <w:bookmarkStart w:id="7" w:name="_Toc15867_WPSOffice_Level1Page"/>
          <w:r>
            <w:rPr>
              <w:rFonts w:hint="eastAsia" w:ascii="仿宋" w:hAnsi="仿宋" w:eastAsia="仿宋" w:cs="仿宋"/>
              <w:sz w:val="30"/>
              <w:szCs w:val="30"/>
            </w:rPr>
            <w:t>158</w:t>
          </w:r>
          <w:bookmarkEnd w:id="7"/>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_Toc3033_WPSOffice_Level1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cefc004a-03d9-4368-b9d1-377fa2fe46c3}"/>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附件</w:t>
              </w:r>
            </w:sdtContent>
          </w:sdt>
          <w:r>
            <w:rPr>
              <w:rFonts w:hint="eastAsia" w:ascii="仿宋" w:hAnsi="仿宋" w:eastAsia="仿宋" w:cs="仿宋"/>
              <w:sz w:val="30"/>
              <w:szCs w:val="30"/>
            </w:rPr>
            <w:tab/>
          </w:r>
          <w:bookmarkStart w:id="8" w:name="_Toc3033_WPSOffice_Level1Page"/>
          <w:r>
            <w:rPr>
              <w:rFonts w:hint="eastAsia" w:ascii="仿宋" w:hAnsi="仿宋" w:eastAsia="仿宋" w:cs="仿宋"/>
              <w:sz w:val="30"/>
              <w:szCs w:val="30"/>
            </w:rPr>
            <w:t>173</w:t>
          </w:r>
          <w:bookmarkEnd w:id="8"/>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_Toc27587_WPSOffice_Level1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01db7a03-b0a0-4ed7-9f3a-f63617a212d6}"/>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附件1：</w:t>
              </w:r>
            </w:sdtContent>
          </w:sdt>
          <w:r>
            <w:rPr>
              <w:rFonts w:hint="eastAsia" w:ascii="仿宋" w:hAnsi="仿宋" w:eastAsia="仿宋" w:cs="仿宋"/>
              <w:sz w:val="30"/>
              <w:szCs w:val="30"/>
            </w:rPr>
            <w:tab/>
          </w:r>
          <w:bookmarkStart w:id="9" w:name="_Toc27587_WPSOffice_Level1Page"/>
          <w:r>
            <w:rPr>
              <w:rFonts w:hint="eastAsia" w:ascii="仿宋" w:hAnsi="仿宋" w:eastAsia="仿宋" w:cs="仿宋"/>
              <w:sz w:val="30"/>
              <w:szCs w:val="30"/>
            </w:rPr>
            <w:t>173</w:t>
          </w:r>
          <w:bookmarkEnd w:id="9"/>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_Toc21285_WPSOffice_Level1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d7ea36ad-8b47-44da-b376-639aa3361806}"/>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附件2：质疑函范本及制作说明</w:t>
              </w:r>
            </w:sdtContent>
          </w:sdt>
          <w:r>
            <w:rPr>
              <w:rFonts w:hint="eastAsia" w:ascii="仿宋" w:hAnsi="仿宋" w:eastAsia="仿宋" w:cs="仿宋"/>
              <w:sz w:val="30"/>
              <w:szCs w:val="30"/>
            </w:rPr>
            <w:tab/>
          </w:r>
          <w:bookmarkStart w:id="10" w:name="_Toc21285_WPSOffice_Level1Page"/>
          <w:r>
            <w:rPr>
              <w:rFonts w:hint="eastAsia" w:ascii="仿宋" w:hAnsi="仿宋" w:eastAsia="仿宋" w:cs="仿宋"/>
              <w:sz w:val="30"/>
              <w:szCs w:val="30"/>
            </w:rPr>
            <w:t>174</w:t>
          </w:r>
          <w:bookmarkEnd w:id="10"/>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_Toc7308_WPSOffice_Level1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41a0b0b6-1e90-4365-829b-59aad0f50904}"/>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附件3：投诉书范本及制作说明</w:t>
              </w:r>
            </w:sdtContent>
          </w:sdt>
          <w:r>
            <w:rPr>
              <w:rFonts w:hint="eastAsia" w:ascii="仿宋" w:hAnsi="仿宋" w:eastAsia="仿宋" w:cs="仿宋"/>
              <w:sz w:val="30"/>
              <w:szCs w:val="30"/>
            </w:rPr>
            <w:tab/>
          </w:r>
          <w:bookmarkStart w:id="11" w:name="_Toc7308_WPSOffice_Level1Page"/>
          <w:r>
            <w:rPr>
              <w:rFonts w:hint="eastAsia" w:ascii="仿宋" w:hAnsi="仿宋" w:eastAsia="仿宋" w:cs="仿宋"/>
              <w:sz w:val="30"/>
              <w:szCs w:val="30"/>
            </w:rPr>
            <w:t>176</w:t>
          </w:r>
          <w:bookmarkEnd w:id="11"/>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_Toc17116_WPSOffice_Level1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608c540c-1379-489e-886c-363d4b8ba1e1}"/>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附件4：业务专用章使用说明函</w:t>
              </w:r>
            </w:sdtContent>
          </w:sdt>
          <w:r>
            <w:rPr>
              <w:rFonts w:hint="eastAsia" w:ascii="仿宋" w:hAnsi="仿宋" w:eastAsia="仿宋" w:cs="仿宋"/>
              <w:sz w:val="30"/>
              <w:szCs w:val="30"/>
            </w:rPr>
            <w:tab/>
          </w:r>
          <w:bookmarkStart w:id="12" w:name="_Toc17116_WPSOffice_Level1Page"/>
          <w:r>
            <w:rPr>
              <w:rFonts w:hint="eastAsia" w:ascii="仿宋" w:hAnsi="仿宋" w:eastAsia="仿宋" w:cs="仿宋"/>
              <w:sz w:val="30"/>
              <w:szCs w:val="30"/>
            </w:rPr>
            <w:t>179</w:t>
          </w:r>
          <w:bookmarkEnd w:id="12"/>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_Toc1231_WPSOffice_Level1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b6e271bc-a775-4236-8faf-aec9477e9af1}"/>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附件5：联合协议</w:t>
              </w:r>
            </w:sdtContent>
          </w:sdt>
          <w:r>
            <w:rPr>
              <w:rFonts w:hint="eastAsia" w:ascii="仿宋" w:hAnsi="仿宋" w:eastAsia="仿宋" w:cs="仿宋"/>
              <w:sz w:val="30"/>
              <w:szCs w:val="30"/>
            </w:rPr>
            <w:tab/>
          </w:r>
          <w:bookmarkStart w:id="13" w:name="_Toc1231_WPSOffice_Level1Page"/>
          <w:r>
            <w:rPr>
              <w:rFonts w:hint="eastAsia" w:ascii="仿宋" w:hAnsi="仿宋" w:eastAsia="仿宋" w:cs="仿宋"/>
              <w:sz w:val="30"/>
              <w:szCs w:val="30"/>
            </w:rPr>
            <w:t>180</w:t>
          </w:r>
          <w:bookmarkEnd w:id="13"/>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_Toc11007_WPSOffice_Level1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0a9d7081-77bf-4179-a900-3554e9c4cfcf}"/>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附件6：分包意向协议</w:t>
              </w:r>
            </w:sdtContent>
          </w:sdt>
          <w:r>
            <w:rPr>
              <w:rFonts w:hint="eastAsia" w:ascii="仿宋" w:hAnsi="仿宋" w:eastAsia="仿宋" w:cs="仿宋"/>
              <w:sz w:val="30"/>
              <w:szCs w:val="30"/>
            </w:rPr>
            <w:tab/>
          </w:r>
          <w:bookmarkStart w:id="14" w:name="_Toc11007_WPSOffice_Level1Page"/>
          <w:r>
            <w:rPr>
              <w:rFonts w:hint="eastAsia" w:ascii="仿宋" w:hAnsi="仿宋" w:eastAsia="仿宋" w:cs="仿宋"/>
              <w:sz w:val="30"/>
              <w:szCs w:val="30"/>
            </w:rPr>
            <w:t>182</w:t>
          </w:r>
          <w:bookmarkEnd w:id="14"/>
          <w:r>
            <w:rPr>
              <w:rFonts w:hint="eastAsia" w:ascii="仿宋" w:hAnsi="仿宋" w:eastAsia="仿宋" w:cs="仿宋"/>
              <w:sz w:val="30"/>
              <w:szCs w:val="30"/>
            </w:rPr>
            <w:fldChar w:fldCharType="end"/>
          </w:r>
        </w:p>
        <w:p>
          <w:pPr>
            <w:pStyle w:val="29"/>
            <w:tabs>
              <w:tab w:val="right" w:leader="dot" w:pos="9070"/>
            </w:tabs>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_Toc5194_WPSOffice_Level1 </w:instrText>
          </w:r>
          <w:r>
            <w:rPr>
              <w:rFonts w:hint="eastAsia" w:ascii="仿宋" w:hAnsi="仿宋" w:eastAsia="仿宋" w:cs="仿宋"/>
              <w:sz w:val="30"/>
              <w:szCs w:val="30"/>
            </w:rPr>
            <w:fldChar w:fldCharType="separate"/>
          </w:r>
          <w:sdt>
            <w:sdtPr>
              <w:rPr>
                <w:rFonts w:hint="eastAsia" w:ascii="仿宋" w:hAnsi="仿宋" w:eastAsia="仿宋" w:cs="仿宋"/>
                <w:kern w:val="2"/>
                <w:sz w:val="30"/>
                <w:szCs w:val="30"/>
                <w:lang w:val="en-US" w:eastAsia="zh-CN" w:bidi="ar-SA"/>
              </w:rPr>
              <w:id w:val="147482369"/>
              <w:placeholder>
                <w:docPart w:val="{e096b3fc-9497-4e09-b154-ee240db88e32}"/>
              </w:placeholder>
            </w:sdtPr>
            <w:sdtEndPr>
              <w:rPr>
                <w:rFonts w:hint="eastAsia" w:ascii="仿宋" w:hAnsi="仿宋" w:eastAsia="仿宋" w:cs="仿宋"/>
                <w:kern w:val="2"/>
                <w:sz w:val="30"/>
                <w:szCs w:val="30"/>
                <w:lang w:val="en-US" w:eastAsia="zh-CN" w:bidi="ar-SA"/>
              </w:rPr>
            </w:sdtEndPr>
            <w:sdtContent>
              <w:r>
                <w:rPr>
                  <w:rFonts w:hint="eastAsia" w:ascii="仿宋" w:hAnsi="仿宋" w:eastAsia="仿宋" w:cs="仿宋"/>
                  <w:sz w:val="30"/>
                  <w:szCs w:val="30"/>
                </w:rPr>
                <w:t>附件7：中小企业声明函</w:t>
              </w:r>
            </w:sdtContent>
          </w:sdt>
          <w:r>
            <w:rPr>
              <w:rFonts w:hint="eastAsia" w:ascii="仿宋" w:hAnsi="仿宋" w:eastAsia="仿宋" w:cs="仿宋"/>
              <w:sz w:val="30"/>
              <w:szCs w:val="30"/>
            </w:rPr>
            <w:tab/>
          </w:r>
          <w:bookmarkStart w:id="15" w:name="_Toc5194_WPSOffice_Level1Page"/>
          <w:r>
            <w:rPr>
              <w:rFonts w:hint="eastAsia" w:ascii="仿宋" w:hAnsi="仿宋" w:eastAsia="仿宋" w:cs="仿宋"/>
              <w:sz w:val="30"/>
              <w:szCs w:val="30"/>
            </w:rPr>
            <w:t>183</w:t>
          </w:r>
          <w:bookmarkEnd w:id="15"/>
          <w:r>
            <w:rPr>
              <w:rFonts w:hint="eastAsia" w:ascii="仿宋" w:hAnsi="仿宋" w:eastAsia="仿宋" w:cs="仿宋"/>
              <w:sz w:val="30"/>
              <w:szCs w:val="30"/>
            </w:rPr>
            <w:fldChar w:fldCharType="end"/>
          </w:r>
          <w:bookmarkEnd w:id="0"/>
        </w:p>
      </w:sdtContent>
    </w:sdt>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b/>
          <w:sz w:val="36"/>
          <w:szCs w:val="36"/>
          <w:highlight w:val="none"/>
        </w:rPr>
        <w:br w:type="page"/>
      </w:r>
      <w:bookmarkEnd w:id="1"/>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u w:val="single"/>
          <w:lang w:val="en" w:eastAsia="zh-CN"/>
        </w:rPr>
        <w:t>2023年义务教育薄弱环节改善与能力提升项目中央资金（第二批）建设项目</w:t>
      </w:r>
      <w:r>
        <w:rPr>
          <w:rFonts w:hint="eastAsia" w:ascii="仿宋" w:hAnsi="仿宋" w:eastAsia="仿宋" w:cs="仿宋"/>
          <w:sz w:val="24"/>
          <w:highlight w:val="none"/>
        </w:rPr>
        <w:t>招标项目的潜在投标人应在</w:t>
      </w:r>
      <w:r>
        <w:rPr>
          <w:rFonts w:hint="eastAsia" w:ascii="仿宋" w:hAnsi="仿宋" w:eastAsia="仿宋" w:cs="仿宋"/>
          <w:sz w:val="24"/>
          <w:highlight w:val="none"/>
          <w:lang w:eastAsia="zh-CN"/>
        </w:rPr>
        <w:t>新疆政府采购网</w:t>
      </w:r>
      <w:r>
        <w:rPr>
          <w:rFonts w:hint="eastAsia"/>
          <w:color w:val="auto"/>
          <w:highlight w:val="none"/>
        </w:rPr>
        <w:t>（</w:t>
      </w:r>
      <w:r>
        <w:rPr>
          <w:rFonts w:hint="eastAsia" w:ascii="仿宋" w:hAnsi="仿宋" w:eastAsia="仿宋" w:cs="仿宋"/>
          <w:sz w:val="28"/>
          <w:szCs w:val="28"/>
          <w:lang w:val="zh-CN" w:eastAsia="zh-CN"/>
        </w:rPr>
        <w:t>（http://www.ccgp-xinjiang.gov.cn</w:t>
      </w:r>
      <w:r>
        <w:rPr>
          <w:rFonts w:hint="eastAsia"/>
          <w:color w:val="auto"/>
          <w:highlight w:val="none"/>
        </w:rPr>
        <w:t xml:space="preserve"> ）</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26"/>
          <w:rFonts w:hint="eastAsia" w:ascii="仿宋" w:hAnsi="仿宋" w:eastAsia="仿宋" w:cs="仿宋"/>
          <w:snapToGrid/>
          <w:color w:val="auto"/>
          <w:kern w:val="2"/>
          <w:sz w:val="24"/>
          <w:szCs w:val="24"/>
          <w:highlight w:val="none"/>
        </w:rPr>
        <w:t>获取（下载）招标文件，并于</w:t>
      </w:r>
      <w:r>
        <w:rPr>
          <w:rFonts w:hint="eastAsia" w:ascii="仿宋" w:hAnsi="仿宋" w:eastAsia="仿宋" w:cs="仿宋"/>
          <w:color w:val="auto"/>
          <w:sz w:val="24"/>
          <w:highlight w:val="none"/>
          <w:u w:val="single"/>
        </w:rPr>
        <w:t>2023年</w:t>
      </w:r>
      <w:r>
        <w:rPr>
          <w:rFonts w:hint="eastAsia" w:ascii="仿宋" w:hAnsi="仿宋" w:eastAsia="仿宋" w:cs="仿宋"/>
          <w:color w:val="auto"/>
          <w:sz w:val="24"/>
          <w:highlight w:val="none"/>
          <w:u w:val="single"/>
          <w:lang w:val="en-US" w:eastAsia="zh-CN"/>
        </w:rPr>
        <w:t>8</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31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点30分</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项目编号：FYXCGZX-JC2023-016</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项目名称：2023年义务教育薄弱环节改善与能力提升项目中央资金（第二批）建设项目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采购方式：公开招标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预算金额（元）：5000000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最高限价（元）：5000000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采购需求：计算机教室7间，书法教室6间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标项名称：2023年义务教育薄弱环节改善与能力提升项目中央资金（第二批）建设项目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数量:不限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预算金额（元）：5000000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简要规格描述或项目基本概况介绍、用途：详情见招标文件。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备注：无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合同履约期限：合同签订后15个日历天完成供货、安装、调试工作。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本项目预留预算总额的40%专门面向中小企业采购，其中预留给小微企业的比例为60%。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二、申请人的资格要求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（1）提供经年审合格有效的营业执照；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（2）具有良好的商业信誉和健全的财务会计制度（须提供2021年或2022年度财务审计报告，2023年新成立公司可不提供但须提供银行出具的资信证明）；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（3）法定代表人投标需提供法定代表人证明书及法定代表人身份证（原件扫描件），委托代理人投标需提供法定代表人授权委托书及委托代理人身份证（原件扫描件）；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（4）参加政府采购活动前三年内，在经营活动中没有重大违法记录，无失信行为（供应商须出具企业及法定代表人无重大违法记录承诺书，无失信行为承诺书）；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（5）中小企业声明函；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（6）本项目不接受联合体投标。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2.落实政府采购政策需满足：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根据中小企业（含中型、小型、微型企业）根据《政府采购促进中小企业发展管理办法》（财库[2020]46号）、《关于落实好政府采购支持中小企业发展的通知》（新财购[2022]22号）的规定，评标时将给予此类企业进行价格15%的优惠，监狱企业、残疾人福利性单位视同为小微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（2）财政部、国家发展改革委、生态环境部、市场监管总局《关于调整优化节能产品、环境标志产品政府采购执行机制的通知》（财库[2019]9号文）；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财政部、生态环境部《关于印发环境标志产品政府采购品目清单的通知》（财库[2019]18号文）、财政部、发展改革委《关于印发节能产品政府采购品目清单的通知》（财库[2019]19号文）、市场监管总局《市场监管总局关于发布参与实施政府采购节能产品、环境标志产品认证机构名录的公告》（2019年第16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（4）按照《财政部、司法部关于政府采购支持监狱企业发展有关问题的通知》（财库〔2014〕68号）的规定，落实支持监狱企业发展政策；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（5）按照《三部门联合发布关于促进残疾人就业政府采购政策的通知》（财库〔2017〕141号）的规定，落实支持残疾人福利性单位发展政策。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（6）《关于运用政府采购政策支持脱贫攻坚的通知》（财库【2019】27号文）。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4.本项目的特定资格要求：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三、获取招标文件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lang w:eastAsia="zh-CN"/>
        </w:rPr>
      </w:pPr>
      <w:r>
        <w:rPr>
          <w:rFonts w:hint="eastAsia" w:ascii="仿宋" w:hAnsi="仿宋" w:eastAsia="仿宋" w:cs="仿宋"/>
          <w:b/>
          <w:bCs/>
          <w:sz w:val="24"/>
          <w:szCs w:val="24"/>
        </w:rPr>
        <w:t>时间：</w:t>
      </w:r>
      <w:r>
        <w:rPr>
          <w:rFonts w:hint="eastAsia" w:ascii="仿宋" w:hAnsi="仿宋" w:eastAsia="仿宋" w:cs="仿宋"/>
          <w:sz w:val="24"/>
          <w:szCs w:val="24"/>
        </w:rPr>
        <w:t>2023年8月</w:t>
      </w:r>
      <w:r>
        <w:rPr>
          <w:rFonts w:hint="eastAsia" w:ascii="仿宋" w:hAnsi="仿宋" w:eastAsia="仿宋" w:cs="仿宋"/>
          <w:sz w:val="24"/>
          <w:szCs w:val="24"/>
          <w:lang w:val="en-US" w:eastAsia="zh-CN"/>
        </w:rPr>
        <w:t>11</w:t>
      </w:r>
      <w:r>
        <w:rPr>
          <w:rFonts w:hint="eastAsia" w:ascii="仿宋" w:hAnsi="仿宋" w:eastAsia="仿宋" w:cs="仿宋"/>
          <w:sz w:val="24"/>
          <w:szCs w:val="24"/>
        </w:rPr>
        <w:t>日至2023年8月1</w:t>
      </w:r>
      <w:r>
        <w:rPr>
          <w:rFonts w:hint="eastAsia" w:ascii="仿宋" w:hAnsi="仿宋" w:eastAsia="仿宋" w:cs="仿宋"/>
          <w:sz w:val="24"/>
          <w:szCs w:val="24"/>
          <w:lang w:val="en-US" w:eastAsia="zh-CN"/>
        </w:rPr>
        <w:t>8</w:t>
      </w:r>
      <w:r>
        <w:rPr>
          <w:rFonts w:hint="eastAsia" w:ascii="仿宋" w:hAnsi="仿宋" w:eastAsia="仿宋" w:cs="仿宋"/>
          <w:sz w:val="24"/>
          <w:szCs w:val="24"/>
        </w:rPr>
        <w:t>日，每天上午00:00至12:00 ，下午12:00至23:59（北京时间</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节假日除外</w:t>
      </w:r>
      <w:r>
        <w:rPr>
          <w:rFonts w:hint="eastAsia" w:ascii="仿宋" w:hAnsi="仿宋" w:eastAsia="仿宋" w:cs="仿宋"/>
          <w:sz w:val="24"/>
          <w:szCs w:val="24"/>
        </w:rPr>
        <w:t>）</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地点（网址）：</w:t>
      </w:r>
      <w:r>
        <w:rPr>
          <w:rFonts w:hint="eastAsia" w:ascii="仿宋" w:hAnsi="仿宋" w:eastAsia="仿宋" w:cs="仿宋"/>
          <w:sz w:val="24"/>
          <w:szCs w:val="24"/>
        </w:rPr>
        <w:t>政采云平台线上获取采购文件</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（新疆政府采购网http://www.ccgp-xinjiang.gov.cn/）</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方式：</w:t>
      </w:r>
      <w:r>
        <w:rPr>
          <w:rFonts w:hint="eastAsia" w:ascii="仿宋" w:hAnsi="仿宋" w:eastAsia="仿宋" w:cs="仿宋"/>
          <w:sz w:val="24"/>
          <w:szCs w:val="24"/>
        </w:rPr>
        <w:t xml:space="preserve">供应商登录新疆政府采购网（http://www.ccgp-xinjiang.gov.cn/）在线申请获取采购文件（进入“项目采购”应用，在获取采购文件菜单中选择项目，申请获取采购文件）。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售价（元）：0 </w:t>
      </w:r>
      <w:r>
        <w:rPr>
          <w:rFonts w:hint="eastAsia" w:ascii="仿宋" w:hAnsi="仿宋" w:eastAsia="仿宋" w:cs="仿宋"/>
          <w:sz w:val="24"/>
          <w:szCs w:val="24"/>
        </w:rPr>
        <w:tab/>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四、提交投标文件截止时间、开标时间和地点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提交投标文件截止时间：</w:t>
      </w:r>
      <w:r>
        <w:rPr>
          <w:rFonts w:hint="eastAsia" w:ascii="仿宋" w:hAnsi="仿宋" w:eastAsia="仿宋" w:cs="仿宋"/>
          <w:sz w:val="24"/>
          <w:szCs w:val="24"/>
        </w:rPr>
        <w:t>2023年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日10点30分 （北京时间）</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投标地点（网址）：</w:t>
      </w:r>
      <w:r>
        <w:rPr>
          <w:rFonts w:hint="eastAsia" w:ascii="仿宋" w:hAnsi="仿宋" w:eastAsia="仿宋" w:cs="仿宋"/>
          <w:sz w:val="24"/>
          <w:szCs w:val="24"/>
        </w:rPr>
        <w:t xml:space="preserve"> 请登录政采云投标客户端投标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开标时间：</w:t>
      </w:r>
      <w:r>
        <w:rPr>
          <w:rFonts w:hint="eastAsia" w:ascii="仿宋" w:hAnsi="仿宋" w:eastAsia="仿宋" w:cs="仿宋"/>
          <w:sz w:val="24"/>
          <w:szCs w:val="24"/>
        </w:rPr>
        <w:t>2023年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 xml:space="preserve">日10点30分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开标地点（网址）：</w:t>
      </w:r>
      <w:r>
        <w:rPr>
          <w:rFonts w:hint="eastAsia" w:ascii="仿宋" w:hAnsi="仿宋" w:eastAsia="仿宋" w:cs="仿宋"/>
          <w:sz w:val="24"/>
          <w:szCs w:val="24"/>
        </w:rPr>
        <w:t>新疆政府采购网（http://www.ccgp-xinjiang.gov.cn/）</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评审地址：</w:t>
      </w:r>
      <w:r>
        <w:rPr>
          <w:rFonts w:hint="eastAsia" w:ascii="仿宋" w:hAnsi="仿宋" w:eastAsia="仿宋" w:cs="仿宋"/>
          <w:sz w:val="24"/>
          <w:szCs w:val="24"/>
        </w:rPr>
        <w:t>新疆政府采购网（http://www.ccgp-xinjiang.gov.cn/）（阿勒泰地区富蕴县团结北路额河商厦215会议室）。</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五、公告期限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自本公告发布之日起5个工作日。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六、其他补充事宜</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本次采购采用电子交易方式，电子交易平台为“新疆政府采购网（http://www.ccgp-xinjiang.gov.cn/）”。供应商参与本项目电子交易活动前，应注册成为政府采购云平台供应商。编制电子投标文件前还需申领CA证书并绑定帐号，CA申领地址查看网址https://www.xjca.com.cn/article/content/201802/582/1.html，CA服务电话：0991-281-9290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版块获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3、供应商应当在投标截止时间前，将“电子招投标供应商客户端”生成的“电子加密投标文件”上传电子交易平台。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服务与支持。各政府采购代理机构（含集采机构）及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政采云热线人工号码：95763（工作时间：工作日08:00-20：00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5、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rPr>
        <w:t>6、根据《政府采购促进中小企业发展暂行办法》（财库〔2020〕46号）、《关于落实好政府采购支持中小企业发展的通知》（新财购[2022]22号）的规定，</w:t>
      </w:r>
      <w:r>
        <w:rPr>
          <w:rFonts w:hint="eastAsia" w:ascii="仿宋" w:hAnsi="仿宋" w:eastAsia="仿宋" w:cs="仿宋"/>
          <w:sz w:val="24"/>
          <w:szCs w:val="24"/>
          <w:highlight w:val="none"/>
        </w:rPr>
        <w:t>本项目面向中小企业（含中型、小型、微型企业）预留预算总额的40%，其中预留给小微企业的比例为60%。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该中小企业须符合本项目采购标的对应行业（其他未列明行业。从业人员300人以下的为中小微型企业。其中，从业人员100人及以上的为中型企业；从业人员10人及以上的为小型企业；从业人员10人以下的为微型企业。）的政策划分标准（残疾人福利性单位视同小微企业）。</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中小企业以供应商填写的《中小企业声明函》（见投标文件格式）为判定标准，否则不予认定。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特别提示：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名    称：富蕴县教育局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    址：新疆阿勒泰地区富蕴县库额尔齐斯镇文化西路9号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传    真：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项目联系人（询问）：</w:t>
      </w:r>
      <w:r>
        <w:rPr>
          <w:rFonts w:hint="eastAsia" w:ascii="仿宋" w:hAnsi="仿宋" w:eastAsia="仿宋" w:cs="仿宋"/>
          <w:sz w:val="24"/>
          <w:szCs w:val="24"/>
          <w:lang w:val="en-US" w:eastAsia="zh-CN"/>
        </w:rPr>
        <w:t>李玲</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项目联系方式（询问）：1899751</w:t>
      </w:r>
      <w:r>
        <w:rPr>
          <w:rFonts w:hint="eastAsia" w:ascii="仿宋" w:hAnsi="仿宋" w:eastAsia="仿宋" w:cs="仿宋"/>
          <w:sz w:val="24"/>
          <w:szCs w:val="24"/>
          <w:lang w:val="en-US" w:eastAsia="zh-CN"/>
        </w:rPr>
        <w:t>7727</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2.采购代理机构信息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名    称：富蕴县政府采购中心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    址：新疆阿勒泰地区富蕴县赛尔江西路36号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传    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项目联系人（询问）：曲昌婧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项目联系方式（询问）：18719900100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投标人须知</w:t>
      </w:r>
    </w:p>
    <w:p>
      <w:pPr>
        <w:pStyle w:val="4"/>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前附表</w:t>
      </w:r>
    </w:p>
    <w:tbl>
      <w:tblPr>
        <w:tblStyle w:val="21"/>
        <w:tblpPr w:leftFromText="180" w:rightFromText="180" w:vertAnchor="text" w:horzAnchor="page" w:tblpX="975" w:tblpY="938"/>
        <w:tblOverlap w:val="never"/>
        <w:tblW w:w="9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472"/>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名 称</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1</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采购人</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ind w:left="657" w:hanging="720" w:hangingChars="300"/>
              <w:textAlignment w:val="auto"/>
              <w:rPr>
                <w:rStyle w:val="24"/>
                <w:rFonts w:hint="eastAsia" w:ascii="仿宋" w:hAnsi="仿宋" w:eastAsia="仿宋" w:cs="仿宋"/>
                <w:b w:val="0"/>
                <w:bCs w:val="0"/>
                <w:kern w:val="2"/>
                <w:sz w:val="24"/>
                <w:szCs w:val="24"/>
                <w:u w:val="none"/>
                <w:lang w:val="en-US" w:eastAsia="zh-CN" w:bidi="ar-SA"/>
              </w:rPr>
            </w:pPr>
            <w:r>
              <w:rPr>
                <w:rFonts w:hint="eastAsia" w:ascii="仿宋" w:hAnsi="仿宋" w:eastAsia="仿宋" w:cs="仿宋"/>
                <w:color w:val="000000"/>
                <w:sz w:val="24"/>
                <w:szCs w:val="24"/>
              </w:rPr>
              <w:t>名  称</w:t>
            </w:r>
            <w:r>
              <w:rPr>
                <w:rStyle w:val="24"/>
                <w:rFonts w:hint="eastAsia" w:ascii="仿宋" w:hAnsi="仿宋" w:eastAsia="仿宋" w:cs="仿宋"/>
                <w:b w:val="0"/>
                <w:bCs w:val="0"/>
                <w:sz w:val="24"/>
                <w:szCs w:val="24"/>
                <w:u w:val="none"/>
                <w:lang w:val="en-US" w:eastAsia="zh-CN"/>
              </w:rPr>
              <w:t>：</w:t>
            </w:r>
            <w:r>
              <w:rPr>
                <w:rStyle w:val="24"/>
                <w:rFonts w:hint="eastAsia" w:ascii="仿宋" w:hAnsi="仿宋" w:eastAsia="仿宋" w:cs="仿宋"/>
                <w:b w:val="0"/>
                <w:bCs w:val="0"/>
                <w:kern w:val="2"/>
                <w:sz w:val="24"/>
                <w:szCs w:val="24"/>
                <w:u w:val="none"/>
                <w:lang w:val="en-US" w:eastAsia="zh-CN" w:bidi="ar-SA"/>
              </w:rPr>
              <w:t>富蕴县教育局</w:t>
            </w:r>
          </w:p>
          <w:p>
            <w:pPr>
              <w:keepLines w:val="0"/>
              <w:pageBreakBefore w:val="0"/>
              <w:widowControl w:val="0"/>
              <w:kinsoku/>
              <w:wordWrap/>
              <w:overflowPunct/>
              <w:topLinePunct w:val="0"/>
              <w:autoSpaceDE/>
              <w:autoSpaceDN/>
              <w:bidi w:val="0"/>
              <w:adjustRightInd/>
              <w:snapToGrid/>
              <w:spacing w:line="216" w:lineRule="auto"/>
              <w:ind w:left="657" w:hanging="720" w:hangingChars="300"/>
              <w:textAlignment w:val="auto"/>
              <w:rPr>
                <w:rStyle w:val="24"/>
                <w:rFonts w:hint="eastAsia" w:ascii="仿宋" w:hAnsi="仿宋" w:eastAsia="仿宋" w:cs="仿宋"/>
                <w:b w:val="0"/>
                <w:bCs w:val="0"/>
                <w:sz w:val="24"/>
                <w:szCs w:val="24"/>
                <w:u w:val="none"/>
                <w:lang w:val="en-US" w:eastAsia="zh-CN"/>
              </w:rPr>
            </w:pPr>
            <w:r>
              <w:rPr>
                <w:rStyle w:val="24"/>
                <w:rFonts w:hint="eastAsia" w:ascii="仿宋" w:hAnsi="仿宋" w:eastAsia="仿宋" w:cs="仿宋"/>
                <w:b w:val="0"/>
                <w:bCs w:val="0"/>
                <w:sz w:val="24"/>
                <w:szCs w:val="24"/>
                <w:u w:val="none"/>
                <w:lang w:val="en-US" w:eastAsia="zh-CN"/>
              </w:rPr>
              <w:t>地  址：新疆阿勒泰地区富蕴县库额尔齐斯镇文化西路9号</w:t>
            </w:r>
          </w:p>
          <w:p>
            <w:pPr>
              <w:keepLines w:val="0"/>
              <w:pageBreakBefore w:val="0"/>
              <w:widowControl w:val="0"/>
              <w:kinsoku/>
              <w:wordWrap/>
              <w:overflowPunct/>
              <w:topLinePunct w:val="0"/>
              <w:autoSpaceDE/>
              <w:autoSpaceDN/>
              <w:bidi w:val="0"/>
              <w:adjustRightInd/>
              <w:snapToGrid/>
              <w:spacing w:line="216" w:lineRule="auto"/>
              <w:ind w:left="657" w:hanging="720" w:hangingChars="300"/>
              <w:textAlignment w:val="auto"/>
              <w:rPr>
                <w:rStyle w:val="24"/>
                <w:rFonts w:hint="default" w:ascii="仿宋" w:hAnsi="仿宋" w:eastAsia="仿宋" w:cs="仿宋"/>
                <w:b w:val="0"/>
                <w:bCs w:val="0"/>
                <w:sz w:val="24"/>
                <w:szCs w:val="24"/>
                <w:u w:val="none"/>
                <w:lang w:val="en-US" w:eastAsia="zh-CN"/>
              </w:rPr>
            </w:pPr>
            <w:r>
              <w:rPr>
                <w:rStyle w:val="24"/>
                <w:rFonts w:hint="eastAsia" w:ascii="仿宋" w:hAnsi="仿宋" w:eastAsia="仿宋" w:cs="仿宋"/>
                <w:b w:val="0"/>
                <w:bCs w:val="0"/>
                <w:sz w:val="24"/>
                <w:szCs w:val="24"/>
                <w:u w:val="none"/>
                <w:lang w:val="en-US" w:eastAsia="zh-CN"/>
              </w:rPr>
              <w:t>联系人：李玲</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lang w:val="en-US"/>
              </w:rPr>
            </w:pPr>
            <w:r>
              <w:rPr>
                <w:rFonts w:hint="eastAsia" w:ascii="仿宋" w:hAnsi="仿宋" w:eastAsia="仿宋" w:cs="仿宋"/>
                <w:color w:val="000000"/>
                <w:sz w:val="24"/>
                <w:szCs w:val="24"/>
              </w:rPr>
              <w:t>电  话：1899751</w:t>
            </w:r>
            <w:r>
              <w:rPr>
                <w:rFonts w:hint="eastAsia" w:ascii="仿宋" w:hAnsi="仿宋" w:eastAsia="仿宋" w:cs="仿宋"/>
                <w:color w:val="000000"/>
                <w:sz w:val="24"/>
                <w:szCs w:val="24"/>
                <w:lang w:val="en-US" w:eastAsia="zh-CN"/>
              </w:rPr>
              <w:t>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采购代理机构</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Style w:val="24"/>
                <w:rFonts w:hint="eastAsia" w:ascii="仿宋" w:hAnsi="仿宋" w:eastAsia="仿宋" w:cs="仿宋"/>
                <w:b w:val="0"/>
                <w:bCs w:val="0"/>
                <w:sz w:val="24"/>
                <w:szCs w:val="24"/>
                <w:lang w:eastAsia="zh-CN"/>
              </w:rPr>
            </w:pPr>
            <w:r>
              <w:rPr>
                <w:rFonts w:hint="eastAsia" w:ascii="仿宋" w:hAnsi="仿宋" w:eastAsia="仿宋" w:cs="仿宋"/>
                <w:color w:val="000000"/>
                <w:sz w:val="24"/>
                <w:szCs w:val="24"/>
              </w:rPr>
              <w:t>名  称：</w:t>
            </w:r>
            <w:r>
              <w:rPr>
                <w:rStyle w:val="24"/>
                <w:rFonts w:hint="eastAsia" w:ascii="仿宋" w:hAnsi="仿宋" w:eastAsia="仿宋" w:cs="仿宋"/>
                <w:b w:val="0"/>
                <w:bCs w:val="0"/>
                <w:sz w:val="24"/>
                <w:szCs w:val="24"/>
                <w:lang w:eastAsia="zh-CN"/>
              </w:rPr>
              <w:t>富蕴县政府采购中心</w:t>
            </w:r>
          </w:p>
          <w:p>
            <w:pPr>
              <w:keepLines w:val="0"/>
              <w:pageBreakBefore w:val="0"/>
              <w:widowControl w:val="0"/>
              <w:kinsoku/>
              <w:wordWrap/>
              <w:overflowPunct/>
              <w:topLinePunct w:val="0"/>
              <w:autoSpaceDE/>
              <w:autoSpaceDN/>
              <w:bidi w:val="0"/>
              <w:adjustRightInd/>
              <w:snapToGrid/>
              <w:spacing w:line="216" w:lineRule="auto"/>
              <w:textAlignment w:val="auto"/>
              <w:rPr>
                <w:rStyle w:val="24"/>
                <w:rFonts w:hint="eastAsia" w:ascii="仿宋" w:hAnsi="仿宋" w:eastAsia="仿宋" w:cs="仿宋"/>
                <w:b w:val="0"/>
                <w:bCs w:val="0"/>
                <w:sz w:val="24"/>
                <w:szCs w:val="24"/>
                <w:lang w:val="en-US" w:eastAsia="zh-CN"/>
              </w:rPr>
            </w:pPr>
            <w:r>
              <w:rPr>
                <w:rFonts w:hint="eastAsia" w:ascii="仿宋" w:hAnsi="仿宋" w:eastAsia="仿宋" w:cs="仿宋"/>
                <w:color w:val="000000"/>
                <w:sz w:val="24"/>
                <w:szCs w:val="24"/>
              </w:rPr>
              <w:t>地  址：</w:t>
            </w:r>
            <w:r>
              <w:rPr>
                <w:rStyle w:val="24"/>
                <w:rFonts w:hint="eastAsia" w:ascii="仿宋" w:hAnsi="仿宋" w:eastAsia="仿宋" w:cs="仿宋"/>
                <w:b w:val="0"/>
                <w:bCs w:val="0"/>
                <w:sz w:val="24"/>
                <w:szCs w:val="24"/>
                <w:u w:val="none"/>
                <w:lang w:val="en-US" w:eastAsia="zh-CN"/>
              </w:rPr>
              <w:t>新疆阿勒泰地区</w:t>
            </w:r>
            <w:r>
              <w:rPr>
                <w:rStyle w:val="24"/>
                <w:rFonts w:hint="eastAsia" w:ascii="仿宋" w:hAnsi="仿宋" w:eastAsia="仿宋" w:cs="仿宋"/>
                <w:b w:val="0"/>
                <w:bCs w:val="0"/>
                <w:sz w:val="24"/>
                <w:szCs w:val="24"/>
                <w:u w:val="none"/>
                <w:lang w:val="zh-CN" w:eastAsia="zh-CN"/>
              </w:rPr>
              <w:t>富</w:t>
            </w:r>
            <w:r>
              <w:rPr>
                <w:rStyle w:val="24"/>
                <w:rFonts w:hint="eastAsia" w:ascii="仿宋" w:hAnsi="仿宋" w:eastAsia="仿宋" w:cs="仿宋"/>
                <w:b w:val="0"/>
                <w:bCs w:val="0"/>
                <w:sz w:val="24"/>
                <w:szCs w:val="24"/>
                <w:lang w:val="zh-CN" w:eastAsia="zh-CN"/>
              </w:rPr>
              <w:t>蕴县赛尔江西路</w:t>
            </w:r>
            <w:r>
              <w:rPr>
                <w:rStyle w:val="24"/>
                <w:rFonts w:hint="eastAsia" w:ascii="仿宋" w:hAnsi="仿宋" w:eastAsia="仿宋" w:cs="仿宋"/>
                <w:b w:val="0"/>
                <w:bCs w:val="0"/>
                <w:sz w:val="24"/>
                <w:szCs w:val="24"/>
                <w:lang w:val="en-US" w:eastAsia="zh-CN"/>
              </w:rPr>
              <w:t>36号</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lang w:val="en-US" w:eastAsia="zh-CN"/>
              </w:rPr>
              <w:t>曲昌婧</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lang w:val="en-US"/>
              </w:rPr>
            </w:pPr>
            <w:r>
              <w:rPr>
                <w:rFonts w:hint="eastAsia" w:ascii="仿宋" w:hAnsi="仿宋" w:eastAsia="仿宋" w:cs="仿宋"/>
                <w:color w:val="000000"/>
                <w:sz w:val="24"/>
                <w:szCs w:val="24"/>
              </w:rPr>
              <w:t>电  话：</w:t>
            </w:r>
            <w:r>
              <w:rPr>
                <w:rStyle w:val="24"/>
                <w:rFonts w:hint="eastAsia" w:ascii="仿宋" w:hAnsi="仿宋" w:eastAsia="仿宋" w:cs="仿宋"/>
                <w:b w:val="0"/>
                <w:bCs w:val="0"/>
                <w:sz w:val="24"/>
                <w:szCs w:val="24"/>
                <w:highlight w:val="none"/>
                <w:lang w:val="en-US" w:eastAsia="zh-CN"/>
              </w:rPr>
              <w:t>18719900100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项目名称</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 w:eastAsia="zh-CN"/>
              </w:rPr>
              <w:t>2023年义务教育薄弱环节改善与能力提升项目中央资金（第二批）建设项目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采购</w:t>
            </w:r>
            <w:r>
              <w:rPr>
                <w:rFonts w:hint="eastAsia" w:ascii="仿宋" w:hAnsi="仿宋" w:eastAsia="仿宋" w:cs="仿宋"/>
                <w:color w:val="000000"/>
                <w:sz w:val="24"/>
                <w:szCs w:val="24"/>
                <w:lang w:eastAsia="zh-CN"/>
              </w:rPr>
              <w:t>项目</w:t>
            </w:r>
            <w:r>
              <w:rPr>
                <w:rFonts w:hint="eastAsia" w:ascii="仿宋" w:hAnsi="仿宋" w:eastAsia="仿宋" w:cs="仿宋"/>
                <w:color w:val="000000"/>
                <w:sz w:val="24"/>
                <w:szCs w:val="24"/>
              </w:rPr>
              <w:t>编号</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Style w:val="24"/>
                <w:rFonts w:hint="eastAsia" w:ascii="仿宋" w:hAnsi="仿宋" w:eastAsia="仿宋" w:cs="仿宋"/>
                <w:b w:val="0"/>
                <w:bCs w:val="0"/>
                <w:kern w:val="2"/>
                <w:sz w:val="24"/>
                <w:szCs w:val="24"/>
                <w:u w:val="none"/>
                <w:lang w:val="en-US" w:eastAsia="zh-CN" w:bidi="ar-SA"/>
              </w:rPr>
              <w:t>FYXCGZX-JC2023-016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资金来源</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采购内容</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spacing w:val="0"/>
                <w:kern w:val="2"/>
                <w:sz w:val="24"/>
                <w:szCs w:val="24"/>
                <w:highlight w:val="none"/>
                <w:lang w:val="en-US" w:eastAsia="zh-CN" w:bidi="ar-SA"/>
              </w:rPr>
              <w:t>计算机教室7间，书法教室6间。（详见采购需求）。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预算金额</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预算控制金额：</w:t>
            </w:r>
            <w:r>
              <w:rPr>
                <w:rFonts w:hint="eastAsia" w:ascii="仿宋" w:hAnsi="仿宋" w:eastAsia="仿宋" w:cs="仿宋"/>
                <w:sz w:val="24"/>
                <w:szCs w:val="24"/>
                <w:lang w:val="en-US" w:eastAsia="zh-CN"/>
              </w:rPr>
              <w:t>5000000</w:t>
            </w:r>
            <w:r>
              <w:rPr>
                <w:rFonts w:hint="eastAsia" w:ascii="仿宋" w:hAnsi="仿宋" w:eastAsia="仿宋" w:cs="仿宋"/>
                <w:color w:val="auto"/>
                <w:sz w:val="24"/>
                <w:szCs w:val="24"/>
                <w:highlight w:val="none"/>
                <w:lang w:val="en-US" w:eastAsia="zh-CN"/>
              </w:rPr>
              <w:t>元。</w:t>
            </w:r>
          </w:p>
          <w:p>
            <w:pPr>
              <w:tabs>
                <w:tab w:val="left" w:pos="900"/>
              </w:tabs>
              <w:spacing w:before="24" w:beforeLines="10" w:after="24" w:afterLines="10" w:line="360" w:lineRule="exact"/>
              <w:ind w:firstLine="0" w:firstLineChars="0"/>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(此为最高</w:t>
            </w:r>
            <w:r>
              <w:rPr>
                <w:rFonts w:hint="eastAsia" w:ascii="仿宋" w:hAnsi="仿宋" w:eastAsia="仿宋" w:cs="仿宋"/>
                <w:b/>
                <w:bCs/>
                <w:color w:val="000000"/>
                <w:kern w:val="0"/>
                <w:sz w:val="24"/>
                <w:szCs w:val="24"/>
                <w:highlight w:val="none"/>
                <w:lang w:eastAsia="zh-CN"/>
              </w:rPr>
              <w:t>限</w:t>
            </w:r>
            <w:r>
              <w:rPr>
                <w:rFonts w:hint="eastAsia" w:ascii="仿宋" w:hAnsi="仿宋" w:eastAsia="仿宋" w:cs="仿宋"/>
                <w:b/>
                <w:bCs/>
                <w:color w:val="000000"/>
                <w:kern w:val="0"/>
                <w:sz w:val="24"/>
                <w:szCs w:val="24"/>
                <w:highlight w:val="none"/>
              </w:rPr>
              <w:t>价，超过</w:t>
            </w:r>
            <w:r>
              <w:rPr>
                <w:rFonts w:hint="eastAsia" w:ascii="仿宋" w:hAnsi="仿宋" w:eastAsia="仿宋" w:cs="仿宋"/>
                <w:b/>
                <w:bCs/>
                <w:color w:val="000000"/>
                <w:kern w:val="0"/>
                <w:sz w:val="24"/>
                <w:szCs w:val="24"/>
                <w:highlight w:val="none"/>
                <w:lang w:eastAsia="zh-CN"/>
              </w:rPr>
              <w:t>此限价</w:t>
            </w:r>
            <w:r>
              <w:rPr>
                <w:rFonts w:hint="eastAsia" w:ascii="仿宋" w:hAnsi="仿宋" w:eastAsia="仿宋" w:cs="仿宋"/>
                <w:b/>
                <w:bCs/>
                <w:color w:val="000000"/>
                <w:kern w:val="0"/>
                <w:sz w:val="24"/>
                <w:szCs w:val="24"/>
                <w:highlight w:val="none"/>
              </w:rPr>
              <w:t>为无效报价)</w:t>
            </w:r>
          </w:p>
          <w:p>
            <w:pPr>
              <w:keepLines w:val="0"/>
              <w:pageBreakBefore w:val="0"/>
              <w:widowControl w:val="0"/>
              <w:kinsoku/>
              <w:wordWrap/>
              <w:overflowPunct/>
              <w:topLinePunct w:val="0"/>
              <w:autoSpaceDE/>
              <w:autoSpaceDN/>
              <w:bidi w:val="0"/>
              <w:adjustRightInd/>
              <w:snapToGrid/>
              <w:spacing w:line="216" w:lineRule="auto"/>
              <w:jc w:val="left"/>
              <w:textAlignment w:val="auto"/>
              <w:rPr>
                <w:rFonts w:hint="eastAsia" w:ascii="仿宋" w:hAnsi="仿宋" w:eastAsia="仿宋" w:cs="仿宋"/>
                <w:spacing w:val="0"/>
                <w:kern w:val="2"/>
                <w:sz w:val="24"/>
                <w:szCs w:val="24"/>
                <w:highlight w:val="none"/>
                <w:lang w:val="en-US" w:eastAsia="zh-CN" w:bidi="ar-SA"/>
              </w:rPr>
            </w:pPr>
            <w:r>
              <w:rPr>
                <w:rFonts w:hint="eastAsia" w:ascii="仿宋" w:hAnsi="仿宋" w:eastAsia="仿宋" w:cs="仿宋"/>
                <w:b/>
                <w:bCs/>
                <w:color w:val="000000"/>
                <w:kern w:val="0"/>
                <w:sz w:val="24"/>
                <w:szCs w:val="24"/>
                <w:highlight w:val="none"/>
              </w:rPr>
              <w:t>投标报价高于</w:t>
            </w:r>
            <w:r>
              <w:rPr>
                <w:rFonts w:hint="eastAsia" w:ascii="仿宋" w:hAnsi="仿宋" w:eastAsia="仿宋" w:cs="仿宋"/>
                <w:b/>
                <w:bCs/>
                <w:color w:val="000000"/>
                <w:kern w:val="0"/>
                <w:sz w:val="24"/>
                <w:szCs w:val="24"/>
                <w:highlight w:val="none"/>
                <w:lang w:eastAsia="zh-CN"/>
              </w:rPr>
              <w:t>最高限价</w:t>
            </w:r>
            <w:r>
              <w:rPr>
                <w:rFonts w:hint="eastAsia" w:ascii="仿宋" w:hAnsi="仿宋" w:eastAsia="仿宋" w:cs="仿宋"/>
                <w:b/>
                <w:bCs/>
                <w:color w:val="000000"/>
                <w:kern w:val="0"/>
                <w:sz w:val="24"/>
                <w:szCs w:val="24"/>
                <w:highlight w:val="none"/>
              </w:rPr>
              <w:t>按废标处理，敬请</w:t>
            </w:r>
            <w:r>
              <w:rPr>
                <w:rFonts w:hint="eastAsia" w:ascii="仿宋" w:hAnsi="仿宋" w:eastAsia="仿宋" w:cs="仿宋"/>
                <w:b/>
                <w:bCs/>
                <w:color w:val="000000"/>
                <w:kern w:val="0"/>
                <w:sz w:val="24"/>
                <w:szCs w:val="24"/>
                <w:highlight w:val="none"/>
                <w:lang w:eastAsia="zh-CN"/>
              </w:rPr>
              <w:t>供应商</w:t>
            </w:r>
            <w:r>
              <w:rPr>
                <w:rFonts w:hint="eastAsia" w:ascii="仿宋" w:hAnsi="仿宋" w:eastAsia="仿宋" w:cs="仿宋"/>
                <w:b/>
                <w:bCs/>
                <w:color w:val="000000"/>
                <w:kern w:val="0"/>
                <w:sz w:val="24"/>
                <w:szCs w:val="24"/>
                <w:highlight w:val="none"/>
              </w:rPr>
              <w:t>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eastAsia="zh-CN"/>
              </w:rPr>
              <w:t>是否允许采购进口产品</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评标方法</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eastAsia="zh-CN"/>
              </w:rPr>
              <w:t>分包</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供货期</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sz w:val="24"/>
                <w:szCs w:val="24"/>
              </w:rPr>
              <w:t>合同签订后15个日历天完成供货、安装、调试工作。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12</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交货地点</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13</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节能产品、环境标志产品政府优先采购或强制采购</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14</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供应商资格要求</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满足《中华人民共和国政府采购法》第二十二条规定；</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（1）提供经年审合格有效的营业执照；</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（2）具有良好的商业信誉和健全的财务会计制度（须提供2021年或2022年度财务审计报告，2023年新成立公司可不提供但须提供银行出具的资信证明）；</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（3）法定代表人投标需提供法定代表人证明书及法定代表人身份证（原件扫描件），委托代理人投标需提供法定代表人授权委托书及委托代理人身份证（原件扫描件）；</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（4）参加政府采购活动前三年内，在经营活动中没有重大违法记录，无失信行为，（供应商须出具企业及法定代表人无重大违法记录承诺书，无失信行为承诺书）；</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（5）本项目不接受联合体投标；</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（6）投标保证金缴纳证明材料。</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 xml:space="preserve">  注：以上所有资料需提供扫描件加盖公章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是否接受联合体投标</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16</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报价要求</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有关本项目实施所需的所有费用（货物、技术服务，包装、仓储、运输、装卸、保险、税金、安装，货到就位等一切税金和费用）均计入报价。投标文件开标一览表（报价表）</w:t>
            </w:r>
            <w:r>
              <w:rPr>
                <w:rFonts w:hint="eastAsia" w:ascii="仿宋" w:hAnsi="仿宋" w:eastAsia="仿宋" w:cs="仿宋"/>
                <w:color w:val="000000"/>
                <w:sz w:val="24"/>
                <w:szCs w:val="24"/>
                <w:highlight w:val="none"/>
                <w:lang w:val="en" w:eastAsia="zh-CN"/>
              </w:rPr>
              <w:t>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000000"/>
                <w:sz w:val="24"/>
                <w:szCs w:val="24"/>
                <w:highlight w:val="none"/>
                <w:lang w:val="zh-CN" w:eastAsia="zh-CN"/>
              </w:rPr>
              <w:t>投标文件中价格全部采用人民币报价。招标文件未列明，而投标人认为必需的费用也需列入报价。提醒：验收时检测费用由</w:t>
            </w:r>
            <w:r>
              <w:rPr>
                <w:rFonts w:hint="eastAsia" w:ascii="仿宋" w:hAnsi="仿宋" w:eastAsia="仿宋" w:cs="仿宋"/>
                <w:color w:val="000000"/>
                <w:sz w:val="24"/>
                <w:szCs w:val="24"/>
                <w:highlight w:val="none"/>
                <w:lang w:val="en" w:eastAsia="zh-CN"/>
              </w:rPr>
              <w:t>采购人</w:t>
            </w:r>
            <w:r>
              <w:rPr>
                <w:rFonts w:hint="eastAsia" w:ascii="仿宋" w:hAnsi="仿宋" w:eastAsia="仿宋" w:cs="仿宋"/>
                <w:color w:val="000000"/>
                <w:sz w:val="24"/>
                <w:szCs w:val="24"/>
                <w:highlight w:val="none"/>
                <w:lang w:val="zh-CN" w:eastAsia="zh-CN"/>
              </w:rPr>
              <w:t>承担，不包含在投标总价中。</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投标报价出现下列情形的，投标无效：</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投标文件出现不是唯一的、有选择性投标报价的；</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投标报价超过招标文件中规定的预算金额或者最高限价的;</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eastAsia="zh-CN"/>
              </w:rPr>
              <w:t>报价明显低于其他通过符合性审查投标人的报价，有可能影响产品质量或者不能诚信履约的，未能按要求提供书面说明或者提交相关证明材料证明其报价合理性的;</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17</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偏离</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本项目不允许负偏离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18</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供应商提出问题或要求澄清招标文件的截止时间</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自采购文件发售时间起的</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lang w:val="en" w:eastAsia="zh-CN"/>
              </w:rPr>
              <w:t>个工作日内（各潜在</w:t>
            </w:r>
            <w:r>
              <w:rPr>
                <w:rFonts w:hint="eastAsia" w:ascii="仿宋" w:hAnsi="仿宋" w:eastAsia="仿宋" w:cs="仿宋"/>
                <w:color w:val="000000"/>
                <w:sz w:val="24"/>
                <w:szCs w:val="24"/>
                <w:highlight w:val="none"/>
                <w:lang w:val="en-US" w:eastAsia="zh-CN"/>
              </w:rPr>
              <w:t>供应商</w:t>
            </w:r>
            <w:r>
              <w:rPr>
                <w:rFonts w:hint="eastAsia" w:ascii="仿宋" w:hAnsi="仿宋" w:eastAsia="仿宋" w:cs="仿宋"/>
                <w:color w:val="000000"/>
                <w:sz w:val="24"/>
                <w:szCs w:val="24"/>
                <w:highlight w:val="none"/>
                <w:lang w:val="en" w:eastAsia="zh-CN"/>
              </w:rPr>
              <w:t>如有质疑，请于规定的日期内提出，以书面形式提出质疑，质疑书应列明理由、依据，加盖单位公章递交至</w:t>
            </w:r>
            <w:r>
              <w:rPr>
                <w:rFonts w:hint="eastAsia" w:ascii="仿宋" w:hAnsi="仿宋" w:eastAsia="仿宋" w:cs="仿宋"/>
                <w:color w:val="000000"/>
                <w:sz w:val="24"/>
                <w:szCs w:val="24"/>
                <w:highlight w:val="none"/>
                <w:lang w:val="en-US" w:eastAsia="zh-CN"/>
              </w:rPr>
              <w:t>富蕴县采购中心</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US" w:eastAsia="zh-CN"/>
              </w:rPr>
              <w:t>供应商</w:t>
            </w:r>
            <w:r>
              <w:rPr>
                <w:rFonts w:hint="eastAsia" w:ascii="仿宋" w:hAnsi="仿宋" w:eastAsia="仿宋" w:cs="仿宋"/>
                <w:color w:val="000000"/>
                <w:sz w:val="24"/>
                <w:szCs w:val="24"/>
                <w:highlight w:val="none"/>
                <w:lang w:val="en" w:eastAsia="zh-CN"/>
              </w:rPr>
              <w:t>须对质疑内容的真实性承担责任，由采购人或采购代理机构负责解释。如在规定的日期内未收到任何采购人递交的质疑书，视为</w:t>
            </w:r>
            <w:r>
              <w:rPr>
                <w:rFonts w:hint="eastAsia" w:ascii="仿宋" w:hAnsi="仿宋" w:eastAsia="仿宋" w:cs="仿宋"/>
                <w:color w:val="000000"/>
                <w:sz w:val="24"/>
                <w:szCs w:val="24"/>
                <w:highlight w:val="none"/>
                <w:lang w:val="en-US" w:eastAsia="zh-CN"/>
              </w:rPr>
              <w:t>供应商</w:t>
            </w:r>
            <w:r>
              <w:rPr>
                <w:rFonts w:hint="eastAsia" w:ascii="仿宋" w:hAnsi="仿宋" w:eastAsia="仿宋" w:cs="仿宋"/>
                <w:color w:val="000000"/>
                <w:sz w:val="24"/>
                <w:szCs w:val="24"/>
                <w:highlight w:val="none"/>
                <w:lang w:val="en" w:eastAsia="zh-CN"/>
              </w:rPr>
              <w:t>可完全响应。）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19</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招标文件澄清、修改发出的形式</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招标文件的澄清、修改将在新疆政府采购网上发布“变更公告”，如需修改招标文件，则重新到领取地址领取招标文件，如不以最新领取的“招标文件”编制响应文件，造成响应无效的后果由供应商自己承担。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20</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响应文件有效期</w:t>
            </w:r>
          </w:p>
        </w:tc>
        <w:tc>
          <w:tcPr>
            <w:tcW w:w="6593" w:type="dxa"/>
            <w:noWrap w:val="0"/>
            <w:vAlign w:val="top"/>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 w:eastAsia="zh-CN"/>
              </w:rPr>
              <w:t>提交响应文件截止时间后</w:t>
            </w:r>
            <w:r>
              <w:rPr>
                <w:rFonts w:hint="eastAsia" w:ascii="仿宋" w:hAnsi="仿宋" w:eastAsia="仿宋" w:cs="仿宋"/>
                <w:color w:val="000000"/>
                <w:sz w:val="24"/>
                <w:szCs w:val="24"/>
                <w:highlight w:val="none"/>
                <w:lang w:val="en-US" w:eastAsia="zh-CN"/>
              </w:rPr>
              <w:t>60</w:t>
            </w:r>
            <w:r>
              <w:rPr>
                <w:rFonts w:hint="eastAsia" w:ascii="仿宋" w:hAnsi="仿宋" w:eastAsia="仿宋" w:cs="仿宋"/>
                <w:color w:val="000000"/>
                <w:sz w:val="24"/>
                <w:szCs w:val="24"/>
                <w:highlight w:val="none"/>
                <w:lang w:val="en" w:eastAsia="zh-CN"/>
              </w:rPr>
              <w:t>天，有效期短于该期限的响应将被拒绝。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1"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21</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投标保证金</w:t>
            </w:r>
          </w:p>
        </w:tc>
        <w:tc>
          <w:tcPr>
            <w:tcW w:w="6593" w:type="dxa"/>
            <w:noWrap w:val="0"/>
            <w:vAlign w:val="top"/>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投标保证金金额：50000.00元整，大写：伍万元整</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投标保证金的形式：转账、汇款（须从投标企业基本账户转出）、</w:t>
            </w:r>
            <w:r>
              <w:rPr>
                <w:rFonts w:hint="eastAsia" w:ascii="仿宋" w:hAnsi="仿宋" w:eastAsia="仿宋" w:cs="仿宋"/>
                <w:color w:val="000000"/>
                <w:sz w:val="24"/>
                <w:szCs w:val="24"/>
                <w:highlight w:val="none"/>
                <w:lang w:val="zh-CN" w:eastAsia="zh-CN"/>
              </w:rPr>
              <w:t>支票、汇票、本票、担保机构出具的保函等非现金形式</w:t>
            </w:r>
            <w:r>
              <w:rPr>
                <w:rFonts w:hint="eastAsia" w:ascii="仿宋" w:hAnsi="仿宋" w:eastAsia="仿宋" w:cs="仿宋"/>
                <w:color w:val="000000"/>
                <w:sz w:val="24"/>
                <w:szCs w:val="24"/>
                <w:highlight w:val="none"/>
                <w:lang w:val="en-US" w:eastAsia="zh-CN"/>
              </w:rPr>
              <w:t>。</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开户名称：</w:t>
            </w:r>
            <w:r>
              <w:rPr>
                <w:rFonts w:hint="eastAsia" w:ascii="仿宋" w:hAnsi="仿宋" w:eastAsia="仿宋" w:cs="仿宋"/>
                <w:color w:val="000000"/>
                <w:sz w:val="24"/>
                <w:szCs w:val="24"/>
                <w:highlight w:val="none"/>
                <w:lang w:val="en-US" w:eastAsia="zh-CN"/>
              </w:rPr>
              <w:t xml:space="preserve">富蕴县政府采购中心 </w:t>
            </w:r>
            <w:r>
              <w:rPr>
                <w:rFonts w:hint="eastAsia" w:ascii="仿宋" w:hAnsi="仿宋" w:eastAsia="仿宋" w:cs="仿宋"/>
                <w:color w:val="000000"/>
                <w:sz w:val="24"/>
                <w:szCs w:val="24"/>
                <w:highlight w:val="none"/>
                <w:lang w:val="zh-CN" w:eastAsia="zh-CN"/>
              </w:rPr>
              <w:t xml:space="preserve"> </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zh-CN" w:eastAsia="zh-CN"/>
              </w:rPr>
              <w:t>开户银行：</w:t>
            </w:r>
            <w:r>
              <w:rPr>
                <w:rFonts w:hint="eastAsia" w:ascii="仿宋" w:hAnsi="仿宋" w:eastAsia="仿宋" w:cs="仿宋"/>
                <w:color w:val="000000"/>
                <w:sz w:val="24"/>
                <w:szCs w:val="24"/>
                <w:highlight w:val="none"/>
                <w:lang w:val="en-US" w:eastAsia="zh-CN"/>
              </w:rPr>
              <w:t>中国工商银行股份有限公司富蕴县支行</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zh-CN" w:eastAsia="zh-CN"/>
              </w:rPr>
              <w:t>账号：</w:t>
            </w:r>
            <w:r>
              <w:rPr>
                <w:rFonts w:hint="eastAsia" w:ascii="仿宋" w:hAnsi="仿宋" w:eastAsia="仿宋" w:cs="仿宋"/>
                <w:color w:val="000000"/>
                <w:sz w:val="24"/>
                <w:szCs w:val="24"/>
                <w:highlight w:val="none"/>
                <w:lang w:val="en-US" w:eastAsia="zh-CN"/>
              </w:rPr>
              <w:t>3008150109200136888</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开户行号：</w:t>
            </w:r>
            <w:r>
              <w:rPr>
                <w:rFonts w:hint="eastAsia" w:ascii="仿宋" w:hAnsi="仿宋" w:eastAsia="仿宋" w:cs="仿宋"/>
                <w:color w:val="000000"/>
                <w:sz w:val="24"/>
                <w:szCs w:val="24"/>
                <w:highlight w:val="none"/>
                <w:lang w:val="en-US" w:eastAsia="zh-CN"/>
              </w:rPr>
              <w:t>102902300018</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备注：</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项目名称：2023年义务教育薄弱环节改善与能力提升项目中央资金（第二批）建设项目</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2、用途：投标保证金。</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zh-CN" w:eastAsia="zh-CN"/>
              </w:rPr>
              <w:t>3、</w:t>
            </w:r>
            <w:r>
              <w:rPr>
                <w:rFonts w:hint="eastAsia" w:ascii="仿宋" w:hAnsi="仿宋" w:eastAsia="仿宋" w:cs="仿宋"/>
                <w:color w:val="000000"/>
                <w:sz w:val="24"/>
                <w:szCs w:val="24"/>
                <w:highlight w:val="none"/>
                <w:lang w:val="en-US" w:eastAsia="zh-CN"/>
              </w:rPr>
              <w:t>以投标企业的账户一次性汇入至</w:t>
            </w:r>
            <w:r>
              <w:rPr>
                <w:rFonts w:hint="eastAsia" w:ascii="仿宋" w:hAnsi="仿宋" w:eastAsia="仿宋" w:cs="仿宋"/>
                <w:color w:val="000000"/>
                <w:sz w:val="24"/>
                <w:szCs w:val="24"/>
                <w:highlight w:val="none"/>
                <w:lang w:val="zh-CN" w:eastAsia="zh-CN"/>
              </w:rPr>
              <w:t>富蕴县政府采购中心</w:t>
            </w:r>
            <w:r>
              <w:rPr>
                <w:rFonts w:hint="eastAsia" w:ascii="仿宋" w:hAnsi="仿宋" w:eastAsia="仿宋" w:cs="仿宋"/>
                <w:color w:val="000000"/>
                <w:sz w:val="24"/>
                <w:szCs w:val="24"/>
                <w:highlight w:val="none"/>
                <w:lang w:val="en-US" w:eastAsia="zh-CN"/>
              </w:rPr>
              <w:t>指定账户（以实际到账时间为准，逾期无效）</w:t>
            </w:r>
            <w:r>
              <w:rPr>
                <w:rFonts w:hint="eastAsia" w:ascii="仿宋" w:hAnsi="仿宋" w:eastAsia="仿宋" w:cs="仿宋"/>
                <w:color w:val="000000"/>
                <w:sz w:val="24"/>
                <w:szCs w:val="24"/>
                <w:highlight w:val="none"/>
                <w:lang w:val="zh-CN" w:eastAsia="zh-CN"/>
              </w:rPr>
              <w:t>。投标保证金缴纳时间为自领取招标文件之日起至202</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zh-CN" w:eastAsia="zh-CN"/>
              </w:rPr>
              <w:t>年</w:t>
            </w: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zh-CN" w:eastAsia="zh-CN"/>
              </w:rPr>
              <w:t>月</w:t>
            </w:r>
            <w:r>
              <w:rPr>
                <w:rFonts w:hint="eastAsia" w:ascii="仿宋" w:hAnsi="仿宋" w:eastAsia="仿宋" w:cs="仿宋"/>
                <w:color w:val="000000"/>
                <w:sz w:val="24"/>
                <w:szCs w:val="24"/>
                <w:highlight w:val="none"/>
                <w:lang w:val="en-US" w:eastAsia="zh-CN"/>
              </w:rPr>
              <w:t>30</w:t>
            </w:r>
            <w:r>
              <w:rPr>
                <w:rFonts w:hint="eastAsia" w:ascii="仿宋" w:hAnsi="仿宋" w:eastAsia="仿宋" w:cs="仿宋"/>
                <w:color w:val="000000"/>
                <w:sz w:val="24"/>
                <w:szCs w:val="24"/>
                <w:highlight w:val="none"/>
                <w:lang w:val="zh-CN" w:eastAsia="zh-CN"/>
              </w:rPr>
              <w:t>日</w:t>
            </w:r>
            <w:r>
              <w:rPr>
                <w:rFonts w:hint="eastAsia" w:ascii="仿宋" w:hAnsi="仿宋" w:eastAsia="仿宋" w:cs="仿宋"/>
                <w:color w:val="000000"/>
                <w:sz w:val="24"/>
                <w:szCs w:val="24"/>
                <w:highlight w:val="none"/>
                <w:lang w:val="en-US" w:eastAsia="zh-CN"/>
              </w:rPr>
              <w:t>20</w:t>
            </w:r>
            <w:r>
              <w:rPr>
                <w:rFonts w:hint="eastAsia" w:ascii="仿宋" w:hAnsi="仿宋" w:eastAsia="仿宋" w:cs="仿宋"/>
                <w:color w:val="000000"/>
                <w:sz w:val="24"/>
                <w:szCs w:val="24"/>
                <w:highlight w:val="none"/>
                <w:lang w:val="zh-CN" w:eastAsia="zh-CN"/>
              </w:rPr>
              <w:t>时</w:t>
            </w:r>
            <w:r>
              <w:rPr>
                <w:rFonts w:hint="eastAsia" w:ascii="仿宋" w:hAnsi="仿宋" w:eastAsia="仿宋" w:cs="仿宋"/>
                <w:color w:val="000000"/>
                <w:sz w:val="24"/>
                <w:szCs w:val="24"/>
                <w:highlight w:val="none"/>
                <w:lang w:val="en-US" w:eastAsia="zh-CN"/>
              </w:rPr>
              <w:t>00</w:t>
            </w:r>
            <w:r>
              <w:rPr>
                <w:rFonts w:hint="eastAsia" w:ascii="仿宋" w:hAnsi="仿宋" w:eastAsia="仿宋" w:cs="仿宋"/>
                <w:color w:val="000000"/>
                <w:sz w:val="24"/>
                <w:szCs w:val="24"/>
                <w:highlight w:val="none"/>
                <w:lang w:val="zh-CN" w:eastAsia="zh-CN"/>
              </w:rPr>
              <w:t>分前</w:t>
            </w:r>
            <w:r>
              <w:rPr>
                <w:rFonts w:hint="eastAsia" w:ascii="仿宋" w:hAnsi="仿宋" w:eastAsia="仿宋" w:cs="仿宋"/>
                <w:color w:val="000000"/>
                <w:sz w:val="24"/>
                <w:szCs w:val="24"/>
                <w:highlight w:val="none"/>
                <w:lang w:val="en-US" w:eastAsia="zh-CN"/>
              </w:rPr>
              <w:t>到达</w:t>
            </w:r>
            <w:r>
              <w:rPr>
                <w:rFonts w:hint="eastAsia" w:ascii="仿宋" w:hAnsi="仿宋" w:eastAsia="仿宋" w:cs="仿宋"/>
                <w:color w:val="000000"/>
                <w:sz w:val="24"/>
                <w:szCs w:val="24"/>
                <w:highlight w:val="none"/>
                <w:lang w:val="zh-CN" w:eastAsia="zh-CN"/>
              </w:rPr>
              <w:t>指定账户，缴纳投标保证金时应在付款用途里标明项目</w:t>
            </w:r>
            <w:r>
              <w:rPr>
                <w:rFonts w:hint="eastAsia" w:ascii="仿宋" w:hAnsi="仿宋" w:eastAsia="仿宋" w:cs="仿宋"/>
                <w:color w:val="000000"/>
                <w:sz w:val="24"/>
                <w:szCs w:val="24"/>
                <w:highlight w:val="none"/>
                <w:lang w:val="en-US" w:eastAsia="zh-CN"/>
              </w:rPr>
              <w:t>名称</w:t>
            </w:r>
            <w:r>
              <w:rPr>
                <w:rFonts w:hint="eastAsia" w:ascii="仿宋" w:hAnsi="仿宋" w:eastAsia="仿宋" w:cs="仿宋"/>
                <w:color w:val="000000"/>
                <w:sz w:val="24"/>
                <w:szCs w:val="24"/>
                <w:highlight w:val="none"/>
                <w:lang w:val="zh-CN" w:eastAsia="zh-CN"/>
              </w:rPr>
              <w:t>及用途，投标保证金以进账时间为准，供应商在缴纳投标保证金时，应充分考虑资金在途时间，投标保证金以其进账时间确定其有效性，如在规定时间内未进到指定账户，则按否决投标处理。</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en-US" w:eastAsia="zh-CN"/>
              </w:rPr>
              <w:t>退保证金须知：</w:t>
            </w:r>
            <w:r>
              <w:rPr>
                <w:rFonts w:hint="eastAsia" w:ascii="仿宋" w:hAnsi="仿宋" w:eastAsia="仿宋" w:cs="仿宋"/>
                <w:color w:val="000000"/>
                <w:sz w:val="24"/>
                <w:szCs w:val="24"/>
                <w:highlight w:val="none"/>
                <w:lang w:val="zh-CN" w:eastAsia="zh-CN"/>
              </w:rPr>
              <w:t>开标结束后</w:t>
            </w:r>
            <w:r>
              <w:rPr>
                <w:rFonts w:hint="eastAsia" w:ascii="仿宋" w:hAnsi="仿宋" w:eastAsia="仿宋" w:cs="仿宋"/>
                <w:color w:val="000000"/>
                <w:sz w:val="24"/>
                <w:szCs w:val="24"/>
                <w:highlight w:val="none"/>
                <w:lang w:val="en-US" w:eastAsia="zh-CN"/>
              </w:rPr>
              <w:t>5个工作日内</w:t>
            </w:r>
            <w:r>
              <w:rPr>
                <w:rFonts w:hint="eastAsia" w:ascii="仿宋" w:hAnsi="仿宋" w:eastAsia="仿宋" w:cs="仿宋"/>
                <w:color w:val="000000"/>
                <w:sz w:val="24"/>
                <w:szCs w:val="24"/>
                <w:highlight w:val="none"/>
                <w:lang w:val="zh-CN" w:eastAsia="zh-CN"/>
              </w:rPr>
              <w:t>，原路退回未中标企业现保证金；中标企业的保证金在签订合同后</w:t>
            </w:r>
            <w:r>
              <w:rPr>
                <w:rFonts w:hint="eastAsia" w:ascii="仿宋" w:hAnsi="仿宋" w:eastAsia="仿宋" w:cs="仿宋"/>
                <w:color w:val="000000"/>
                <w:sz w:val="24"/>
                <w:szCs w:val="24"/>
                <w:highlight w:val="none"/>
                <w:lang w:val="en-US" w:eastAsia="zh-CN"/>
              </w:rPr>
              <w:t>5个工作日内</w:t>
            </w:r>
            <w:r>
              <w:rPr>
                <w:rFonts w:hint="eastAsia" w:ascii="仿宋" w:hAnsi="仿宋" w:eastAsia="仿宋" w:cs="仿宋"/>
                <w:color w:val="000000"/>
                <w:sz w:val="24"/>
                <w:szCs w:val="24"/>
                <w:highlight w:val="none"/>
                <w:lang w:val="zh-CN" w:eastAsia="zh-CN"/>
              </w:rPr>
              <w:t>原路退回。账户如有变更，需提供纸质版资料富蕴县财政局财务室（可邮寄）。</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b/>
                <w:bCs/>
                <w:color w:val="000000"/>
                <w:sz w:val="24"/>
                <w:szCs w:val="24"/>
                <w:highlight w:val="none"/>
                <w:lang w:val="zh-CN" w:eastAsia="zh-CN"/>
              </w:rPr>
              <w:t>投标人若使用银行保函，必须由投标人提供其基本账户开户银行的保函形式作为投标担保，并且在开具保函的银行官网能查验真伪信息，提供保函信息包括相关有助于查验真伪信息的查询码、编码、数据等；须提供保函原件扫描件、开户许可证、购买保函时转账凭证扫描件以及近三个月业务流水原件扫描件。投标人若使用工程担保公司、保险机构开具的保函，需提供保函原件扫描件、开户许可证、购买保函时转账凭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22</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响应文件编制</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1.响应文件的编制：供应商应先安装“政采云电子投标客户端”，并按照本谈判文件和“政府采购云平台”的要求，通过“政采云电子投标客户端”编制并加密响应文件。</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zh-CN" w:eastAsia="zh-C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zh-CN" w:eastAsia="zh-CN"/>
              </w:rPr>
              <w:t>“电子加密响应文件”：在线上传递交，一份。</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3.制作电子版响应文件时应将编辑页面设置为A4纸尺寸，封面按照投标文件封皮格式制作，编制文件目录、插入完整页码，具体样式附后。</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 .电子版响应文件编辑完成后，供应商需将电子版响应文件转换为PDF格式文件，并在公告规定的开标时间前将电子加密响应文件上传至政府采购云平台投标客户端。（政府采购云平台投标客户端下载地址：https://customer.zcygov.cn/CA-driver-download?utm=web-ca-front.3ddc8fbb.0.0.744734903d5911ec80b1370c1c0d466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23</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响应文件解密时间</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US" w:eastAsia="zh-CN"/>
              </w:rPr>
              <w:t>响应文件解密时间30分钟；开标前需响应单位用CA证书登录政采云平台开标大厅签到，在30分钟解密时间内输入CA证书PIN码解密响应文件。在30分钟解密时间内未进行解密的响应单位可能导致废标。（解密时间开始时政采云平台将以短信形式向供应商在政采云平台预留的手机号发送短信通知，请供应商及时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24</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供应商报价CA签字确认</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US" w:eastAsia="zh-CN"/>
              </w:rPr>
              <w:t>报价文件开启后将开启签字时段，供应商须在规定时间内用CA证书对报价进行签字确认；确认完成后不得离开，需等待下一轮报价。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25</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提交响应文件截止时间</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eastAsia="zh-CN"/>
              </w:rPr>
              <w:t>20</w:t>
            </w:r>
            <w:r>
              <w:rPr>
                <w:rFonts w:hint="eastAsia" w:ascii="仿宋" w:hAnsi="仿宋" w:eastAsia="仿宋" w:cs="仿宋"/>
                <w:color w:val="000000"/>
                <w:sz w:val="24"/>
                <w:szCs w:val="24"/>
                <w:highlight w:val="none"/>
                <w:lang w:val="en-US" w:eastAsia="zh-CN"/>
              </w:rPr>
              <w:t>23</w:t>
            </w:r>
            <w:r>
              <w:rPr>
                <w:rFonts w:hint="eastAsia" w:ascii="仿宋" w:hAnsi="仿宋" w:eastAsia="仿宋" w:cs="仿宋"/>
                <w:color w:val="000000"/>
                <w:sz w:val="24"/>
                <w:szCs w:val="24"/>
                <w:highlight w:val="none"/>
                <w:lang w:val="en" w:eastAsia="zh-CN"/>
              </w:rPr>
              <w:t>年</w:t>
            </w: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val="en" w:eastAsia="zh-CN"/>
              </w:rPr>
              <w:t>月</w:t>
            </w:r>
            <w:r>
              <w:rPr>
                <w:rFonts w:hint="eastAsia" w:ascii="仿宋" w:hAnsi="仿宋" w:eastAsia="仿宋" w:cs="仿宋"/>
                <w:color w:val="000000"/>
                <w:sz w:val="24"/>
                <w:szCs w:val="24"/>
                <w:highlight w:val="none"/>
                <w:lang w:val="en-US" w:eastAsia="zh-CN"/>
              </w:rPr>
              <w:t>31</w:t>
            </w:r>
            <w:r>
              <w:rPr>
                <w:rFonts w:hint="eastAsia" w:ascii="仿宋" w:hAnsi="仿宋" w:eastAsia="仿宋" w:cs="仿宋"/>
                <w:color w:val="000000"/>
                <w:sz w:val="24"/>
                <w:szCs w:val="24"/>
                <w:highlight w:val="none"/>
                <w:lang w:val="en" w:eastAsia="zh-CN"/>
              </w:rPr>
              <w:t>日</w:t>
            </w: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lang w:val="en" w:eastAsia="zh-CN"/>
              </w:rPr>
              <w:t>:</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val="en" w:eastAsia="zh-CN"/>
              </w:rPr>
              <w:t>0</w:t>
            </w:r>
            <w:r>
              <w:rPr>
                <w:rFonts w:hint="eastAsia" w:ascii="仿宋" w:hAnsi="仿宋" w:eastAsia="仿宋" w:cs="仿宋"/>
                <w:color w:val="000000"/>
                <w:sz w:val="24"/>
                <w:szCs w:val="24"/>
                <w:highlight w:val="none"/>
                <w:lang w:val="en-US" w:eastAsia="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26</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提交响应文件地点</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eastAsia="zh-CN"/>
              </w:rPr>
              <w:t>新疆政府采购云平台（www.zcygov.cn）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27</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招标开启时间和地点</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开启时间：同提交响应文件截止时间</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开启地点：同提交响应文件地点、按供应商代表签到时间顺序开启</w:t>
            </w:r>
            <w:r>
              <w:rPr>
                <w:rFonts w:hint="eastAsia" w:ascii="仿宋" w:hAnsi="仿宋" w:eastAsia="仿宋" w:cs="仿宋"/>
                <w:color w:val="000000"/>
                <w:sz w:val="24"/>
                <w:szCs w:val="24"/>
                <w:highlight w:val="none"/>
                <w:lang w:val="en" w:eastAsia="zh-CN"/>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28</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招标小组的组建</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招标小组构成：5人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29</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是否授权招标小组确定成交供应商</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否，推荐的中标候选人数： 三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30</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确定成交的原则</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招标小组从质量和服务均能满足招标文件实质性响应要求的供应商中，按照评审报价由低到高的顺序推荐前三名为成交候选人。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31</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成交结果公布媒介及期限</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公布媒介：新疆政府采购网上公布。</w:t>
            </w:r>
          </w:p>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32</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履约保证金</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33</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签订合同期限</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供应商应当自中标通知书发出之日起30日内，按照招标文件和中标人投标文件的规定，与中标人签订书面合同。所签订的合同不得对招标文件确定的事项和中标人投标文件作实质性修改。如未按时签订合同作废标处理，不予退还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34</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质疑函的递交方式</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质疑函应以书面方式当面递交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35</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eastAsia="zh-CN"/>
              </w:rPr>
              <w:t>样品</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36</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 w:eastAsia="zh-CN"/>
              </w:rPr>
            </w:pPr>
            <w:r>
              <w:rPr>
                <w:rFonts w:hint="eastAsia" w:ascii="仿宋" w:hAnsi="仿宋" w:eastAsia="仿宋" w:cs="仿宋"/>
                <w:color w:val="000000"/>
                <w:sz w:val="24"/>
                <w:szCs w:val="24"/>
                <w:highlight w:val="none"/>
                <w:lang w:val="en" w:eastAsia="zh-CN"/>
              </w:rPr>
              <w:t>招标预备会</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93" w:type="dxa"/>
            <w:noWrap w:val="0"/>
            <w:vAlign w:val="center"/>
          </w:tcPr>
          <w:p>
            <w:pPr>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37</w:t>
            </w:r>
          </w:p>
        </w:tc>
        <w:tc>
          <w:tcPr>
            <w:tcW w:w="2472"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代理服务费方式</w:t>
            </w:r>
          </w:p>
        </w:tc>
        <w:tc>
          <w:tcPr>
            <w:tcW w:w="6593" w:type="dxa"/>
            <w:noWrap w:val="0"/>
            <w:vAlign w:val="center"/>
          </w:tcPr>
          <w:p>
            <w:pPr>
              <w:keepLines w:val="0"/>
              <w:pageBreakBefore w:val="0"/>
              <w:widowControl w:val="0"/>
              <w:kinsoku/>
              <w:wordWrap/>
              <w:overflowPunct/>
              <w:topLinePunct w:val="0"/>
              <w:autoSpaceDE/>
              <w:autoSpaceDN/>
              <w:bidi w:val="0"/>
              <w:adjustRightInd/>
              <w:snapToGrid/>
              <w:spacing w:line="216" w:lineRule="auto"/>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 xml:space="preserve">本项目无需代理费      </w:t>
            </w:r>
          </w:p>
        </w:tc>
      </w:tr>
    </w:tbl>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一、总则</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1. 适用范围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本招标文件适用于该项目的招标、投标、开标、资格审查及信用信息查询、评标、定标、合同、验收等行为（法律、法规另有规定的，从其规定）。</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2.定义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 “采购人”系指招标公告中载明的本项目的采购人。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 “采购代理机构”系指招标公告中载明的本项目的采购代理机构。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 “投标人”系指是指响应招标、参加投标竞争的法人、其他组织或者自然人。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 “负责人”系指法人企业的法定负责人，或其他组织为法律、行政法规规定代表单位行使职权的主要负责人，或自然人本人。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2.6“电子交易平台”是指本项目政府采购活动所依托的政府采购云平台（https://www.zcygov.cn/）。</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3. 采购项目需要落实的政府采购政策</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3.1</w:t>
      </w:r>
      <w:r>
        <w:rPr>
          <w:rFonts w:hint="eastAsia" w:ascii="仿宋" w:hAnsi="仿宋" w:eastAsia="仿宋" w:cs="仿宋"/>
          <w:sz w:val="24"/>
          <w:szCs w:val="24"/>
        </w:rPr>
        <w:t xml:space="preserve">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3.2 支持绿色发展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bCs/>
          <w:sz w:val="24"/>
          <w:szCs w:val="24"/>
        </w:rPr>
      </w:pPr>
      <w:r>
        <w:rPr>
          <w:rFonts w:hint="eastAsia" w:ascii="仿宋" w:hAnsi="仿宋" w:eastAsia="仿宋" w:cs="仿宋"/>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sz w:val="24"/>
          <w:szCs w:val="24"/>
        </w:rPr>
        <w:t>采购人拟采购的产品属于政府强制采购的节能产品品目清单范围的，投标人相应的投标产品未获得国家确定的认证机构出具的、处于有效期之内的节能产品认证证书的，投标无效。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3.2.2纳入政府采购管理的修缮、装修类项目采购建材的，鼓励采购单位将绿色建材性能、指标等作为实质性条件纳入采购文件和合同，具体性能指标要求参考相关绿色建材政府采购需求标准。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3.3支持中小企业发展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3.3.2在政府采购活动中，投标人提供的货物、工程或者服务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3.3.3对于未预留份额专门面向中小企业的政府采购货物项目，以及预留份额政府采购货物项目中的非预留部分标项，对小型和微型企业的投标报价给予10%-20%的扣除（招标文件第四部分评标办分法明确具体的扣除比例），用扣除后的价格参与评审。接受大中型企业与小微企业组成联合体或者允许大中型企业向一家或者多家小微企业分包的政府采购货物项目的，对于联合协议或者分包意向协议约定小微企业的合同份额占到合同总金额30%以上的，对联合体或者大中型企业的报价给予4%-6%（招标文件第四部分评标办分法明确具体的扣除比例，未明确的，给予6%的扣除）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3.3.4符合《关于促进残疾人就业政府采购政策的通知》（财库〔2017〕141号）规定的条件并提供《残疾人福利性单位声明函》（附件1）的残疾人福利性单位视同小型、微型企业；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3.3.7中小企业享受扶持政策获得政府采购合同的，小微企业不得将合同分包给大中型企业，中型企业不得将合同分包给大型企业。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4. 询问、质疑、投诉</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4.1供应商询问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4.2供应商质疑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4.2.1提出质疑的供应商应当是参与所质疑项目采购活动的供应商。潜在供应商已依法获取其可质疑的招标文件的，可以对该文件提出质疑。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4.2.2.1对招标文件提出质疑的，质疑期限为供应商获得招标文件之日或者招标文件公告期限届满之日起计算。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4.2.2.2对采购过程提出质疑的，质疑期限为各采购程序环节结束之日起计算。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4.2.2.3对采购结果提出质疑的，质疑期限自采购结果公告期限届满之日起计算。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4.2.3供应商提出质疑应当提交质疑函和必要的证明材料。质疑函应当包括下列内容：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4.2.3.1供应商的姓名或者名称、地址、邮编、联系人及联系电话；</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4.2.3.2质疑项目的名称、编号；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4.2.3.3具体、明确的质疑事项和与质疑事项相关的请求；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4.2.3.4事实依据；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4.2.3.5必要的法律依据；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4.2.3.6提出质疑的日期。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质疑函范本及制作说明详见附件2。</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4.2.4对同一采购程序环节的质疑，供应商须在法定质疑期内一次性提出。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4.2.5采购人或者采购代理机构应当在收到供应商的书面质疑后七个工作日内作出答复，并以书面形式通知质疑供应商和其他与质疑处理结果有利害关系的政府采购当事人，但答复的内容不得涉及商业秘密。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4.2.6询问或者质疑事项可能影响采购结果的，采购人应当暂停签订合同，已经签订合同的，应当中止履行合同。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4.2.7采购代理机构及采购人只接收以纸质原件形式送达的质疑。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质疑接收人：富蕴县政府采购中心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联系地址：富蕴县赛尔江西路36号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联系电话：0906-8723470</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4.2.8以下情形的质疑不予受理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4.2.8.1内容不符合《政府采购质疑和投诉办法》第十二条规定的质疑。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4.2.8.2超出政府采购法定期限的质疑。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4.2.8.4以传真、电子邮件等方式递交的非原件形式的质疑。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4.2.8.5未参加投标活动的供应商或在投标活动中自身权益未受到损害的供应商所提出的质疑。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4.2.8.6供应商组成联合体参加投标，联合体中任何一方或多方未按要求签字、盖章、加盖公章的质疑。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4.2.8.7无具体质疑事项内容，或未提供有效线索，难以查证的。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4.2.8.8所质疑事项已进行处理，或正在行政复议、仲裁、诉讼、投诉等其他程序的。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4.2.8.9不属于本中心管辖范围的质疑。</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4.3</w:t>
      </w:r>
      <w:r>
        <w:rPr>
          <w:rFonts w:hint="eastAsia" w:ascii="仿宋" w:hAnsi="仿宋" w:eastAsia="仿宋" w:cs="仿宋"/>
          <w:sz w:val="24"/>
          <w:szCs w:val="24"/>
        </w:rPr>
        <w:t xml:space="preserve"> 供应商提出书面质疑必须有理、有据，不得捏造事实、提供虚假材料进行恶意质疑。否则，一经查实，采购代理机构有权依据政府采购的有关规定，报请政府采购监管部门对该供应商进行相应的行政处罚和记录该供应商的失信信息。</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4.4供应商投诉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4.4.1质疑供应商对采购人、采购代理机构的答复不满意或者采购人、采购代理机构未在规定的时间内作出答复的，可以在答复期满后十五个工作日内向同级政府采购监督管理部门提出投诉。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4.4.2供应商投诉的事项不得超出已质疑事项的范围，基于质疑答复内容提出的投诉事项除外。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4.4.3供应商投诉应当有明确的请求和必要的证明材料。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4.4.4以联合体形式参加政府采购活动的，其投诉应当由组成联合体的所有供应商共同提出。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投诉书范本及制作说明详见附件3。</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b/>
          <w:bCs/>
          <w:sz w:val="32"/>
          <w:szCs w:val="32"/>
        </w:rPr>
        <w:t>二、招标文件的构成、澄清、修改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5．招标文件的构成</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5.1 </w:t>
      </w:r>
      <w:r>
        <w:rPr>
          <w:rFonts w:hint="eastAsia" w:ascii="仿宋" w:hAnsi="仿宋" w:eastAsia="仿宋" w:cs="仿宋"/>
          <w:b w:val="0"/>
          <w:bCs w:val="0"/>
          <w:sz w:val="24"/>
          <w:szCs w:val="24"/>
        </w:rPr>
        <w:t>招标文件包括下列文件及附件：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5.1.1招标公告；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5.1.2投标人须知；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5.1.3采购需求；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5.1.4评标办法；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5.1.5拟签订的合同文本；</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5.1.6应提交的有关格式范例。</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5.2</w:t>
      </w:r>
      <w:r>
        <w:rPr>
          <w:rFonts w:hint="eastAsia" w:ascii="仿宋" w:hAnsi="仿宋" w:eastAsia="仿宋" w:cs="仿宋"/>
          <w:sz w:val="24"/>
          <w:szCs w:val="24"/>
        </w:rPr>
        <w:t>与本项目有关的澄清或者修改的内容为招标文件的组成部分。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6. 招标文件的澄清、修改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6.1</w:t>
      </w:r>
      <w:r>
        <w:rPr>
          <w:rFonts w:hint="eastAsia" w:ascii="仿宋" w:hAnsi="仿宋" w:eastAsia="仿宋" w:cs="仿宋"/>
          <w:sz w:val="24"/>
          <w:szCs w:val="24"/>
        </w:rPr>
        <w:t>已获取招标文件的潜在投标人，若有问题需要澄清，应于投标截止时间前，以书面形式向采购代理机构提出。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6.2</w:t>
      </w:r>
      <w:r>
        <w:rPr>
          <w:rFonts w:hint="eastAsia" w:ascii="仿宋" w:hAnsi="仿宋" w:eastAsia="仿宋" w:cs="仿宋"/>
          <w:sz w:val="24"/>
          <w:szCs w:val="24"/>
        </w:rPr>
        <w:t xml:space="preserve">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32"/>
          <w:szCs w:val="32"/>
        </w:rPr>
        <w:t>三、投标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7. 招标文件的获取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详见招标公告中获取招标文件的时间期限、地点、方式及招标文件售价。</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8.开标前答疑会或现场考察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9.投标保证金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见投标前须知附表第21条。</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10. 投标文件的语言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投标文件及投标人与采购有关的来往通知、函件和文件均应使用中文。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11. 投标文件的组成</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11.1资格文件：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11.1.1符合参加政府采购活动应当具备的一般条件的承诺函；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11.1.2落实政府采购政策需满足的资格要求（如果有）；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11.1.3本项目的特定资格要求（如果有）。</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11.2 商务技术文件：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11.2.1投标函；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11.2.2授权委托书或法定代表人（单位负责人、自然人本人）身份证明；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11.2.3分包意向协议（如果有）；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11.2.4符合性审查资料；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11.2.5评标标准相应的商务技术资料；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11.2.6投标标的清单；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11.2.7商务技术偏离表；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11.2.8政府采购供应商廉洁自律承诺书。</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11.3报价文件：</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11.3.1开标一览表（报价表）；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11.3.2中小企业声明函（如果有）。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投标文件含有采购人不能接受的附加条件的，投标无效；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投标人提供虚假材料投标的，投标无效。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12. 投标文件的编制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12.3“电子招投标供应商客户端”请供应商自行前往“新疆政府采购网—下载专区—新疆维吾尔自治区全流程电子招投标项目管理系统--电子招投标供应商客户端”版块获取。</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13.投标文件的签署、盖章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13.1投标文件按照招标文件第六部分格式要求进行签署、盖章。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投标人的投标文件未按照招标文件要求签署、盖章的，其投标无效。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13.2为确保网上操作合法、有效和安全，投标人应当在投标截止时间前完成在“政府采购云平台”的身份认证，确保在电子投标过程中能够对相关数据电文进行加密和使用电子签名。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13.3招标文件对投标文件签署、盖章的要求适用于电子签名。</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14. 投标文件的提交、补充、修改、撤回</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14.2电子交易平台收到投标文件，将妥善保存并即时向供应商发出确认回执通知。在投标截止时间前，除供应商补充、修改或者撤回投标文件外，任何单位和个人不得解密或提取投标文件。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14.3采购人、采购代理机构可以视情况延长投标文件提交的截止时间。在上述情况下，采购代理机构与投标人以前在投标截止期方面的全部权利、责任和义务，将适用于延长至新的投标截止期。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15. 投标文件的无效处理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有招标文件第四部分第4.2条规定的情形之一的，投标无效：</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16. 投标有效期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16.1投标有效期为从提交投标文件的截止之日起</w:t>
      </w:r>
      <w:r>
        <w:rPr>
          <w:rFonts w:hint="eastAsia" w:ascii="仿宋" w:hAnsi="仿宋" w:eastAsia="仿宋" w:cs="仿宋"/>
          <w:sz w:val="24"/>
          <w:szCs w:val="24"/>
          <w:lang w:val="en-US" w:eastAsia="zh-CN"/>
        </w:rPr>
        <w:t>60</w:t>
      </w:r>
      <w:r>
        <w:rPr>
          <w:rFonts w:hint="eastAsia" w:ascii="仿宋" w:hAnsi="仿宋" w:eastAsia="仿宋" w:cs="仿宋"/>
          <w:sz w:val="24"/>
          <w:szCs w:val="24"/>
        </w:rPr>
        <w:t>天。▲</w:t>
      </w:r>
      <w:r>
        <w:rPr>
          <w:rFonts w:hint="eastAsia" w:ascii="仿宋" w:hAnsi="仿宋" w:eastAsia="仿宋" w:cs="仿宋"/>
          <w:b/>
          <w:bCs/>
          <w:sz w:val="24"/>
          <w:szCs w:val="24"/>
        </w:rPr>
        <w:t>投标人的投标文件中承诺的投标有效期少于招标文件中载明的投标有效期的，投标无效。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政府采购货物和服务招标投标管理办法》（财政部令第87号）规定：投标有效期从提交投标文件的截止之日起算。投标文件中承诺的投标有效期应当不少于招标文件中载明的投标有效期。供应商在政府采购活动中违反政府采购相关规定给采购组织机构造成损失的，采购组织机构可按照采购文件约定要求供应商承担赔偿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16.2投标文件合格投递后，自投标截止日期起，在投标有效期内有效。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16.3在原定投标有效期满之前，如果出现特殊情况，采购代理机构可以以书面形式通知投标人延长投标有效期。投标人同意延长的，不得要求或被允许修改其投标文件，投标人拒绝延长的，其投标无效。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24"/>
          <w:szCs w:val="24"/>
        </w:rPr>
        <w:t>16.4在投标截止时间起至投标有效期届满，供应商投标文件不可撤销。</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四、开标、资格审查与信用信息查询</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17. 开标</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17.1采购代理机构按照招标文件规定的时间通过电子交易平台组织开标，所有投标人均应当准时在线参加。投标人不足3家的，不得开标。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17.2开标时，电子交易平台按开标时间自动提取所有投标文件。采购代理机构依托电子交易平台发起开始解密指令，投标人按照平台提示和招标文件的规定在半小时内完成在线解密。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18.资格审查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18.1开标后，采购人将依据法律法规和招标文件的规定，对投标人的资格进行审查。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18.2投标人未按照招标文件要求提供与资格条件相应的有效资格证明材料的，视为投标人不具备招标文件中规定的资格要求，其投标无效。</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18.3对未通过资格审查的投标人，告知其未通过的原因。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18.4合格投标人不足3家的，不再评标。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19.信用信息查询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19.1信用信息查询渠道及截止时间：采购代理机构将在资格审查时通过“信用中国”网站(www.creditchina.gov.cn)、中国政府采购网(www.ccgp.gov.cn)渠道查询投标人接受资格审查时的信用记录。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19.2信用信息查询记录和证据留存的具体方式：现场查询的投标人的信用记录、查询结果经确认后将与采购文件一起存档。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b/>
          <w:bCs/>
          <w:sz w:val="32"/>
          <w:szCs w:val="32"/>
        </w:rPr>
      </w:pPr>
      <w:r>
        <w:rPr>
          <w:rFonts w:hint="eastAsia" w:ascii="仿宋" w:hAnsi="仿宋" w:eastAsia="仿宋" w:cs="仿宋"/>
          <w:sz w:val="24"/>
          <w:szCs w:val="24"/>
        </w:rPr>
        <w:t>19.3信用信息的使用规则：经查询列入失信被执行人名单、重大税收违法案件当事人名单、政府采购严重违法失信行为记录名单的投标人将被拒绝参与政府采购活动。</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b/>
          <w:bCs/>
          <w:sz w:val="32"/>
          <w:szCs w:val="32"/>
        </w:rPr>
        <w:t>五、评标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20.</w:t>
      </w:r>
      <w:r>
        <w:rPr>
          <w:rFonts w:hint="eastAsia" w:ascii="仿宋" w:hAnsi="仿宋" w:eastAsia="仿宋" w:cs="仿宋"/>
          <w:sz w:val="24"/>
          <w:szCs w:val="24"/>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六、定 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 确定中标供应商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22. 中标通知与中标结果公告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22.1自中标人确定之日起2个工作日内，采购代理机构通过电子交易平台向中标人发出中标通知书，同时编制发布采购结果公告。采购代理机构也可以以纸质形式进行中标通知。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22.3公告期限为1个工作日。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七、合同授予</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 xml:space="preserve">23. </w:t>
      </w:r>
      <w:r>
        <w:rPr>
          <w:rFonts w:hint="eastAsia" w:ascii="仿宋" w:hAnsi="仿宋" w:eastAsia="仿宋" w:cs="仿宋"/>
          <w:sz w:val="24"/>
          <w:szCs w:val="24"/>
        </w:rPr>
        <w:t>合同主要条款详见第五部分拟签订的合同文本。</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24. 合同的签订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24.1采购人与中标人应当通过电子交易平台在中标通知书发出之日起三十日内，按照招标文件确定的事项签订政府采购合同，并在签订之日起2个工作日内将政府采购合同在</w:t>
      </w:r>
      <w:r>
        <w:rPr>
          <w:rFonts w:hint="eastAsia" w:ascii="仿宋" w:hAnsi="仿宋" w:eastAsia="仿宋" w:cs="仿宋"/>
          <w:sz w:val="24"/>
          <w:szCs w:val="24"/>
          <w:lang w:val="en-US" w:eastAsia="zh-CN"/>
        </w:rPr>
        <w:t>新疆</w:t>
      </w:r>
      <w:r>
        <w:rPr>
          <w:rFonts w:hint="eastAsia" w:ascii="仿宋" w:hAnsi="仿宋" w:eastAsia="仿宋" w:cs="仿宋"/>
          <w:sz w:val="24"/>
          <w:szCs w:val="24"/>
        </w:rPr>
        <w:t>政府采购网上公告。鼓励有条件的采购人视情缩减采购合同签订时限，提高采购效率，杜绝“冷、硬、横、推”等不当行为。除不可抗力等特殊情况外，原则上应当在中标通知书发出之日起30个工作日内，与中标供应商按照采购文件确定的事项签订政府采购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24.2中标人按规定的日期、时间、地点，由法定代表人或其授权代表与采购人代表签订合同。如中标人为联合体的，由联合体成员各方法定代表人或其授权代表与采购人代表签订合同。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24.3如签订合同并生效后，供应商无故拒绝或延期，除按照合同条款处理外，列入不良行为记录一次，并给予通报。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24.4中标供应商拒绝与采购人签订合同的，采购人可以按照评审报告推荐的中标或者成交候选人名单排序，确定下一候选人为中标供应商，也可以重新开展政府采购活动。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24.5采购合同由采购人与中标供应商根据招标文件、投标文件等内容通过政府采购电子交易平台在线签订，自动备案。</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25. 履约保证金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 w:hAnsi="仿宋" w:eastAsia="仿宋" w:cs="仿宋"/>
          <w:sz w:val="24"/>
          <w:szCs w:val="24"/>
          <w:highlight w:val="none"/>
        </w:rPr>
        <w:t>1%</w:t>
      </w:r>
      <w:r>
        <w:rPr>
          <w:rFonts w:hint="eastAsia" w:ascii="仿宋" w:hAnsi="仿宋" w:eastAsia="仿宋" w:cs="仿宋"/>
          <w:sz w:val="24"/>
          <w:szCs w:val="24"/>
        </w:rPr>
        <w:t>，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26. 付款方式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26.1合同每笔款项以人民币转账方式支付。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26.2 付款方式：以合同签订为准。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八、电子交易活动的中止</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27. 电子交易活动的中止。</w:t>
      </w:r>
      <w:r>
        <w:rPr>
          <w:rFonts w:hint="eastAsia" w:ascii="仿宋" w:hAnsi="仿宋" w:eastAsia="仿宋" w:cs="仿宋"/>
          <w:sz w:val="24"/>
          <w:szCs w:val="24"/>
        </w:rPr>
        <w:t>采购过程中出现以下情形，导致电子交易平台无法正常运行，或者无法保证电子交易的公平、公正和安全时，采购代理机构可中止电子交易活动：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27.1电子交易平台发生故障而无法登录访问的；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27.2电子交易平台应用或数据库出现错误，不能进行正常操作的；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27.3电子交易平台发现严重安全漏洞，有潜在泄密危险的；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27.4病毒发作导致不能进行正常操作的；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27.5其他无法保证电子交易的公平、公正和安全的情况。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28.</w:t>
      </w:r>
      <w:r>
        <w:rPr>
          <w:rFonts w:hint="eastAsia" w:ascii="仿宋" w:hAnsi="仿宋" w:eastAsia="仿宋" w:cs="仿宋"/>
          <w:sz w:val="24"/>
          <w:szCs w:val="24"/>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b/>
          <w:bCs/>
          <w:sz w:val="32"/>
          <w:szCs w:val="32"/>
        </w:rPr>
        <w:t>九、验收</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29. 验收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第三部分  采购需求</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计算机教室7间</w:t>
      </w:r>
    </w:p>
    <w:p>
      <w:pPr>
        <w:rPr>
          <w:rFonts w:hint="eastAsia"/>
        </w:rPr>
      </w:pPr>
    </w:p>
    <w:tbl>
      <w:tblPr>
        <w:tblStyle w:val="22"/>
        <w:tblW w:w="10005"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71"/>
        <w:gridCol w:w="5895"/>
        <w:gridCol w:w="690"/>
        <w:gridCol w:w="60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654"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1371"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产品名称</w:t>
            </w:r>
          </w:p>
        </w:tc>
        <w:tc>
          <w:tcPr>
            <w:tcW w:w="5895"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主要参数</w:t>
            </w:r>
          </w:p>
        </w:tc>
        <w:tc>
          <w:tcPr>
            <w:tcW w:w="690"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数量</w:t>
            </w:r>
          </w:p>
        </w:tc>
        <w:tc>
          <w:tcPr>
            <w:tcW w:w="600"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795" w:type="dxa"/>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云服务器1</w:t>
            </w:r>
          </w:p>
        </w:tc>
        <w:tc>
          <w:tcPr>
            <w:tcW w:w="5895" w:type="dxa"/>
          </w:tcPr>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硬件要求：</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1、要求2U机架式物理服务器。</w:t>
            </w:r>
          </w:p>
          <w:p>
            <w:pPr>
              <w:numPr>
                <w:ilvl w:val="0"/>
                <w:numId w:val="2"/>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CPU：配置处理器≥2颗，每颗CPU≥32核心64线程、主频≥2.5Ghz。</w:t>
            </w:r>
          </w:p>
          <w:p>
            <w:pPr>
              <w:numPr>
                <w:ilvl w:val="0"/>
                <w:numId w:val="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内存：服务器支持内存插槽≥32个，配置DIMM DDR4内存总容量≥256GB，每个内存容量≥16G。</w:t>
            </w:r>
          </w:p>
          <w:p>
            <w:pPr>
              <w:numPr>
                <w:ilvl w:val="0"/>
                <w:numId w:val="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硬盘：整机实配SSD容量≥960GB(2*480GB)，HDD硬盘容量≥6TB。提供硬盘扩展槽位≥12个。</w:t>
            </w:r>
          </w:p>
          <w:p>
            <w:pPr>
              <w:numPr>
                <w:ilvl w:val="0"/>
                <w:numId w:val="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网口：提供≥4个千兆网口。</w:t>
            </w:r>
          </w:p>
          <w:p>
            <w:pPr>
              <w:numPr>
                <w:ilvl w:val="0"/>
                <w:numId w:val="0"/>
              </w:numPr>
              <w:ind w:left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6、电源：采用模块化电源，支持热插拔，支持电源1+1冗余备份，提供1个电源模块，功率≥1200W。</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7、提供国家强制性CCC认证证书复印件。</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8、提供节能认证证书复印件。</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9、为保证平台联动时的兼容性和可靠性，统一提供售后服务：要求云服务器、学生云终端、教师云终端、教学管理软件、显示器、键鼠、网络连通设备为同一品牌，提供厂商官网产品截图证明并加盖厂商投标专用章或公章。</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10、为保障所投设备质量优异，可靠性高，要求所投设备平均故障间隔时间（MTBF）不低于200000小时，针对此功能提供第三方权威测试报告复印件。</w:t>
            </w:r>
          </w:p>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软件功能要求：</w:t>
            </w:r>
          </w:p>
          <w:p>
            <w:pPr>
              <w:numPr>
                <w:ilvl w:val="0"/>
                <w:numId w:val="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云服务器管理平台显示服务器CPU、内存、硬盘占用率数据。</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2、云服务器支持多种操作系统镜像发布，以满足学校教学使用，其中Windows系统包含Windows XP、Windows 7、Windows 8、Windows 10等，Linux系统包含Ubuntu、Centos、Fedora系统等。</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3、镜像管理：支持通过云服务器后台管理界面对课程镜像统一管理功能。</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4、云服务器支持SSD固态+机械硬盘混合磁盘组合方式，在SSD阵列设置缓冲区进行模版的加速。</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5、云服务器支持多种考试场景，包括国家计算机一、二级等级考试，学业水平考试等。</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 xml:space="preserve">6、支持数据连续性：用户数据保存在云服务器端，当终端与服务器连接网络断开重连恢复后，云终端能够自动重连服务器，且用户数据和状态不变。 </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7、为简化管理，系统提供云桌面的统一管理功能，能统一监控云桌面，包含但不限于：在线情况、IP地址、终端MAC地址等参数，并支持批量生成、删除、踢出、刷新等操作。</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8、提供内置账号管理功能，无需依赖第三方身份系统，实现学生和老师账号集中管理，包括账号创建、批量导入、修改、删除等操作。</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9、云服务器支持共享磁盘自动挂载功能。</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10、默认课程镜像功能：支持课程镜像默认启动；支持设置课程镜像开关；支持根据实际使用情况灵活配置默认课程镜像。</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11、教学模式功能：支持自定义课程模式，可针对信息技术课、考试等不同的场景设置对应的模式。</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12、课堂题集功能：支持学生在课堂题集里查看答题历史、错题集以及收藏的题目；支持对错题标注为“已掌握”或“未掌握”；支持错题解析，提供实际功能界面截图证明。</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13、提供虚拟桌面与终端硬件关联启动功能。</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14、为满足可靠性和稳定性要求，云服务器内置集群功能，支持启动HA高可用功能。</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15、为保障教室的实施部署质量，提供C/S架构的云终端控制器统一管理界面，在部署完成后必须要求强制体检，自动生成体检报告及分数，针对扣分项，有显著提示，提醒用户及时处理。</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16、需提供原厂配套的部署实施与运维工具，该工具需要能够自动识别安装部署与日常运行中的常见问题，检测项涵盖但不限于：系统内云服务器和云终端设备发现、云服务器版本检测、网络部署检测，对检测结果的部分常见问题可以自动修复。（要求提供功能操作界面截图）</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17、提供软件著作权登记证证书复印件。</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云服务器2</w:t>
            </w:r>
          </w:p>
        </w:tc>
        <w:tc>
          <w:tcPr>
            <w:tcW w:w="5895" w:type="dxa"/>
          </w:tcPr>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硬件要求：</w:t>
            </w:r>
          </w:p>
          <w:p>
            <w:pPr>
              <w:numPr>
                <w:ilvl w:val="0"/>
                <w:numId w:val="4"/>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要求2U机架式物理服务器。</w:t>
            </w:r>
          </w:p>
          <w:p>
            <w:pPr>
              <w:numPr>
                <w:ilvl w:val="0"/>
                <w:numId w:val="4"/>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CPU：配置≥2颗服务器级处理器，每颗CPU≥24核心48线程，主频≥2.3Ghz，单服务器不低于48核物理核心。</w:t>
            </w:r>
          </w:p>
          <w:p>
            <w:pPr>
              <w:numPr>
                <w:ilvl w:val="0"/>
                <w:numId w:val="4"/>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内存：服务器提供≥32个内存插槽，配置≥224G内存。</w:t>
            </w:r>
          </w:p>
          <w:p>
            <w:pPr>
              <w:numPr>
                <w:ilvl w:val="0"/>
                <w:numId w:val="4"/>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硬盘：具备≥12个前置硬盘盘位能力，整机配置≥2块 480G SSD;配置≥1*2T 3.5寸 HDD硬盘。</w:t>
            </w:r>
          </w:p>
          <w:p>
            <w:pPr>
              <w:numPr>
                <w:ilvl w:val="0"/>
                <w:numId w:val="4"/>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网口：提供≥2个千兆网口。</w:t>
            </w:r>
          </w:p>
          <w:p>
            <w:pPr>
              <w:numPr>
                <w:ilvl w:val="0"/>
                <w:numId w:val="4"/>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电源：提供1个≥1200W电源模块。</w:t>
            </w:r>
          </w:p>
          <w:p>
            <w:pPr>
              <w:numPr>
                <w:ilvl w:val="0"/>
                <w:numId w:val="4"/>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提供国家强制性CCC认证证书复印件。</w:t>
            </w:r>
          </w:p>
          <w:p>
            <w:pPr>
              <w:numPr>
                <w:ilvl w:val="0"/>
                <w:numId w:val="4"/>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提供节能认证证书复印件。</w:t>
            </w:r>
          </w:p>
          <w:p>
            <w:pPr>
              <w:numPr>
                <w:ilvl w:val="0"/>
                <w:numId w:val="4"/>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为保证平台联动时的兼容性和可靠性，统一提供售后服务：要求云服务器、学生云终端、教师云终端、教学管理软件、显示器、键鼠、网络连通设备为同一品牌，提供厂商官网产品截图证明并加盖厂商投标专用章或公章。</w:t>
            </w:r>
          </w:p>
          <w:p>
            <w:pPr>
              <w:numPr>
                <w:ilvl w:val="0"/>
                <w:numId w:val="0"/>
              </w:numPr>
              <w:ind w:left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10、为保障所投设备质量优异，可靠性高，要求所投设备平均故障间隔时间（MTBF）不低于200000小时，针对此功能提供第三方权威测试报告复印件。</w:t>
            </w:r>
          </w:p>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软件功能要求：</w:t>
            </w:r>
          </w:p>
          <w:p>
            <w:pPr>
              <w:numPr>
                <w:ilvl w:val="0"/>
                <w:numId w:val="5"/>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云服务器管理平台显示服务器CPU、内存、硬盘占用率数据。</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云服务器支持多种操作系统镜像发布，以满足学校教学使用，其中Windows系统包含Windows XP、Windows 7、Windows 8、Windows 10等，Linux系统包含Ubuntu、Centos、Fedora系统等。</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镜像管理：支持通过云服务器后台管理界面对课程镜像统一管理功能。</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云服务器支持SSD固态+机械硬盘混合磁盘组合方式，在SSD阵列设置缓冲区进行模版的加速。</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云服务器支持多种考试场景，包括国家计算机一、二级等级考试，学业水平考试等。</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支持数据连续性：用户数据保存在云服务器端，当终端与服务器连接网络断开重连恢复后，云终端能够自动重连服务器，且用户数据和状态不变。</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为简化管理，系统提供云桌面的统一管理功能，能统一监控云桌面，包含但不限于：在线情况、IP地址、终端MAC地址等参数，并支持批量生成、删除、踢出、刷新等操作。</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提供内置账号管理功能，无需依赖第三方身份系统，实现学生和老师账号集中管理，包括账号创建、批量导入、修改、删除等操作。</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云服务器支持共享磁盘自动挂载功能。</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默认课程镜像功能：支持课程镜像默认启动；支持设置课程镜像开关；支持根据实际使用情况灵活配置默认课程镜像。</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教学模式功能：支持自定义课程模式，可针对信息技术课、考试等不同的场景设置对应的模式。</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课堂题集功能：支持学生在课堂题集里查看答题历史、错题集以及收藏的题目；支持对错题标注为“已掌握”或“未掌握”；支持错题解析，提供实际功能界面截图证明。</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提供虚拟桌面与终端硬件关联启动功能。</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为满足可靠性和稳定性要求，云服务器内置集群功能，支持启动HA高可用功能。</w:t>
            </w:r>
          </w:p>
          <w:p>
            <w:pPr>
              <w:numPr>
                <w:ilvl w:val="0"/>
                <w:numId w:val="5"/>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为保障教室的实施部署质量，提供C/S架构的云终端控制器统一管理界面，在部署完成后必须要求强制体检，自动生成体检报告及分数，针对扣分项，有显著提示，提醒用户及时处理。</w:t>
            </w:r>
          </w:p>
          <w:p>
            <w:pPr>
              <w:numPr>
                <w:ilvl w:val="0"/>
                <w:numId w:val="5"/>
              </w:numPr>
              <w:ind w:left="0" w:leftChars="0" w:firstLine="0" w:firstLine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rPr>
              <w:t>需提供原厂配套的部署实施与运维工具，该工具需要能够自动识别安装部署与日常运行中的常见问题，检测项涵盖但不限于：系统内云服务器和云终端设备发现、云服务器版本检测、网络部署检测，对检测结果的部分常见问题可以自动修复。（要求提供功能操作界面截图）</w:t>
            </w:r>
            <w:r>
              <w:rPr>
                <w:rFonts w:hint="eastAsia" w:ascii="仿宋" w:hAnsi="仿宋" w:eastAsia="仿宋" w:cs="仿宋"/>
                <w:sz w:val="24"/>
                <w:szCs w:val="24"/>
                <w:vertAlign w:val="baseline"/>
                <w:lang w:val="en-US" w:eastAsia="zh-CN"/>
              </w:rPr>
              <w:t>.</w:t>
            </w:r>
          </w:p>
          <w:p>
            <w:pPr>
              <w:numPr>
                <w:ilvl w:val="0"/>
                <w:numId w:val="0"/>
              </w:numPr>
              <w:ind w:left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17、提供软件著作权登记证证书复印件。</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教师云终端</w:t>
            </w:r>
          </w:p>
        </w:tc>
        <w:tc>
          <w:tcPr>
            <w:tcW w:w="5895" w:type="dxa"/>
          </w:tcPr>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硬件要求：</w:t>
            </w:r>
          </w:p>
          <w:p>
            <w:pPr>
              <w:numPr>
                <w:ilvl w:val="0"/>
                <w:numId w:val="6"/>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采用x86架构，且为国内自主品牌。</w:t>
            </w:r>
          </w:p>
          <w:p>
            <w:pPr>
              <w:numPr>
                <w:ilvl w:val="0"/>
                <w:numId w:val="6"/>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配置≥ 8核16线程处理器（处理器主频≥2.3GHz）；内存≥8GB，集成显卡；本地存储≥256 GB SSD；无线网卡。</w:t>
            </w:r>
          </w:p>
          <w:p>
            <w:pPr>
              <w:numPr>
                <w:ilvl w:val="0"/>
                <w:numId w:val="6"/>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USB接口≥8个（包含≥4个USB 3.0接口），≥1个千兆网口，≥1个HDMI接口，≥1对音频输入输出接口，且支持4段式耳机音频输入及输出。</w:t>
            </w:r>
          </w:p>
          <w:p>
            <w:pPr>
              <w:numPr>
                <w:ilvl w:val="0"/>
                <w:numId w:val="6"/>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额外配置≥1个内存扩展槽。</w:t>
            </w:r>
          </w:p>
          <w:p>
            <w:pPr>
              <w:numPr>
                <w:ilvl w:val="0"/>
                <w:numId w:val="6"/>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额外配置≥2个硬盘扩展槽。</w:t>
            </w:r>
          </w:p>
          <w:p>
            <w:pPr>
              <w:numPr>
                <w:ilvl w:val="0"/>
                <w:numId w:val="0"/>
              </w:numPr>
              <w:ind w:left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6、为保障所投设备质量优异，可靠性高，要求所投设备平均故障间隔时间（MTBF）≥300000小时。</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7、投标所选终端需要具备3C证书及节能证书。</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8、避免设备运行时产生噪声污染，干扰办公、学习人员，要求设备噪声指标≤16dB，针对此功能需提供国家级权威测试机构出具的证书复印件，要求证书具有 CMA或 CNAS认证。</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9、为保证平台联动时的兼容性和可靠性，统一提供售后服务：要求云服务器、学生云终端、教师云终端、教学管理软件、显示器、键鼠、网络连通设备为同一品牌，提供厂商官网产品截图证明并加盖厂商投标专用章或公章。</w:t>
            </w:r>
          </w:p>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软件要求：</w:t>
            </w:r>
          </w:p>
          <w:p>
            <w:pPr>
              <w:numPr>
                <w:ilvl w:val="0"/>
                <w:numId w:val="7"/>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采用B/S软件架构，中文图形化管理页面。</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2、为了方便管理和使用，管理平台要包括镜像管理、教室管理、用户管理等关键功能模块。</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3、为了方便后期的扩展性，要求一台终端即可支持VDI、IDV、TCI三类桌面的使用，在镜像选择页面同时提供3种镜像，根据用户选择的镜像进入系统的同时自动判断使用哪种类型的桌面启动。</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4、为满足基本教学的使用需求，要求镜像模版可以使用多种类型的操作系统，包括且不限于：win7 、win 10、win server 2008、win server 2012、Redhat、Ubuntu、UOS、Kylin等操作系统版本。</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5、支持在云终端控制器连接中断时，依然可使用当前正在使用的镜像环境，保障业务连续性。</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6、支持虚拟教室功能：支持按照教室规模创建不同的虚拟教室，支持每个虚拟教室独立管理和配置。</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7、为了方便后期的扩展性，要求同一虚拟教室的学生机可以按需工作在IDV、TCI、VDI任意一种模式下，要求提供实际界面截图证明。</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8、支持教学镜像对学生隐藏或可见。</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9、要求可以通过LDAP协议对接学校的统一身份平台，让用户也可以使用统一身份平台的用户信息，无需重新创建一个全新的用户体系，要求提供实际界面截图证明。</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10、支持分级分权管理，可以按需自定义不同角色用户对应的管理权限。</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11、支持镜像模版自动快照，每次镜像发布时可以自动为镜像模版打快照，支持的最大快照数量≥8个。</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12、为了管理的便捷性，支持管理员可以通过服务器集群的web管理平台唤醒远程不同网段的终端，中间无需使用跳板机转发，整个过程一键操作无需在web管理平台反复启动和关闭虚拟机，提供实际界面截图证明。</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13、提供对应型号的软件著作权证书复印件。</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学生云终端</w:t>
            </w:r>
          </w:p>
        </w:tc>
        <w:tc>
          <w:tcPr>
            <w:tcW w:w="5895" w:type="dxa"/>
          </w:tcPr>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硬件规格：</w:t>
            </w:r>
          </w:p>
          <w:p>
            <w:pPr>
              <w:numPr>
                <w:ilvl w:val="0"/>
                <w:numId w:val="8"/>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采用x86架构，且为国内自主品牌。</w:t>
            </w:r>
          </w:p>
          <w:p>
            <w:pPr>
              <w:numPr>
                <w:ilvl w:val="0"/>
                <w:numId w:val="8"/>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处理器不低于4核心，主频≥2.0 GHz；要求配置内存容量≥2GB，内置存储空间≥64GB SSD。</w:t>
            </w:r>
          </w:p>
          <w:p>
            <w:pPr>
              <w:numPr>
                <w:ilvl w:val="0"/>
                <w:numId w:val="8"/>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USB接口≥6个（包含≥2个USB 3.0接口），≥1个千兆网口，≥1个VGA接口，≥1个HDMI接口，≥1对音频输入输出接口。</w:t>
            </w:r>
          </w:p>
          <w:p>
            <w:pPr>
              <w:numPr>
                <w:ilvl w:val="0"/>
                <w:numId w:val="0"/>
              </w:numPr>
              <w:ind w:left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4、为保证平台联动时的兼容性和可靠性，统一提供售后服务：要求云服务器、学生云终端、教师云终端、教学管理软件、显示器、键鼠、网络连通设备为同一品牌，提供厂商官网产品截图证明并加盖厂商投标专用章或公章。</w:t>
            </w:r>
          </w:p>
          <w:p>
            <w:pP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软件功能要求：</w:t>
            </w:r>
          </w:p>
          <w:p>
            <w:pPr>
              <w:numPr>
                <w:ilvl w:val="0"/>
                <w:numId w:val="9"/>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采用B/S软件架构，中文图形化管理页面。</w:t>
            </w:r>
          </w:p>
          <w:p>
            <w:pPr>
              <w:numPr>
                <w:ilvl w:val="0"/>
                <w:numId w:val="9"/>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为了方便管理和使用，软件平台要包括镜像管理、教室管理、用户管理等关键功能模块。</w:t>
            </w:r>
          </w:p>
          <w:p>
            <w:pPr>
              <w:numPr>
                <w:ilvl w:val="0"/>
                <w:numId w:val="9"/>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为满足基本教学的使用需求，要求镜像模版可以使用多种类型的操作系统，包括且不限于：win7 、win 10、win server 2008、win server 2012、Redhat、Ubuntu、UOS、Kylin等操作系统版本。</w:t>
            </w:r>
          </w:p>
          <w:p>
            <w:pPr>
              <w:numPr>
                <w:ilvl w:val="0"/>
                <w:numId w:val="9"/>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支持数据连续性：用户数据首选保存在云服务器端，虚拟桌面需要有状态的连续性，当终端与服务器连接网络断开重连恢复后，云终端能够自动重连服务器，云终端连上云服务器之后，用户数据和状态不变，学生可继续教学或考试，不会出现学生终端重启导致数据丢失的问题。</w:t>
            </w:r>
          </w:p>
          <w:p>
            <w:pPr>
              <w:numPr>
                <w:ilvl w:val="0"/>
                <w:numId w:val="9"/>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默认课程镜像功能：支持课程镜像默认启动，每次开机时，云服务器自动加载设置的默认课程镜像。</w:t>
            </w:r>
          </w:p>
          <w:p>
            <w:pPr>
              <w:numPr>
                <w:ilvl w:val="0"/>
                <w:numId w:val="9"/>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教学模式功能：支持自定义课程模式，可针对信息技术课、考试等不同的场景设置对应的模式。</w:t>
            </w:r>
          </w:p>
          <w:p>
            <w:pPr>
              <w:numPr>
                <w:ilvl w:val="0"/>
                <w:numId w:val="9"/>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课堂题集功能：支持学生在课堂题集里查看答题历史、错题集以及收藏的题目；支持对错题标注为“已掌握”或“未掌握”；支持错题解析。提供实际功能界面截图证明。</w:t>
            </w:r>
          </w:p>
          <w:p>
            <w:pPr>
              <w:numPr>
                <w:ilvl w:val="0"/>
                <w:numId w:val="9"/>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支持共享磁盘自动挂载功能，学生与老师共享一块虚拟磁盘，默认为学生配置为下载权限、为老师配置上传和下载权限，且该功能的实现过程无需创建账号。</w:t>
            </w:r>
          </w:p>
          <w:p>
            <w:pPr>
              <w:numPr>
                <w:ilvl w:val="0"/>
                <w:numId w:val="9"/>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为保障教室的实施部署质量，平台提供C/S架构的云终端统一管理界面，在部署完成后必须要求强制体检，自动生成体检报告及分数，针对扣分项，有显著提示，提醒用户及时处理。</w:t>
            </w:r>
          </w:p>
          <w:p>
            <w:pPr>
              <w:numPr>
                <w:ilvl w:val="0"/>
                <w:numId w:val="0"/>
              </w:numPr>
              <w:ind w:left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10、为保障桌面云系统能够快速上线使用，要求提供部署向导，至少含有网络、云终端参数、系统授权、云服务器集群配置向导，向导内容应至少包含但不限于部署模式、网络、云桌面的IP/主机名、系统授权、教师机部署等，简化虚拟桌面基础架构的环境搭建工作，缩短部署周期。（要求提供功能截图 ）</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332</w:t>
            </w:r>
          </w:p>
        </w:tc>
        <w:tc>
          <w:tcPr>
            <w:tcW w:w="600"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台</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键鼠套</w:t>
            </w:r>
          </w:p>
        </w:tc>
        <w:tc>
          <w:tcPr>
            <w:tcW w:w="5895"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rPr>
              <w:t>云桌面有线键鼠套装</w:t>
            </w:r>
            <w:r>
              <w:rPr>
                <w:rFonts w:hint="eastAsia" w:ascii="仿宋" w:hAnsi="仿宋" w:eastAsia="仿宋" w:cs="仿宋"/>
                <w:sz w:val="24"/>
                <w:szCs w:val="24"/>
                <w:vertAlign w:val="baseline"/>
                <w:lang w:val="en-US" w:eastAsia="zh-CN"/>
              </w:rPr>
              <w:t>:</w:t>
            </w:r>
          </w:p>
          <w:p>
            <w:pPr>
              <w:numPr>
                <w:ilvl w:val="0"/>
                <w:numId w:val="1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键盘：连接方式：有线；键盘接口：USB；键盘按键数：104键；防水功能：防泼溅；人体工学：支持，键盘水滴字键；线长：1m以上。</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2、鼠标：工作方式：光电（针光）；鼠标分辨率：1000DPI；鼠标接口：USB；人体工学：鼠标对称设计；按键数：3键；滚轮方向：双向滚轮；线长：1m以上。</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3、要求与学生云终端同一品牌</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332</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套</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教学管理软件</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提供多种教学模式以应对不同的教学需求，包括信息课模式、考试模式等多种模式；支持自定义场景模式，可根据学校实际教学需求增加设置自定义场景模式；每个模式下提供不同的教学镜像；切换模式时，云终端硬件无需重新启动。</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2、通过教学管理软件，无需登录云桌面管理平台，即可支持以下操作和功能：一键关闭云终端后，所有终端自动关闭（虚拟机与物理终端同时关闭）；一键开启所有云终端后，终端自动启动并进入课程镜像桌面；一键关闭服务器和云终端后，服务器和云终端都被关闭。</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3、支持老师将选中的文件分发给学生，可以分发给所有学生，也可以分发给指定学生；同时支持学生直接将文件提交给老师，使用100M的rar文件，60台传输时间≤55秒。</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4、支持老师对单一、部分、全体学生进行锁屏操作，锁屏状态下，学生的机器被锁定，学生无法进行操作，支持教师执行解锁操作。</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 xml:space="preserve"> 5、为保证正常课堂教学，需要提供屏幕广播功能：教师机和学生终端正常开机，服务器处于关闭状态时，在教师机即可进行屏幕广播；需提供窗口化广播模式，即老师在屏幕广播时，学生可以调整老师广播屏幕大小，以便自由操作学生云终端的系统进行自由跟学；在屏幕广播时，老师可以选择是否广播声音给学生。</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6、为方便教学控制，需提供禁网控制功能：支持通过教学管理软件实现一键禁止任意学生上网；禁网同时需要支持屏幕广播、屏幕查看等正常教学活动。</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7、为方便教师课堂教学时进行快捷操作，需提供快捷托盘功能：支持通过教学管理软件一键切换为托盘状态，托盘上应有屏幕广播，发送文件，随堂测试，作业空间，以及禁网、禁USB、锁屏等常用教学功能。针对此功能要求提供具有 CMA或 CNAS认证的第三方权威机构检验的测试报告证明。</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8、为保证正常课堂教学，需要提供作业管理功能。</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9、老师完成作业布置后，学生账号登陆后立即能看到老师布置的作业，无延时。</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10、支持老师在线打开学生作业，格式至少包括Word、Flash、Excel、PPT、图片。</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11、分组教学：支持老师对学生进行分组，每个班可以保存分组信息。</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12、随堂测试：为提高教学效率，支持老师通过Web界面录入题库，无需下载office或其他插件、模板；支持在教室内截屏出题，口述出题等快速出题方式；教师可以通过全班答题、抢答等多种方式发起测试。针对此功能要求提供具有 CMA或 CNAS认证的第三方权威机构检验的测试报告证明。</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13、支持答题结果统计：可以通过多种维度统计学生答题结果。按题统计：可以查看每道题学生选项分布情况；按人统计：可查看每个学生的总得分和正确率；按组统计：在分组状态下，可以查看每组得分和组内学生贡献值。</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14、支持作业网盘功能：学生可以将没有做完的作业或文件，上传到独立的网盘空间中，方便下次上课使用，网盘支持上传和下载。</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15、年级一键升级：为简化账号管理维护工作，在每学年满了之后，所有的学生账号能够一键升级到高年级，不需要重新创建学生账号。</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16、班级模型自动创建，为简化账号管理维护工作，支持通过签到的方式自动建立班级模型和账号。</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17、为避免U-Key丢失和兼容性以及安全性问题，授权方式必须为文件授权方式，而非U-Key授权的方式。</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18、提供软件著作权登记证证书复印件。</w:t>
            </w:r>
          </w:p>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19、为保证平台联动时的兼容性和可靠性，统一提供售后服务：要求云服务器、学生云终端、教师云终端、教学管理软件、显示器、键鼠、网络连通设备为同一品牌，提供厂商官网产品截图证明并加盖厂商投标专用章或公章。</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套</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48口接入交换机</w:t>
            </w:r>
          </w:p>
        </w:tc>
        <w:tc>
          <w:tcPr>
            <w:tcW w:w="5895" w:type="dxa"/>
          </w:tcPr>
          <w:p>
            <w:pPr>
              <w:numPr>
                <w:ilvl w:val="0"/>
                <w:numId w:val="11"/>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交换容量≥430G，包转发率≥85Mpps。</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2、固化10/100/1000M以太网端口≥48个，固化1G SFP光接口≥4个；整机最大可用千兆口≥52。</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3、绿色节能：要求支持高效节能以太网特性。端口如果在连续一段时间之内空闲，系统会将该端口设置为节能模式，当有报文收发时再通过定时发送的监听码流唤醒端口恢复业务，达到节能的效果</w:t>
            </w:r>
            <w:r>
              <w:rPr>
                <w:rFonts w:hint="eastAsia" w:ascii="仿宋" w:hAnsi="仿宋" w:eastAsia="仿宋" w:cs="仿宋"/>
                <w:sz w:val="24"/>
                <w:szCs w:val="24"/>
                <w:vertAlign w:val="baseline"/>
                <w:lang w:eastAsia="zh-CN"/>
              </w:rPr>
              <w:t>。</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4、为满足工作场所的耐高温要求，要求设备具备0~50°的宽温设计</w:t>
            </w:r>
            <w:r>
              <w:rPr>
                <w:rFonts w:hint="eastAsia" w:ascii="仿宋" w:hAnsi="仿宋" w:eastAsia="仿宋" w:cs="仿宋"/>
                <w:sz w:val="24"/>
                <w:szCs w:val="24"/>
                <w:vertAlign w:val="baseline"/>
                <w:lang w:eastAsia="zh-CN"/>
              </w:rPr>
              <w:t>。</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5、支持风扇调速及风扇故障告警功能，支持温度告警功能。</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6、为保证设备在受到外界机械碰撞时能够正常运行，要求所投交换机IK防护测试级别至少达到IK05，提供国家认可的检测机构出具的IK防护等级测试报告。</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7、支持生成树协议STP(IEEE 802.1d)，RSTP(IEEE 802.1w)和MSTP(IEEE 802.1s)，完全保证快速收敛，提高容错能力，保证网络的稳定运行和链路的负载均衡，合理使用网络通道，提供冗余链路利用率。</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8、支持IPV4/IPV6静态路由，RIP、RIPng。</w:t>
            </w:r>
          </w:p>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rPr>
              <w:t>9、配合云管平台支持基于网关的网络拓扑自动发现，并以图形化形式呈现；支持基于云的工具箱功能（配置下发、配置备份、配置恢复、命令调试、访问eWeb、访问Telnet、访问SSH、重启、设备升级）</w:t>
            </w:r>
            <w:r>
              <w:rPr>
                <w:rFonts w:hint="eastAsia" w:ascii="仿宋" w:hAnsi="仿宋" w:eastAsia="仿宋" w:cs="仿宋"/>
                <w:sz w:val="24"/>
                <w:szCs w:val="24"/>
                <w:vertAlign w:val="baseline"/>
                <w:lang w:eastAsia="zh-CN"/>
              </w:rPr>
              <w:t>。</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10、支持特有的CPU保护策略，对发往CPU的数据流，进行流区分和优先级队列分级处理，并根据需要实施带宽限速，充分保护CPU不被非法流量占用、恶意攻击和资源消耗。</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11、支持快速链路检测协议，可快速检测链路的通断和光纤链路的单向性，并支持端口下的环路检测功能，防止端口下因私接Hub等设备形成的环路而导致网络故障的现象。</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12、设备自带云管理功能，即插即用，可随时查看网络健康度，告警及时推送，有日记事件供回溯。</w:t>
            </w:r>
          </w:p>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13、提供工信部设备进网许可证。14、要求所投设备遵守国家标准的设计规则，并提供中国质量认证中心出具的《中国国家强制性产品认证证书》。</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套</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转换模块</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1000BASE-LX mini GBIC转换模块（1310nm），≥10km</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个</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24口接入交换机</w:t>
            </w:r>
          </w:p>
        </w:tc>
        <w:tc>
          <w:tcPr>
            <w:tcW w:w="5895" w:type="dxa"/>
          </w:tcPr>
          <w:p>
            <w:pPr>
              <w:numPr>
                <w:ilvl w:val="0"/>
                <w:numId w:val="12"/>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交换容量≥330G，包转发率≥50Mpps。</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固化10/100/1000M以太网端口≥24个，固化1G SFP光接口≥4个。</w:t>
            </w:r>
          </w:p>
          <w:p>
            <w:pPr>
              <w:numPr>
                <w:ilvl w:val="0"/>
                <w:numId w:val="12"/>
              </w:numPr>
              <w:ind w:left="0" w:leftChars="0" w:firstLine="0" w:firstLineChars="0"/>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rPr>
              <w:t>绿色节能：要求支持高效节能以太网特性。端口如果在连续一段时间之内空闲，系统会将该端口设置为节能模式，当有报文收发时再通过定时发送的监听码流唤醒端口恢复业务，达到节能的效果</w:t>
            </w:r>
            <w:r>
              <w:rPr>
                <w:rFonts w:hint="eastAsia" w:ascii="仿宋" w:hAnsi="仿宋" w:eastAsia="仿宋" w:cs="仿宋"/>
                <w:sz w:val="24"/>
                <w:szCs w:val="24"/>
                <w:vertAlign w:val="baseline"/>
                <w:lang w:eastAsia="zh-CN"/>
              </w:rPr>
              <w:t>。</w:t>
            </w:r>
          </w:p>
          <w:p>
            <w:pPr>
              <w:numPr>
                <w:ilvl w:val="0"/>
                <w:numId w:val="12"/>
              </w:numPr>
              <w:ind w:left="0" w:leftChars="0" w:firstLine="0" w:firstLineChars="0"/>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rPr>
              <w:t>为满足工作场所的耐高温要求，要求设备具备0~50°的宽温设计</w:t>
            </w:r>
            <w:r>
              <w:rPr>
                <w:rFonts w:hint="eastAsia" w:ascii="仿宋" w:hAnsi="仿宋" w:eastAsia="仿宋" w:cs="仿宋"/>
                <w:sz w:val="24"/>
                <w:szCs w:val="24"/>
                <w:vertAlign w:val="baseline"/>
                <w:lang w:eastAsia="zh-CN"/>
              </w:rPr>
              <w:t>。</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支持风扇调速及风扇故障告警功能，支持温度告警功能。</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为保证设备在受到外界机械碰撞时能够正常运行，要求所投交换机IK防护测试级别至少达到IK05，提供国家认可的检测机构出具的IK防护等级测试报告。</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支持生成树协议STP(IEEE 802.1d)，RSTP(IEEE 802.1w)和MSTP(IEEE 802.1s)，完全保证快速收敛，提高容错能力，保证网络的稳定运行和链路的负载均衡，合理使用网络通道，提供冗余链路利用率。</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支持IPV4/IPV6静态路由，RIP、RIPng。</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配合云管平台支持基于网关的网络拓扑自动发现，并以图形化形式呈现；支持基于云的工具箱功能（配置下发、配置备份、配置恢复、命令调试、访问eWeb、访问Telnet、访问SSH、重启、设备升级）</w:t>
            </w:r>
            <w:r>
              <w:rPr>
                <w:rFonts w:hint="eastAsia" w:ascii="仿宋" w:hAnsi="仿宋" w:eastAsia="仿宋" w:cs="仿宋"/>
                <w:sz w:val="24"/>
                <w:szCs w:val="24"/>
                <w:vertAlign w:val="baseline"/>
                <w:lang w:eastAsia="zh-CN"/>
              </w:rPr>
              <w:t>。</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支持特有的CPU保护策略，对发往CPU的数据流，进行流区分和优先级队列分级处理，并根据需要实施带宽限速，充分保护CPU不被非法流量占用、恶意攻击和资源消耗。</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支持快速链路检测协议，可快速检测链路的通断和光纤链路的单向性，并支持端口下的环路检测功能，防止端口下因私接Hub等设备形成的环路而导致网络故障的现象。</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设备自带云管理功能，即插即用，可随时查看网络健康度，告警及时推送，有日记事件供回溯。</w:t>
            </w:r>
          </w:p>
          <w:p>
            <w:pPr>
              <w:numPr>
                <w:ilvl w:val="0"/>
                <w:numId w:val="12"/>
              </w:numPr>
              <w:ind w:left="0" w:leftChars="0" w:firstLine="0" w:firstLine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提供工信部设备进网许可证。</w:t>
            </w:r>
          </w:p>
          <w:p>
            <w:pPr>
              <w:numPr>
                <w:ilvl w:val="0"/>
                <w:numId w:val="0"/>
              </w:numPr>
              <w:ind w:leftChars="0"/>
              <w:rPr>
                <w:rFonts w:hint="eastAsia" w:ascii="仿宋" w:hAnsi="仿宋" w:eastAsia="仿宋" w:cs="仿宋"/>
                <w:sz w:val="24"/>
                <w:szCs w:val="24"/>
                <w:vertAlign w:val="baseline"/>
              </w:rPr>
            </w:pPr>
            <w:r>
              <w:rPr>
                <w:rFonts w:hint="eastAsia" w:ascii="仿宋" w:hAnsi="仿宋" w:eastAsia="仿宋" w:cs="仿宋"/>
                <w:sz w:val="24"/>
                <w:szCs w:val="24"/>
                <w:vertAlign w:val="baseline"/>
              </w:rPr>
              <w:t>14、要求所投设备遵守国家标准的设计规则，并提供中国质量认证中心出具的《中国国家强制性产品认证证书》。</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教师耳机</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头戴封闭式立体声耳机，带抗静电话咪，动圈式工作方式，直放型导线，带音量调节和话咪开关。</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副</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功放</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带红外功能）1）拥有四组输出接口，可连接4只4-8Ω音箱；三路话筒插口（前2后1）；四路音源输入，带输入选择切换按键，开机预置“通道1”。2）双声道信号指示灯；带1*RS232接口；带数码显视屏；可实现话筒音量、高低音独立控制及混响调节,线路可进行音量及高低音独立调节；能有效的抑制声反馈，克服“啸叫”。</w:t>
            </w:r>
          </w:p>
        </w:tc>
        <w:tc>
          <w:tcPr>
            <w:tcW w:w="690" w:type="dxa"/>
            <w:vAlign w:val="top"/>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7</w:t>
            </w:r>
          </w:p>
        </w:tc>
        <w:tc>
          <w:tcPr>
            <w:tcW w:w="600" w:type="dxa"/>
            <w:vAlign w:val="top"/>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台</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音箱</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无源式音箱，额定功率：≥60W，最大功率：≥120W，额定阻抗：≥8Ω。</w:t>
            </w:r>
          </w:p>
        </w:tc>
        <w:tc>
          <w:tcPr>
            <w:tcW w:w="690"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7</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高档钢质主控台（无内置机柜）</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本款主控台为全钢弧形结构，长≥1400mm，宽≥650mm，高≥760mm，桌身材质采用SPCC优质冷轧钢板，先进的静电喷涂处理工艺，喷涂前所有金属配件进行精密处理确保不含油污和表面锈蚀，桌身表面处理时采用聚氨酯静电粉末，人性化的设计理念。</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张</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教师椅</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教师椅基材：靠背采用实木多层板，弓形架采用厚方管，质地坚实，韧性好。面料：耐温耐磨，透气，柔软舒适，柔韧抗拉伸，环保无污染。海绵：中间采用高密度、高弹力海绵，具有良好的机械性能，久坐不变形。管壁进口镀锌，美观光滑，符合国家标准。采用无毒环保型胶水，符合国际环保标准。</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把</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显示器</w:t>
            </w:r>
          </w:p>
        </w:tc>
        <w:tc>
          <w:tcPr>
            <w:tcW w:w="5895" w:type="dxa"/>
          </w:tcPr>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屏幕尺寸：≥21.5寸。</w:t>
            </w:r>
          </w:p>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屏幕比例：≥宽高比16:9。</w:t>
            </w:r>
          </w:p>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对比度:≥3000:1（静态）。</w:t>
            </w:r>
          </w:p>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亮度:≥250cd/㎡。</w:t>
            </w:r>
          </w:p>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可视角度：≥178°（水平）/178°（垂直）。</w:t>
            </w:r>
          </w:p>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屏幕面板类型：VA液晶面板。</w:t>
            </w:r>
          </w:p>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支持最佳分辨率：≥1920x1080@60Hz。</w:t>
            </w:r>
          </w:p>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输入电压：220V（内置电源）。</w:t>
            </w:r>
          </w:p>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尺寸：≥494.46*393.72*187.11mm。</w:t>
            </w:r>
          </w:p>
          <w:p>
            <w:pPr>
              <w:numPr>
                <w:ilvl w:val="0"/>
                <w:numId w:val="13"/>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接口：≥VGA*1，HDMI*1,DP*1。</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332</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学生耳机</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头戴封闭式立体声耳机，带抗静电话咪。</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332</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副</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钢制直型两联桌（无机箱）</w:t>
            </w:r>
          </w:p>
        </w:tc>
        <w:tc>
          <w:tcPr>
            <w:tcW w:w="5895" w:type="dxa"/>
          </w:tcPr>
          <w:p>
            <w:pPr>
              <w:numPr>
                <w:ilvl w:val="0"/>
                <w:numId w:val="14"/>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桌子材料采用SPCC优质冷轧钢板。先进的静电喷涂处理工艺。颜色为灰白色或订做其他色。</w:t>
            </w:r>
          </w:p>
          <w:p>
            <w:pPr>
              <w:numPr>
                <w:ilvl w:val="0"/>
                <w:numId w:val="14"/>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外形高档，安装简易，维护快捷，防火耐用；含显示器托架。</w:t>
            </w:r>
          </w:p>
          <w:p>
            <w:pPr>
              <w:numPr>
                <w:ilvl w:val="0"/>
                <w:numId w:val="14"/>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L1400*W590*H750mm。</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166</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张</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钢木学生凳</w:t>
            </w:r>
          </w:p>
        </w:tc>
        <w:tc>
          <w:tcPr>
            <w:tcW w:w="5895" w:type="dxa"/>
          </w:tcPr>
          <w:p>
            <w:pPr>
              <w:numPr>
                <w:ilvl w:val="0"/>
                <w:numId w:val="15"/>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尺寸：≥L360×W260×H420mm，新款学生凳，钢木混合结构，双色凳面。</w:t>
            </w:r>
          </w:p>
          <w:p>
            <w:pPr>
              <w:numPr>
                <w:ilvl w:val="0"/>
                <w:numId w:val="15"/>
              </w:numPr>
              <w:rPr>
                <w:rFonts w:hint="eastAsia" w:ascii="仿宋" w:hAnsi="仿宋" w:eastAsia="仿宋" w:cs="仿宋"/>
                <w:sz w:val="24"/>
                <w:szCs w:val="24"/>
                <w:vertAlign w:val="baseline"/>
              </w:rPr>
            </w:pPr>
            <w:r>
              <w:rPr>
                <w:rFonts w:hint="eastAsia" w:ascii="仿宋" w:hAnsi="仿宋" w:eastAsia="仿宋" w:cs="仿宋"/>
                <w:sz w:val="24"/>
                <w:szCs w:val="24"/>
                <w:vertAlign w:val="baseline"/>
              </w:rPr>
              <w:t>凳面材质≥25mm三聚氰胺饰面板，凳体为钢制钣金与方管组合体，安装便捷。</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332</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把</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空调</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制冷：制冷量(kW)2.6额定功率(kW)0.71；额定电流(A)3.29制热制热量(kW)3.9；额定功率(kW)1.23；额定电流(A)5.7PTC额定功率(kW)0.9；PTC额定电流A4.2；电源/；最大输入电流A16.26；最大输入功率kW3.5APFW·h/W·h4.14；循环风量m³/h600；运转音内机dB(A)35~43；外机22管径液管mmφ6；气管φ9制冷工作范围℃16~52；制热工作范围℃-15~24</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静电地板</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每间教室地面铺设防静电地板：防静电地板，600×600×35，陶瓷面，极限集中负荷&gt;1000kg地板安装使用铜皮接地，全部使用钢支架，墙边采用不锈钢包边处理,部分钢支架需按实际场地要求定制；(不低于100平米）</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700</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平方米</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线材线缆及辅材附件</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国标电源线、网线、线槽、插排、配电箱、光纤、音响线、HDMI等以及辅材辅料</w:t>
            </w:r>
          </w:p>
        </w:tc>
        <w:tc>
          <w:tcPr>
            <w:tcW w:w="69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60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批</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w:t>
            </w:r>
          </w:p>
        </w:tc>
        <w:tc>
          <w:tcPr>
            <w:tcW w:w="1371"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集成服务</w:t>
            </w:r>
          </w:p>
        </w:tc>
        <w:tc>
          <w:tcPr>
            <w:tcW w:w="5895" w:type="dxa"/>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rPr>
              <w:t>综合布线、系统安装调试、运输、培训等。</w:t>
            </w:r>
          </w:p>
        </w:tc>
        <w:tc>
          <w:tcPr>
            <w:tcW w:w="690" w:type="dxa"/>
            <w:vAlign w:val="top"/>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7</w:t>
            </w:r>
          </w:p>
        </w:tc>
        <w:tc>
          <w:tcPr>
            <w:tcW w:w="600" w:type="dxa"/>
            <w:vAlign w:val="top"/>
          </w:tcPr>
          <w:p>
            <w:pP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批</w:t>
            </w:r>
          </w:p>
        </w:tc>
        <w:tc>
          <w:tcPr>
            <w:tcW w:w="795" w:type="dxa"/>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5" w:type="dxa"/>
            <w:gridSpan w:val="6"/>
          </w:tcPr>
          <w:p>
            <w:pPr>
              <w:rPr>
                <w:rFonts w:hint="eastAsia"/>
                <w:vertAlign w:val="baseline"/>
              </w:rPr>
            </w:pPr>
            <w:r>
              <w:rPr>
                <w:rFonts w:hint="eastAsia" w:ascii="仿宋" w:hAnsi="仿宋" w:eastAsia="仿宋" w:cs="仿宋"/>
                <w:sz w:val="24"/>
                <w:szCs w:val="24"/>
                <w:vertAlign w:val="baseline"/>
                <w:lang w:val="en-US" w:eastAsia="zh-CN"/>
              </w:rPr>
              <w:t>说明：实际货物需求量以最终项目施工需求为准；采购人有权调整供应物资的品种、规格、数量调整的货物仅限于在本项目使用。</w:t>
            </w:r>
          </w:p>
        </w:tc>
      </w:tr>
    </w:tbl>
    <w:p>
      <w:pPr>
        <w:rPr>
          <w:rFonts w:hint="eastAsia"/>
        </w:rPr>
      </w:pPr>
    </w:p>
    <w:p>
      <w:pPr>
        <w:pStyle w:val="7"/>
        <w:rPr>
          <w:rFonts w:hint="eastAsia"/>
        </w:rPr>
      </w:pPr>
    </w:p>
    <w:p>
      <w:pPr>
        <w:pStyle w:val="28"/>
        <w:ind w:left="0" w:leftChars="0" w:firstLine="0" w:firstLineChars="0"/>
        <w:rPr>
          <w:rFonts w:hint="eastAsia"/>
        </w:rPr>
      </w:pPr>
      <w:r>
        <w:rPr>
          <w:rFonts w:hint="eastAsia" w:ascii="仿宋" w:hAnsi="仿宋" w:eastAsia="仿宋" w:cs="仿宋"/>
          <w:b/>
          <w:bCs/>
          <w:sz w:val="32"/>
          <w:szCs w:val="32"/>
          <w:lang w:val="en-US" w:eastAsia="zh-CN"/>
        </w:rPr>
        <w:t>二、书法教室6间</w:t>
      </w:r>
    </w:p>
    <w:tbl>
      <w:tblPr>
        <w:tblStyle w:val="22"/>
        <w:tblpPr w:leftFromText="180" w:rightFromText="180" w:vertAnchor="text" w:horzAnchor="page" w:tblpX="810" w:tblpY="811"/>
        <w:tblOverlap w:val="never"/>
        <w:tblW w:w="10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380"/>
        <w:gridCol w:w="5880"/>
        <w:gridCol w:w="705"/>
        <w:gridCol w:w="57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vAlign w:val="top"/>
          </w:tcPr>
          <w:p>
            <w:pPr>
              <w:jc w:val="center"/>
              <w:rPr>
                <w:rFonts w:hint="default"/>
                <w:vertAlign w:val="baseline"/>
                <w:lang w:val="en-US" w:eastAsia="zh-CN"/>
              </w:rPr>
            </w:pPr>
            <w:r>
              <w:rPr>
                <w:rFonts w:hint="eastAsia" w:ascii="仿宋" w:hAnsi="仿宋" w:eastAsia="仿宋" w:cs="仿宋"/>
                <w:sz w:val="28"/>
                <w:szCs w:val="28"/>
                <w:vertAlign w:val="baseline"/>
                <w:lang w:val="en-US" w:eastAsia="zh-CN"/>
              </w:rPr>
              <w:t>序号</w:t>
            </w:r>
          </w:p>
        </w:tc>
        <w:tc>
          <w:tcPr>
            <w:tcW w:w="1380" w:type="dxa"/>
            <w:vAlign w:val="top"/>
          </w:tcPr>
          <w:p>
            <w:pPr>
              <w:jc w:val="center"/>
              <w:rPr>
                <w:rFonts w:hint="default"/>
                <w:vertAlign w:val="baseline"/>
                <w:lang w:val="en-US" w:eastAsia="zh-CN"/>
              </w:rPr>
            </w:pPr>
            <w:r>
              <w:rPr>
                <w:rFonts w:hint="eastAsia" w:ascii="仿宋" w:hAnsi="仿宋" w:eastAsia="仿宋" w:cs="仿宋"/>
                <w:sz w:val="28"/>
                <w:szCs w:val="28"/>
                <w:vertAlign w:val="baseline"/>
                <w:lang w:val="en-US" w:eastAsia="zh-CN"/>
              </w:rPr>
              <w:t>产品名称</w:t>
            </w:r>
          </w:p>
        </w:tc>
        <w:tc>
          <w:tcPr>
            <w:tcW w:w="5880" w:type="dxa"/>
            <w:vAlign w:val="top"/>
          </w:tcPr>
          <w:p>
            <w:pPr>
              <w:jc w:val="center"/>
              <w:rPr>
                <w:rFonts w:hint="default"/>
                <w:vertAlign w:val="baseline"/>
                <w:lang w:val="en-US" w:eastAsia="zh-CN"/>
              </w:rPr>
            </w:pPr>
            <w:r>
              <w:rPr>
                <w:rFonts w:hint="eastAsia" w:ascii="仿宋" w:hAnsi="仿宋" w:eastAsia="仿宋" w:cs="仿宋"/>
                <w:sz w:val="28"/>
                <w:szCs w:val="28"/>
                <w:vertAlign w:val="baseline"/>
                <w:lang w:val="en-US" w:eastAsia="zh-CN"/>
              </w:rPr>
              <w:t>主要参数</w:t>
            </w:r>
          </w:p>
        </w:tc>
        <w:tc>
          <w:tcPr>
            <w:tcW w:w="705" w:type="dxa"/>
            <w:vAlign w:val="top"/>
          </w:tcPr>
          <w:p>
            <w:pPr>
              <w:jc w:val="center"/>
              <w:rPr>
                <w:rFonts w:hint="default"/>
                <w:vertAlign w:val="baseline"/>
                <w:lang w:val="en-US" w:eastAsia="zh-CN"/>
              </w:rPr>
            </w:pPr>
            <w:r>
              <w:rPr>
                <w:rFonts w:hint="eastAsia" w:ascii="仿宋" w:hAnsi="仿宋" w:eastAsia="仿宋" w:cs="仿宋"/>
                <w:sz w:val="28"/>
                <w:szCs w:val="28"/>
                <w:vertAlign w:val="baseline"/>
                <w:lang w:val="en-US" w:eastAsia="zh-CN"/>
              </w:rPr>
              <w:t>数量</w:t>
            </w:r>
          </w:p>
        </w:tc>
        <w:tc>
          <w:tcPr>
            <w:tcW w:w="570" w:type="dxa"/>
            <w:vAlign w:val="top"/>
          </w:tcPr>
          <w:p>
            <w:pPr>
              <w:jc w:val="center"/>
              <w:rPr>
                <w:rFonts w:hint="default"/>
                <w:vertAlign w:val="baseline"/>
                <w:lang w:val="en-US" w:eastAsia="zh-CN"/>
              </w:rPr>
            </w:pPr>
            <w:r>
              <w:rPr>
                <w:rFonts w:hint="eastAsia" w:ascii="仿宋" w:hAnsi="仿宋" w:eastAsia="仿宋" w:cs="仿宋"/>
                <w:sz w:val="28"/>
                <w:szCs w:val="28"/>
                <w:vertAlign w:val="baseline"/>
                <w:lang w:val="en-US" w:eastAsia="zh-CN"/>
              </w:rPr>
              <w:t>单位</w:t>
            </w:r>
          </w:p>
        </w:tc>
        <w:tc>
          <w:tcPr>
            <w:tcW w:w="795" w:type="dxa"/>
            <w:vAlign w:val="top"/>
          </w:tcPr>
          <w:p>
            <w:pPr>
              <w:jc w:val="center"/>
              <w:rPr>
                <w:rFonts w:hint="default"/>
                <w:vertAlign w:val="baseline"/>
                <w:lang w:val="en-US" w:eastAsia="zh-CN"/>
              </w:rPr>
            </w:pPr>
            <w:r>
              <w:rPr>
                <w:rFonts w:hint="eastAsia" w:ascii="仿宋" w:hAnsi="仿宋" w:eastAsia="仿宋" w:cs="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教师中控条案</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1.规格：≥200cm×80cm×75cm，实木结构；</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2.古典书桌设计，烤漆处理；</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3.全部卯榫结构；</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4.支持将本方案中的中控、教师手绘屏、直播系统集成在中控条案中；</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5.砚台：≥20cm×13cm×2.5cm，材质：螺纹石；</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6.毛笔笔架：≥36cm×34cm×10cm，材质: 鸡翅木；</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7.笔洗：≥7.5cm×20cm，材质：陶瓷；</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8.砚台水滴：陶瓷；</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9.镇尺：加重型木镇尺；</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10.笔搁：卧式笔架，材质：实木；</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11.毛毡：≥1×2米，可以水洗反复使用；</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12.笔筒：≥12.5cm×9.5cm，材质: 实木；</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13.毛笔套装：笔头材质为纯狼毫；笔杆材质：竹质；大号毛笔1只、中号毛笔1只、小号毛1只。</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14.配套实木方凳1个。</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台</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书画教学展示台</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1.拍摄架：≥10千克，全金属构架,铝合金底座；</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2.支持每台摄像机360度旋转，拍摄幅面可以达到A2幅面（A4幅面的4倍），可清晰拍摄软硬笔的书写；</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3.配置3台摄像机从不同角度拍摄；</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4.摄像机3台，网络接口，规格：≥138mm×58mm×68mm；帧速率：每秒大于30帧；</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5．红外镜头3个。规格：≥48×65mm；镜头光圈：F1.2-2.8；接口：CS接口，支持手动调节焦距；</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6.支持场景式网络课堂教学系统直接调取3台摄像机使用；</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7．提供原厂授权书和产品实物图片（图片放置在投标文件技术偏离表的本条响应文字参数的下面，验收以投标提供的实物图片为准）。</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书法教学直播系统</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1．系统支持连接书画教学展示台的三台摄像机同时拍摄直播、录像，其中两台摄像机进行同时拍摄录课，另一台摄像机录制授课特写画面；</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软件界面同时显示正面、侧面、特写三个画面，并在画面上进行标识，画面上标识正面、侧面、特写。支持单镜头画面、双镜头画面、三镜头画面、画中画四种录播模式功能，四种显示模式都直接双击切换。支持三台摄像机的视频语音录制功能；支持三个画面同步回放功能；支持播放文件时间显示数字走表功能；支持在软件内直接修改视频、图片文件名，支持拍摄的视频文件自带拍摄年、月、日、时、分、秒信息。（需提供第三方权威机构出具的检测报告复印件并加盖生产企业的公章对本项要求进行佐证，报告内容须体现相应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3.支持快镜头播放、暂停功能；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4.支持慢镜头播放、暂停功能；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5.支持摄像机自动录音功能，软件调节声音大小；</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6.支持在画面上任意批注功能。</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场景式网络课堂教学系统</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1.软件是从智慧书法教学系统界面直接点击进入。</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2.支持教师创建自己的直播课程，直播课程中可包含多个章节与课时，每个课时均可独立直播，也可单独设置直播时间。每个直播课程均可进行分类，课程可以设置课程名称，可上传图片封面。图片封面支持放大、缩小、剪切，还可实时预览效果，可增加详细图文介绍。创建课程时，支持加入多个章节，每个章节均可独立定义名称。创建章节后，每个章节均可增加多个独立课时。均可自定义本课时名称。课时分为直播、点播两种，点播课时可上传视频文件供点播使用，上传视频文件后可自动计算并展现本课时时长。直播课时可定义直播开始的日期以及时间，支持一键查看当前时间。编辑课时时，支持通过图片区分点播和直播课程。支持课时跨章节直接拖拽调整结构。(需提供视频演示) </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教师申请功能，支持通过输入教师姓名、手机号、短信验证、密码设置、个人介绍、头像等信息，提交注册，可查询审核状态，查询时需要手机验证码审核教师身份。支持待审核课程查询，支持通过课程名称查询，支持通过注册时间查询，支持通过审核状态查询。可一键取消课程审核申请。可一键查看审核状态。(需提供视频演示)</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 可分类查看拥有的所有课程列表，可通过名称或名称简写对课程进行模糊查询。</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5.教师现场直播授课时，可切换不同的三维场景，三维场景支持不低于4个不同位置的场景大屏设置，不同的大屏可同时播放不同的内容。</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课程同时支持直播与点播。支持下载所有课程的视频，支持视频本地编辑后再次上传更新。支持在线预览。现场直播授课的同时，系统可自动录制直播课堂的所有视频或者授课过程，并形成课程供学生进行回放观看。</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7.三维场景支持远景、近景、特写，直播授课过程中教师可以任意切换三种方式，切换后学生端立即生效、进行观看。</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 在课时详情中一键进入直播。</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 支持通过课时列表点击后直接进入直播或点播观看界面，在此界面中可以查看课程详细信息，包括课程名称，教师，以及所有章节中的课时。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支持查看学习历史记录，并可进行复习。可查看个人的所有订单，以及费用明细，可通过课程名称以及订单时间查询订单详情。支持修改个人信息，包括昵称、手机号码以及头像，头像支持放大、缩小、剪切，还可实时预览效果。</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13.客户端学习点播课程可以从上次学习位置开始播放：将课程加入学习后，进入某个点播课程时，自动从上次退出时的播放位置开始播放，比如某个课时上次看了5分钟，那么这次播放时会自动从5分钟开始播放。</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14.可查看所有教师以及教师的详细介绍，还可以查看教师的课程列表并播放相应课程。可按照课程分类，课程名称，教师姓名对课程进行搜索。</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15.支持通过安卓以及IOS的微信小程序参与直播或点播。支持轮播图，轮播图中可进入课程详情，课时详情</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16.须提供原厂授权书，提供包含有“场景式网络课堂”关键字的检测报告复印件盖章。</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书法分组教学软件</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1.该软件由智慧书法教学系统界面进入；</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点击分组教学，进入分组教学软件界面，点击布局进入班级布局界面，支持新增班级名称、修改班级名称、删除班级功能、新增学生（包括姓名、生日、性别、账号、密码）、修改学生信息、删除学生信息。具备成批录入学生的功能;（需提供第三方权威机构出具的检测报告复印件并加盖生产企业的公章对本项要求进行佐证，报告内容须体现相应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3.布局的行、列的数量可以自行设置，具备按行顺序排位、按列顺序排位、按行随机排位、按列随机排位的功能。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新增分组功能要求分组数量、每组人数不受限制，选择改组组员，具有一键全选、一键选取全列、一键选取全行，支持按住鼠标左键任意拖选学生进入分组。点击组名，能实现指派任务、重编组员、修改分组组名、解散本组的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5.点击任意一个组名进入指派任务界面，能指派该组听课、自学、字帖、碑帖、集创、兴趣体验的功能。(需提供视频演示)</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点击任意一个组名进入指派任务界面，选择字帖指派界面，能指派软笔、硬笔字帖，字帖选择范围不少于3种笔类、5种字体、20个作者、30个作品的字帖，支持字帖搜索功能，支持一键重置功能。搜索界面右边出现搜索字的所有字帖，并标明作者和字帖名称。（需提供第三方权威机构出具的检测报告复印件并加盖生产企业的公章对本项要求进行佐证，报告内容须体现相应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点击任意一个组名进入指派任务界面，选择碑帖指派界面，能推送不低于80套古代名家的碑帖，其中王羲之的字帖不低于20套，颜真卿的碑帖不低于12套，欧阳询的碑帖不低于8套，赵孟頫的字帖不低于25套，苏轼的字帖不低于20套，支持碑帖搜索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8.点击任意一个组名进入指派任务界面，选择集创指派界面，能指派折扇、团扇、条幅、横幅、斗方、对联、中堂不同类型的作品，作品总数不低于150个。</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9.点击任意一个组名进入指派任务界面，选择兴趣体验指派界面，有兴趣体验教学。(需提供视频演示)</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10.兴趣体验识书体模块：支持欧体、颜体、柳体、赵体四大书体的字体识别。</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11.兴趣体验拼字体模块：要求欧体、颜体、柳体、赵体每个体不低于100个字供学生进行拼字体验。</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书法教学系统</w:t>
            </w:r>
          </w:p>
        </w:tc>
        <w:tc>
          <w:tcPr>
            <w:tcW w:w="5880" w:type="dxa"/>
          </w:tcPr>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一、书法教学查询系统</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1.碑帖资源查询可实现通过年代、作者、字帖名字进行智能化检索，并可任意放大缩小拖动字一帖。</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2.支持通过原图模式、高光模式、荧光模式、红外模式、3D模式进行碑帖的查看欣赏以及临摹。</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3.支持输入文字、拼音搜索功能，支持教育部推荐临摹、教育部推荐欣赏选项按钮；支持黑白反向功能，原贴是白底黑字的可以直接转换成黑底白字，原贴是黑底白字的可以直接转换成白底黑字。</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内含中国历代高清碑帖，包含教育部关于印发《中小学书法教育指导纲要》推荐的临摹范本全部碑帖，包含楷书、隶书、行书；包含教育部关于印发《中小学书法教育指导纲要》推荐的欣赏作品全部碑帖，包含篆、隶、草、楷、行五种字体。包含教育部关于印发《中小学书法教育指导纲要》推荐之外的全部碑帖，包含篆、隶、草、楷、行五种字体，不少于10000张。</w:t>
            </w:r>
          </w:p>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二、书法教学视频资源</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1.人性化界面，方便进行控制、查询、播放及备课调整功能。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2.内置和教材同步的高清毛笔书法示范讲解视频。</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3.含各年级课时的毛笔示范视频，针对每一个字，每一个笔画都有教学视频。每个视频都配有教学音频讲解。</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4.视频资源均为国内知名书法家亲自书写，每个字的视频为高清拍摄，方便观察运笔方式。</w:t>
            </w:r>
          </w:p>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三、字帖排版系统</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支持1-500个字内，任意字体数量排版功能，随意设置字格大小，调节字格的宽、高，支持鼠标滚轮选择模板。支持拼音搜索，可同时输入多字拼音，直接搜索多字；支持多字文本搜索；支持书写字体历史记录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演示汉字笔顺功能：一笔一划功能，支持每一笔划自动按照顺序排列组成单字。动态笔划功能，支持每一笔以动画起笔收笔的方式，按照笔划顺序展现。笔划分拆功能，支持每一笔都占一格，书写过的笔划用彩色标识出来，整体直观展现单字笔划过程。每个字的偏旁和非偏旁部分，都是通过两种颜色区分出来。（需提供第三方权威机构出具的检测报告复印件并加盖生产企业的公章对本项要求进行佐证，报告内容须体现相应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3.支持在软件界面直接点播现代书法家书写的颜欧柳赵及字体中偏旁、例字的视频功能。可以实时同步临摹台显示。</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4.支持字帖文件随意排版及混排。支持电子字帖全屏显示，通过调整排版规格控制每个字的大小和位置。</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5.内置篆、隶、楷、行、草五种软笔字体字帖文件，不少于2万字以上字帖库资源。</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6.支持米字格、回字格、九宫格、田字格、大方格选项。</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7.支持集字练习功能；支持一键排版六步教学法功能。</w:t>
            </w:r>
          </w:p>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四、集创系统</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1.支持折扇、团扇、条幅、横幅、斗方、对联、中堂等模式集字创作功能，从1言到500言随意编辑排版功能，支持字体大小缩放功能；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2.支持自定义创作作品类型功能；支持字体自适应大小功能，后面排版的字体自动适应第一个排版好的字体大小；</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3.支持自适应角度调整，字体智能化自动调整摆放角度；支持文件新建、修改、保存、放大缩小、临摹功能； </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包含重修三门记、陋室铭、六体千字文、灵隐禅师塔铭、黄庭经、淮云院记、后赤壁赋、归来辞去、道德经、东铭、大学、感兴诗并序、多宝塔碑、颜勤礼碑、颜家庙碑、颜体合成创作、赵体合成创作等多个创作字体模块内容；</w:t>
            </w:r>
          </w:p>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五、课程讲义系统</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1.系统全部课程不少于700课时。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包含颜体1、颜体2、欧、柳、赵5套基本课程，每套课程各128课时，均是独立的软件模块，支持查看范字的书写要点讲解，书写示范视频讲解，单钩、双钩、笔法、示意图，核心示范字的文字演变，每课时都有书法知识点讲解。支持左边有课程导航栏和底部有快捷键按钮；</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包括跟教育部配套教材相匹配的课程128课时（可在教育部通过的11套教材里面任选1套），均是独立的软件模块，支持查看范字的书写要点讲解，书写示范视频讲解，单钩、双钩、笔法、示意图，核心示范字的文字演变，每课时都有书法知识点讲解。</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颜欧柳赵及教育部教材的配套讲义中，支持课程临摹练习界面可一键统一变换字体、字格，可变换需要练习的字帖；（需提供第三方权威机构出具的检测报告复印件并加盖生产企业的公章对本项要求进行佐证，报告内容须体现相应功能）</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中控系统</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1.开机界面即是智慧书法教学系统平台界面，通过主机系统直接控制书法直播系统、大屏、软件等软硬件；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2.系统平台有独立的音乐背景模块软件；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3.控制系统硬件规格：</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CPU：≥I5；内存：≥8G；硬盘：≥1TB；</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4.板书专用手写屏规格：</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显示尺寸：≥21.5寸（16:9）；解析度：≥1920*1080；对比度：≥1000:1；感应方式：电磁式；分辨率：≥2000Lpi；反应速度：≥200点/秒；压感：≥2048级；压感笔1支。</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台</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交互式数字临摹台</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一体化设计，无需外接任何辅助主机系统，基于iOS或者Android系统，支持远程升级。高清临摹：支持学生用宣纸、毛笔传统的方式进行高清临摹，能临摹长宽均不大于1cm的电子字帖。（需提供第三方权威机构出具的检测报告复印件并加盖生产企业的公章对本项要求进行佐证，报告内容须体现相应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临摹台支持网络供电功能，只需要在临摹台的网络接口插入一根网线，即可实现临摹台的供电和网络接入的功能。（需提供第三方权威机构出具的检测报告复印件并加盖生产企业的公章对本项要求进行佐证，报告内容须体现相应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支持十点触控功能，可用手指直接操控系统；支持分屏触控功能，支持临摹台左边一半能触控，即左边可以播放例字视频，并可以暂停或者快进以及调节音量大小；右边一半不能触控，右边排版好当前播放的例字字帖，可以实现摹帖和临帖；支持手指双击碑帖自动放大缩小功能；（需提供第三方权威机构出具的检测报告复印件并加盖生产企业的公章对本项要求进行佐证，报告内容须体现相应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4.高可视角度：＞80/80/80/80 （上下左右）；摹帖屏可承重60kg以上无裂痕；</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5.防水：临摹屏支持防水功能；耐磨：临摹区面板可抗击100000次以上自然摩擦无划痕；</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6.护眼功能：发光柔和护眼，亮度低于260cd/m2；支持RJ45接口；支持WiFi连接；</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7.摹帖屏显示尺寸：＞45cm×25cm；分辨率：1920×1080；</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8.临摹台外置分体式接口：耳机插孔、USB接口、电源开关，并将分体式接口嵌入在临摹桌桌面前侧（学生座位一侧）；</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9.支持自主学习模式下的碑帖临摹功能；支持一键自动更新碑帖功能；支持一键系统整体升级功能； </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上电自动开机，直接进入学生自主学习软件界面，通过学校、班级、账号、密码登录，直接触控操作4套软件系统：练习系统、碑帖系统、名家介绍、名家课堂系统；（需提供第三方权威机构出具的检测报告复印件并加盖生产企业的公章对本项要求进行佐证，报告内容须体现相应功能）</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222</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书法临摹桌</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1.实木结构.规格：≥134cm×60cm×75cm；左右两边两个墨盒孔，长宽：≤13.8cm×7.8cm；左右两边两个临摹台开关孔，长宽：≤7.5cm×1.8cm；洗笔器开关孔直径：≤1.6cm；桌面厚度：≥3.5cm；古典书桌设计，净味漆；</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2.交互式数字临摹台能无缝嵌入至书法桌，嵌入后临摹台与书法桌表面水平；</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3.书法桌学生一侧具有嵌入式临摹台开关，音频接口，USB接口。</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4.书法桌底部有抽屉，方便放书写宣纸；配套笔搁；配套实木方凳2个。</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111</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张</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学生互动拍摄系统</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学生端临摹台的软件支持互动拍摄硬件，互动拍摄硬件与现有学生端临摹台的硬件对接，硬件固定到学生书法桌上；互动拍摄硬件具有笔架功能，支持同时挂三只毛笔；（需提供第三方权威机构出具的检测报告复印件并加盖生产企业的公章对本项要求进行佐证，报告内容须体现相应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2.通过USB连接交互式数字临摹台进行供电，USB线在桌面上不外露；帧速率不低于24帧；</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3.具备学生座位图功能，老师可管理班级、学生，并对学生进行排坐，形成座位图；</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4.老师直接双击座位图上的学生姓名即可查看该学生书写过程，支持老师通过控制系统切换每一个学生的书写过程实时传输到大屏和其他同学的临摹台上欣赏查看；</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5.一键收取作业:教师在中控台上可一键收取作业，作业按照学生座位图的顺序和位置关系进行排列。</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111</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智能笔洗系统</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1.教师端通过书法教学系统软件控制笔洗，具备一键启用、禁用笔洗系统和教师端一键洗笔功能，当启用笔洗系统时，学生可以通过临摹台控制自己座位上的笔洗，当开启一键洗笔功能时，洗笔系统会自动出水；</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2.洗笔系统具备触点式开关控制模式、临摹台控制模式和教师端系统一键洗笔模式；</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3.触点式开关控制模式下，学生每启动一次触点开关，获得洗笔时间；</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4.学生触控临摹台软件界面控制笔洗，可以选择润笔功能、洗笔功能选项，学生可以根据需要进行选择；</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5.教师端系统一键洗笔功能下，教师端系统可以一键开启所有临摹台的笔洗，学生获得洗笔时间；</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6.笔洗系统启动后，笔洗漏斗内始终保持至少2cm高水位的存水量，以方便洗笔；</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7.笔洗系统的出水口不超过桌面(在笔洗漏斗的上口平面以下）、笔洗系统的漏斗具有防溢出功能。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8.投标人须提供包含有“智能笔洗系统”关键字的软件著作权证书复印件盖章。</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111</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碑帖深度学习软件</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该软件从智慧书法教学系统界面进入，支持打开碑帖深度学习软件，在碑帖深度学习软件界面上出现《九成宫碑》、《多宝塔碑》、《玄秘塔碑》、《颜勤礼碑》、《三门记》、《曹全碑》、《兰亭序》。（需提供第三方权威机构出具的检测报告复印件并加盖生产企业的公章对本项要求进行佐证，报告内容须体现相应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点击碑帖名称，出现碑帖的相应图片，相应的碑帖图片可进行拖动条、滚轮、数字加减三种方式进行缩放。可通过翻页按钮选择该碑帖的任意一张图片，该图片可缩放和拖动，选择图片后鼠标点击碑帖上的任意一个字，碑帖上该字的右下角自动出现对应的简体字；</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3.点击单字后，该单字的碑帖原图出现在界面左侧；再点击左侧的碑帖原图，可查看笔顺图，要求笔顺图中的每一笔为硬笔手写体；</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4.可查看该字的行笔路线动画，行笔路线动画的每一笔为硬笔手写体；可查看该字的笔势视图，视图中的每一个笔画的起笔、行笔、转折处用手写箭头标识出来；</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5.可查看碑帖原图和碑帖修复图，碑帖修复图为对破损的碑帖进行原意修复，修复后的字帖笔画完整、不允许变形、背景干净无污；</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可查看该字的其他书体，该字对应的颜体、欧体、柳体、赵体、隶书、篆书、草书同时自动出现在界面上，并且点击任何一种书体可出现该书体对应的多个字帖，继续点击字帖可以放大的方式自动排列在界面上进行书体对比。</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软笔书法Ai智能评价软件</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1.通过学生互动终端收取所有学生的书法练习作业。老师在教师端一次性收齐所有学生的作业。支持查看作业历史记录，并查看某次作业中所有学生的电子版练习作业，也可单独查看某位学生的作业。</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2.在书法教学云平台的课程讲义软件中，支持对所配套的全部毛笔楷书课程中涉及的所有讲解例字进行自动智能评价。</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3.支持查看每位学生的书法成长记录。</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4.点击选择某位学生的书法练习作业，可对作业上的单字或多字同时进行智能评测分析，可选取其中任意一个字查看评测结果。</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5.支持整体自动智能评测功能，根据作业与原贴的符合程度进行打分。</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6.可对字的结构进行自动智能评测，评测时根据每个字的复杂程度从多个评价维度进行分析（一般五到七个评价维度），不同的字，其评价维度的名称、数量不完全相同。</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7.对结构智能评测时，每个字的评价维度均配有教学视频。</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8.对结构智能评测时，按照每个字的评价维度，自动描述该字的结构方面出现的每一个问题，并自动给出文字性的指导建议，针对书写出现的每个问题都自动给出指导图片和书写指导视频。</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9.可对作业中单字的每个笔画进行自动智能评价，对有问题的笔画自动突出标识。</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10.笔画智能评价时，可自动将作业中的每个笔画与原帖的笔画进行图片对比。</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11.笔画智能评价时，对书写出现问题的每一个笔画都自动描述书写问题，并自动给出指导意见。</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12.支持对智能评价结果自动生成整体评测报告。</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作品虚拟展馆展示系统软件</w:t>
            </w:r>
          </w:p>
        </w:tc>
        <w:tc>
          <w:tcPr>
            <w:tcW w:w="5880" w:type="dxa"/>
          </w:tcPr>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一、展示参观</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1.虚拟展馆入口支持学校真实场景融入。</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2.支持展示特定场所的3D实景，支持展示虚拟3D展馆。虚拟展馆设有路径点用于3D漫游。</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3.虚拟展馆可展示书法作品、美术作品、碑帖图，也可展示视频，视频支持自动播放和手动播放两种方式。</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4.参观者可查看作品介绍、作者介绍，可对作品或视频进行点赞或留言。点击作品时，可对作品进行全幅画面欣赏，也可自由缩放展示。</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5.在虚拟场景的房间内，支持参观者使用3D形象，不同参观者进入房间后可以看到其他参观者的实时位置以及走动过程，点击其他参观者，可进行互动交流。</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6.在虚拟场景中 ，可以通过键盘控制进行平滑移动，也可通过预设的位置点进行快速移动，还可调出快速导航功能，进行房间切换或场景切换。</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7.在虚拟场景模式下的房间内，可进行专注方式观赏。专注方式下，可打开或关闭房间灯光，可打开探照灯聚焦显示关键区域，也可打开灯光跟随效果，随时照明用户周围区域的作品。</w:t>
            </w:r>
          </w:p>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二、展馆管理</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8.可设置学校简介，学校简介包含文字描述以及封面图片。</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9.可进行作品管理，作品可单独上传，也支持使用智慧书法教室的互动教学系统批量采集。可进行视频素材管理。</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支持创建基于真实场景、虚拟场景或真实虚拟场景混合模式的展馆。系统内置不同风格的虚拟场景建筑设计方案，用户可使用不同方案进行自由组合，方案内的各种建筑还可自主设计布局。虚拟展馆搭建后，可将作品、视频布置到真实场景或虚拟场景中。</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11.作品具备装裱功能，可使用中堂、斗方装裱形式。视频可加多种边框装饰效果。</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12.可设置展馆的背景音乐，进入展馆后自动播放。</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文房四宝</w:t>
            </w:r>
          </w:p>
        </w:tc>
        <w:tc>
          <w:tcPr>
            <w:tcW w:w="58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1.专业镇尺。</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2.学生练习专用毛笔。兼毫中锋。</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3.书法专用临摹纸，100张/包。吸墨性好，且不透墨。</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墨盒嵌入在桌面；材质：ABS；外观尺寸：≤140×80×33mm；墨盒盖尺寸：≤140.mm×80.mm×6.5mm；墨盒右边水池：≤46×67mm，墨盒左上墨水池：≤33×56mm，左下舔笔台：≤33×56mm，左上角引流槽一个。墨盒采用微倒扣防挥发设计，所盛墨汁可保持百日以上不干涸。墨盒集刮笔、舔笔、润笔功能于一体。</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222</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0" w:type="dxa"/>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1380" w:type="dxa"/>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智慧黑板</w:t>
            </w:r>
          </w:p>
        </w:tc>
        <w:tc>
          <w:tcPr>
            <w:tcW w:w="5880" w:type="dxa"/>
          </w:tcPr>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一、智慧黑板</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 整机需采用一体化拼接设计，外部无任何可见内部功能模块的连接线；采用阻燃材质外壳，边角采用弧形设计，表面无尖锐边缘或凸起。副板需采用金属材质纳米镀膜，支持磁性材料吸附，表面平整、抗冲击，书写手感流畅、摩擦力适度。</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整机需采用可拆卸式笔槽设计；支持普通粉笔、液体粉笔、水溶性粉笔等直接书写。(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整机外观尺寸宽度不小于4200mm，高度不小于1200mm。整机支持壁挂和支架安装方式，黑板挂墙结构具有容错机制，支持左右微调，微调距离±20cm，方便安装调节。(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整机具备2.1声道音箱，前置2个≥15W中高音音箱，后置1个≥20W低音音箱,支持单独听功能。(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触摸悬浮菜单支持快速开启与关闭，用户可自定义显示状态，在屏幕任意位置通过三根手指长按屏幕可召出悬浮菜单；支持三指罗盘跟随功能，可通过三指调用此触摸悬浮菜单到屏幕任意位置。(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为方便老师教学操作及避免误操作，支持实体按键≥8个，至少包含开关、音量+、音量-、主页、设置、信号源、锁屏、护眼等，其中每个按键不少于两种功能。(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7.设备具备三合一电源按键，同一电源物理按键可实现Android系统和Windows系统的开/关机、节能的操作；关机状态下轻按按键可开机；开机状态下轻按按键可熄屏/唤醒，长按按键可关机。</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8.无需借助PC，设备需支持一键进行硬件自检，至少包括对系统内存、存储、屏温、触摸系统、光感系统、内置电脑等进行状态提示及故障提示。</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9.整机可以兼容第三方中控系统，通过RS232控制接口实现远程开关机功能。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10.产品需内置安卓教学辅助系统，采用CPU不少于四核，主频不低于1.9GHz，安卓系统版本不低于11.0，RAM不低于2G,ROM不低于8G。</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左右两侧具有≥10个快捷键，可以双侧显示，至少具有白板、批注、展台、截图、放大镜、聚光灯、幕布、屏幕下拉、返回、自定义等常用教学按键，自定义至少包含：计时器、投票、日历、相机、签到、欢迎词、计算器、锁屏、多任务等功能。(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13.设备需支持前置≥1路HDMI输入接口、≥1路TYPE-C输入接口、≥2路USB输入接口（支持双通道）。</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14.其它接口：设备需支持≥2路USB接口，≥2路HDMI输入接口,≥1路VGA输入接口,≥1路AUDIO 输入接口，≥1路RS232输入接口，≥1路YPBPR IN接口，≥1路LAN IN接口，≥1路AV IN接口，≥1路AV OUT接口，≥1路3.5mm耳机输出接口，≥1路SPDIF OUT接口，≥1路TP-USB（触控）接口。</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设备需支持屏幕下方通过手势滑动调出菜单栏，调出的菜单栏跟随使用者所处的位置，点击菜单应用，不需要使用者移动到屏幕中间操作。(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要求支持设置USB锁、屏幕锁、应用锁与触摸锁功能，其中USB锁、屏幕锁、应用锁可以设置对应解锁的密码。(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要求整机屏幕至少支持类纸屏、滤蓝光、类纸屏+滤蓝光等护眼模式，在任意通道任意画面任意软件所在显示内容下可实时开启。(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18.OPS插拔式电脑：采用插拔式电脑模块架构，针脚数≥80pin，屏体与插拔式电脑无单独接线；处理器配置Intel Core i5处理器，不低于8G内存，不低于256G-SSD固态硬盘；具有独立非外扩展接口：支持HDMI out≥1、Mic in≥1、LINE-out≥1、USB口≥6其中USB 3.0≥3，Rj45≥1；内置有线网卡和无线网卡。</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19.内置摄像头：</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摄像头支持在Android和Windows系统下被调用，摄像头像素不小于1300W，摄像头视场角不小于120°。2.摄像头可用于对教室场景音视频进行采集，摄像头支持在Android和Windows系统下被调用，支持教师进行微课录制，同时摄像头可用于远程巡课和远程互动教学。3.具有不少于8阵列麦克风，支持在Android和Windows系统下被调用，可用于对教室环境音频进行采集，麦克风拾音距离≥12m。(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二、白板软件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1.备课支持插入本地PPT，并保持原有格式无变化，动效动画无丢失，支持批注，批注可设置保存；支持显示保存在云端的课件信息，可接收或忽略其他用户分享的课件。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2.支持对课件进行分享、下载、重命名、移动、删除操作，分享可按照手机号码及链接的方式进行分享，链接分享形式支持设置文件有效期（支持不少于永久、30天、7天等）、私密和公开的设置。</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课件支持自动同步至云端，支持设置课件自动保存时间，至少可设置为1分钟、3分钟、5分钟、10分钟、20分钟、30分钟等。(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4.新建课件支持选择课件主题，提供预设课件主题，至少包含学科主题、创意主题，可在编辑课件的过程中更改。</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支持同时打开多个课件窗口，支持新建课件页面，可拖动、移动、删除、复制页面；支持课件页面切换，提供淡入、推入、旋转、分割、交换、圆形、揭开等不少于7种形式的特效；支持顺序调整，支持应用到全部。</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6.支持对对象进行复制、剪切、粘贴、删除、置于顶层、置于底层、锁定、设置蒙层等操作。</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支持对对象设置元素动画和播放顺序，提供进入（无效果、百叶窗、擦入、浮入、放大、旋转、掉落）、动作（无效果、闪烁、抖动、心跳、旋转、翻转）、退出（无效果、淡出、百叶窗、擦出、浮出、缩小、旋转、飞出）等不少于20种元素动画形式。</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8.支持插入和导出文件，可将制作的课件导出为课件、图片、pdf格式；支持插入文本，可对文本进行字体、字号、颜色、对齐、缩进等多种设置；支持插入本地素材，包括视频、音频、图片、文档等多种格式。</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支持插入网页，可选择合适的网页内容，插入后点击可直接进入该网页进行浏览；支持插入表格，可设置表格行列、添加行列，可双击表格输入内容，支持自动换行；支持插入思维导图，提供思维导图、组织结构图、鱼骨图三种形式；支持插入各类预置形状，可对形状进行填充色、边框颜色及粗细、透明度的设置。</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10.支持插入教学资源，可打开预置资源库，按照教材、年级、学科、知识进行筛选，并将选择的资源插入页面中，教师教学时可直接打开使用。</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支持插入工具，提供汉字、拼音、四线三格、尺规、几何、数学公式、函数、化学方程式、网络画板等学科工具，以及截图、幕布等通用工具。(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支持创建课堂活动，提供分类达人、选词填空、匹配能手等多种互动练习形式，可插入至页面中进行游戏交互练习；支持通过模板制作个人活动，个人活动可保存至云端。(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三、投屏软件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1.支持手机、笔记本电脑等移动端通过自动搜索接收端设备和识别码两种方式无线连接到智慧黑板。</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支持不少于6个投屏客户端图像画面对比展示，在智慧黑板上可以反向控制操作笔记本电脑上的内容,支持单击、双击、右键控制。(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3.支持将手机中的音视频文件无线推送至智慧黑板 ,并能进行播放和进行音量大小调节。</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4.支持鼠标遥控器功能,通过软件一键进行鼠标左键、右键、上下滚轮滑动、触摸板操控等功能。</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5.要求智慧黑板显示桌面可以实时同步到手机上,手机通过两个手指对智慧黑板桌面进行放大、缩小和漫游操作 ,方便手机端对智慧黑板进行远程控制。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indows客户端投屏至少支持桌面同步、镜像投屏和拓展投屏功能，点击功能会跳转至对应控制页面；Windows客户端进入控制页面，支持调节投屏清晰度，至少支持超清、高清等标准。(具有第三方实验室出具的检测报告，报告编号可在全国认证认可信息公共服务平台查询，提供报告复印件和查询截图并加盖制造商公章)</w:t>
            </w:r>
          </w:p>
          <w:p>
            <w:pPr>
              <w:numPr>
                <w:ilvl w:val="0"/>
                <w:numId w:val="0"/>
              </w:numP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其他：</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1、所投智慧黑板的生产厂家需具有中国环境标志产品认证证书。（提供证明文件）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2、所投智慧黑板的生产厂家需具有售后成熟度服务认证证书（十星级）,证书覆盖范围应包括智慧黑板的售后服务。（提供证明文件）</w:t>
            </w:r>
          </w:p>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3、所投智慧黑板生产厂家符合工业和信息化部组织制定的信息技术服务标准，具有ITSS运行维护评估等级达到三级或以上。（提供证明文件）。</w:t>
            </w:r>
          </w:p>
        </w:tc>
        <w:tc>
          <w:tcPr>
            <w:tcW w:w="70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6</w:t>
            </w:r>
          </w:p>
        </w:tc>
        <w:tc>
          <w:tcPr>
            <w:tcW w:w="570" w:type="dxa"/>
            <w:vAlign w:val="center"/>
          </w:tcPr>
          <w:p>
            <w:pPr>
              <w:keepNext w:val="0"/>
              <w:keepLines w:val="0"/>
              <w:widowControl/>
              <w:suppressLineNumbers w:val="0"/>
              <w:jc w:val="left"/>
              <w:textAlignment w:val="center"/>
              <w:rPr>
                <w:rFonts w:hint="eastAsia" w:ascii="仿宋" w:hAnsi="仿宋" w:eastAsia="仿宋" w:cs="仿宋"/>
                <w:sz w:val="24"/>
                <w:szCs w:val="24"/>
                <w:vertAlign w:val="baseline"/>
                <w:lang w:val="en-US" w:eastAsia="zh-CN"/>
              </w:rPr>
            </w:pPr>
            <w:r>
              <w:rPr>
                <w:rFonts w:hint="eastAsia" w:ascii="楷体" w:hAnsi="楷体" w:eastAsia="楷体" w:cs="楷体"/>
                <w:i w:val="0"/>
                <w:color w:val="000000"/>
                <w:kern w:val="0"/>
                <w:sz w:val="22"/>
                <w:szCs w:val="22"/>
                <w:u w:val="none"/>
                <w:lang w:val="en-US" w:eastAsia="zh-CN" w:bidi="ar"/>
              </w:rPr>
              <w:t>套</w:t>
            </w:r>
          </w:p>
        </w:tc>
        <w:tc>
          <w:tcPr>
            <w:tcW w:w="795" w:type="dxa"/>
          </w:tcPr>
          <w:p>
            <w:pPr>
              <w:numPr>
                <w:ilvl w:val="0"/>
                <w:numId w:val="0"/>
              </w:num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0" w:type="dxa"/>
            <w:gridSpan w:val="6"/>
          </w:tcPr>
          <w:p>
            <w:pPr>
              <w:numPr>
                <w:ilvl w:val="0"/>
                <w:numId w:val="0"/>
              </w:numPr>
              <w:rPr>
                <w:rFonts w:hint="eastAsia"/>
                <w:vertAlign w:val="baseline"/>
                <w:lang w:val="en-US" w:eastAsia="zh-CN"/>
              </w:rPr>
            </w:pPr>
            <w:r>
              <w:rPr>
                <w:rFonts w:hint="eastAsia" w:ascii="仿宋" w:hAnsi="仿宋" w:eastAsia="仿宋" w:cs="仿宋"/>
                <w:sz w:val="24"/>
                <w:szCs w:val="24"/>
                <w:vertAlign w:val="baseline"/>
                <w:lang w:val="en-US" w:eastAsia="zh-CN"/>
              </w:rPr>
              <w:t>说明：实际货物需求量以最终项目施工需求为准；采购人有权调整供应物资的品种、规格、数量调整的货物仅限于在本项目使用。</w:t>
            </w:r>
          </w:p>
        </w:tc>
      </w:tr>
    </w:tbl>
    <w:p>
      <w:pPr>
        <w:numPr>
          <w:ilvl w:val="0"/>
          <w:numId w:val="0"/>
        </w:numPr>
        <w:rPr>
          <w:rFonts w:hint="eastAsia" w:ascii="仿宋" w:hAnsi="仿宋" w:eastAsia="仿宋" w:cs="仿宋"/>
          <w:b/>
          <w:bCs/>
          <w:sz w:val="32"/>
          <w:szCs w:val="32"/>
          <w:lang w:val="en-US" w:eastAsia="zh-CN"/>
        </w:rPr>
      </w:pPr>
    </w:p>
    <w:p>
      <w:pPr>
        <w:rPr>
          <w:rFonts w:hint="eastAsia" w:ascii="仿宋" w:hAnsi="仿宋" w:eastAsia="仿宋" w:cs="仿宋"/>
          <w:b/>
          <w:bCs/>
          <w:sz w:val="36"/>
          <w:szCs w:val="44"/>
          <w:lang w:val="en-US" w:eastAsia="zh-CN"/>
        </w:rPr>
      </w:pPr>
      <w:r>
        <w:rPr>
          <w:rFonts w:hint="eastAsia" w:ascii="仿宋" w:hAnsi="仿宋" w:eastAsia="仿宋" w:cs="仿宋"/>
          <w:b/>
          <w:bCs/>
          <w:sz w:val="24"/>
          <w:szCs w:val="24"/>
          <w:lang w:val="en-US" w:eastAsia="zh-CN"/>
        </w:rPr>
        <w:br w:type="page"/>
      </w:r>
    </w:p>
    <w:p>
      <w:pPr>
        <w:widowControl/>
        <w:snapToGrid w:val="0"/>
        <w:spacing w:line="360" w:lineRule="auto"/>
        <w:jc w:val="both"/>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二、商务要求</w:t>
      </w:r>
    </w:p>
    <w:p>
      <w:pPr>
        <w:tabs>
          <w:tab w:val="left" w:pos="0"/>
        </w:tabs>
        <w:spacing w:line="360" w:lineRule="auto"/>
        <w:ind w:firstLine="480" w:firstLineChars="200"/>
        <w:outlineLvl w:val="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eastAsia="zh-CN"/>
        </w:rPr>
        <w:t>.</w:t>
      </w:r>
      <w:r>
        <w:rPr>
          <w:rFonts w:hint="eastAsia" w:ascii="仿宋" w:hAnsi="仿宋" w:eastAsia="仿宋" w:cs="仿宋"/>
          <w:sz w:val="24"/>
          <w:highlight w:val="none"/>
        </w:rPr>
        <w:t>供货、安装、调试、验收</w:t>
      </w:r>
    </w:p>
    <w:p>
      <w:pPr>
        <w:tabs>
          <w:tab w:val="left" w:pos="0"/>
        </w:tabs>
        <w:spacing w:line="360" w:lineRule="auto"/>
        <w:ind w:firstLine="480" w:firstLineChars="200"/>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sz w:val="24"/>
          <w:highlight w:val="none"/>
        </w:rPr>
        <w:t>合同签订后</w:t>
      </w:r>
      <w:r>
        <w:rPr>
          <w:rFonts w:hint="eastAsia" w:ascii="仿宋" w:hAnsi="仿宋" w:eastAsia="仿宋" w:cs="仿宋"/>
          <w:sz w:val="24"/>
          <w:highlight w:val="none"/>
          <w:lang w:val="en-US" w:eastAsia="zh-CN"/>
        </w:rPr>
        <w:t>15</w:t>
      </w:r>
      <w:r>
        <w:rPr>
          <w:rFonts w:hint="eastAsia" w:ascii="仿宋" w:hAnsi="仿宋" w:eastAsia="仿宋" w:cs="仿宋"/>
          <w:sz w:val="24"/>
          <w:highlight w:val="none"/>
        </w:rPr>
        <w:t>个日历天完成供货、安装、调试工作。</w:t>
      </w:r>
      <w:r>
        <w:rPr>
          <w:rFonts w:hint="eastAsia" w:ascii="仿宋" w:hAnsi="仿宋" w:eastAsia="仿宋" w:cs="仿宋"/>
          <w:color w:val="auto"/>
          <w:sz w:val="24"/>
          <w:szCs w:val="24"/>
          <w:highlight w:val="none"/>
        </w:rPr>
        <w:t>安装地点：</w:t>
      </w:r>
      <w:r>
        <w:rPr>
          <w:rFonts w:hint="eastAsia" w:ascii="仿宋" w:hAnsi="仿宋" w:eastAsia="仿宋" w:cs="仿宋"/>
          <w:color w:val="auto"/>
          <w:sz w:val="24"/>
          <w:szCs w:val="24"/>
          <w:highlight w:val="none"/>
          <w:lang w:val="en" w:eastAsia="zh-CN"/>
        </w:rPr>
        <w:t>采购人指定地点</w:t>
      </w:r>
      <w:r>
        <w:rPr>
          <w:rFonts w:hint="eastAsia" w:ascii="仿宋" w:hAnsi="仿宋" w:eastAsia="仿宋" w:cs="仿宋"/>
          <w:color w:val="auto"/>
          <w:sz w:val="24"/>
          <w:szCs w:val="24"/>
          <w:highlight w:val="none"/>
        </w:rPr>
        <w:t>。如因卖方原因不能及时完成安装调试，投标方应承担由此给用户造成的损失。</w:t>
      </w:r>
    </w:p>
    <w:p>
      <w:pPr>
        <w:tabs>
          <w:tab w:val="left" w:pos="0"/>
        </w:tabs>
        <w:spacing w:line="360" w:lineRule="auto"/>
        <w:ind w:firstLine="480" w:firstLineChars="200"/>
        <w:outlineLvl w:val="0"/>
        <w:rPr>
          <w:rFonts w:hint="eastAsia" w:ascii="仿宋" w:hAnsi="仿宋" w:eastAsia="仿宋" w:cs="仿宋"/>
          <w:sz w:val="24"/>
          <w:highlight w:val="none"/>
        </w:rPr>
      </w:pPr>
      <w:r>
        <w:rPr>
          <w:rFonts w:hint="eastAsia" w:ascii="仿宋" w:hAnsi="仿宋" w:eastAsia="仿宋" w:cs="仿宋"/>
          <w:sz w:val="24"/>
          <w:highlight w:val="none"/>
          <w:lang w:val="en-US" w:eastAsia="zh-CN"/>
        </w:rPr>
        <w:t>1.2</w:t>
      </w:r>
      <w:r>
        <w:rPr>
          <w:rFonts w:hint="eastAsia" w:ascii="仿宋" w:hAnsi="仿宋" w:eastAsia="仿宋" w:cs="仿宋"/>
          <w:sz w:val="24"/>
          <w:highlight w:val="none"/>
        </w:rPr>
        <w:t>安装标准：符合我国国家有关技术规范要求和技术标准。软件提供安装光盘。安装过程中发生的费用由卖方负责。投标商应在投标文件中提供其安装调试过程中需招标人配合的内容。同时中标人应派经招标人认可的有经验和能力、具有相应资质的技术人员，负责设备安装工作，在设备安装期间应充分了解设备安装进度要求，保证施工质量，解决施工中出现的技术问题。</w:t>
      </w:r>
    </w:p>
    <w:p>
      <w:pPr>
        <w:tabs>
          <w:tab w:val="left" w:pos="0"/>
        </w:tabs>
        <w:spacing w:line="360" w:lineRule="auto"/>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rPr>
        <w:t>设备安装调试完成后1个月内进行验收。供货方应提供设备的有效检验文件，经买方认可后，与合同和投标文件一起作为设备验收标准。设备验收合格后，由双方共同签署验收文件。验收中发现设备达不到验收标准或规定的性能指标，卖方必须更换设备，并承担由此给用户造成的损失。验收中发生的费用由</w:t>
      </w:r>
      <w:r>
        <w:rPr>
          <w:rFonts w:hint="eastAsia" w:ascii="仿宋" w:hAnsi="仿宋" w:eastAsia="仿宋" w:cs="仿宋"/>
          <w:color w:val="auto"/>
          <w:sz w:val="24"/>
          <w:highlight w:val="none"/>
          <w:lang w:val="en-US" w:eastAsia="zh-CN"/>
        </w:rPr>
        <w:t>中标方</w:t>
      </w:r>
      <w:r>
        <w:rPr>
          <w:rFonts w:hint="eastAsia" w:ascii="仿宋" w:hAnsi="仿宋" w:eastAsia="仿宋" w:cs="仿宋"/>
          <w:color w:val="auto"/>
          <w:sz w:val="24"/>
          <w:highlight w:val="none"/>
        </w:rPr>
        <w:t>承担。</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中标人进行设备系统的调试、试运行、验收（包括负责通过有关部门组织的验收）和配合进行其他系统调试的费用由中标人承担。</w:t>
      </w:r>
    </w:p>
    <w:p>
      <w:pPr>
        <w:tabs>
          <w:tab w:val="left" w:pos="0"/>
        </w:tabs>
        <w:spacing w:line="360" w:lineRule="auto"/>
        <w:ind w:firstLine="480" w:firstLineChars="200"/>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2.包装、运输及保险</w:t>
      </w:r>
    </w:p>
    <w:p>
      <w:pPr>
        <w:tabs>
          <w:tab w:val="left" w:pos="0"/>
        </w:tabs>
        <w:spacing w:line="360" w:lineRule="auto"/>
        <w:ind w:firstLine="480" w:firstLineChars="200"/>
        <w:outlineLvl w:val="0"/>
        <w:rPr>
          <w:color w:val="auto"/>
          <w:highlight w:val="none"/>
        </w:rPr>
      </w:pP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中标人提供的中标物品，必须符合本采购文件要求、原包装送达采购单位；如有不符，采购人可以无条件退货，所造成的损失由中标人承担。更换后的零部件质保期按更换日起顺延。</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中标人应在货物发运前对其进行满足运输距离、防潮、防震、防锈和防破损装卸等要求包装，以保证货物安全运达</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指定地点。</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2.3</w:t>
      </w:r>
      <w:r>
        <w:rPr>
          <w:rFonts w:hint="eastAsia" w:ascii="仿宋" w:hAnsi="仿宋" w:eastAsia="仿宋" w:cs="仿宋"/>
          <w:color w:val="auto"/>
          <w:sz w:val="24"/>
          <w:highlight w:val="none"/>
        </w:rPr>
        <w:t>使用说明书、质量检验证明书、随配附件和工具以及清单一并附于货物内。</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2.4</w:t>
      </w:r>
      <w:r>
        <w:rPr>
          <w:rFonts w:hint="eastAsia" w:ascii="仿宋" w:hAnsi="仿宋" w:eastAsia="仿宋" w:cs="仿宋"/>
          <w:color w:val="auto"/>
          <w:sz w:val="24"/>
          <w:highlight w:val="none"/>
        </w:rPr>
        <w:t>中标人在货物发运手续办理完毕后24小时内或货到</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48小时前通知</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，以准备接货。</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货物在交付采购人前发生的风险均由</w:t>
      </w:r>
      <w:r>
        <w:rPr>
          <w:rFonts w:hint="eastAsia" w:ascii="仿宋" w:hAnsi="仿宋" w:eastAsia="仿宋" w:cs="仿宋"/>
          <w:color w:val="auto"/>
          <w:sz w:val="24"/>
          <w:highlight w:val="none"/>
          <w:lang w:eastAsia="zh-CN"/>
        </w:rPr>
        <w:t>中标人</w:t>
      </w:r>
      <w:r>
        <w:rPr>
          <w:rFonts w:hint="eastAsia" w:ascii="仿宋" w:hAnsi="仿宋" w:eastAsia="仿宋" w:cs="仿宋"/>
          <w:color w:val="auto"/>
          <w:sz w:val="24"/>
          <w:highlight w:val="none"/>
        </w:rPr>
        <w:t>负责。</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2.6</w:t>
      </w:r>
      <w:r>
        <w:rPr>
          <w:rFonts w:hint="eastAsia" w:ascii="仿宋" w:hAnsi="仿宋" w:eastAsia="仿宋" w:cs="仿宋"/>
          <w:color w:val="auto"/>
          <w:sz w:val="24"/>
          <w:highlight w:val="none"/>
        </w:rPr>
        <w:t>货物在规定的交付期限内由中标人送达采购人指定的地点视为交付，中标人同时需通知采购人货物已送达。</w:t>
      </w:r>
    </w:p>
    <w:p>
      <w:pPr>
        <w:tabs>
          <w:tab w:val="left" w:pos="0"/>
        </w:tabs>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2.7</w:t>
      </w:r>
      <w:r>
        <w:rPr>
          <w:rFonts w:hint="eastAsia" w:ascii="仿宋" w:hAnsi="仿宋" w:eastAsia="仿宋" w:cs="仿宋"/>
          <w:color w:val="auto"/>
          <w:sz w:val="24"/>
          <w:highlight w:val="none"/>
        </w:rPr>
        <w:t>中标人需提供货物运输保险。</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w:t>
      </w:r>
      <w:r>
        <w:rPr>
          <w:rFonts w:hint="eastAsia" w:ascii="仿宋" w:hAnsi="仿宋" w:eastAsia="仿宋" w:cs="仿宋"/>
          <w:sz w:val="24"/>
          <w:highlight w:val="none"/>
        </w:rPr>
        <w:t>质量保证期级售后服务</w:t>
      </w:r>
    </w:p>
    <w:p>
      <w:pPr>
        <w:spacing w:line="360" w:lineRule="auto"/>
        <w:ind w:firstLine="482" w:firstLineChars="200"/>
        <w:rPr>
          <w:rFonts w:ascii="仿宋" w:hAnsi="仿宋" w:eastAsia="仿宋" w:cs="仿宋"/>
          <w:sz w:val="24"/>
          <w:highlight w:val="none"/>
        </w:rPr>
      </w:pPr>
      <w:r>
        <w:rPr>
          <w:rFonts w:hint="eastAsia" w:ascii="仿宋" w:hAnsi="仿宋" w:eastAsia="仿宋" w:cs="仿宋"/>
          <w:b/>
          <w:bCs/>
          <w:sz w:val="24"/>
          <w:highlight w:val="none"/>
          <w:lang w:val="en-US" w:eastAsia="zh-CN"/>
        </w:rPr>
        <w:t>3</w:t>
      </w:r>
      <w:r>
        <w:rPr>
          <w:rFonts w:hint="eastAsia" w:ascii="仿宋" w:hAnsi="仿宋" w:eastAsia="仿宋" w:cs="仿宋"/>
          <w:b/>
          <w:bCs/>
          <w:sz w:val="24"/>
          <w:highlight w:val="none"/>
        </w:rPr>
        <w:t>.1质保期：设备整体质保</w:t>
      </w:r>
      <w:r>
        <w:rPr>
          <w:rFonts w:hint="eastAsia" w:ascii="仿宋" w:hAnsi="仿宋" w:eastAsia="仿宋" w:cs="仿宋"/>
          <w:b/>
          <w:bCs/>
          <w:sz w:val="24"/>
          <w:highlight w:val="none"/>
          <w:lang w:val="en-US" w:eastAsia="zh-CN"/>
        </w:rPr>
        <w:t>三</w:t>
      </w:r>
      <w:r>
        <w:rPr>
          <w:rFonts w:hint="eastAsia" w:ascii="仿宋" w:hAnsi="仿宋" w:eastAsia="仿宋" w:cs="仿宋"/>
          <w:b/>
          <w:bCs/>
          <w:sz w:val="24"/>
          <w:highlight w:val="none"/>
        </w:rPr>
        <w:t>年，终生提供维护维修，配件按市场价格收取，免收差旅费。</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.2质量保证期内提供免费上门维护、升级服务，如设备出现故障，供货单位在接到电话后，</w:t>
      </w:r>
      <w:r>
        <w:rPr>
          <w:rFonts w:hint="eastAsia" w:ascii="仿宋" w:hAnsi="仿宋" w:eastAsia="仿宋" w:cs="仿宋"/>
          <w:sz w:val="24"/>
          <w:highlight w:val="none"/>
          <w:lang w:val="en-US" w:eastAsia="zh-CN"/>
        </w:rPr>
        <w:t>全天</w:t>
      </w:r>
      <w:r>
        <w:rPr>
          <w:rFonts w:hint="eastAsia" w:ascii="仿宋" w:hAnsi="仿宋" w:eastAsia="仿宋" w:cs="仿宋"/>
          <w:sz w:val="24"/>
          <w:highlight w:val="none"/>
        </w:rPr>
        <w:t>24小时内响应，</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小时</w:t>
      </w:r>
      <w:r>
        <w:rPr>
          <w:rFonts w:hint="eastAsia" w:ascii="仿宋" w:hAnsi="仿宋" w:eastAsia="仿宋" w:cs="仿宋"/>
          <w:sz w:val="24"/>
          <w:highlight w:val="none"/>
          <w:lang w:val="en-US" w:eastAsia="zh-CN"/>
        </w:rPr>
        <w:t>内</w:t>
      </w:r>
      <w:r>
        <w:rPr>
          <w:rFonts w:hint="eastAsia" w:ascii="仿宋" w:hAnsi="仿宋" w:eastAsia="仿宋" w:cs="仿宋"/>
          <w:sz w:val="24"/>
          <w:highlight w:val="none"/>
        </w:rPr>
        <w:t>快速上门服务，现场不能修复的，必须采取无偿提供采购物品的备品等措施，保证用户单位的正常使用。</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.3应提供技术支持方案，内容由投标人根据实际选择以下要点：服务机构（维保点）的地址、人员状况、维修能力、联系方式、营业执照、公司资质材料、相关案例等。</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.4完整准确地表述原厂家的标准售后服务承诺（范围、标准及期限等）、投标人可能增加的服务承诺等。</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.5投标商应在投标文件中详细说明其在质保期及整个使用期内的服务计划及收费标准（包括主要配件及人工的价格），否则将被认为是无条件和免费的。</w:t>
      </w:r>
    </w:p>
    <w:p>
      <w:pPr>
        <w:tabs>
          <w:tab w:val="left" w:pos="0"/>
        </w:tabs>
        <w:spacing w:line="360" w:lineRule="auto"/>
        <w:ind w:firstLine="480" w:firstLineChars="200"/>
        <w:outlineLvl w:val="0"/>
        <w:rPr>
          <w:rFonts w:ascii="仿宋" w:hAnsi="仿宋" w:eastAsia="仿宋" w:cs="仿宋"/>
          <w:sz w:val="24"/>
          <w:highlight w:val="none"/>
        </w:rPr>
      </w:pPr>
      <w:bookmarkStart w:id="16" w:name="_Toc18419"/>
      <w:bookmarkStart w:id="17" w:name="_Toc972"/>
      <w:r>
        <w:rPr>
          <w:rFonts w:hint="eastAsia" w:ascii="仿宋" w:hAnsi="仿宋" w:eastAsia="仿宋" w:cs="仿宋"/>
          <w:sz w:val="24"/>
          <w:highlight w:val="none"/>
          <w:lang w:val="en-US" w:eastAsia="zh-CN"/>
        </w:rPr>
        <w:t>3</w:t>
      </w:r>
      <w:r>
        <w:rPr>
          <w:rFonts w:hint="eastAsia" w:ascii="仿宋" w:hAnsi="仿宋" w:eastAsia="仿宋" w:cs="仿宋"/>
          <w:sz w:val="24"/>
          <w:highlight w:val="none"/>
        </w:rPr>
        <w:t>.6如采购人只向中标人购置该设备，中标人应提供该设备的整机保修</w:t>
      </w:r>
      <w:bookmarkStart w:id="406" w:name="_GoBack"/>
      <w:bookmarkEnd w:id="406"/>
      <w:r>
        <w:rPr>
          <w:rFonts w:hint="eastAsia" w:ascii="仿宋" w:hAnsi="仿宋" w:eastAsia="仿宋" w:cs="仿宋"/>
          <w:sz w:val="24"/>
          <w:highlight w:val="none"/>
        </w:rPr>
        <w:t>。</w:t>
      </w:r>
      <w:bookmarkEnd w:id="16"/>
      <w:bookmarkEnd w:id="17"/>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 xml:space="preserve">项目保修维修 </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.1采购的物品，均按国家三包规定实行保修（除标项内已有说明外）。</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.2在质保维保期外响应时间同前。</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.3终身提供维修。</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项目实施计划</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rPr>
        <w:t>项目实施的组织工作方案：工作时间进度表、工作程序或步骤、管理和协调方法等。送货方案。</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培训计划</w:t>
      </w:r>
    </w:p>
    <w:p>
      <w:pPr>
        <w:tabs>
          <w:tab w:val="left" w:pos="0"/>
        </w:tabs>
        <w:spacing w:line="360" w:lineRule="auto"/>
        <w:ind w:firstLine="480" w:firstLineChars="200"/>
        <w:outlineLvl w:val="0"/>
        <w:rPr>
          <w:rFonts w:hint="eastAsia" w:ascii="仿宋" w:hAnsi="仿宋" w:eastAsia="仿宋" w:cs="仿宋"/>
          <w:sz w:val="24"/>
          <w:highlight w:val="none"/>
        </w:rPr>
      </w:pPr>
      <w:r>
        <w:rPr>
          <w:rFonts w:hint="eastAsia" w:ascii="仿宋" w:hAnsi="仿宋" w:eastAsia="仿宋" w:cs="仿宋"/>
          <w:sz w:val="24"/>
          <w:highlight w:val="none"/>
        </w:rPr>
        <w:t>卖方应对用户的维修人员进行培训，使其掌握该设备的功能、原理、结构，并能对一般故障进行维修。卖方应对用户的所有操作人员进行培训，使其掌握该设备的操作和维护保养，提供操作规程。上述二种培训的方式、地点人员及费用（包含在投标总价内）投标商应在投标文件中详细说明。</w:t>
      </w:r>
    </w:p>
    <w:p>
      <w:pPr>
        <w:tabs>
          <w:tab w:val="left" w:pos="0"/>
        </w:tabs>
        <w:spacing w:line="360" w:lineRule="auto"/>
        <w:ind w:firstLine="480" w:firstLineChars="200"/>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7.履约保证金</w:t>
      </w:r>
    </w:p>
    <w:p>
      <w:pPr>
        <w:tabs>
          <w:tab w:val="left" w:pos="0"/>
        </w:tabs>
        <w:spacing w:line="360" w:lineRule="auto"/>
        <w:ind w:firstLine="480" w:firstLineChars="200"/>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无</w:t>
      </w:r>
    </w:p>
    <w:p>
      <w:pPr>
        <w:tabs>
          <w:tab w:val="left" w:pos="0"/>
        </w:tabs>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付款方式</w:t>
      </w:r>
    </w:p>
    <w:p>
      <w:pPr>
        <w:tabs>
          <w:tab w:val="left" w:pos="0"/>
        </w:tabs>
        <w:spacing w:line="360" w:lineRule="auto"/>
        <w:ind w:firstLine="480" w:firstLineChars="200"/>
        <w:outlineLvl w:val="0"/>
        <w:rPr>
          <w:rFonts w:ascii="仿宋" w:hAnsi="仿宋" w:eastAsia="仿宋" w:cs="仿宋"/>
          <w:color w:val="auto"/>
          <w:sz w:val="24"/>
          <w:szCs w:val="24"/>
          <w:highlight w:val="none"/>
        </w:rPr>
      </w:pPr>
      <w:r>
        <w:rPr>
          <w:rFonts w:hint="eastAsia" w:ascii="仿宋" w:hAnsi="仿宋" w:eastAsia="仿宋" w:cs="仿宋"/>
          <w:sz w:val="24"/>
          <w:szCs w:val="24"/>
          <w:highlight w:val="none"/>
          <w:lang w:val="zh-CN" w:eastAsia="zh-CN"/>
        </w:rPr>
        <w:t>以合同签订为准</w:t>
      </w:r>
      <w:r>
        <w:rPr>
          <w:rFonts w:hint="eastAsia" w:ascii="仿宋" w:hAnsi="仿宋" w:eastAsia="仿宋" w:cs="仿宋"/>
          <w:color w:val="auto"/>
          <w:sz w:val="24"/>
          <w:szCs w:val="24"/>
          <w:highlight w:val="none"/>
        </w:rPr>
        <w:t>。</w:t>
      </w:r>
    </w:p>
    <w:p>
      <w:pPr>
        <w:spacing w:line="360" w:lineRule="auto"/>
        <w:rPr>
          <w:rFonts w:hint="eastAsia"/>
          <w:color w:val="auto"/>
          <w:sz w:val="24"/>
          <w:szCs w:val="24"/>
          <w:highlight w:val="none"/>
        </w:rPr>
        <w:sectPr>
          <w:footerReference r:id="rId3" w:type="default"/>
          <w:pgSz w:w="11907" w:h="16840"/>
          <w:pgMar w:top="1474" w:right="1473" w:bottom="1474" w:left="1394" w:header="851" w:footer="851" w:gutter="0"/>
          <w:pgBorders>
            <w:top w:val="none" w:sz="0" w:space="0"/>
            <w:left w:val="none" w:sz="0" w:space="0"/>
            <w:bottom w:val="none" w:sz="0" w:space="0"/>
            <w:right w:val="none" w:sz="0" w:space="0"/>
          </w:pgBorders>
          <w:pgNumType w:fmt="decimal"/>
          <w:cols w:space="720" w:num="1"/>
        </w:sectPr>
      </w:pPr>
    </w:p>
    <w:p>
      <w:pPr>
        <w:snapToGrid w:val="0"/>
        <w:spacing w:line="360" w:lineRule="auto"/>
        <w:jc w:val="center"/>
        <w:rPr>
          <w:rFonts w:ascii="仿宋" w:hAnsi="仿宋" w:eastAsia="仿宋" w:cs="仿宋"/>
          <w:b/>
          <w:sz w:val="36"/>
          <w:szCs w:val="36"/>
          <w:highlight w:val="none"/>
        </w:rPr>
      </w:pPr>
      <w:bookmarkStart w:id="18" w:name="_Toc16746_WPSOffice_Level1"/>
      <w:r>
        <w:rPr>
          <w:rFonts w:hint="eastAsia" w:ascii="仿宋" w:hAnsi="仿宋" w:eastAsia="仿宋" w:cs="仿宋"/>
          <w:b/>
          <w:sz w:val="36"/>
          <w:szCs w:val="36"/>
          <w:highlight w:val="none"/>
        </w:rPr>
        <w:t xml:space="preserve">第四部分 </w:t>
      </w:r>
      <w:bookmarkStart w:id="19" w:name="_Toc184312076"/>
      <w:bookmarkEnd w:id="19"/>
      <w:bookmarkStart w:id="20" w:name="_Toc184314426"/>
      <w:bookmarkEnd w:id="20"/>
      <w:bookmarkStart w:id="21" w:name="_Toc184313301"/>
      <w:bookmarkEnd w:id="21"/>
      <w:bookmarkStart w:id="22" w:name="_Toc184313287"/>
      <w:bookmarkEnd w:id="22"/>
      <w:bookmarkStart w:id="23" w:name="_Toc184308088"/>
      <w:bookmarkEnd w:id="23"/>
      <w:bookmarkStart w:id="24" w:name="_Toc184312119"/>
      <w:bookmarkEnd w:id="24"/>
      <w:bookmarkStart w:id="25" w:name="_Toc184314454"/>
      <w:bookmarkEnd w:id="25"/>
      <w:bookmarkStart w:id="26" w:name="_Toc184308085"/>
      <w:bookmarkEnd w:id="26"/>
      <w:bookmarkStart w:id="27" w:name="_Toc184314473"/>
      <w:bookmarkEnd w:id="27"/>
      <w:bookmarkStart w:id="28" w:name="_Toc184310339"/>
      <w:bookmarkEnd w:id="28"/>
      <w:bookmarkStart w:id="29" w:name="_Toc184310288"/>
      <w:bookmarkEnd w:id="29"/>
      <w:bookmarkStart w:id="30" w:name="_Toc184313309"/>
      <w:bookmarkEnd w:id="30"/>
      <w:bookmarkStart w:id="31" w:name="_Toc184312091"/>
      <w:bookmarkEnd w:id="31"/>
      <w:bookmarkStart w:id="32" w:name="_Toc184312094"/>
      <w:bookmarkEnd w:id="32"/>
      <w:bookmarkStart w:id="33" w:name="_Toc184310280"/>
      <w:bookmarkEnd w:id="33"/>
      <w:bookmarkStart w:id="34" w:name="_Toc184314411"/>
      <w:bookmarkEnd w:id="34"/>
      <w:bookmarkStart w:id="35" w:name="_Toc184314432"/>
      <w:bookmarkEnd w:id="35"/>
      <w:bookmarkStart w:id="36" w:name="_Toc184308091"/>
      <w:bookmarkEnd w:id="36"/>
      <w:bookmarkStart w:id="37" w:name="_Toc184314431"/>
      <w:bookmarkEnd w:id="37"/>
      <w:bookmarkStart w:id="38" w:name="_Toc184313279"/>
      <w:bookmarkEnd w:id="38"/>
      <w:bookmarkStart w:id="39" w:name="_Toc184312115"/>
      <w:bookmarkEnd w:id="39"/>
      <w:bookmarkStart w:id="40" w:name="_Toc184314464"/>
      <w:bookmarkEnd w:id="40"/>
      <w:bookmarkStart w:id="41" w:name="_Toc184308062"/>
      <w:bookmarkEnd w:id="41"/>
      <w:bookmarkStart w:id="42" w:name="_Toc184310293"/>
      <w:bookmarkEnd w:id="42"/>
      <w:bookmarkStart w:id="43" w:name="_Toc184313257"/>
      <w:bookmarkEnd w:id="43"/>
      <w:bookmarkStart w:id="44" w:name="_Toc184314444"/>
      <w:bookmarkEnd w:id="44"/>
      <w:bookmarkStart w:id="45" w:name="_Toc184314424"/>
      <w:bookmarkEnd w:id="45"/>
      <w:bookmarkStart w:id="46" w:name="_Toc184310343"/>
      <w:bookmarkEnd w:id="46"/>
      <w:bookmarkStart w:id="47" w:name="_Toc184314471"/>
      <w:bookmarkEnd w:id="47"/>
      <w:bookmarkStart w:id="48" w:name="_Toc184310290"/>
      <w:bookmarkEnd w:id="48"/>
      <w:bookmarkStart w:id="49" w:name="_Toc184312072"/>
      <w:bookmarkEnd w:id="49"/>
      <w:bookmarkStart w:id="50" w:name="_Toc184313304"/>
      <w:bookmarkEnd w:id="50"/>
      <w:bookmarkStart w:id="51" w:name="_Toc184308048"/>
      <w:bookmarkEnd w:id="51"/>
      <w:bookmarkStart w:id="52" w:name="_Toc184313253"/>
      <w:bookmarkEnd w:id="52"/>
      <w:bookmarkStart w:id="53" w:name="_Toc184313267"/>
      <w:bookmarkEnd w:id="53"/>
      <w:bookmarkStart w:id="54" w:name="_Toc184310273"/>
      <w:bookmarkEnd w:id="54"/>
      <w:bookmarkStart w:id="55" w:name="_Toc184308036"/>
      <w:bookmarkEnd w:id="55"/>
      <w:bookmarkStart w:id="56" w:name="_Toc184308086"/>
      <w:bookmarkEnd w:id="56"/>
      <w:bookmarkStart w:id="57" w:name="_Toc184314450"/>
      <w:bookmarkEnd w:id="57"/>
      <w:bookmarkStart w:id="58" w:name="_Toc184310298"/>
      <w:bookmarkEnd w:id="58"/>
      <w:bookmarkStart w:id="59" w:name="_Toc184312123"/>
      <w:bookmarkEnd w:id="59"/>
      <w:bookmarkStart w:id="60" w:name="_Toc184314447"/>
      <w:bookmarkEnd w:id="60"/>
      <w:bookmarkStart w:id="61" w:name="_Toc184310294"/>
      <w:bookmarkEnd w:id="61"/>
      <w:bookmarkStart w:id="62" w:name="_Toc184314421"/>
      <w:bookmarkEnd w:id="62"/>
      <w:bookmarkStart w:id="63" w:name="_Toc184313262"/>
      <w:bookmarkEnd w:id="63"/>
      <w:bookmarkStart w:id="64" w:name="_Toc184308056"/>
      <w:bookmarkEnd w:id="64"/>
      <w:bookmarkStart w:id="65" w:name="_Toc184312137"/>
      <w:bookmarkEnd w:id="65"/>
      <w:bookmarkStart w:id="66" w:name="_Toc184310308"/>
      <w:bookmarkEnd w:id="66"/>
      <w:bookmarkStart w:id="67" w:name="_Toc184313303"/>
      <w:bookmarkEnd w:id="67"/>
      <w:bookmarkStart w:id="68" w:name="_Toc184308044"/>
      <w:bookmarkEnd w:id="68"/>
      <w:bookmarkStart w:id="69" w:name="_Toc184313293"/>
      <w:bookmarkEnd w:id="69"/>
      <w:bookmarkStart w:id="70" w:name="_Toc184310344"/>
      <w:bookmarkEnd w:id="70"/>
      <w:bookmarkStart w:id="71" w:name="_Toc184314448"/>
      <w:bookmarkEnd w:id="71"/>
      <w:bookmarkStart w:id="72" w:name="_Toc184308039"/>
      <w:bookmarkEnd w:id="72"/>
      <w:bookmarkStart w:id="73" w:name="_Toc184308080"/>
      <w:bookmarkEnd w:id="73"/>
      <w:bookmarkStart w:id="74" w:name="_Toc184314412"/>
      <w:bookmarkEnd w:id="74"/>
      <w:bookmarkStart w:id="75" w:name="_Toc184310305"/>
      <w:bookmarkEnd w:id="75"/>
      <w:bookmarkStart w:id="76" w:name="_Toc184314427"/>
      <w:bookmarkEnd w:id="76"/>
      <w:bookmarkStart w:id="77" w:name="_Toc184310320"/>
      <w:bookmarkEnd w:id="77"/>
      <w:bookmarkStart w:id="78" w:name="_Toc184310281"/>
      <w:bookmarkEnd w:id="78"/>
      <w:bookmarkStart w:id="79" w:name="_Toc184314435"/>
      <w:bookmarkEnd w:id="79"/>
      <w:bookmarkStart w:id="80" w:name="_Toc184308043"/>
      <w:bookmarkEnd w:id="80"/>
      <w:bookmarkStart w:id="81" w:name="_Toc184314434"/>
      <w:bookmarkEnd w:id="81"/>
      <w:bookmarkStart w:id="82" w:name="_Toc184310340"/>
      <w:bookmarkEnd w:id="82"/>
      <w:bookmarkStart w:id="83" w:name="_Toc184312139"/>
      <w:bookmarkEnd w:id="83"/>
      <w:bookmarkStart w:id="84" w:name="_Toc184314417"/>
      <w:bookmarkEnd w:id="84"/>
      <w:bookmarkStart w:id="85" w:name="_Toc184312086"/>
      <w:bookmarkEnd w:id="85"/>
      <w:bookmarkStart w:id="86" w:name="_Toc184312070"/>
      <w:bookmarkEnd w:id="86"/>
      <w:bookmarkStart w:id="87" w:name="_Toc184314425"/>
      <w:bookmarkEnd w:id="87"/>
      <w:bookmarkStart w:id="88" w:name="_Toc184308094"/>
      <w:bookmarkEnd w:id="88"/>
      <w:bookmarkStart w:id="89" w:name="_Toc184314463"/>
      <w:bookmarkEnd w:id="89"/>
      <w:bookmarkStart w:id="90" w:name="_Toc184314442"/>
      <w:bookmarkEnd w:id="90"/>
      <w:bookmarkStart w:id="91" w:name="_Toc184310338"/>
      <w:bookmarkEnd w:id="91"/>
      <w:bookmarkStart w:id="92" w:name="_Toc184310300"/>
      <w:bookmarkEnd w:id="92"/>
      <w:bookmarkStart w:id="93" w:name="_Toc184312126"/>
      <w:bookmarkEnd w:id="93"/>
      <w:bookmarkStart w:id="94" w:name="_Toc184310310"/>
      <w:bookmarkEnd w:id="94"/>
      <w:bookmarkStart w:id="95" w:name="_Toc184308101"/>
      <w:bookmarkEnd w:id="95"/>
      <w:bookmarkStart w:id="96" w:name="_Toc184313296"/>
      <w:bookmarkEnd w:id="96"/>
      <w:bookmarkStart w:id="97" w:name="_Toc184310316"/>
      <w:bookmarkEnd w:id="97"/>
      <w:bookmarkStart w:id="98" w:name="_Toc184313306"/>
      <w:bookmarkEnd w:id="98"/>
      <w:bookmarkStart w:id="99" w:name="_Toc184313292"/>
      <w:bookmarkEnd w:id="99"/>
      <w:bookmarkStart w:id="100" w:name="_Toc184308063"/>
      <w:bookmarkEnd w:id="100"/>
      <w:bookmarkStart w:id="101" w:name="_Toc184310302"/>
      <w:bookmarkEnd w:id="101"/>
      <w:bookmarkStart w:id="102" w:name="_Toc184314455"/>
      <w:bookmarkEnd w:id="102"/>
      <w:bookmarkStart w:id="103" w:name="_Toc184312075"/>
      <w:bookmarkEnd w:id="103"/>
      <w:bookmarkStart w:id="104" w:name="_Toc184313291"/>
      <w:bookmarkEnd w:id="104"/>
      <w:bookmarkStart w:id="105" w:name="_Toc184308071"/>
      <w:bookmarkEnd w:id="105"/>
      <w:bookmarkStart w:id="106" w:name="_Toc184313302"/>
      <w:bookmarkEnd w:id="106"/>
      <w:bookmarkStart w:id="107" w:name="_Toc184312113"/>
      <w:bookmarkEnd w:id="107"/>
      <w:bookmarkStart w:id="108" w:name="_Toc184310287"/>
      <w:bookmarkEnd w:id="108"/>
      <w:bookmarkStart w:id="109" w:name="_Toc184314446"/>
      <w:bookmarkEnd w:id="109"/>
      <w:bookmarkStart w:id="110" w:name="_Toc184308076"/>
      <w:bookmarkEnd w:id="110"/>
      <w:bookmarkStart w:id="111" w:name="_Toc184312106"/>
      <w:bookmarkEnd w:id="111"/>
      <w:bookmarkStart w:id="112" w:name="_Toc184314443"/>
      <w:bookmarkEnd w:id="112"/>
      <w:bookmarkStart w:id="113" w:name="_Toc184314415"/>
      <w:bookmarkEnd w:id="113"/>
      <w:bookmarkStart w:id="114" w:name="_Toc184308042"/>
      <w:bookmarkEnd w:id="114"/>
      <w:bookmarkStart w:id="115" w:name="_Toc184310315"/>
      <w:bookmarkEnd w:id="115"/>
      <w:bookmarkStart w:id="116" w:name="_Toc184314466"/>
      <w:bookmarkEnd w:id="116"/>
      <w:bookmarkStart w:id="117" w:name="_Toc184314480"/>
      <w:bookmarkEnd w:id="117"/>
      <w:bookmarkStart w:id="118" w:name="_Toc184312085"/>
      <w:bookmarkEnd w:id="118"/>
      <w:bookmarkStart w:id="119" w:name="_Toc184312099"/>
      <w:bookmarkEnd w:id="119"/>
      <w:bookmarkStart w:id="120" w:name="_Toc184314438"/>
      <w:bookmarkEnd w:id="120"/>
      <w:bookmarkStart w:id="121" w:name="_Toc184312134"/>
      <w:bookmarkEnd w:id="121"/>
      <w:bookmarkStart w:id="122" w:name="_Toc184314428"/>
      <w:bookmarkEnd w:id="122"/>
      <w:bookmarkStart w:id="123" w:name="_Toc184312136"/>
      <w:bookmarkEnd w:id="123"/>
      <w:bookmarkStart w:id="124" w:name="_Toc184312093"/>
      <w:bookmarkEnd w:id="124"/>
      <w:bookmarkStart w:id="125" w:name="_Toc184313260"/>
      <w:bookmarkEnd w:id="125"/>
      <w:bookmarkStart w:id="126" w:name="_Toc184314478"/>
      <w:bookmarkEnd w:id="126"/>
      <w:bookmarkStart w:id="127" w:name="_Toc184310284"/>
      <w:bookmarkEnd w:id="127"/>
      <w:bookmarkStart w:id="128" w:name="_Toc184313277"/>
      <w:bookmarkEnd w:id="128"/>
      <w:bookmarkStart w:id="129" w:name="_Toc184310335"/>
      <w:bookmarkEnd w:id="129"/>
      <w:bookmarkStart w:id="130" w:name="_Toc184314456"/>
      <w:bookmarkEnd w:id="130"/>
      <w:bookmarkStart w:id="131" w:name="_Toc184313305"/>
      <w:bookmarkEnd w:id="131"/>
      <w:bookmarkStart w:id="132" w:name="_Toc184308067"/>
      <w:bookmarkEnd w:id="132"/>
      <w:bookmarkStart w:id="133" w:name="_Toc184308100"/>
      <w:bookmarkEnd w:id="133"/>
      <w:bookmarkStart w:id="134" w:name="_Toc184312111"/>
      <w:bookmarkEnd w:id="134"/>
      <w:bookmarkStart w:id="135" w:name="_Toc184312090"/>
      <w:bookmarkEnd w:id="135"/>
      <w:bookmarkStart w:id="136" w:name="_Toc184310328"/>
      <w:bookmarkEnd w:id="136"/>
      <w:bookmarkStart w:id="137" w:name="_Toc184313273"/>
      <w:bookmarkEnd w:id="137"/>
      <w:bookmarkStart w:id="138" w:name="_Toc184314449"/>
      <w:bookmarkEnd w:id="138"/>
      <w:bookmarkStart w:id="139" w:name="_Toc184310330"/>
      <w:bookmarkEnd w:id="139"/>
      <w:bookmarkStart w:id="140" w:name="_Toc184312102"/>
      <w:bookmarkEnd w:id="140"/>
      <w:bookmarkStart w:id="141" w:name="_Toc184312069"/>
      <w:bookmarkEnd w:id="141"/>
      <w:bookmarkStart w:id="142" w:name="_Toc184313250"/>
      <w:bookmarkEnd w:id="142"/>
      <w:bookmarkStart w:id="143" w:name="_Toc184313247"/>
      <w:bookmarkEnd w:id="143"/>
      <w:bookmarkStart w:id="144" w:name="_Toc184312078"/>
      <w:bookmarkEnd w:id="144"/>
      <w:bookmarkStart w:id="145" w:name="_Toc184312097"/>
      <w:bookmarkEnd w:id="145"/>
      <w:bookmarkStart w:id="146" w:name="_Toc184310306"/>
      <w:bookmarkEnd w:id="146"/>
      <w:bookmarkStart w:id="147" w:name="_Toc184312110"/>
      <w:bookmarkEnd w:id="147"/>
      <w:bookmarkStart w:id="148" w:name="_Toc184314476"/>
      <w:bookmarkEnd w:id="148"/>
      <w:bookmarkStart w:id="149" w:name="_Toc184310326"/>
      <w:bookmarkEnd w:id="149"/>
      <w:bookmarkStart w:id="150" w:name="_Toc184310314"/>
      <w:bookmarkEnd w:id="150"/>
      <w:bookmarkStart w:id="151" w:name="_Toc184312088"/>
      <w:bookmarkEnd w:id="151"/>
      <w:bookmarkStart w:id="152" w:name="_Toc184314462"/>
      <w:bookmarkEnd w:id="152"/>
      <w:bookmarkStart w:id="153" w:name="_Toc184308061"/>
      <w:bookmarkEnd w:id="153"/>
      <w:bookmarkStart w:id="154" w:name="_Toc184314482"/>
      <w:bookmarkEnd w:id="154"/>
      <w:bookmarkStart w:id="155" w:name="_Toc184308097"/>
      <w:bookmarkEnd w:id="155"/>
      <w:bookmarkStart w:id="156" w:name="_Toc184314416"/>
      <w:bookmarkEnd w:id="156"/>
      <w:bookmarkStart w:id="157" w:name="_Toc184308079"/>
      <w:bookmarkEnd w:id="157"/>
      <w:bookmarkStart w:id="158" w:name="_Toc184313266"/>
      <w:bookmarkEnd w:id="158"/>
      <w:bookmarkStart w:id="159" w:name="_Toc184310321"/>
      <w:bookmarkEnd w:id="159"/>
      <w:bookmarkStart w:id="160" w:name="_Toc184314433"/>
      <w:bookmarkEnd w:id="160"/>
      <w:bookmarkStart w:id="161" w:name="_Toc184313269"/>
      <w:bookmarkEnd w:id="161"/>
      <w:bookmarkStart w:id="162" w:name="_Toc184310292"/>
      <w:bookmarkEnd w:id="162"/>
      <w:bookmarkStart w:id="163" w:name="_Toc184310327"/>
      <w:bookmarkEnd w:id="163"/>
      <w:bookmarkStart w:id="164" w:name="_Toc184314477"/>
      <w:bookmarkEnd w:id="164"/>
      <w:bookmarkStart w:id="165" w:name="_Toc184313238"/>
      <w:bookmarkEnd w:id="165"/>
      <w:bookmarkStart w:id="166" w:name="_Toc184313275"/>
      <w:bookmarkEnd w:id="166"/>
      <w:bookmarkStart w:id="167" w:name="_Toc184308081"/>
      <w:bookmarkEnd w:id="167"/>
      <w:bookmarkStart w:id="168" w:name="_Toc184310331"/>
      <w:bookmarkEnd w:id="168"/>
      <w:bookmarkStart w:id="169" w:name="_Toc184313258"/>
      <w:bookmarkEnd w:id="169"/>
      <w:bookmarkStart w:id="170" w:name="_Toc184308055"/>
      <w:bookmarkEnd w:id="170"/>
      <w:bookmarkStart w:id="171" w:name="_Toc184310309"/>
      <w:bookmarkEnd w:id="171"/>
      <w:bookmarkStart w:id="172" w:name="_Toc184310274"/>
      <w:bookmarkEnd w:id="172"/>
      <w:bookmarkStart w:id="173" w:name="_Toc184312081"/>
      <w:bookmarkEnd w:id="173"/>
      <w:bookmarkStart w:id="174" w:name="_Toc184312100"/>
      <w:bookmarkEnd w:id="174"/>
      <w:bookmarkStart w:id="175" w:name="_Toc184314422"/>
      <w:bookmarkEnd w:id="175"/>
      <w:bookmarkStart w:id="176" w:name="_Toc184310336"/>
      <w:bookmarkEnd w:id="176"/>
      <w:bookmarkStart w:id="177" w:name="_Toc184313270"/>
      <w:bookmarkEnd w:id="177"/>
      <w:bookmarkStart w:id="178" w:name="_Toc184313249"/>
      <w:bookmarkEnd w:id="178"/>
      <w:bookmarkStart w:id="179" w:name="_Toc184312124"/>
      <w:bookmarkEnd w:id="179"/>
      <w:bookmarkStart w:id="180" w:name="_Toc184312130"/>
      <w:bookmarkEnd w:id="180"/>
      <w:bookmarkStart w:id="181" w:name="_Toc184312080"/>
      <w:bookmarkEnd w:id="181"/>
      <w:bookmarkStart w:id="182" w:name="_Toc184314469"/>
      <w:bookmarkEnd w:id="182"/>
      <w:bookmarkStart w:id="183" w:name="_Toc184308106"/>
      <w:bookmarkEnd w:id="183"/>
      <w:bookmarkStart w:id="184" w:name="_Toc184314481"/>
      <w:bookmarkEnd w:id="184"/>
      <w:bookmarkStart w:id="185" w:name="_Toc184313274"/>
      <w:bookmarkEnd w:id="185"/>
      <w:bookmarkStart w:id="186" w:name="_Toc184312116"/>
      <w:bookmarkEnd w:id="186"/>
      <w:bookmarkStart w:id="187" w:name="_Toc184313239"/>
      <w:bookmarkEnd w:id="187"/>
      <w:bookmarkStart w:id="188" w:name="_Toc184310317"/>
      <w:bookmarkEnd w:id="188"/>
      <w:bookmarkStart w:id="189" w:name="_Toc184313288"/>
      <w:bookmarkEnd w:id="189"/>
      <w:bookmarkStart w:id="190" w:name="_Toc184312118"/>
      <w:bookmarkEnd w:id="190"/>
      <w:bookmarkStart w:id="191" w:name="_Toc184312109"/>
      <w:bookmarkEnd w:id="191"/>
      <w:bookmarkStart w:id="192" w:name="_Toc184312079"/>
      <w:bookmarkEnd w:id="192"/>
      <w:bookmarkStart w:id="193" w:name="_Toc184308053"/>
      <w:bookmarkEnd w:id="193"/>
      <w:bookmarkStart w:id="194" w:name="_Toc184308105"/>
      <w:bookmarkEnd w:id="194"/>
      <w:bookmarkStart w:id="195" w:name="_Toc184308038"/>
      <w:bookmarkEnd w:id="195"/>
      <w:bookmarkStart w:id="196" w:name="_Toc184312095"/>
      <w:bookmarkEnd w:id="196"/>
      <w:bookmarkStart w:id="197" w:name="_Toc184313294"/>
      <w:bookmarkEnd w:id="197"/>
      <w:bookmarkStart w:id="198" w:name="_Toc184308049"/>
      <w:bookmarkEnd w:id="198"/>
      <w:bookmarkStart w:id="199" w:name="_Toc184308070"/>
      <w:bookmarkEnd w:id="199"/>
      <w:bookmarkStart w:id="200" w:name="_Toc184310285"/>
      <w:bookmarkEnd w:id="200"/>
      <w:bookmarkStart w:id="201" w:name="_Toc184312114"/>
      <w:bookmarkEnd w:id="201"/>
      <w:bookmarkStart w:id="202" w:name="_Toc184308103"/>
      <w:bookmarkEnd w:id="202"/>
      <w:bookmarkStart w:id="203" w:name="_Toc184310332"/>
      <w:bookmarkEnd w:id="203"/>
      <w:bookmarkStart w:id="204" w:name="_Toc184312117"/>
      <w:bookmarkEnd w:id="204"/>
      <w:bookmarkStart w:id="205" w:name="_Toc184314461"/>
      <w:bookmarkEnd w:id="205"/>
      <w:bookmarkStart w:id="206" w:name="_Toc184312068"/>
      <w:bookmarkEnd w:id="206"/>
      <w:bookmarkStart w:id="207" w:name="_Toc184314429"/>
      <w:bookmarkEnd w:id="207"/>
      <w:bookmarkStart w:id="208" w:name="_Toc184313254"/>
      <w:bookmarkEnd w:id="208"/>
      <w:bookmarkStart w:id="209" w:name="_Toc184312074"/>
      <w:bookmarkEnd w:id="209"/>
      <w:bookmarkStart w:id="210" w:name="_Toc184313289"/>
      <w:bookmarkEnd w:id="210"/>
      <w:bookmarkStart w:id="211" w:name="_Toc184308082"/>
      <w:bookmarkEnd w:id="211"/>
      <w:bookmarkStart w:id="212" w:name="_Toc184308052"/>
      <w:bookmarkEnd w:id="212"/>
      <w:bookmarkStart w:id="213" w:name="_Toc184310297"/>
      <w:bookmarkEnd w:id="213"/>
      <w:bookmarkStart w:id="214" w:name="_Toc184312105"/>
      <w:bookmarkEnd w:id="214"/>
      <w:bookmarkStart w:id="215" w:name="_Toc184308051"/>
      <w:bookmarkEnd w:id="215"/>
      <w:bookmarkStart w:id="216" w:name="_Toc184313264"/>
      <w:bookmarkEnd w:id="216"/>
      <w:bookmarkStart w:id="217" w:name="_Toc184308104"/>
      <w:bookmarkEnd w:id="217"/>
      <w:bookmarkStart w:id="218" w:name="_Toc184312112"/>
      <w:bookmarkEnd w:id="218"/>
      <w:bookmarkStart w:id="219" w:name="_Toc184312107"/>
      <w:bookmarkEnd w:id="219"/>
      <w:bookmarkStart w:id="220" w:name="_Toc184314451"/>
      <w:bookmarkEnd w:id="220"/>
      <w:bookmarkStart w:id="221" w:name="_Toc184313278"/>
      <w:bookmarkEnd w:id="221"/>
      <w:bookmarkStart w:id="222" w:name="_Toc184308045"/>
      <w:bookmarkEnd w:id="222"/>
      <w:bookmarkStart w:id="223" w:name="_Toc184308075"/>
      <w:bookmarkEnd w:id="223"/>
      <w:bookmarkStart w:id="224" w:name="_Toc184308078"/>
      <w:bookmarkEnd w:id="224"/>
      <w:bookmarkStart w:id="225" w:name="_Toc184313283"/>
      <w:bookmarkEnd w:id="225"/>
      <w:bookmarkStart w:id="226" w:name="_Toc184313243"/>
      <w:bookmarkEnd w:id="226"/>
      <w:bookmarkStart w:id="227" w:name="_Toc184313307"/>
      <w:bookmarkEnd w:id="227"/>
      <w:bookmarkStart w:id="228" w:name="_Toc184310295"/>
      <w:bookmarkEnd w:id="228"/>
      <w:bookmarkStart w:id="229" w:name="_Toc184308077"/>
      <w:bookmarkEnd w:id="229"/>
      <w:bookmarkStart w:id="230" w:name="_Toc184312067"/>
      <w:bookmarkEnd w:id="230"/>
      <w:bookmarkStart w:id="231" w:name="_Toc184310334"/>
      <w:bookmarkEnd w:id="231"/>
      <w:bookmarkStart w:id="232" w:name="_Toc184314419"/>
      <w:bookmarkEnd w:id="232"/>
      <w:bookmarkStart w:id="233" w:name="_Toc184314479"/>
      <w:bookmarkEnd w:id="233"/>
      <w:bookmarkStart w:id="234" w:name="_Toc184310341"/>
      <w:bookmarkEnd w:id="234"/>
      <w:bookmarkStart w:id="235" w:name="_Toc184310275"/>
      <w:bookmarkEnd w:id="235"/>
      <w:bookmarkStart w:id="236" w:name="_Toc184310333"/>
      <w:bookmarkEnd w:id="236"/>
      <w:bookmarkStart w:id="237" w:name="_Toc184312125"/>
      <w:bookmarkEnd w:id="237"/>
      <w:bookmarkStart w:id="238" w:name="_Toc184312083"/>
      <w:bookmarkEnd w:id="238"/>
      <w:bookmarkStart w:id="239" w:name="_Toc184313297"/>
      <w:bookmarkEnd w:id="239"/>
      <w:bookmarkStart w:id="240" w:name="_Toc184313251"/>
      <w:bookmarkEnd w:id="240"/>
      <w:bookmarkStart w:id="241" w:name="_Toc184314457"/>
      <w:bookmarkEnd w:id="241"/>
      <w:bookmarkStart w:id="242" w:name="_Toc184308073"/>
      <w:bookmarkEnd w:id="242"/>
      <w:bookmarkStart w:id="243" w:name="_Toc184314437"/>
      <w:bookmarkEnd w:id="243"/>
      <w:bookmarkStart w:id="244" w:name="_Toc184310322"/>
      <w:bookmarkEnd w:id="244"/>
      <w:bookmarkStart w:id="245" w:name="_Toc184312138"/>
      <w:bookmarkEnd w:id="245"/>
      <w:bookmarkStart w:id="246" w:name="_Toc184308090"/>
      <w:bookmarkEnd w:id="246"/>
      <w:bookmarkStart w:id="247" w:name="_Toc184312128"/>
      <w:bookmarkEnd w:id="247"/>
      <w:bookmarkStart w:id="248" w:name="_Toc184308050"/>
      <w:bookmarkEnd w:id="248"/>
      <w:bookmarkStart w:id="249" w:name="_Toc184312071"/>
      <w:bookmarkEnd w:id="249"/>
      <w:bookmarkStart w:id="250" w:name="_Toc184313242"/>
      <w:bookmarkEnd w:id="250"/>
      <w:bookmarkStart w:id="251" w:name="_Toc184314430"/>
      <w:bookmarkEnd w:id="251"/>
      <w:bookmarkStart w:id="252" w:name="_Toc184308089"/>
      <w:bookmarkEnd w:id="252"/>
      <w:bookmarkStart w:id="253" w:name="_Toc184310296"/>
      <w:bookmarkEnd w:id="253"/>
      <w:bookmarkStart w:id="254" w:name="_Toc184308065"/>
      <w:bookmarkEnd w:id="254"/>
      <w:bookmarkStart w:id="255" w:name="_Toc184310323"/>
      <w:bookmarkEnd w:id="255"/>
      <w:bookmarkStart w:id="256" w:name="_Toc184314418"/>
      <w:bookmarkEnd w:id="256"/>
      <w:bookmarkStart w:id="257" w:name="_Toc184312122"/>
      <w:bookmarkEnd w:id="257"/>
      <w:bookmarkStart w:id="258" w:name="_Toc184310299"/>
      <w:bookmarkEnd w:id="258"/>
      <w:bookmarkStart w:id="259" w:name="_Toc184310279"/>
      <w:bookmarkEnd w:id="259"/>
      <w:bookmarkStart w:id="260" w:name="_Toc184308046"/>
      <w:bookmarkEnd w:id="260"/>
      <w:bookmarkStart w:id="261" w:name="_Toc184314439"/>
      <w:bookmarkEnd w:id="261"/>
      <w:bookmarkStart w:id="262" w:name="_Toc184313290"/>
      <w:bookmarkEnd w:id="262"/>
      <w:bookmarkStart w:id="263" w:name="_Toc184314459"/>
      <w:bookmarkEnd w:id="263"/>
      <w:bookmarkStart w:id="264" w:name="_Toc184308093"/>
      <w:bookmarkEnd w:id="264"/>
      <w:bookmarkStart w:id="265" w:name="_Toc184308102"/>
      <w:bookmarkEnd w:id="265"/>
      <w:bookmarkStart w:id="266" w:name="_Toc184314436"/>
      <w:bookmarkEnd w:id="266"/>
      <w:bookmarkStart w:id="267" w:name="_Toc184314453"/>
      <w:bookmarkEnd w:id="267"/>
      <w:bookmarkStart w:id="268" w:name="_Toc184308069"/>
      <w:bookmarkEnd w:id="268"/>
      <w:bookmarkStart w:id="269" w:name="_Toc184313263"/>
      <w:bookmarkEnd w:id="269"/>
      <w:bookmarkStart w:id="270" w:name="_Toc184312098"/>
      <w:bookmarkEnd w:id="270"/>
      <w:bookmarkStart w:id="271" w:name="_Toc184310277"/>
      <w:bookmarkEnd w:id="271"/>
      <w:bookmarkStart w:id="272" w:name="_Toc184310342"/>
      <w:bookmarkEnd w:id="272"/>
      <w:bookmarkStart w:id="273" w:name="_Toc184314468"/>
      <w:bookmarkEnd w:id="273"/>
      <w:bookmarkStart w:id="274" w:name="_Toc184313271"/>
      <w:bookmarkEnd w:id="274"/>
      <w:bookmarkStart w:id="275" w:name="_Toc184310325"/>
      <w:bookmarkEnd w:id="275"/>
      <w:bookmarkStart w:id="276" w:name="_Toc184312127"/>
      <w:bookmarkEnd w:id="276"/>
      <w:bookmarkStart w:id="277" w:name="_Toc184313282"/>
      <w:bookmarkEnd w:id="277"/>
      <w:bookmarkStart w:id="278" w:name="_Toc184312104"/>
      <w:bookmarkEnd w:id="278"/>
      <w:bookmarkStart w:id="279" w:name="_Toc184310312"/>
      <w:bookmarkEnd w:id="279"/>
      <w:bookmarkStart w:id="280" w:name="_Toc184313246"/>
      <w:bookmarkEnd w:id="280"/>
      <w:bookmarkStart w:id="281" w:name="_Toc184314458"/>
      <w:bookmarkEnd w:id="281"/>
      <w:bookmarkStart w:id="282" w:name="_Toc184314475"/>
      <w:bookmarkEnd w:id="282"/>
      <w:bookmarkStart w:id="283" w:name="_Toc184310289"/>
      <w:bookmarkEnd w:id="283"/>
      <w:bookmarkStart w:id="284" w:name="_Toc184310272"/>
      <w:bookmarkEnd w:id="284"/>
      <w:bookmarkStart w:id="285" w:name="_Toc184313310"/>
      <w:bookmarkEnd w:id="285"/>
      <w:bookmarkStart w:id="286" w:name="_Toc184313281"/>
      <w:bookmarkEnd w:id="286"/>
      <w:bookmarkStart w:id="287" w:name="_Toc184313286"/>
      <w:bookmarkEnd w:id="287"/>
      <w:bookmarkStart w:id="288" w:name="_Toc184312129"/>
      <w:bookmarkEnd w:id="288"/>
      <w:bookmarkStart w:id="289" w:name="_Toc184314414"/>
      <w:bookmarkEnd w:id="289"/>
      <w:bookmarkStart w:id="290" w:name="_Toc184308099"/>
      <w:bookmarkEnd w:id="290"/>
      <w:bookmarkStart w:id="291" w:name="_Toc184312131"/>
      <w:bookmarkEnd w:id="291"/>
      <w:bookmarkStart w:id="292" w:name="_Toc184308058"/>
      <w:bookmarkEnd w:id="292"/>
      <w:bookmarkStart w:id="293" w:name="_Toc184312103"/>
      <w:bookmarkEnd w:id="293"/>
      <w:bookmarkStart w:id="294" w:name="_Toc184312092"/>
      <w:bookmarkEnd w:id="294"/>
      <w:bookmarkStart w:id="295" w:name="_Toc184308108"/>
      <w:bookmarkEnd w:id="295"/>
      <w:bookmarkStart w:id="296" w:name="_Toc184308087"/>
      <w:bookmarkEnd w:id="296"/>
      <w:bookmarkStart w:id="297" w:name="_Toc184314410"/>
      <w:bookmarkEnd w:id="297"/>
      <w:bookmarkStart w:id="298" w:name="_Toc184308059"/>
      <w:bookmarkEnd w:id="298"/>
      <w:bookmarkStart w:id="299" w:name="_Toc184310278"/>
      <w:bookmarkEnd w:id="299"/>
      <w:bookmarkStart w:id="300" w:name="_Toc184313299"/>
      <w:bookmarkEnd w:id="300"/>
      <w:bookmarkStart w:id="301" w:name="_Toc184308092"/>
      <w:bookmarkEnd w:id="301"/>
      <w:bookmarkStart w:id="302" w:name="_Toc184308054"/>
      <w:bookmarkEnd w:id="302"/>
      <w:bookmarkStart w:id="303" w:name="_Toc184314413"/>
      <w:bookmarkEnd w:id="303"/>
      <w:bookmarkStart w:id="304" w:name="_Toc184314470"/>
      <w:bookmarkEnd w:id="304"/>
      <w:bookmarkStart w:id="305" w:name="_Toc184312077"/>
      <w:bookmarkEnd w:id="305"/>
      <w:bookmarkStart w:id="306" w:name="_Toc184313280"/>
      <w:bookmarkEnd w:id="306"/>
      <w:bookmarkStart w:id="307" w:name="_Toc184313308"/>
      <w:bookmarkEnd w:id="307"/>
      <w:bookmarkStart w:id="308" w:name="_Toc184308096"/>
      <w:bookmarkEnd w:id="308"/>
      <w:bookmarkStart w:id="309" w:name="_Toc184310329"/>
      <w:bookmarkEnd w:id="309"/>
      <w:bookmarkStart w:id="310" w:name="_Toc184312096"/>
      <w:bookmarkEnd w:id="310"/>
      <w:bookmarkStart w:id="311" w:name="_Toc184312101"/>
      <w:bookmarkEnd w:id="311"/>
      <w:bookmarkStart w:id="312" w:name="_Toc184312133"/>
      <w:bookmarkEnd w:id="312"/>
      <w:bookmarkStart w:id="313" w:name="_Toc184313255"/>
      <w:bookmarkEnd w:id="313"/>
      <w:bookmarkStart w:id="314" w:name="_Toc184308040"/>
      <w:bookmarkEnd w:id="314"/>
      <w:bookmarkStart w:id="315" w:name="_Toc184308047"/>
      <w:bookmarkEnd w:id="315"/>
      <w:bookmarkStart w:id="316" w:name="_Toc184313245"/>
      <w:bookmarkEnd w:id="316"/>
      <w:bookmarkStart w:id="317" w:name="_Toc184308068"/>
      <w:bookmarkEnd w:id="317"/>
      <w:bookmarkStart w:id="318" w:name="_Toc184313265"/>
      <w:bookmarkEnd w:id="318"/>
      <w:bookmarkStart w:id="319" w:name="_Toc184314423"/>
      <w:bookmarkEnd w:id="319"/>
      <w:bookmarkStart w:id="320" w:name="_Toc184308107"/>
      <w:bookmarkEnd w:id="320"/>
      <w:bookmarkStart w:id="321" w:name="_Toc184310301"/>
      <w:bookmarkEnd w:id="321"/>
      <w:bookmarkStart w:id="322" w:name="_Toc184313261"/>
      <w:bookmarkEnd w:id="322"/>
      <w:bookmarkStart w:id="323" w:name="_Toc184314472"/>
      <w:bookmarkEnd w:id="323"/>
      <w:bookmarkStart w:id="324" w:name="_Toc184312084"/>
      <w:bookmarkEnd w:id="324"/>
      <w:bookmarkStart w:id="325" w:name="_Toc184310318"/>
      <w:bookmarkEnd w:id="325"/>
      <w:bookmarkStart w:id="326" w:name="_Toc184313244"/>
      <w:bookmarkEnd w:id="326"/>
      <w:bookmarkStart w:id="327" w:name="_Toc184314445"/>
      <w:bookmarkEnd w:id="327"/>
      <w:bookmarkStart w:id="328" w:name="_Toc184312082"/>
      <w:bookmarkEnd w:id="328"/>
      <w:bookmarkStart w:id="329" w:name="_Toc184310286"/>
      <w:bookmarkEnd w:id="329"/>
      <w:bookmarkStart w:id="330" w:name="_Toc184310303"/>
      <w:bookmarkEnd w:id="330"/>
      <w:bookmarkStart w:id="331" w:name="_Toc184314474"/>
      <w:bookmarkEnd w:id="331"/>
      <w:bookmarkStart w:id="332" w:name="_Toc184313256"/>
      <w:bookmarkEnd w:id="332"/>
      <w:bookmarkStart w:id="333" w:name="_Toc184308066"/>
      <w:bookmarkEnd w:id="333"/>
      <w:bookmarkStart w:id="334" w:name="_Toc184313285"/>
      <w:bookmarkEnd w:id="334"/>
      <w:bookmarkStart w:id="335" w:name="_Toc184313259"/>
      <w:bookmarkEnd w:id="335"/>
      <w:bookmarkStart w:id="336" w:name="_Toc184310283"/>
      <w:bookmarkEnd w:id="336"/>
      <w:bookmarkStart w:id="337" w:name="_Toc184308037"/>
      <w:bookmarkEnd w:id="337"/>
      <w:bookmarkStart w:id="338" w:name="_Toc184310337"/>
      <w:bookmarkEnd w:id="338"/>
      <w:bookmarkStart w:id="339" w:name="_Toc184308074"/>
      <w:bookmarkEnd w:id="339"/>
      <w:bookmarkStart w:id="340" w:name="_Toc184312108"/>
      <w:bookmarkEnd w:id="340"/>
      <w:bookmarkStart w:id="341" w:name="_Toc184310307"/>
      <w:bookmarkEnd w:id="341"/>
      <w:bookmarkStart w:id="342" w:name="_Toc184308083"/>
      <w:bookmarkEnd w:id="342"/>
      <w:bookmarkStart w:id="343" w:name="_Toc184314441"/>
      <w:bookmarkEnd w:id="343"/>
      <w:bookmarkStart w:id="344" w:name="_Toc184313240"/>
      <w:bookmarkEnd w:id="344"/>
      <w:bookmarkStart w:id="345" w:name="_Toc184310282"/>
      <w:bookmarkEnd w:id="345"/>
      <w:bookmarkStart w:id="346" w:name="_Toc184313268"/>
      <w:bookmarkEnd w:id="346"/>
      <w:bookmarkStart w:id="347" w:name="_Toc184308084"/>
      <w:bookmarkEnd w:id="347"/>
      <w:bookmarkStart w:id="348" w:name="_Toc184310324"/>
      <w:bookmarkEnd w:id="348"/>
      <w:bookmarkStart w:id="349" w:name="_Toc184314467"/>
      <w:bookmarkEnd w:id="349"/>
      <w:bookmarkStart w:id="350" w:name="_Toc184312073"/>
      <w:bookmarkEnd w:id="350"/>
      <w:bookmarkStart w:id="351" w:name="_Toc184312132"/>
      <w:bookmarkEnd w:id="351"/>
      <w:bookmarkStart w:id="352" w:name="_Toc184308060"/>
      <w:bookmarkEnd w:id="352"/>
      <w:bookmarkStart w:id="353" w:name="_Toc184313241"/>
      <w:bookmarkEnd w:id="353"/>
      <w:bookmarkStart w:id="354" w:name="_Toc184312089"/>
      <w:bookmarkEnd w:id="354"/>
      <w:bookmarkStart w:id="355" w:name="_Toc184314452"/>
      <w:bookmarkEnd w:id="355"/>
      <w:bookmarkStart w:id="356" w:name="_Toc184312135"/>
      <w:bookmarkEnd w:id="356"/>
      <w:bookmarkStart w:id="357" w:name="_Toc184308072"/>
      <w:bookmarkEnd w:id="357"/>
      <w:bookmarkStart w:id="358" w:name="_Toc184313295"/>
      <w:bookmarkEnd w:id="358"/>
      <w:bookmarkStart w:id="359" w:name="_Toc184310313"/>
      <w:bookmarkEnd w:id="359"/>
      <w:bookmarkStart w:id="360" w:name="_Toc184310319"/>
      <w:bookmarkEnd w:id="360"/>
      <w:bookmarkStart w:id="361" w:name="_Toc184313276"/>
      <w:bookmarkEnd w:id="361"/>
      <w:bookmarkStart w:id="362" w:name="_Toc184313298"/>
      <w:bookmarkEnd w:id="362"/>
      <w:bookmarkStart w:id="363" w:name="_Toc184310311"/>
      <w:bookmarkEnd w:id="363"/>
      <w:bookmarkStart w:id="364" w:name="_Toc184313300"/>
      <w:bookmarkEnd w:id="364"/>
      <w:bookmarkStart w:id="365" w:name="_Toc184310304"/>
      <w:bookmarkEnd w:id="365"/>
      <w:bookmarkStart w:id="366" w:name="_Toc184308064"/>
      <w:bookmarkEnd w:id="366"/>
      <w:bookmarkStart w:id="367" w:name="_Toc184314465"/>
      <w:bookmarkEnd w:id="367"/>
      <w:bookmarkStart w:id="368" w:name="_Toc184313284"/>
      <w:bookmarkEnd w:id="368"/>
      <w:bookmarkStart w:id="369" w:name="_Toc184313248"/>
      <w:bookmarkEnd w:id="369"/>
      <w:bookmarkStart w:id="370" w:name="_Toc184314440"/>
      <w:bookmarkEnd w:id="370"/>
      <w:bookmarkStart w:id="371" w:name="_Toc184312121"/>
      <w:bookmarkEnd w:id="371"/>
      <w:bookmarkStart w:id="372" w:name="_Toc184308041"/>
      <w:bookmarkEnd w:id="372"/>
      <w:bookmarkStart w:id="373" w:name="_Toc184312087"/>
      <w:bookmarkEnd w:id="373"/>
      <w:bookmarkStart w:id="374" w:name="_Toc184314460"/>
      <w:bookmarkEnd w:id="374"/>
      <w:bookmarkStart w:id="375" w:name="_Toc184308098"/>
      <w:bookmarkEnd w:id="375"/>
      <w:bookmarkStart w:id="376" w:name="_Toc184314420"/>
      <w:bookmarkEnd w:id="376"/>
      <w:bookmarkStart w:id="377" w:name="_Toc184313272"/>
      <w:bookmarkEnd w:id="377"/>
      <w:bookmarkStart w:id="378" w:name="_Toc184310276"/>
      <w:bookmarkEnd w:id="378"/>
      <w:bookmarkStart w:id="379" w:name="_Toc184308095"/>
      <w:bookmarkEnd w:id="379"/>
      <w:bookmarkStart w:id="380" w:name="_Toc184312120"/>
      <w:bookmarkEnd w:id="380"/>
      <w:bookmarkStart w:id="381" w:name="_Toc184310291"/>
      <w:bookmarkEnd w:id="381"/>
      <w:bookmarkStart w:id="382" w:name="_Toc184308057"/>
      <w:bookmarkEnd w:id="382"/>
      <w:bookmarkStart w:id="383" w:name="_Toc184313252"/>
      <w:bookmarkEnd w:id="383"/>
      <w:r>
        <w:rPr>
          <w:rFonts w:hint="eastAsia" w:ascii="仿宋" w:hAnsi="仿宋" w:eastAsia="仿宋" w:cs="仿宋"/>
          <w:b/>
          <w:sz w:val="36"/>
          <w:szCs w:val="36"/>
          <w:highlight w:val="none"/>
        </w:rPr>
        <w:t>评标办法</w:t>
      </w:r>
      <w:bookmarkEnd w:id="18"/>
    </w:p>
    <w:p>
      <w:pPr>
        <w:snapToGrid w:val="0"/>
        <w:spacing w:line="360" w:lineRule="auto"/>
        <w:jc w:val="center"/>
        <w:rPr>
          <w:rFonts w:ascii="仿宋" w:hAnsi="仿宋" w:eastAsia="仿宋" w:cs="仿宋"/>
          <w:b/>
          <w:sz w:val="32"/>
          <w:szCs w:val="20"/>
          <w:highlight w:val="none"/>
        </w:rPr>
      </w:pPr>
      <w:r>
        <w:rPr>
          <w:rFonts w:hint="eastAsia" w:ascii="仿宋" w:hAnsi="仿宋" w:eastAsia="仿宋" w:cs="仿宋"/>
          <w:b/>
          <w:sz w:val="32"/>
          <w:szCs w:val="20"/>
          <w:highlight w:val="none"/>
        </w:rPr>
        <w:t>评标办法前附表</w:t>
      </w:r>
    </w:p>
    <w:p>
      <w:pPr>
        <w:pStyle w:val="4"/>
        <w:jc w:val="both"/>
        <w:rPr>
          <w:rFonts w:hint="eastAsia" w:ascii="仿宋" w:hAnsi="仿宋" w:eastAsia="仿宋" w:cs="仿宋"/>
          <w:b/>
          <w:bCs/>
          <w:sz w:val="32"/>
          <w:szCs w:val="32"/>
        </w:rPr>
      </w:pPr>
    </w:p>
    <w:tbl>
      <w:tblPr>
        <w:tblStyle w:val="21"/>
        <w:tblW w:w="10317" w:type="dxa"/>
        <w:jc w:val="center"/>
        <w:tblInd w:w="0" w:type="dxa"/>
        <w:tblLayout w:type="fixed"/>
        <w:tblCellMar>
          <w:top w:w="0" w:type="dxa"/>
          <w:left w:w="108" w:type="dxa"/>
          <w:bottom w:w="0" w:type="dxa"/>
          <w:right w:w="108" w:type="dxa"/>
        </w:tblCellMar>
      </w:tblPr>
      <w:tblGrid>
        <w:gridCol w:w="750"/>
        <w:gridCol w:w="837"/>
        <w:gridCol w:w="888"/>
        <w:gridCol w:w="1162"/>
        <w:gridCol w:w="6680"/>
      </w:tblGrid>
      <w:tr>
        <w:tblPrEx>
          <w:tblLayout w:type="fixed"/>
          <w:tblCellMar>
            <w:top w:w="0" w:type="dxa"/>
            <w:left w:w="108" w:type="dxa"/>
            <w:bottom w:w="0" w:type="dxa"/>
            <w:right w:w="108" w:type="dxa"/>
          </w:tblCellMar>
        </w:tblPrEx>
        <w:trPr>
          <w:trHeight w:val="277"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000000"/>
                <w:kern w:val="0"/>
                <w:sz w:val="22"/>
                <w:szCs w:val="22"/>
              </w:rPr>
            </w:pPr>
            <w:r>
              <w:rPr>
                <w:rFonts w:hint="eastAsia" w:ascii="楷体" w:hAnsi="楷体" w:eastAsia="楷体" w:cs="楷体"/>
                <w:b/>
                <w:bCs/>
                <w:color w:val="000000"/>
                <w:kern w:val="0"/>
                <w:sz w:val="22"/>
                <w:szCs w:val="22"/>
              </w:rPr>
              <w:t>序号</w:t>
            </w:r>
          </w:p>
        </w:tc>
        <w:tc>
          <w:tcPr>
            <w:tcW w:w="83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000000"/>
                <w:kern w:val="0"/>
                <w:sz w:val="22"/>
                <w:szCs w:val="22"/>
              </w:rPr>
            </w:pPr>
            <w:r>
              <w:rPr>
                <w:rFonts w:hint="eastAsia" w:ascii="楷体" w:hAnsi="楷体" w:eastAsia="楷体" w:cs="楷体"/>
                <w:b/>
                <w:bCs/>
                <w:color w:val="000000"/>
                <w:kern w:val="0"/>
                <w:sz w:val="22"/>
                <w:szCs w:val="22"/>
              </w:rPr>
              <w:t>评分项目</w:t>
            </w:r>
          </w:p>
        </w:tc>
        <w:tc>
          <w:tcPr>
            <w:tcW w:w="88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000000"/>
                <w:kern w:val="0"/>
                <w:sz w:val="22"/>
                <w:szCs w:val="22"/>
              </w:rPr>
            </w:pPr>
            <w:r>
              <w:rPr>
                <w:rFonts w:hint="eastAsia" w:ascii="楷体" w:hAnsi="楷体" w:eastAsia="楷体" w:cs="楷体"/>
                <w:b/>
                <w:bCs/>
                <w:color w:val="000000"/>
                <w:kern w:val="0"/>
                <w:sz w:val="22"/>
                <w:szCs w:val="22"/>
              </w:rPr>
              <w:t>分值</w:t>
            </w:r>
          </w:p>
        </w:tc>
        <w:tc>
          <w:tcPr>
            <w:tcW w:w="1162"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000000"/>
                <w:kern w:val="0"/>
                <w:sz w:val="22"/>
                <w:szCs w:val="22"/>
              </w:rPr>
            </w:pPr>
            <w:r>
              <w:rPr>
                <w:rFonts w:hint="eastAsia" w:ascii="楷体" w:hAnsi="楷体" w:eastAsia="楷体" w:cs="楷体"/>
                <w:b/>
                <w:bCs/>
                <w:color w:val="000000"/>
                <w:kern w:val="0"/>
                <w:sz w:val="22"/>
                <w:szCs w:val="22"/>
              </w:rPr>
              <w:t>评分细项</w:t>
            </w:r>
          </w:p>
        </w:tc>
        <w:tc>
          <w:tcPr>
            <w:tcW w:w="668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b/>
                <w:bCs/>
                <w:color w:val="000000"/>
                <w:kern w:val="0"/>
                <w:sz w:val="22"/>
                <w:szCs w:val="22"/>
              </w:rPr>
            </w:pPr>
            <w:r>
              <w:rPr>
                <w:rFonts w:hint="eastAsia" w:ascii="楷体" w:hAnsi="楷体" w:eastAsia="楷体" w:cs="楷体"/>
                <w:b/>
                <w:bCs/>
                <w:color w:val="000000"/>
                <w:kern w:val="0"/>
                <w:sz w:val="22"/>
                <w:szCs w:val="22"/>
              </w:rPr>
              <w:t>评分标准</w:t>
            </w:r>
          </w:p>
        </w:tc>
      </w:tr>
      <w:tr>
        <w:tblPrEx>
          <w:tblLayout w:type="fixed"/>
          <w:tblCellMar>
            <w:top w:w="0" w:type="dxa"/>
            <w:left w:w="108" w:type="dxa"/>
            <w:bottom w:w="0" w:type="dxa"/>
            <w:right w:w="108" w:type="dxa"/>
          </w:tblCellMar>
        </w:tblPrEx>
        <w:trPr>
          <w:trHeight w:val="3604"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1</w:t>
            </w:r>
          </w:p>
        </w:tc>
        <w:tc>
          <w:tcPr>
            <w:tcW w:w="83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投标报价评审</w:t>
            </w:r>
          </w:p>
        </w:tc>
        <w:tc>
          <w:tcPr>
            <w:tcW w:w="88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30分</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报价评分（30分）</w:t>
            </w:r>
          </w:p>
        </w:tc>
        <w:tc>
          <w:tcPr>
            <w:tcW w:w="6680" w:type="dxa"/>
            <w:tcBorders>
              <w:top w:val="nil"/>
              <w:left w:val="nil"/>
              <w:bottom w:val="single" w:color="auto" w:sz="4" w:space="0"/>
              <w:right w:val="single" w:color="auto" w:sz="4" w:space="0"/>
            </w:tcBorders>
            <w:shd w:val="clear" w:color="auto" w:fill="auto"/>
            <w:vAlign w:val="center"/>
          </w:tcPr>
          <w:p>
            <w:pPr>
              <w:widowControl/>
              <w:spacing w:line="360" w:lineRule="auto"/>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价格分统一采用低价优先法计算，即满足招标文件要求且投标价格最低的投标报价为评标基准价，其价格分为满分。其他投标单位的价格分统一按照下列公式计算：</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投标报价得分=(评标基准价／投标报价)×价格权值×100</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计算分数时四舍五入取小数点后两位</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备注：</w:t>
            </w:r>
            <w:r>
              <w:rPr>
                <w:rFonts w:hint="eastAsia" w:ascii="楷体" w:hAnsi="楷体" w:eastAsia="楷体" w:cs="楷体"/>
                <w:color w:val="auto"/>
                <w:kern w:val="0"/>
                <w:sz w:val="22"/>
                <w:szCs w:val="22"/>
              </w:rPr>
              <w:t>投标人报价低于最高限价60%的，有可能影响产品质量或者不能诚信履约的，评标委员会应当要求其在评标现场合理的时间内提供成本构成书面说明，并提交相关证明材料。</w:t>
            </w:r>
          </w:p>
        </w:tc>
      </w:tr>
      <w:tr>
        <w:tblPrEx>
          <w:tblLayout w:type="fixed"/>
          <w:tblCellMar>
            <w:top w:w="0" w:type="dxa"/>
            <w:left w:w="108" w:type="dxa"/>
            <w:bottom w:w="0" w:type="dxa"/>
            <w:right w:w="108" w:type="dxa"/>
          </w:tblCellMar>
        </w:tblPrEx>
        <w:trPr>
          <w:trHeight w:val="2218" w:hRule="atLeast"/>
          <w:jc w:val="center"/>
        </w:trPr>
        <w:tc>
          <w:tcPr>
            <w:tcW w:w="7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2</w:t>
            </w:r>
          </w:p>
        </w:tc>
        <w:tc>
          <w:tcPr>
            <w:tcW w:w="8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技术评审</w:t>
            </w:r>
          </w:p>
        </w:tc>
        <w:tc>
          <w:tcPr>
            <w:tcW w:w="8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5</w:t>
            </w:r>
            <w:r>
              <w:rPr>
                <w:rFonts w:hint="eastAsia" w:ascii="楷体" w:hAnsi="楷体" w:eastAsia="楷体" w:cs="楷体"/>
                <w:color w:val="000000"/>
                <w:kern w:val="0"/>
                <w:sz w:val="22"/>
                <w:szCs w:val="22"/>
                <w:lang w:val="en-US" w:eastAsia="zh-CN"/>
              </w:rPr>
              <w:t>0</w:t>
            </w:r>
            <w:r>
              <w:rPr>
                <w:rFonts w:hint="eastAsia" w:ascii="楷体" w:hAnsi="楷体" w:eastAsia="楷体" w:cs="楷体"/>
                <w:color w:val="000000"/>
                <w:kern w:val="0"/>
                <w:sz w:val="22"/>
                <w:szCs w:val="22"/>
              </w:rPr>
              <w:t>分</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技术参数响应程度（</w:t>
            </w:r>
            <w:r>
              <w:rPr>
                <w:rFonts w:hint="eastAsia" w:ascii="楷体" w:hAnsi="楷体" w:eastAsia="楷体" w:cs="楷体"/>
                <w:color w:val="000000"/>
                <w:kern w:val="0"/>
                <w:sz w:val="22"/>
                <w:szCs w:val="22"/>
                <w:lang w:val="en-US" w:eastAsia="zh-CN"/>
              </w:rPr>
              <w:t>30</w:t>
            </w:r>
            <w:r>
              <w:rPr>
                <w:rFonts w:hint="eastAsia" w:ascii="楷体" w:hAnsi="楷体" w:eastAsia="楷体" w:cs="楷体"/>
                <w:color w:val="000000"/>
                <w:kern w:val="0"/>
                <w:sz w:val="22"/>
                <w:szCs w:val="22"/>
              </w:rPr>
              <w:t>分）</w:t>
            </w:r>
          </w:p>
        </w:tc>
        <w:tc>
          <w:tcPr>
            <w:tcW w:w="6680" w:type="dxa"/>
            <w:tcBorders>
              <w:top w:val="nil"/>
              <w:left w:val="nil"/>
              <w:bottom w:val="single" w:color="auto" w:sz="4" w:space="0"/>
              <w:right w:val="single" w:color="auto" w:sz="4" w:space="0"/>
            </w:tcBorders>
            <w:shd w:val="clear" w:color="auto" w:fill="auto"/>
            <w:vAlign w:val="center"/>
          </w:tcPr>
          <w:p>
            <w:pPr>
              <w:keepNext w:val="0"/>
              <w:keepLines w:val="0"/>
              <w:pageBreakBefore w:val="0"/>
              <w:tabs>
                <w:tab w:val="left" w:pos="0"/>
              </w:tabs>
              <w:kinsoku/>
              <w:wordWrap/>
              <w:overflowPunct/>
              <w:topLinePunct w:val="0"/>
              <w:autoSpaceDE/>
              <w:autoSpaceDN/>
              <w:bidi w:val="0"/>
              <w:spacing w:line="360" w:lineRule="auto"/>
              <w:jc w:val="left"/>
              <w:textAlignment w:val="auto"/>
              <w:rPr>
                <w:rFonts w:hint="eastAsia" w:ascii="楷体" w:hAnsi="楷体" w:eastAsia="楷体" w:cs="楷体"/>
                <w:color w:val="auto"/>
                <w:sz w:val="22"/>
                <w:szCs w:val="22"/>
              </w:rPr>
            </w:pPr>
            <w:r>
              <w:rPr>
                <w:rFonts w:hint="eastAsia" w:ascii="楷体" w:hAnsi="楷体" w:eastAsia="楷体" w:cs="楷体"/>
                <w:color w:val="auto"/>
                <w:sz w:val="22"/>
                <w:szCs w:val="22"/>
              </w:rPr>
              <w:t>根据各投标人所投设备技术性能以及对招标文件各项基本要求的逐项响应承诺等方面情况由评委进行评议评分，投标人所投产品完全满足招标文件技术规范及要求得</w:t>
            </w:r>
            <w:r>
              <w:rPr>
                <w:rFonts w:hint="eastAsia" w:ascii="楷体" w:hAnsi="楷体" w:eastAsia="楷体" w:cs="楷体"/>
                <w:color w:val="auto"/>
                <w:sz w:val="22"/>
                <w:szCs w:val="22"/>
                <w:lang w:val="en-US" w:eastAsia="zh-CN"/>
              </w:rPr>
              <w:t>25</w:t>
            </w:r>
            <w:r>
              <w:rPr>
                <w:rFonts w:hint="eastAsia" w:ascii="楷体" w:hAnsi="楷体" w:eastAsia="楷体" w:cs="楷体"/>
                <w:color w:val="auto"/>
                <w:sz w:val="22"/>
                <w:szCs w:val="22"/>
              </w:rPr>
              <w:t>分</w:t>
            </w:r>
            <w:r>
              <w:rPr>
                <w:rFonts w:hint="eastAsia" w:ascii="楷体" w:hAnsi="楷体" w:eastAsia="楷体" w:cs="楷体"/>
                <w:color w:val="auto"/>
                <w:sz w:val="22"/>
                <w:szCs w:val="22"/>
                <w:lang w:eastAsia="zh-CN"/>
              </w:rPr>
              <w:t>，有一项正偏离加</w:t>
            </w:r>
            <w:r>
              <w:rPr>
                <w:rFonts w:hint="eastAsia" w:ascii="楷体" w:hAnsi="楷体" w:eastAsia="楷体" w:cs="楷体"/>
                <w:color w:val="auto"/>
                <w:sz w:val="22"/>
                <w:szCs w:val="22"/>
                <w:lang w:val="en-US" w:eastAsia="zh-CN"/>
              </w:rPr>
              <w:t>1分，最高加5分</w:t>
            </w:r>
            <w:r>
              <w:rPr>
                <w:rFonts w:hint="eastAsia" w:ascii="楷体" w:hAnsi="楷体" w:eastAsia="楷体" w:cs="楷体"/>
                <w:color w:val="auto"/>
                <w:sz w:val="22"/>
                <w:szCs w:val="22"/>
                <w:lang w:eastAsia="zh-CN"/>
              </w:rPr>
              <w:t>。</w:t>
            </w:r>
          </w:p>
          <w:p>
            <w:pPr>
              <w:keepNext w:val="0"/>
              <w:keepLines w:val="0"/>
              <w:pageBreakBefore w:val="0"/>
              <w:kinsoku/>
              <w:wordWrap/>
              <w:overflowPunct/>
              <w:topLinePunct w:val="0"/>
              <w:autoSpaceDE/>
              <w:autoSpaceDN/>
              <w:bidi w:val="0"/>
              <w:spacing w:line="360" w:lineRule="auto"/>
              <w:ind w:left="0" w:leftChars="0" w:firstLine="0" w:firstLineChars="0"/>
              <w:jc w:val="left"/>
              <w:textAlignment w:val="auto"/>
              <w:rPr>
                <w:rFonts w:hint="eastAsia" w:ascii="楷体" w:hAnsi="楷体" w:eastAsia="楷体" w:cs="楷体"/>
                <w:color w:val="000000"/>
                <w:kern w:val="0"/>
                <w:sz w:val="22"/>
                <w:szCs w:val="22"/>
              </w:rPr>
            </w:pPr>
            <w:r>
              <w:rPr>
                <w:rFonts w:hint="eastAsia" w:ascii="楷体" w:hAnsi="楷体" w:eastAsia="楷体" w:cs="楷体"/>
                <w:color w:val="auto"/>
                <w:sz w:val="22"/>
                <w:szCs w:val="22"/>
              </w:rPr>
              <w:t>注：针对</w:t>
            </w:r>
            <w:r>
              <w:rPr>
                <w:rFonts w:hint="eastAsia" w:ascii="楷体" w:hAnsi="楷体" w:eastAsia="楷体" w:cs="楷体"/>
                <w:color w:val="auto"/>
                <w:sz w:val="22"/>
                <w:szCs w:val="22"/>
                <w:lang w:eastAsia="zh-CN"/>
              </w:rPr>
              <w:t>技术参数</w:t>
            </w:r>
            <w:r>
              <w:rPr>
                <w:rFonts w:hint="eastAsia" w:ascii="楷体" w:hAnsi="楷体" w:eastAsia="楷体" w:cs="楷体"/>
                <w:color w:val="auto"/>
                <w:sz w:val="22"/>
                <w:szCs w:val="22"/>
              </w:rPr>
              <w:t>条款的</w:t>
            </w:r>
            <w:r>
              <w:rPr>
                <w:rFonts w:hint="eastAsia" w:ascii="楷体" w:hAnsi="楷体" w:eastAsia="楷体" w:cs="楷体"/>
                <w:color w:val="auto"/>
                <w:sz w:val="22"/>
                <w:szCs w:val="22"/>
                <w:lang w:eastAsia="zh-CN"/>
              </w:rPr>
              <w:t>响应：</w:t>
            </w:r>
            <w:r>
              <w:rPr>
                <w:rFonts w:hint="eastAsia" w:ascii="楷体" w:hAnsi="楷体" w:eastAsia="楷体" w:cs="楷体"/>
                <w:color w:val="auto"/>
                <w:sz w:val="22"/>
                <w:szCs w:val="22"/>
              </w:rPr>
              <w:t>若招标文件</w:t>
            </w:r>
            <w:r>
              <w:rPr>
                <w:rFonts w:hint="eastAsia" w:ascii="楷体" w:hAnsi="楷体" w:eastAsia="楷体" w:cs="楷体"/>
                <w:color w:val="auto"/>
                <w:sz w:val="22"/>
                <w:szCs w:val="22"/>
                <w:lang w:eastAsia="zh-CN"/>
              </w:rPr>
              <w:t>技术参数</w:t>
            </w:r>
            <w:r>
              <w:rPr>
                <w:rFonts w:hint="eastAsia" w:ascii="楷体" w:hAnsi="楷体" w:eastAsia="楷体" w:cs="楷体"/>
                <w:color w:val="auto"/>
                <w:sz w:val="22"/>
                <w:szCs w:val="22"/>
              </w:rPr>
              <w:t>中有要求的应按照招标文件要求提供证明材料，否则对应技术参数条款将视为不满足。</w:t>
            </w:r>
          </w:p>
        </w:tc>
      </w:tr>
      <w:tr>
        <w:tblPrEx>
          <w:tblLayout w:type="fixed"/>
          <w:tblCellMar>
            <w:top w:w="0" w:type="dxa"/>
            <w:left w:w="108" w:type="dxa"/>
            <w:bottom w:w="0" w:type="dxa"/>
            <w:right w:w="108" w:type="dxa"/>
          </w:tblCellMar>
        </w:tblPrEx>
        <w:trPr>
          <w:trHeight w:val="90" w:hRule="atLeast"/>
          <w:jc w:val="center"/>
        </w:trPr>
        <w:tc>
          <w:tcPr>
            <w:tcW w:w="75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83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88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售后服务承诺及</w:t>
            </w:r>
            <w:r>
              <w:rPr>
                <w:rFonts w:hint="eastAsia" w:ascii="楷体" w:hAnsi="楷体" w:eastAsia="楷体" w:cs="楷体"/>
                <w:color w:val="000000"/>
                <w:kern w:val="0"/>
                <w:sz w:val="22"/>
                <w:szCs w:val="22"/>
                <w:lang w:eastAsia="zh-CN"/>
              </w:rPr>
              <w:t>培训</w:t>
            </w:r>
            <w:r>
              <w:rPr>
                <w:rFonts w:hint="eastAsia" w:ascii="楷体" w:hAnsi="楷体" w:eastAsia="楷体" w:cs="楷体"/>
                <w:color w:val="000000"/>
                <w:kern w:val="0"/>
                <w:sz w:val="22"/>
                <w:szCs w:val="22"/>
              </w:rPr>
              <w:t>方案</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w:t>
            </w:r>
            <w:r>
              <w:rPr>
                <w:rFonts w:hint="eastAsia" w:ascii="楷体" w:hAnsi="楷体" w:eastAsia="楷体" w:cs="楷体"/>
                <w:color w:val="000000"/>
                <w:kern w:val="0"/>
                <w:sz w:val="22"/>
                <w:szCs w:val="22"/>
                <w:lang w:val="en-US" w:eastAsia="zh-CN"/>
              </w:rPr>
              <w:t>10</w:t>
            </w:r>
            <w:r>
              <w:rPr>
                <w:rFonts w:hint="eastAsia" w:ascii="楷体" w:hAnsi="楷体" w:eastAsia="楷体" w:cs="楷体"/>
                <w:color w:val="000000"/>
                <w:kern w:val="0"/>
                <w:sz w:val="22"/>
                <w:szCs w:val="22"/>
              </w:rPr>
              <w:t>分）</w:t>
            </w:r>
          </w:p>
        </w:tc>
        <w:tc>
          <w:tcPr>
            <w:tcW w:w="6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楷体" w:hAnsi="楷体" w:eastAsia="楷体" w:cs="楷体"/>
                <w:kern w:val="0"/>
                <w:sz w:val="22"/>
                <w:szCs w:val="22"/>
                <w:lang w:val="en-US" w:eastAsia="zh-CN"/>
              </w:rPr>
            </w:pPr>
            <w:r>
              <w:rPr>
                <w:rFonts w:hint="eastAsia" w:ascii="楷体" w:hAnsi="楷体" w:eastAsia="楷体" w:cs="楷体"/>
                <w:color w:val="000000"/>
                <w:kern w:val="0"/>
                <w:sz w:val="22"/>
                <w:szCs w:val="22"/>
              </w:rPr>
              <w:t>根据售后服务的及时性（设备发生故障时的响应时间及到达现场的时间等）、可行性，以及维保方案的</w:t>
            </w:r>
            <w:r>
              <w:rPr>
                <w:rFonts w:hint="eastAsia" w:ascii="楷体" w:hAnsi="楷体" w:eastAsia="楷体" w:cs="楷体"/>
                <w:color w:val="000000"/>
                <w:kern w:val="0"/>
                <w:sz w:val="22"/>
                <w:szCs w:val="22"/>
                <w:lang w:eastAsia="zh-CN"/>
              </w:rPr>
              <w:t>质保时间、</w:t>
            </w:r>
            <w:r>
              <w:rPr>
                <w:rFonts w:hint="eastAsia" w:ascii="楷体" w:hAnsi="楷体" w:eastAsia="楷体" w:cs="楷体"/>
                <w:color w:val="000000"/>
                <w:kern w:val="0"/>
                <w:sz w:val="22"/>
                <w:szCs w:val="22"/>
              </w:rPr>
              <w:t>保障措施、可操作性</w:t>
            </w:r>
            <w:r>
              <w:rPr>
                <w:rFonts w:hint="eastAsia" w:ascii="楷体" w:hAnsi="楷体" w:eastAsia="楷体" w:cs="楷体"/>
                <w:color w:val="000000"/>
                <w:kern w:val="0"/>
                <w:sz w:val="22"/>
                <w:szCs w:val="22"/>
                <w:lang w:eastAsia="zh-CN"/>
              </w:rPr>
              <w:t>，</w:t>
            </w:r>
            <w:r>
              <w:rPr>
                <w:rFonts w:hint="eastAsia" w:ascii="楷体" w:hAnsi="楷体" w:eastAsia="楷体" w:cs="楷体"/>
                <w:color w:val="000000"/>
                <w:kern w:val="0"/>
                <w:sz w:val="22"/>
                <w:szCs w:val="22"/>
                <w:lang w:val="en-US" w:eastAsia="zh-CN"/>
              </w:rPr>
              <w:t>优得5分</w:t>
            </w:r>
            <w:r>
              <w:rPr>
                <w:rFonts w:hint="eastAsia" w:ascii="楷体" w:hAnsi="楷体" w:eastAsia="楷体" w:cs="楷体"/>
                <w:color w:val="000000"/>
                <w:kern w:val="0"/>
                <w:sz w:val="22"/>
                <w:szCs w:val="22"/>
                <w:lang w:eastAsia="zh-CN"/>
              </w:rPr>
              <w:t>，</w:t>
            </w:r>
            <w:r>
              <w:rPr>
                <w:rFonts w:hint="eastAsia" w:ascii="楷体" w:hAnsi="楷体" w:eastAsia="楷体" w:cs="楷体"/>
                <w:color w:val="000000"/>
                <w:kern w:val="0"/>
                <w:sz w:val="22"/>
                <w:szCs w:val="22"/>
                <w:lang w:val="en-US" w:eastAsia="zh-CN"/>
              </w:rPr>
              <w:t>良好得3分，差得1分；在本县设置服务点和相关技术人员，并提供场地租赁合同或合作合同的得5分，未提供不得分。</w:t>
            </w:r>
          </w:p>
        </w:tc>
      </w:tr>
      <w:tr>
        <w:tblPrEx>
          <w:tblLayout w:type="fixed"/>
          <w:tblCellMar>
            <w:top w:w="0" w:type="dxa"/>
            <w:left w:w="108" w:type="dxa"/>
            <w:bottom w:w="0" w:type="dxa"/>
            <w:right w:w="108" w:type="dxa"/>
          </w:tblCellMar>
        </w:tblPrEx>
        <w:trPr>
          <w:trHeight w:val="359" w:hRule="atLeast"/>
          <w:jc w:val="center"/>
        </w:trPr>
        <w:tc>
          <w:tcPr>
            <w:tcW w:w="75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83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888"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lang w:eastAsia="zh-CN"/>
              </w:rPr>
              <w:t>供货及安装方案</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w:t>
            </w:r>
            <w:r>
              <w:rPr>
                <w:rFonts w:hint="eastAsia" w:ascii="楷体" w:hAnsi="楷体" w:eastAsia="楷体" w:cs="楷体"/>
                <w:color w:val="000000"/>
                <w:kern w:val="0"/>
                <w:sz w:val="22"/>
                <w:szCs w:val="22"/>
                <w:lang w:val="en-US" w:eastAsia="zh-CN"/>
              </w:rPr>
              <w:t>10</w:t>
            </w:r>
            <w:r>
              <w:rPr>
                <w:rFonts w:hint="eastAsia" w:ascii="楷体" w:hAnsi="楷体" w:eastAsia="楷体" w:cs="楷体"/>
                <w:color w:val="000000"/>
                <w:kern w:val="0"/>
                <w:sz w:val="22"/>
                <w:szCs w:val="22"/>
              </w:rPr>
              <w:t>分）</w:t>
            </w:r>
          </w:p>
        </w:tc>
        <w:tc>
          <w:tcPr>
            <w:tcW w:w="6680" w:type="dxa"/>
            <w:tcBorders>
              <w:top w:val="nil"/>
              <w:left w:val="nil"/>
              <w:bottom w:val="single" w:color="auto" w:sz="4" w:space="0"/>
              <w:right w:val="single" w:color="auto" w:sz="4" w:space="0"/>
            </w:tcBorders>
            <w:shd w:val="clear" w:color="auto" w:fill="auto"/>
            <w:vAlign w:val="center"/>
          </w:tcPr>
          <w:p>
            <w:pPr>
              <w:widowControl/>
              <w:spacing w:line="360" w:lineRule="auto"/>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投标人提供科学合理的项目实施方案，</w:t>
            </w:r>
            <w:r>
              <w:rPr>
                <w:rFonts w:hint="eastAsia" w:ascii="楷体" w:hAnsi="楷体" w:eastAsia="楷体" w:cs="楷体"/>
                <w:color w:val="auto"/>
                <w:sz w:val="22"/>
                <w:szCs w:val="22"/>
                <w:lang w:val="en-US" w:bidi="ar-SA"/>
              </w:rPr>
              <w:t>设备技术性能先进、优良、可靠、节能、配置水平高、科学合理，同时提供教室配置安装平面图及使用环境效果图；提供</w:t>
            </w:r>
            <w:r>
              <w:rPr>
                <w:rFonts w:hint="eastAsia" w:ascii="楷体" w:hAnsi="楷体" w:eastAsia="楷体" w:cs="楷体"/>
                <w:color w:val="auto"/>
                <w:sz w:val="22"/>
                <w:szCs w:val="22"/>
                <w:lang w:val="en-US" w:eastAsia="zh-CN" w:bidi="ar-SA"/>
              </w:rPr>
              <w:t>所供货</w:t>
            </w:r>
            <w:r>
              <w:rPr>
                <w:rFonts w:hint="eastAsia" w:ascii="楷体" w:hAnsi="楷体" w:eastAsia="楷体" w:cs="楷体"/>
                <w:color w:val="auto"/>
                <w:sz w:val="22"/>
                <w:szCs w:val="22"/>
                <w:lang w:val="en-US" w:bidi="ar-SA"/>
              </w:rPr>
              <w:t>教室的建设方案；可较优于项目实施地教学需求及环境要求，</w:t>
            </w:r>
            <w:r>
              <w:rPr>
                <w:rFonts w:hint="eastAsia" w:ascii="楷体" w:hAnsi="楷体" w:eastAsia="楷体" w:cs="楷体"/>
                <w:color w:val="000000"/>
                <w:kern w:val="0"/>
                <w:sz w:val="22"/>
                <w:szCs w:val="22"/>
              </w:rPr>
              <w:t>包括但不限于供货方案、质量保证标准等进行评价:</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优：方案完整合理、可行性强，完全满足并优于招标文件要求，得</w:t>
            </w:r>
            <w:r>
              <w:rPr>
                <w:rFonts w:hint="eastAsia" w:ascii="楷体" w:hAnsi="楷体" w:eastAsia="楷体" w:cs="楷体"/>
                <w:color w:val="000000"/>
                <w:kern w:val="0"/>
                <w:sz w:val="22"/>
                <w:szCs w:val="22"/>
                <w:lang w:val="en-US" w:eastAsia="zh-CN"/>
              </w:rPr>
              <w:t>10</w:t>
            </w:r>
            <w:r>
              <w:rPr>
                <w:rFonts w:hint="eastAsia" w:ascii="楷体" w:hAnsi="楷体" w:eastAsia="楷体" w:cs="楷体"/>
                <w:color w:val="000000"/>
                <w:kern w:val="0"/>
                <w:sz w:val="22"/>
                <w:szCs w:val="22"/>
              </w:rPr>
              <w:t>分；</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一般：方案完整、可行性一般，符合招标文件要求，得</w:t>
            </w:r>
            <w:r>
              <w:rPr>
                <w:rFonts w:hint="eastAsia" w:ascii="楷体" w:hAnsi="楷体" w:eastAsia="楷体" w:cs="楷体"/>
                <w:color w:val="000000"/>
                <w:kern w:val="0"/>
                <w:sz w:val="22"/>
                <w:szCs w:val="22"/>
                <w:lang w:val="en-US" w:eastAsia="zh-CN"/>
              </w:rPr>
              <w:t>6</w:t>
            </w:r>
            <w:r>
              <w:rPr>
                <w:rFonts w:hint="eastAsia" w:ascii="楷体" w:hAnsi="楷体" w:eastAsia="楷体" w:cs="楷体"/>
                <w:color w:val="000000"/>
                <w:kern w:val="0"/>
                <w:sz w:val="22"/>
                <w:szCs w:val="22"/>
              </w:rPr>
              <w:t>分；</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差：方案不完整，可行性很差，基本符合招标文件要求，得</w:t>
            </w:r>
            <w:r>
              <w:rPr>
                <w:rFonts w:hint="eastAsia" w:ascii="楷体" w:hAnsi="楷体" w:eastAsia="楷体" w:cs="楷体"/>
                <w:color w:val="000000"/>
                <w:kern w:val="0"/>
                <w:sz w:val="22"/>
                <w:szCs w:val="22"/>
                <w:lang w:val="en-US" w:eastAsia="zh-CN"/>
              </w:rPr>
              <w:t>3</w:t>
            </w:r>
            <w:r>
              <w:rPr>
                <w:rFonts w:hint="eastAsia" w:ascii="楷体" w:hAnsi="楷体" w:eastAsia="楷体" w:cs="楷体"/>
                <w:color w:val="000000"/>
                <w:kern w:val="0"/>
                <w:sz w:val="22"/>
                <w:szCs w:val="22"/>
              </w:rPr>
              <w:t>分。</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未提供对应方案不得分。</w:t>
            </w:r>
          </w:p>
        </w:tc>
      </w:tr>
      <w:tr>
        <w:tblPrEx>
          <w:tblLayout w:type="fixed"/>
          <w:tblCellMar>
            <w:top w:w="0" w:type="dxa"/>
            <w:left w:w="108" w:type="dxa"/>
            <w:bottom w:w="0" w:type="dxa"/>
            <w:right w:w="108" w:type="dxa"/>
          </w:tblCellMar>
        </w:tblPrEx>
        <w:trPr>
          <w:trHeight w:val="2030" w:hRule="atLeast"/>
          <w:jc w:val="center"/>
        </w:trPr>
        <w:tc>
          <w:tcPr>
            <w:tcW w:w="750" w:type="dxa"/>
            <w:tcBorders>
              <w:top w:val="nil"/>
              <w:left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000000"/>
                <w:kern w:val="0"/>
                <w:sz w:val="22"/>
                <w:szCs w:val="22"/>
              </w:rPr>
            </w:pPr>
          </w:p>
        </w:tc>
        <w:tc>
          <w:tcPr>
            <w:tcW w:w="837" w:type="dxa"/>
            <w:tcBorders>
              <w:top w:val="nil"/>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p>
        </w:tc>
        <w:tc>
          <w:tcPr>
            <w:tcW w:w="888" w:type="dxa"/>
            <w:tcBorders>
              <w:top w:val="nil"/>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lang w:val="en-US" w:eastAsia="zh-CN"/>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lang w:eastAsia="zh-CN"/>
              </w:rPr>
            </w:pPr>
            <w:r>
              <w:rPr>
                <w:rFonts w:hint="eastAsia" w:ascii="楷体" w:hAnsi="楷体" w:eastAsia="楷体" w:cs="楷体"/>
                <w:color w:val="000000"/>
                <w:kern w:val="0"/>
                <w:sz w:val="22"/>
                <w:szCs w:val="22"/>
                <w:lang w:eastAsia="zh-CN"/>
              </w:rPr>
              <w:t>企业信誉（</w:t>
            </w:r>
            <w:r>
              <w:rPr>
                <w:rFonts w:hint="eastAsia" w:ascii="楷体" w:hAnsi="楷体" w:eastAsia="楷体" w:cs="楷体"/>
                <w:color w:val="000000"/>
                <w:kern w:val="0"/>
                <w:sz w:val="22"/>
                <w:szCs w:val="22"/>
                <w:lang w:val="en-US" w:eastAsia="zh-CN"/>
              </w:rPr>
              <w:t>6分</w:t>
            </w:r>
            <w:r>
              <w:rPr>
                <w:rFonts w:hint="eastAsia" w:ascii="楷体" w:hAnsi="楷体" w:eastAsia="楷体" w:cs="楷体"/>
                <w:color w:val="000000"/>
                <w:kern w:val="0"/>
                <w:sz w:val="22"/>
                <w:szCs w:val="22"/>
                <w:lang w:eastAsia="zh-CN"/>
              </w:rPr>
              <w:t>）</w:t>
            </w:r>
          </w:p>
        </w:tc>
        <w:tc>
          <w:tcPr>
            <w:tcW w:w="66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rFonts w:hint="default" w:ascii="楷体" w:hAnsi="楷体" w:eastAsia="楷体" w:cs="楷体"/>
                <w:color w:val="000000"/>
                <w:kern w:val="0"/>
                <w:sz w:val="22"/>
                <w:szCs w:val="22"/>
                <w:lang w:val="en-US" w:eastAsia="zh-CN"/>
              </w:rPr>
            </w:pPr>
            <w:r>
              <w:rPr>
                <w:rFonts w:hint="eastAsia" w:ascii="楷体" w:hAnsi="楷体" w:eastAsia="楷体" w:cs="楷体"/>
                <w:color w:val="000000"/>
                <w:kern w:val="0"/>
                <w:sz w:val="22"/>
                <w:szCs w:val="22"/>
                <w:lang w:val="en-US" w:eastAsia="zh-CN"/>
              </w:rPr>
              <w:t>1、所投云桌面产品通过中央电化教育馆“数字校园综合解决方案”送测产品物理检测的，得2分。</w:t>
            </w:r>
          </w:p>
          <w:p>
            <w:pPr>
              <w:widowControl/>
              <w:spacing w:line="360" w:lineRule="auto"/>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lang w:val="en-US" w:eastAsia="zh-CN"/>
              </w:rPr>
              <w:t>2</w:t>
            </w:r>
            <w:r>
              <w:rPr>
                <w:rFonts w:hint="eastAsia" w:ascii="楷体" w:hAnsi="楷体" w:eastAsia="楷体" w:cs="楷体"/>
                <w:color w:val="000000"/>
                <w:kern w:val="0"/>
                <w:sz w:val="22"/>
                <w:szCs w:val="22"/>
              </w:rPr>
              <w:t>、投标人提供智慧书法生产商的ISO27001信息安全认证证书复印件盖章的，得</w:t>
            </w:r>
            <w:r>
              <w:rPr>
                <w:rFonts w:hint="eastAsia" w:ascii="楷体" w:hAnsi="楷体" w:eastAsia="楷体" w:cs="楷体"/>
                <w:color w:val="000000"/>
                <w:kern w:val="0"/>
                <w:sz w:val="22"/>
                <w:szCs w:val="22"/>
                <w:lang w:val="en-US" w:eastAsia="zh-CN"/>
              </w:rPr>
              <w:t>1</w:t>
            </w:r>
            <w:r>
              <w:rPr>
                <w:rFonts w:hint="eastAsia" w:ascii="楷体" w:hAnsi="楷体" w:eastAsia="楷体" w:cs="楷体"/>
                <w:color w:val="000000"/>
                <w:kern w:val="0"/>
                <w:sz w:val="22"/>
                <w:szCs w:val="22"/>
              </w:rPr>
              <w:t>分。</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lang w:val="en-US" w:eastAsia="zh-CN"/>
              </w:rPr>
              <w:t>3</w:t>
            </w:r>
            <w:r>
              <w:rPr>
                <w:rFonts w:hint="eastAsia" w:ascii="楷体" w:hAnsi="楷体" w:eastAsia="楷体" w:cs="楷体"/>
                <w:color w:val="000000"/>
                <w:kern w:val="0"/>
                <w:sz w:val="22"/>
                <w:szCs w:val="22"/>
              </w:rPr>
              <w:t>、所投产品制造商具备智慧书法生产商售后服务成熟度认证证书的，五星级的得1分，六星级的得1.5分，七星级的得2分。</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lang w:val="en-US" w:eastAsia="zh-CN"/>
              </w:rPr>
              <w:t>4</w:t>
            </w:r>
            <w:r>
              <w:rPr>
                <w:rFonts w:hint="eastAsia" w:ascii="楷体" w:hAnsi="楷体" w:eastAsia="楷体" w:cs="楷体"/>
                <w:color w:val="000000"/>
                <w:kern w:val="0"/>
                <w:sz w:val="22"/>
                <w:szCs w:val="22"/>
              </w:rPr>
              <w:t>、所投产品制造商具备交互式数字临摹台的3C认证证书、节能产品认证证书复印件(且证书必须具有“计算机”功能)，复印件必须有生产者(制造商)盖章，满足以上条件的，得1分。</w:t>
            </w:r>
          </w:p>
        </w:tc>
      </w:tr>
      <w:tr>
        <w:tblPrEx>
          <w:tblLayout w:type="fixed"/>
          <w:tblCellMar>
            <w:top w:w="0" w:type="dxa"/>
            <w:left w:w="108" w:type="dxa"/>
            <w:bottom w:w="0" w:type="dxa"/>
            <w:right w:w="108" w:type="dxa"/>
          </w:tblCellMar>
        </w:tblPrEx>
        <w:trPr>
          <w:trHeight w:val="1620" w:hRule="atLeast"/>
          <w:jc w:val="center"/>
        </w:trPr>
        <w:tc>
          <w:tcPr>
            <w:tcW w:w="750" w:type="dxa"/>
            <w:tcBorders>
              <w:top w:val="nil"/>
              <w:left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000000"/>
                <w:kern w:val="0"/>
                <w:sz w:val="22"/>
                <w:szCs w:val="22"/>
              </w:rPr>
            </w:pPr>
          </w:p>
        </w:tc>
        <w:tc>
          <w:tcPr>
            <w:tcW w:w="837" w:type="dxa"/>
            <w:tcBorders>
              <w:top w:val="nil"/>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p>
        </w:tc>
        <w:tc>
          <w:tcPr>
            <w:tcW w:w="888" w:type="dxa"/>
            <w:tcBorders>
              <w:top w:val="nil"/>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lang w:val="en-US" w:eastAsia="zh-CN"/>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lang w:eastAsia="zh-CN"/>
              </w:rPr>
            </w:pPr>
            <w:r>
              <w:rPr>
                <w:rFonts w:hint="eastAsia" w:ascii="楷体" w:hAnsi="楷体" w:eastAsia="楷体" w:cs="楷体"/>
                <w:color w:val="000000"/>
                <w:kern w:val="0"/>
                <w:sz w:val="22"/>
                <w:szCs w:val="22"/>
                <w:lang w:eastAsia="zh-CN"/>
              </w:rPr>
              <w:t>财务能力和状况</w:t>
            </w:r>
          </w:p>
          <w:p>
            <w:pPr>
              <w:pStyle w:val="7"/>
              <w:rPr>
                <w:rFonts w:hint="default"/>
                <w:lang w:val="en-US" w:eastAsia="zh-CN"/>
              </w:rPr>
            </w:pPr>
            <w:r>
              <w:rPr>
                <w:rFonts w:hint="eastAsia" w:ascii="楷体" w:hAnsi="楷体" w:eastAsia="楷体" w:cs="楷体"/>
                <w:color w:val="000000"/>
                <w:kern w:val="0"/>
                <w:sz w:val="22"/>
                <w:szCs w:val="22"/>
                <w:lang w:val="en-US" w:eastAsia="zh-CN" w:bidi="ar-SA"/>
              </w:rPr>
              <w:t>（3分）</w:t>
            </w:r>
          </w:p>
        </w:tc>
        <w:tc>
          <w:tcPr>
            <w:tcW w:w="66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rFonts w:hint="default" w:ascii="楷体" w:hAnsi="楷体" w:eastAsia="楷体" w:cs="楷体"/>
                <w:color w:val="000000"/>
                <w:kern w:val="0"/>
                <w:sz w:val="22"/>
                <w:szCs w:val="22"/>
                <w:lang w:val="en-US" w:eastAsia="zh-CN"/>
              </w:rPr>
            </w:pPr>
            <w:r>
              <w:rPr>
                <w:rFonts w:hint="eastAsia" w:ascii="楷体" w:hAnsi="楷体" w:eastAsia="楷体" w:cs="楷体"/>
                <w:color w:val="000000"/>
                <w:kern w:val="0"/>
                <w:sz w:val="22"/>
                <w:szCs w:val="22"/>
              </w:rPr>
              <w:t>投标人经审计的20</w:t>
            </w:r>
            <w:r>
              <w:rPr>
                <w:rFonts w:hint="eastAsia" w:ascii="楷体" w:hAnsi="楷体" w:eastAsia="楷体" w:cs="楷体"/>
                <w:color w:val="000000"/>
                <w:kern w:val="0"/>
                <w:sz w:val="22"/>
                <w:szCs w:val="22"/>
                <w:lang w:val="en-US" w:eastAsia="zh-CN"/>
              </w:rPr>
              <w:t>20年、</w:t>
            </w:r>
            <w:r>
              <w:rPr>
                <w:rFonts w:hint="eastAsia" w:ascii="楷体" w:hAnsi="楷体" w:eastAsia="楷体" w:cs="楷体"/>
                <w:color w:val="000000"/>
                <w:kern w:val="0"/>
                <w:sz w:val="22"/>
                <w:szCs w:val="22"/>
              </w:rPr>
              <w:t xml:space="preserve"> 202</w:t>
            </w:r>
            <w:r>
              <w:rPr>
                <w:rFonts w:hint="eastAsia" w:ascii="楷体" w:hAnsi="楷体" w:eastAsia="楷体" w:cs="楷体"/>
                <w:color w:val="000000"/>
                <w:kern w:val="0"/>
                <w:sz w:val="22"/>
                <w:szCs w:val="22"/>
                <w:lang w:val="en-US" w:eastAsia="zh-CN"/>
              </w:rPr>
              <w:t>1年</w:t>
            </w:r>
            <w:r>
              <w:rPr>
                <w:rFonts w:hint="eastAsia" w:ascii="楷体" w:hAnsi="楷体" w:eastAsia="楷体" w:cs="楷体"/>
                <w:color w:val="000000"/>
                <w:kern w:val="0"/>
                <w:sz w:val="22"/>
                <w:szCs w:val="22"/>
                <w:lang w:eastAsia="zh-CN"/>
              </w:rPr>
              <w:t>、</w:t>
            </w:r>
            <w:r>
              <w:rPr>
                <w:rFonts w:hint="eastAsia" w:ascii="楷体" w:hAnsi="楷体" w:eastAsia="楷体" w:cs="楷体"/>
                <w:color w:val="000000"/>
                <w:kern w:val="0"/>
                <w:sz w:val="22"/>
                <w:szCs w:val="22"/>
                <w:lang w:val="en-US" w:eastAsia="zh-CN"/>
              </w:rPr>
              <w:t>2022</w:t>
            </w:r>
            <w:r>
              <w:rPr>
                <w:rFonts w:hint="eastAsia" w:ascii="楷体" w:hAnsi="楷体" w:eastAsia="楷体" w:cs="楷体"/>
                <w:color w:val="000000"/>
                <w:kern w:val="0"/>
                <w:sz w:val="22"/>
                <w:szCs w:val="22"/>
              </w:rPr>
              <w:t>年度会计报表</w:t>
            </w:r>
            <w:r>
              <w:rPr>
                <w:rFonts w:hint="eastAsia" w:ascii="楷体" w:hAnsi="楷体" w:eastAsia="楷体" w:cs="楷体"/>
                <w:color w:val="000000"/>
                <w:kern w:val="0"/>
                <w:sz w:val="22"/>
                <w:szCs w:val="22"/>
                <w:lang w:eastAsia="zh-CN"/>
              </w:rPr>
              <w:t>（</w:t>
            </w:r>
            <w:r>
              <w:rPr>
                <w:rFonts w:hint="eastAsia" w:ascii="楷体" w:hAnsi="楷体" w:eastAsia="楷体" w:cs="楷体"/>
                <w:color w:val="000000"/>
                <w:kern w:val="0"/>
                <w:sz w:val="22"/>
                <w:szCs w:val="22"/>
              </w:rPr>
              <w:t>显示资产负债率</w:t>
            </w:r>
            <w:r>
              <w:rPr>
                <w:rFonts w:hint="eastAsia" w:ascii="楷体" w:hAnsi="楷体" w:eastAsia="楷体" w:cs="楷体"/>
                <w:color w:val="000000"/>
                <w:kern w:val="0"/>
                <w:sz w:val="22"/>
                <w:szCs w:val="22"/>
                <w:lang w:eastAsia="zh-CN"/>
              </w:rPr>
              <w:t>），经营状况良好</w:t>
            </w:r>
            <w:r>
              <w:rPr>
                <w:rFonts w:hint="eastAsia" w:ascii="楷体" w:hAnsi="楷体" w:eastAsia="楷体" w:cs="楷体"/>
                <w:color w:val="000000"/>
                <w:kern w:val="0"/>
                <w:sz w:val="22"/>
                <w:szCs w:val="22"/>
                <w:lang w:val="en-US" w:eastAsia="zh-CN"/>
              </w:rPr>
              <w:t>；每提供一年得1分，最高得3分；未提供或报表未经审计的不得分。</w:t>
            </w:r>
          </w:p>
        </w:tc>
      </w:tr>
      <w:tr>
        <w:tblPrEx>
          <w:tblLayout w:type="fixed"/>
          <w:tblCellMar>
            <w:top w:w="0" w:type="dxa"/>
            <w:left w:w="108" w:type="dxa"/>
            <w:bottom w:w="0" w:type="dxa"/>
            <w:right w:w="108" w:type="dxa"/>
          </w:tblCellMar>
        </w:tblPrEx>
        <w:trPr>
          <w:trHeight w:val="1420" w:hRule="atLeast"/>
          <w:jc w:val="center"/>
        </w:trPr>
        <w:tc>
          <w:tcPr>
            <w:tcW w:w="750" w:type="dxa"/>
            <w:vMerge w:val="restart"/>
            <w:tcBorders>
              <w:top w:val="nil"/>
              <w:left w:val="single" w:color="auto" w:sz="4" w:space="0"/>
              <w:right w:val="single" w:color="auto" w:sz="4" w:space="0"/>
            </w:tcBorders>
            <w:shd w:val="clear" w:color="auto" w:fill="auto"/>
            <w:noWrap/>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3</w:t>
            </w:r>
          </w:p>
        </w:tc>
        <w:tc>
          <w:tcPr>
            <w:tcW w:w="837"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商务评审</w:t>
            </w:r>
          </w:p>
        </w:tc>
        <w:tc>
          <w:tcPr>
            <w:tcW w:w="888"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lang w:val="en-US" w:eastAsia="zh-CN"/>
              </w:rPr>
              <w:t>20</w:t>
            </w:r>
            <w:r>
              <w:rPr>
                <w:rFonts w:hint="eastAsia" w:ascii="楷体" w:hAnsi="楷体" w:eastAsia="楷体" w:cs="楷体"/>
                <w:color w:val="000000"/>
                <w:kern w:val="0"/>
                <w:sz w:val="22"/>
                <w:szCs w:val="22"/>
              </w:rPr>
              <w:t>分</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color w:val="000000"/>
                <w:kern w:val="0"/>
                <w:sz w:val="22"/>
                <w:szCs w:val="22"/>
              </w:rPr>
              <w:t>标书制作</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w:t>
            </w:r>
            <w:r>
              <w:rPr>
                <w:rFonts w:hint="eastAsia" w:ascii="楷体" w:hAnsi="楷体" w:eastAsia="楷体" w:cs="楷体"/>
                <w:color w:val="000000"/>
                <w:kern w:val="0"/>
                <w:sz w:val="22"/>
                <w:szCs w:val="22"/>
                <w:lang w:val="en-US" w:eastAsia="zh-CN"/>
              </w:rPr>
              <w:t>4</w:t>
            </w:r>
            <w:r>
              <w:rPr>
                <w:rFonts w:hint="eastAsia" w:ascii="楷体" w:hAnsi="楷体" w:eastAsia="楷体" w:cs="楷体"/>
                <w:color w:val="000000"/>
                <w:kern w:val="0"/>
                <w:sz w:val="22"/>
                <w:szCs w:val="22"/>
              </w:rPr>
              <w:t>分）</w:t>
            </w:r>
          </w:p>
        </w:tc>
        <w:tc>
          <w:tcPr>
            <w:tcW w:w="66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rFonts w:hint="default" w:ascii="楷体" w:hAnsi="楷体" w:eastAsia="楷体" w:cs="楷体"/>
                <w:color w:val="000000"/>
                <w:kern w:val="0"/>
                <w:sz w:val="22"/>
                <w:szCs w:val="22"/>
                <w:lang w:val="en-US" w:eastAsia="zh-CN"/>
              </w:rPr>
            </w:pPr>
            <w:r>
              <w:rPr>
                <w:rFonts w:hint="eastAsia" w:ascii="楷体" w:hAnsi="楷体" w:eastAsia="楷体" w:cs="楷体"/>
                <w:color w:val="000000"/>
                <w:kern w:val="0"/>
                <w:sz w:val="22"/>
                <w:szCs w:val="22"/>
              </w:rPr>
              <w:t>评委根据投标文件</w:t>
            </w:r>
            <w:r>
              <w:rPr>
                <w:rFonts w:hint="eastAsia" w:ascii="楷体" w:hAnsi="楷体" w:eastAsia="楷体" w:cs="楷体"/>
                <w:color w:val="000000"/>
                <w:kern w:val="0"/>
                <w:sz w:val="22"/>
                <w:szCs w:val="22"/>
                <w:lang w:eastAsia="zh-CN"/>
              </w:rPr>
              <w:t>按照要求编制完整、条理清晰、支撑材料查找方便、</w:t>
            </w:r>
            <w:r>
              <w:rPr>
                <w:rFonts w:hint="eastAsia" w:ascii="楷体" w:hAnsi="楷体" w:eastAsia="楷体" w:cs="楷体"/>
                <w:color w:val="000000"/>
                <w:kern w:val="0"/>
                <w:sz w:val="22"/>
                <w:szCs w:val="22"/>
              </w:rPr>
              <w:t>页码连续，无缺项漏项</w:t>
            </w:r>
            <w:r>
              <w:rPr>
                <w:rFonts w:hint="eastAsia" w:ascii="楷体" w:hAnsi="楷体" w:eastAsia="楷体" w:cs="楷体"/>
                <w:color w:val="000000"/>
                <w:kern w:val="0"/>
                <w:sz w:val="22"/>
                <w:szCs w:val="22"/>
                <w:lang w:eastAsia="zh-CN"/>
              </w:rPr>
              <w:t>、装订等方面进行综合考量评定，</w:t>
            </w:r>
            <w:r>
              <w:rPr>
                <w:rFonts w:hint="eastAsia" w:ascii="楷体" w:hAnsi="楷体" w:eastAsia="楷体" w:cs="楷体"/>
                <w:color w:val="000000"/>
                <w:kern w:val="0"/>
                <w:sz w:val="22"/>
                <w:szCs w:val="22"/>
                <w:lang w:val="en-US" w:eastAsia="zh-CN"/>
              </w:rPr>
              <w:t>优得4分，良好得2分，差得1分。</w:t>
            </w:r>
          </w:p>
        </w:tc>
      </w:tr>
      <w:tr>
        <w:tblPrEx>
          <w:tblLayout w:type="fixed"/>
          <w:tblCellMar>
            <w:top w:w="0" w:type="dxa"/>
            <w:left w:w="108" w:type="dxa"/>
            <w:bottom w:w="0" w:type="dxa"/>
            <w:right w:w="108" w:type="dxa"/>
          </w:tblCellMar>
        </w:tblPrEx>
        <w:trPr>
          <w:trHeight w:val="1109" w:hRule="atLeast"/>
          <w:jc w:val="center"/>
        </w:trPr>
        <w:tc>
          <w:tcPr>
            <w:tcW w:w="750" w:type="dxa"/>
            <w:vMerge w:val="continue"/>
            <w:tcBorders>
              <w:left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837" w:type="dxa"/>
            <w:vMerge w:val="continue"/>
            <w:tcBorders>
              <w:left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888" w:type="dxa"/>
            <w:vMerge w:val="continue"/>
            <w:tcBorders>
              <w:left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楷体" w:hAnsi="楷体" w:eastAsia="楷体" w:cs="楷体"/>
                <w:color w:val="000000"/>
                <w:kern w:val="0"/>
                <w:sz w:val="22"/>
                <w:szCs w:val="22"/>
              </w:rPr>
            </w:pPr>
            <w:r>
              <w:rPr>
                <w:rFonts w:hint="eastAsia" w:ascii="楷体" w:hAnsi="楷体" w:eastAsia="楷体" w:cs="楷体"/>
                <w:bCs/>
                <w:kern w:val="0"/>
                <w:sz w:val="22"/>
                <w:szCs w:val="22"/>
              </w:rPr>
              <w:t>项目参与人员</w:t>
            </w:r>
            <w:r>
              <w:rPr>
                <w:rFonts w:hint="eastAsia" w:ascii="楷体" w:hAnsi="楷体" w:eastAsia="楷体" w:cs="楷体"/>
                <w:color w:val="000000"/>
                <w:kern w:val="0"/>
                <w:sz w:val="22"/>
                <w:szCs w:val="22"/>
              </w:rPr>
              <w:br w:type="textWrapping"/>
            </w:r>
            <w:r>
              <w:rPr>
                <w:rFonts w:hint="eastAsia" w:ascii="楷体" w:hAnsi="楷体" w:eastAsia="楷体" w:cs="楷体"/>
                <w:color w:val="000000"/>
                <w:kern w:val="0"/>
                <w:sz w:val="22"/>
                <w:szCs w:val="22"/>
              </w:rPr>
              <w:t>（</w:t>
            </w:r>
            <w:r>
              <w:rPr>
                <w:rFonts w:hint="eastAsia" w:ascii="楷体" w:hAnsi="楷体" w:eastAsia="楷体" w:cs="楷体"/>
                <w:color w:val="000000"/>
                <w:kern w:val="0"/>
                <w:sz w:val="22"/>
                <w:szCs w:val="22"/>
                <w:lang w:val="en-US" w:eastAsia="zh-CN"/>
              </w:rPr>
              <w:t>5</w:t>
            </w:r>
            <w:r>
              <w:rPr>
                <w:rFonts w:hint="eastAsia" w:ascii="楷体" w:hAnsi="楷体" w:eastAsia="楷体" w:cs="楷体"/>
                <w:color w:val="000000"/>
                <w:kern w:val="0"/>
                <w:sz w:val="22"/>
                <w:szCs w:val="22"/>
              </w:rPr>
              <w:t>分）</w:t>
            </w:r>
          </w:p>
        </w:tc>
        <w:tc>
          <w:tcPr>
            <w:tcW w:w="6680" w:type="dxa"/>
            <w:tcBorders>
              <w:top w:val="nil"/>
              <w:left w:val="nil"/>
              <w:bottom w:val="single" w:color="auto" w:sz="4" w:space="0"/>
              <w:right w:val="single" w:color="auto" w:sz="4" w:space="0"/>
            </w:tcBorders>
            <w:shd w:val="clear" w:color="auto" w:fill="auto"/>
            <w:vAlign w:val="center"/>
          </w:tcPr>
          <w:p>
            <w:pPr>
              <w:widowControl/>
              <w:spacing w:line="360" w:lineRule="auto"/>
              <w:rPr>
                <w:rFonts w:hint="eastAsia" w:ascii="楷体" w:hAnsi="楷体" w:eastAsia="楷体" w:cs="楷体"/>
                <w:color w:val="000000"/>
                <w:kern w:val="0"/>
                <w:sz w:val="22"/>
                <w:szCs w:val="22"/>
              </w:rPr>
            </w:pPr>
            <w:r>
              <w:rPr>
                <w:rFonts w:hint="eastAsia" w:ascii="楷体" w:hAnsi="楷体" w:eastAsia="楷体" w:cs="楷体"/>
                <w:color w:val="000000"/>
                <w:sz w:val="22"/>
                <w:szCs w:val="22"/>
              </w:rPr>
              <w:t>投标供应商提供专业售后维护人员不少于2人，提供2人得基础分1分，提供3人得3分，提供4人得5分，不足2人不得分；须提供人员的身份证扫描件及</w:t>
            </w:r>
            <w:r>
              <w:rPr>
                <w:rFonts w:hint="eastAsia" w:ascii="楷体" w:hAnsi="楷体" w:eastAsia="楷体" w:cs="楷体"/>
                <w:color w:val="000000"/>
                <w:sz w:val="22"/>
                <w:szCs w:val="22"/>
                <w:lang w:val="en-US" w:eastAsia="zh-CN"/>
              </w:rPr>
              <w:t>通信工程专业类证书</w:t>
            </w:r>
            <w:r>
              <w:rPr>
                <w:rFonts w:hint="eastAsia" w:ascii="楷体" w:hAnsi="楷体" w:eastAsia="楷体" w:cs="楷体"/>
                <w:color w:val="000000"/>
                <w:sz w:val="22"/>
                <w:szCs w:val="22"/>
                <w:lang w:eastAsia="zh-CN"/>
              </w:rPr>
              <w:t>，</w:t>
            </w:r>
            <w:r>
              <w:rPr>
                <w:rFonts w:hint="eastAsia" w:ascii="楷体" w:hAnsi="楷体" w:eastAsia="楷体" w:cs="楷体"/>
                <w:color w:val="000000"/>
                <w:sz w:val="22"/>
                <w:szCs w:val="22"/>
              </w:rPr>
              <w:t>未提供或提供不全不得分。</w:t>
            </w:r>
          </w:p>
        </w:tc>
      </w:tr>
      <w:tr>
        <w:tblPrEx>
          <w:tblLayout w:type="fixed"/>
          <w:tblCellMar>
            <w:top w:w="0" w:type="dxa"/>
            <w:left w:w="108" w:type="dxa"/>
            <w:bottom w:w="0" w:type="dxa"/>
            <w:right w:w="108" w:type="dxa"/>
          </w:tblCellMar>
        </w:tblPrEx>
        <w:trPr>
          <w:trHeight w:val="496" w:hRule="atLeast"/>
          <w:jc w:val="center"/>
        </w:trPr>
        <w:tc>
          <w:tcPr>
            <w:tcW w:w="750"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83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88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rPr>
            </w:pPr>
          </w:p>
        </w:tc>
        <w:tc>
          <w:tcPr>
            <w:tcW w:w="11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楷体" w:hAnsi="楷体" w:eastAsia="楷体" w:cs="楷体"/>
                <w:color w:val="000000"/>
                <w:kern w:val="0"/>
                <w:sz w:val="22"/>
                <w:szCs w:val="22"/>
                <w:lang w:eastAsia="zh-CN"/>
              </w:rPr>
            </w:pPr>
            <w:r>
              <w:rPr>
                <w:rFonts w:hint="eastAsia" w:ascii="楷体" w:hAnsi="楷体" w:eastAsia="楷体" w:cs="楷体"/>
                <w:sz w:val="22"/>
                <w:szCs w:val="22"/>
              </w:rPr>
              <w:t>类似业绩</w:t>
            </w:r>
            <w:r>
              <w:rPr>
                <w:rFonts w:hint="eastAsia" w:ascii="楷体" w:hAnsi="楷体" w:eastAsia="楷体" w:cs="楷体"/>
                <w:sz w:val="22"/>
                <w:szCs w:val="22"/>
                <w:lang w:eastAsia="zh-CN"/>
              </w:rPr>
              <w:t>（</w:t>
            </w:r>
            <w:r>
              <w:rPr>
                <w:rFonts w:hint="eastAsia" w:ascii="楷体" w:hAnsi="楷体" w:eastAsia="楷体" w:cs="楷体"/>
                <w:sz w:val="22"/>
                <w:szCs w:val="22"/>
                <w:lang w:val="en-US" w:eastAsia="zh-CN"/>
              </w:rPr>
              <w:t>2分</w:t>
            </w:r>
            <w:r>
              <w:rPr>
                <w:rFonts w:hint="eastAsia" w:ascii="楷体" w:hAnsi="楷体" w:eastAsia="楷体" w:cs="楷体"/>
                <w:sz w:val="22"/>
                <w:szCs w:val="22"/>
                <w:lang w:eastAsia="zh-CN"/>
              </w:rPr>
              <w:t>）</w:t>
            </w:r>
          </w:p>
        </w:tc>
        <w:tc>
          <w:tcPr>
            <w:tcW w:w="6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hint="eastAsia" w:ascii="楷体" w:hAnsi="楷体" w:eastAsia="楷体" w:cs="楷体"/>
                <w:color w:val="000000"/>
                <w:kern w:val="0"/>
                <w:sz w:val="22"/>
                <w:szCs w:val="22"/>
              </w:rPr>
            </w:pPr>
            <w:r>
              <w:rPr>
                <w:rFonts w:hint="eastAsia" w:ascii="楷体" w:hAnsi="楷体" w:eastAsia="楷体" w:cs="楷体"/>
                <w:kern w:val="0"/>
                <w:sz w:val="22"/>
                <w:szCs w:val="22"/>
              </w:rPr>
              <w:t>评委会根据各投标人所提供的投标人202</w:t>
            </w:r>
            <w:r>
              <w:rPr>
                <w:rFonts w:hint="eastAsia" w:ascii="楷体" w:hAnsi="楷体" w:eastAsia="楷体" w:cs="楷体"/>
                <w:kern w:val="0"/>
                <w:sz w:val="22"/>
                <w:szCs w:val="22"/>
                <w:lang w:val="en-US" w:eastAsia="zh-CN"/>
              </w:rPr>
              <w:t>2</w:t>
            </w:r>
            <w:r>
              <w:rPr>
                <w:rFonts w:hint="eastAsia" w:ascii="楷体" w:hAnsi="楷体" w:eastAsia="楷体" w:cs="楷体"/>
                <w:kern w:val="0"/>
                <w:sz w:val="22"/>
                <w:szCs w:val="22"/>
              </w:rPr>
              <w:t>年1月至今（日期以合同为准）由投标人所完成的</w:t>
            </w:r>
            <w:r>
              <w:rPr>
                <w:rFonts w:hint="eastAsia" w:ascii="楷体" w:hAnsi="楷体" w:eastAsia="楷体" w:cs="楷体"/>
                <w:kern w:val="0"/>
                <w:sz w:val="22"/>
                <w:szCs w:val="22"/>
                <w:lang w:val="en-US" w:eastAsia="zh-CN"/>
              </w:rPr>
              <w:t>投标产品</w:t>
            </w:r>
            <w:r>
              <w:rPr>
                <w:rFonts w:hint="eastAsia" w:ascii="楷体" w:hAnsi="楷体" w:eastAsia="楷体" w:cs="楷体"/>
                <w:kern w:val="0"/>
                <w:sz w:val="22"/>
                <w:szCs w:val="22"/>
              </w:rPr>
              <w:t>业绩合同，须同时提供中标通知书和采购合同（包含但不限于第一页和双方盖章页）复印件盖章。每提供1份得</w:t>
            </w:r>
            <w:r>
              <w:rPr>
                <w:rFonts w:hint="eastAsia" w:ascii="楷体" w:hAnsi="楷体" w:eastAsia="楷体" w:cs="楷体"/>
                <w:kern w:val="0"/>
                <w:sz w:val="22"/>
                <w:szCs w:val="22"/>
                <w:lang w:val="en-US" w:eastAsia="zh-CN"/>
              </w:rPr>
              <w:t>0.5</w:t>
            </w:r>
            <w:r>
              <w:rPr>
                <w:rFonts w:hint="eastAsia" w:ascii="楷体" w:hAnsi="楷体" w:eastAsia="楷体" w:cs="楷体"/>
                <w:kern w:val="0"/>
                <w:sz w:val="22"/>
                <w:szCs w:val="22"/>
              </w:rPr>
              <w:t>分，满分</w:t>
            </w:r>
            <w:r>
              <w:rPr>
                <w:rFonts w:hint="eastAsia" w:ascii="楷体" w:hAnsi="楷体" w:eastAsia="楷体" w:cs="楷体"/>
                <w:kern w:val="0"/>
                <w:sz w:val="22"/>
                <w:szCs w:val="22"/>
                <w:lang w:val="en-US" w:eastAsia="zh-CN"/>
              </w:rPr>
              <w:t>2</w:t>
            </w:r>
            <w:r>
              <w:rPr>
                <w:rFonts w:hint="eastAsia" w:ascii="楷体" w:hAnsi="楷体" w:eastAsia="楷体" w:cs="楷体"/>
                <w:kern w:val="0"/>
                <w:sz w:val="22"/>
                <w:szCs w:val="22"/>
              </w:rPr>
              <w:t>分。</w:t>
            </w:r>
          </w:p>
        </w:tc>
      </w:tr>
    </w:tbl>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一、评标方法</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1.本项目采用</w:t>
      </w:r>
      <w:r>
        <w:rPr>
          <w:rFonts w:hint="eastAsia" w:ascii="仿宋" w:hAnsi="仿宋" w:eastAsia="仿宋" w:cs="仿宋"/>
          <w:b/>
          <w:bCs/>
          <w:sz w:val="24"/>
          <w:szCs w:val="24"/>
          <w:lang w:val="en-US" w:eastAsia="zh-CN"/>
        </w:rPr>
        <w:t>综合评分法</w:t>
      </w:r>
      <w:r>
        <w:rPr>
          <w:rFonts w:hint="eastAsia" w:ascii="仿宋" w:hAnsi="仿宋" w:eastAsia="仿宋" w:cs="仿宋"/>
          <w:b/>
          <w:bCs/>
          <w:sz w:val="24"/>
          <w:szCs w:val="24"/>
        </w:rPr>
        <w:t>。</w:t>
      </w:r>
      <w:r>
        <w:rPr>
          <w:rFonts w:hint="eastAsia" w:ascii="仿宋" w:hAnsi="仿宋" w:eastAsia="仿宋" w:cs="仿宋"/>
          <w:sz w:val="24"/>
          <w:szCs w:val="24"/>
        </w:rPr>
        <w:t>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二、评标标准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 评标标准：见评标办法前附表。</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三、评标程序</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3.1符合性审查。</w:t>
      </w:r>
      <w:r>
        <w:rPr>
          <w:rFonts w:hint="eastAsia" w:ascii="仿宋" w:hAnsi="仿宋" w:eastAsia="仿宋" w:cs="仿宋"/>
          <w:sz w:val="24"/>
          <w:szCs w:val="24"/>
        </w:rPr>
        <w:t>评标委员会应当对符合资格的投标人的投标文件进行符合性审查，以确定其是否满足招标文件的实质性要求。不满足招标文件的实质性要求的，投标无效。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3.2 比较与评价。</w:t>
      </w:r>
      <w:r>
        <w:rPr>
          <w:rFonts w:hint="eastAsia" w:ascii="仿宋" w:hAnsi="仿宋" w:eastAsia="仿宋" w:cs="仿宋"/>
          <w:sz w:val="24"/>
          <w:szCs w:val="24"/>
        </w:rPr>
        <w:t>评标委员会应当按照招标文件中规定的评标方法和标准，对符合性审查合格的投标文件进行商务和技术评估。</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3.3汇总商务技术得分。</w:t>
      </w:r>
      <w:r>
        <w:rPr>
          <w:rFonts w:hint="eastAsia" w:ascii="仿宋" w:hAnsi="仿宋" w:eastAsia="仿宋" w:cs="仿宋"/>
          <w:sz w:val="24"/>
          <w:szCs w:val="24"/>
        </w:rPr>
        <w:t>评标委员会各成员应当独立对每个投标人的商务和技术文件进行评价，并汇总商务技术得分情况。</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3.4报价评审。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3.4.1投标文件报价出现前后不一致的，按照下列规定修正：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3.4.1.1投标文件中开标一览表（报价表）内容与投标文件中相应内容不一致的，以开标一览表（报价表）为准;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3.4.1.2大写金额和小写金额不一致的，以大写金额为准;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3.4.1.3单价金额小数点或者百分比有明显错位的，以开标一览表（报价表）的总价为准，并修改单价;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3.4.1.4总价金额与按单价汇总金额不一致的，以单价金额计算结果为准。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3.4.1.5同时出现两种以上不一致的，按照3.4.1规定的顺序修正。修正后的报价按照财政部第87号令 《政府采购货物和服务招标投标管理办法》第五十一条第二款的规定经投标人确认后产生约束力。</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3.4.2投标文件出现不是唯一的、有选择性投标报价的，投标无效。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3.4.3投标报价超过招标文件中规定的预算金额或者最高限价的，投标无效。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sz w:val="24"/>
          <w:szCs w:val="24"/>
          <w:lang w:val="en-US" w:eastAsia="zh-CN"/>
        </w:rPr>
        <w:t>15</w:t>
      </w:r>
      <w:r>
        <w:rPr>
          <w:rFonts w:hint="eastAsia" w:ascii="仿宋" w:hAnsi="仿宋" w:eastAsia="仿宋" w:cs="仿宋"/>
          <w:sz w:val="24"/>
          <w:szCs w:val="24"/>
        </w:rPr>
        <w:t>%的扣除，用扣除后的价格参与评审。接受大中型企业与小微企业组成联合体或者允许大中型企业向一家或者多家小微企业分包的政府采购货物或服务项目的，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3.5排序与推荐。</w:t>
      </w:r>
      <w:r>
        <w:rPr>
          <w:rFonts w:hint="eastAsia" w:ascii="仿宋" w:hAnsi="仿宋" w:eastAsia="仿宋" w:cs="仿宋"/>
          <w:sz w:val="24"/>
          <w:szCs w:val="24"/>
        </w:rPr>
        <w:t>采用最低评标价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3.6编写评标报告。</w:t>
      </w:r>
      <w:r>
        <w:rPr>
          <w:rFonts w:hint="eastAsia" w:ascii="仿宋" w:hAnsi="仿宋" w:eastAsia="仿宋" w:cs="仿宋"/>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四、评标中的其他事项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4.1投标人澄清、说明或者补正。</w:t>
      </w:r>
      <w:r>
        <w:rPr>
          <w:rFonts w:hint="eastAsia" w:ascii="仿宋" w:hAnsi="仿宋" w:eastAsia="仿宋" w:cs="仿宋"/>
          <w:sz w:val="24"/>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4.2投标无效。有下列情况之一的，投标无效：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4.2.1投标人不具备招标文件中规定的资格要求的（投标人未提供有效的资格文件的，未按照招标文件要求提供与资格条件相应的有效资格证明材料的，均视为投标人不具备招标文件中规定的资格要求）；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4.2.2投标文件未按照招标文件要求签署、盖章的；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4.2.3采购人拟采购的产品属于政府强制采购的节能产品品目清单范围的，投标人相应的投标产品未获得国家确定的认证机构出具的、处于有效期之内的节能产品认证证书的；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4.2.4投标文件含有采购人不能接受的附加条件的（投标人未按开标一览表（报价表）格式填写的，采购内容未包含在《开标一览表（报价表）》名称栏中，投标人不能作出合理解释的，均视为投标文件含有采购人不能接受的附加条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4.2.5投标文件中承诺的投标有效期少于招标文件中载明的投标有效期的；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4.2.6在原定投标有效期满之前，如果出现特殊情况，采购代理机构以书面形式通知投标人延长投标有效期，投标人拒绝延长的；</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4.2.7投标文件出现不是唯一的、有选择性投标报价的;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4.2.8投标报价超过招标文件中规定的预算金额或者最高限价的;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4.2.9报价明显低于其他通过符合性审查投标人的报价，有可能影响产品质量或者不能诚信履约的，未能按要求提供书面说明或者提交相关证明材料，不能证明其报价合理性的;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4.2.10投标人对根据修正原则修正后的报价不确认的；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4.2.11投标人提供虚假材料投标的；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4.2.12投标人有恶意串通、妨碍其他投标人的竞争行为、损害采购人或者其他投标人的合法权益情形的；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4.2.13招标文件要求提供样品，投标人未提供样品或提供的样品不满足采购需求实质性条件的；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4.2.14投标文件不满足招标文件的其它实质性要求的；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4.2.15法律、法规、规章（适用本地区的）及省级以上规范性文件（适用本地区的）规定的其他无效情形。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废标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根据《中华人民共和国政府采购法》第三十六条之规定，在采购中，出现下列情形之一的，应予废标：</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5.1</w:t>
      </w:r>
      <w:r>
        <w:rPr>
          <w:rFonts w:hint="eastAsia" w:ascii="仿宋" w:hAnsi="仿宋" w:eastAsia="仿宋" w:cs="仿宋"/>
          <w:sz w:val="24"/>
          <w:szCs w:val="24"/>
        </w:rPr>
        <w:t>符合专业条件的供应商或者对招标文件作实质响应的供应商不足3家的；</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5.2</w:t>
      </w:r>
      <w:r>
        <w:rPr>
          <w:rFonts w:hint="eastAsia" w:ascii="仿宋" w:hAnsi="仿宋" w:eastAsia="仿宋" w:cs="仿宋"/>
          <w:sz w:val="24"/>
          <w:szCs w:val="24"/>
        </w:rPr>
        <w:t>出现影响采购公正的违法、违规行为的；</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5.3</w:t>
      </w:r>
      <w:r>
        <w:rPr>
          <w:rFonts w:hint="eastAsia" w:ascii="仿宋" w:hAnsi="仿宋" w:eastAsia="仿宋" w:cs="仿宋"/>
          <w:sz w:val="24"/>
          <w:szCs w:val="24"/>
        </w:rPr>
        <w:t>投标人的报价均超过了采购预算，采购人不能支付的；</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5.4</w:t>
      </w:r>
      <w:r>
        <w:rPr>
          <w:rFonts w:hint="eastAsia" w:ascii="仿宋" w:hAnsi="仿宋" w:eastAsia="仿宋" w:cs="仿宋"/>
          <w:sz w:val="24"/>
          <w:szCs w:val="24"/>
        </w:rPr>
        <w:t>因重大变故，采购任务取消的。</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废标后，采购代理机构应当将废标理由通知所有投标人。</w:t>
      </w:r>
    </w:p>
    <w:p>
      <w:pPr>
        <w:keepNext w:val="0"/>
        <w:keepLines w:val="0"/>
        <w:pageBreakBefore w:val="0"/>
        <w:widowControl w:val="0"/>
        <w:numPr>
          <w:ilvl w:val="0"/>
          <w:numId w:val="16"/>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修改招标文件，重新组织采购活动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keepNext w:val="0"/>
        <w:keepLines w:val="0"/>
        <w:pageBreakBefore w:val="0"/>
        <w:widowControl w:val="0"/>
        <w:numPr>
          <w:ilvl w:val="0"/>
          <w:numId w:val="16"/>
        </w:numPr>
        <w:kinsoku/>
        <w:wordWrap/>
        <w:overflowPunct/>
        <w:topLinePunct w:val="0"/>
        <w:autoSpaceDE/>
        <w:autoSpaceDN/>
        <w:bidi w:val="0"/>
        <w:adjustRightInd w:val="0"/>
        <w:snapToGrid/>
        <w:spacing w:line="360" w:lineRule="auto"/>
        <w:ind w:left="0" w:leftChars="0" w:firstLine="0" w:firstLineChars="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重新开展采购</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有政府采购法第七十一条、第七十二条规定的违法行为之一，影响或者可能影响中标结果的，依照下列规定处理：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7.1</w:t>
      </w:r>
      <w:r>
        <w:rPr>
          <w:rFonts w:hint="eastAsia" w:ascii="仿宋" w:hAnsi="仿宋" w:eastAsia="仿宋" w:cs="仿宋"/>
          <w:sz w:val="24"/>
          <w:szCs w:val="24"/>
        </w:rPr>
        <w:t>未确定中标供应商的，终止本次政府采购活动，重新开展政府采购活动。</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7.2</w:t>
      </w:r>
      <w:r>
        <w:rPr>
          <w:rFonts w:hint="eastAsia" w:ascii="仿宋" w:hAnsi="仿宋" w:eastAsia="仿宋" w:cs="仿宋"/>
          <w:sz w:val="24"/>
          <w:szCs w:val="24"/>
        </w:rPr>
        <w:t>已确定中标供应商但尚未签订政府采购合同的，中标结果无效，从合格的中标候选人中另行确定中标人；没有合格的中标候选人的，重新开展政府采购活动。</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7.3</w:t>
      </w:r>
      <w:r>
        <w:rPr>
          <w:rFonts w:hint="eastAsia" w:ascii="仿宋" w:hAnsi="仿宋" w:eastAsia="仿宋" w:cs="仿宋"/>
          <w:sz w:val="24"/>
          <w:szCs w:val="24"/>
        </w:rPr>
        <w:t>政府采购合同已签订但尚未履行的，撤销合同，从合格的中标候选人中另行确定中标人；没有合格的中标候选人的，重新开展政府采购活动。</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7.4</w:t>
      </w:r>
      <w:r>
        <w:rPr>
          <w:rFonts w:hint="eastAsia" w:ascii="仿宋" w:hAnsi="仿宋" w:eastAsia="仿宋" w:cs="仿宋"/>
          <w:sz w:val="24"/>
          <w:szCs w:val="24"/>
        </w:rPr>
        <w:t>政府采购合同已经履行，给采购人、供应商造成损失的，由责任人承担赔偿责任。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7.5</w:t>
      </w:r>
      <w:r>
        <w:rPr>
          <w:rFonts w:hint="eastAsia" w:ascii="仿宋" w:hAnsi="仿宋" w:eastAsia="仿宋" w:cs="仿宋"/>
          <w:sz w:val="24"/>
          <w:szCs w:val="24"/>
        </w:rPr>
        <w:t>政府采购当事人有其他违反政府采购法或者政府采购法实施条例等法律法规规定的行为，经改正后仍然影响或者可能影响中标结果或者依法被认定为中标无效的，依照7.1-7.4规定处理。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_GB2312" w:hAnsi="仿宋" w:eastAsia="仿宋_GB2312" w:cs="仿宋_GB2312"/>
          <w:b/>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_GB2312" w:hAnsi="仿宋" w:eastAsia="仿宋_GB2312" w:cs="仿宋_GB2312"/>
          <w:b/>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仿宋_GB2312" w:hAnsi="仿宋" w:eastAsia="仿宋_GB2312" w:cs="仿宋_GB2312"/>
          <w:b/>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sz w:val="24"/>
          <w:szCs w:val="24"/>
        </w:rPr>
      </w:pPr>
      <w:r>
        <w:rPr>
          <w:rFonts w:hint="eastAsia" w:ascii="仿宋_GB2312" w:hAnsi="仿宋" w:eastAsia="仿宋_GB2312" w:cs="仿宋_GB2312"/>
          <w:b/>
          <w:sz w:val="36"/>
          <w:szCs w:val="36"/>
          <w:highlight w:val="none"/>
        </w:rPr>
        <w:t>第五部分 拟签订的合同文本</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合同编号：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spacing w:line="480" w:lineRule="auto"/>
        <w:jc w:val="center"/>
        <w:rPr>
          <w:rFonts w:hint="eastAsia"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政府采购合同参考范本</w:t>
      </w:r>
    </w:p>
    <w:p>
      <w:pPr>
        <w:spacing w:line="480" w:lineRule="auto"/>
        <w:jc w:val="center"/>
        <w:rPr>
          <w:rFonts w:hint="eastAsia"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（货物类）</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第一部分 合同书</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项目名称：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乙方：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签订地：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签订日期：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7"/>
        <w:rPr>
          <w:rFonts w:hint="eastAsia" w:ascii="仿宋" w:hAnsi="仿宋" w:eastAsia="仿宋" w:cs="仿宋"/>
          <w:sz w:val="24"/>
          <w:szCs w:val="24"/>
        </w:rPr>
      </w:pPr>
    </w:p>
    <w:p>
      <w:pPr>
        <w:pStyle w:val="28"/>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spacing w:line="560" w:lineRule="exact"/>
        <w:ind w:firstLine="480" w:firstLineChars="200"/>
        <w:rPr>
          <w:rFonts w:ascii="仿宋" w:hAnsi="仿宋" w:eastAsia="仿宋"/>
          <w:sz w:val="24"/>
          <w:highlight w:val="none"/>
        </w:rPr>
      </w:pPr>
      <w:r>
        <w:rPr>
          <w:rFonts w:ascii="仿宋" w:hAnsi="仿宋" w:eastAsia="仿宋"/>
          <w:sz w:val="24"/>
          <w:highlight w:val="none"/>
          <w:u w:val="single"/>
          <w:lang w:val="zh-CN"/>
        </w:rPr>
        <w:t xml:space="preserve">        </w:t>
      </w:r>
      <w:r>
        <w:rPr>
          <w:rFonts w:hint="eastAsia" w:ascii="仿宋" w:hAnsi="仿宋" w:eastAsia="仿宋"/>
          <w:sz w:val="24"/>
          <w:highlight w:val="none"/>
          <w:lang w:val="zh-CN"/>
        </w:rPr>
        <w:t>年</w:t>
      </w:r>
      <w:r>
        <w:rPr>
          <w:rFonts w:ascii="仿宋" w:hAnsi="仿宋" w:eastAsia="仿宋"/>
          <w:sz w:val="24"/>
          <w:highlight w:val="none"/>
          <w:u w:val="single"/>
          <w:lang w:val="zh-CN"/>
        </w:rPr>
        <w:t xml:space="preserve">    </w:t>
      </w:r>
      <w:r>
        <w:rPr>
          <w:rFonts w:hint="eastAsia" w:ascii="仿宋" w:hAnsi="仿宋" w:eastAsia="仿宋"/>
          <w:sz w:val="24"/>
          <w:highlight w:val="none"/>
          <w:lang w:val="zh-CN"/>
        </w:rPr>
        <w:t>月</w:t>
      </w:r>
      <w:r>
        <w:rPr>
          <w:rFonts w:ascii="仿宋" w:hAnsi="仿宋" w:eastAsia="仿宋"/>
          <w:sz w:val="24"/>
          <w:highlight w:val="none"/>
          <w:u w:val="single"/>
          <w:lang w:val="zh-CN"/>
        </w:rPr>
        <w:t xml:space="preserve">    </w:t>
      </w:r>
      <w:r>
        <w:rPr>
          <w:rFonts w:hint="eastAsia" w:ascii="仿宋" w:hAnsi="仿宋" w:eastAsia="仿宋"/>
          <w:sz w:val="24"/>
          <w:highlight w:val="none"/>
          <w:lang w:val="zh-CN"/>
        </w:rPr>
        <w:t>日</w:t>
      </w:r>
      <w:r>
        <w:rPr>
          <w:rFonts w:hint="eastAsia" w:ascii="仿宋" w:hAnsi="仿宋" w:eastAsia="仿宋"/>
          <w:sz w:val="24"/>
          <w:highlight w:val="none"/>
        </w:rPr>
        <w:t>，</w:t>
      </w:r>
      <w:r>
        <w:rPr>
          <w:rFonts w:ascii="仿宋" w:hAnsi="仿宋" w:eastAsia="仿宋"/>
          <w:sz w:val="24"/>
          <w:highlight w:val="none"/>
          <w:u w:val="single"/>
        </w:rPr>
        <w:t xml:space="preserve">   </w:t>
      </w:r>
      <w:r>
        <w:rPr>
          <w:rFonts w:hint="eastAsia" w:ascii="仿宋" w:hAnsi="仿宋" w:eastAsia="仿宋"/>
          <w:sz w:val="24"/>
          <w:highlight w:val="none"/>
          <w:u w:val="single"/>
          <w:lang w:val="en-US" w:eastAsia="zh-CN"/>
        </w:rPr>
        <w:t>富蕴县</w:t>
      </w:r>
      <w:r>
        <w:rPr>
          <w:rFonts w:hint="eastAsia" w:ascii="仿宋" w:hAnsi="仿宋" w:eastAsia="仿宋"/>
          <w:sz w:val="24"/>
          <w:highlight w:val="none"/>
          <w:u w:val="single"/>
          <w:lang w:eastAsia="zh-CN"/>
        </w:rPr>
        <w:t>教育局</w:t>
      </w:r>
      <w:r>
        <w:rPr>
          <w:rFonts w:ascii="仿宋" w:hAnsi="仿宋" w:eastAsia="仿宋"/>
          <w:sz w:val="24"/>
          <w:highlight w:val="none"/>
          <w:u w:val="single"/>
        </w:rPr>
        <w:t xml:space="preserve">   </w:t>
      </w:r>
      <w:r>
        <w:rPr>
          <w:rFonts w:hint="eastAsia" w:ascii="仿宋" w:hAnsi="仿宋" w:eastAsia="仿宋"/>
          <w:sz w:val="24"/>
          <w:highlight w:val="none"/>
        </w:rPr>
        <w:t>以</w:t>
      </w:r>
      <w:r>
        <w:rPr>
          <w:rFonts w:ascii="仿宋" w:hAnsi="仿宋" w:eastAsia="仿宋"/>
          <w:sz w:val="24"/>
          <w:highlight w:val="none"/>
          <w:u w:val="single"/>
        </w:rPr>
        <w:t xml:space="preserve">   </w:t>
      </w:r>
      <w:r>
        <w:rPr>
          <w:rFonts w:hint="eastAsia" w:ascii="仿宋" w:hAnsi="仿宋" w:eastAsia="仿宋"/>
          <w:sz w:val="24"/>
          <w:highlight w:val="none"/>
          <w:u w:val="single"/>
          <w:lang w:eastAsia="zh-CN"/>
        </w:rPr>
        <w:t>公开招标</w:t>
      </w:r>
      <w:r>
        <w:rPr>
          <w:rFonts w:ascii="仿宋" w:hAnsi="仿宋" w:eastAsia="仿宋"/>
          <w:sz w:val="24"/>
          <w:highlight w:val="none"/>
          <w:u w:val="single"/>
        </w:rPr>
        <w:t xml:space="preserve">  </w:t>
      </w:r>
      <w:r>
        <w:rPr>
          <w:rFonts w:hint="eastAsia" w:ascii="仿宋" w:hAnsi="仿宋" w:eastAsia="仿宋"/>
          <w:sz w:val="24"/>
          <w:highlight w:val="none"/>
          <w:u w:val="none"/>
          <w:lang w:val="en-US" w:eastAsia="zh-CN"/>
        </w:rPr>
        <w:t>的方式</w:t>
      </w:r>
      <w:r>
        <w:rPr>
          <w:rFonts w:hint="eastAsia" w:ascii="仿宋" w:hAnsi="仿宋" w:eastAsia="仿宋"/>
          <w:sz w:val="24"/>
          <w:highlight w:val="none"/>
        </w:rPr>
        <w:t>对</w:t>
      </w:r>
      <w:r>
        <w:rPr>
          <w:rFonts w:ascii="仿宋" w:hAnsi="仿宋" w:eastAsia="仿宋"/>
          <w:sz w:val="24"/>
          <w:highlight w:val="none"/>
          <w:u w:val="single"/>
        </w:rPr>
        <w:t xml:space="preserve">   </w:t>
      </w:r>
      <w:r>
        <w:rPr>
          <w:rFonts w:hint="eastAsia" w:ascii="仿宋" w:hAnsi="仿宋" w:eastAsia="仿宋"/>
          <w:sz w:val="24"/>
          <w:highlight w:val="none"/>
          <w:u w:val="single"/>
          <w:lang w:val="en" w:eastAsia="zh-CN"/>
        </w:rPr>
        <w:t>2023年义务教育薄弱环节改善与能力提升项目中央资金（第二批）建设项目</w:t>
      </w:r>
      <w:r>
        <w:rPr>
          <w:rFonts w:hint="eastAsia" w:ascii="仿宋" w:hAnsi="仿宋" w:eastAsia="仿宋"/>
          <w:sz w:val="24"/>
          <w:highlight w:val="none"/>
          <w:u w:val="single"/>
          <w:lang w:eastAsia="zh-CN"/>
        </w:rPr>
        <w:t>（</w:t>
      </w:r>
      <w:r>
        <w:rPr>
          <w:rFonts w:hint="eastAsia" w:ascii="仿宋" w:hAnsi="仿宋" w:eastAsia="仿宋"/>
          <w:sz w:val="24"/>
          <w:highlight w:val="none"/>
          <w:u w:val="single"/>
          <w:lang w:val="en-US" w:eastAsia="zh-CN"/>
        </w:rPr>
        <w:t>项目</w:t>
      </w:r>
      <w:r>
        <w:rPr>
          <w:rFonts w:hint="eastAsia" w:ascii="仿宋" w:hAnsi="仿宋" w:eastAsia="仿宋"/>
          <w:sz w:val="24"/>
          <w:highlight w:val="none"/>
          <w:u w:val="single"/>
          <w:lang w:eastAsia="zh-CN"/>
        </w:rPr>
        <w:t>编号：</w:t>
      </w:r>
      <w:r>
        <w:rPr>
          <w:rFonts w:hint="eastAsia" w:ascii="仿宋" w:hAnsi="仿宋" w:eastAsia="仿宋" w:cs="仿宋"/>
          <w:color w:val="auto"/>
          <w:sz w:val="24"/>
          <w:highlight w:val="none"/>
          <w:lang w:val="en-US" w:eastAsia="zh-CN"/>
        </w:rPr>
        <w:t>FYXCGZX-JC2023-016</w:t>
      </w:r>
      <w:r>
        <w:rPr>
          <w:rFonts w:hint="eastAsia" w:ascii="仿宋" w:hAnsi="仿宋" w:eastAsia="仿宋"/>
          <w:sz w:val="24"/>
          <w:highlight w:val="none"/>
          <w:u w:val="single"/>
        </w:rPr>
        <w:t>）</w:t>
      </w:r>
      <w:r>
        <w:rPr>
          <w:rFonts w:ascii="仿宋" w:hAnsi="仿宋" w:eastAsia="仿宋"/>
          <w:sz w:val="24"/>
          <w:highlight w:val="none"/>
          <w:u w:val="single"/>
        </w:rPr>
        <w:t xml:space="preserve">   </w:t>
      </w:r>
      <w:r>
        <w:rPr>
          <w:rFonts w:hint="eastAsia" w:ascii="仿宋" w:hAnsi="仿宋" w:eastAsia="仿宋"/>
          <w:sz w:val="24"/>
          <w:highlight w:val="none"/>
        </w:rPr>
        <w:t>项目进行了采购。经</w:t>
      </w:r>
      <w:r>
        <w:rPr>
          <w:rFonts w:ascii="仿宋" w:hAnsi="仿宋" w:eastAsia="仿宋"/>
          <w:sz w:val="24"/>
          <w:highlight w:val="none"/>
          <w:u w:val="single"/>
        </w:rPr>
        <w:t xml:space="preserve">   （相关评定主体名称）   </w:t>
      </w:r>
      <w:r>
        <w:rPr>
          <w:rFonts w:hint="eastAsia" w:ascii="仿宋" w:hAnsi="仿宋" w:eastAsia="仿宋"/>
          <w:sz w:val="24"/>
          <w:highlight w:val="none"/>
        </w:rPr>
        <w:t>评定，</w:t>
      </w:r>
      <w:r>
        <w:rPr>
          <w:rFonts w:ascii="仿宋" w:hAnsi="仿宋" w:eastAsia="仿宋"/>
          <w:sz w:val="24"/>
          <w:highlight w:val="none"/>
          <w:u w:val="single"/>
        </w:rPr>
        <w:t xml:space="preserve">   （中标供应商名称）</w:t>
      </w:r>
      <w:r>
        <w:rPr>
          <w:rFonts w:hint="eastAsia" w:ascii="仿宋" w:hAnsi="仿宋" w:eastAsia="仿宋"/>
          <w:sz w:val="24"/>
          <w:highlight w:val="none"/>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lang w:val="zh-CN"/>
        </w:rPr>
        <w:t>根据《中华人民共和国民法典》、《中华人民共和国政府采购法》等相关法律法规之规定，按照平等、自愿、公平、诚实信用和绿色的原则，经</w:t>
      </w:r>
      <w:r>
        <w:rPr>
          <w:rFonts w:ascii="仿宋" w:hAnsi="仿宋" w:eastAsia="仿宋"/>
          <w:sz w:val="24"/>
          <w:highlight w:val="none"/>
          <w:u w:val="single"/>
        </w:rPr>
        <w:t xml:space="preserve">   </w:t>
      </w:r>
      <w:r>
        <w:rPr>
          <w:rFonts w:hint="eastAsia" w:ascii="仿宋" w:hAnsi="仿宋" w:eastAsia="仿宋"/>
          <w:sz w:val="24"/>
          <w:highlight w:val="none"/>
          <w:u w:val="single"/>
          <w:lang w:val="en-US" w:eastAsia="zh-CN"/>
        </w:rPr>
        <w:t>富蕴县</w:t>
      </w:r>
      <w:r>
        <w:rPr>
          <w:rFonts w:hint="eastAsia" w:ascii="仿宋" w:hAnsi="仿宋" w:eastAsia="仿宋"/>
          <w:sz w:val="24"/>
          <w:highlight w:val="none"/>
          <w:u w:val="single"/>
          <w:lang w:eastAsia="zh-CN"/>
        </w:rPr>
        <w:t>教育局</w:t>
      </w:r>
      <w:r>
        <w:rPr>
          <w:rFonts w:ascii="仿宋" w:hAnsi="仿宋" w:eastAsia="仿宋"/>
          <w:sz w:val="24"/>
          <w:highlight w:val="none"/>
          <w:u w:val="single"/>
        </w:rPr>
        <w:t xml:space="preserve">   </w:t>
      </w:r>
      <w:r>
        <w:rPr>
          <w:rFonts w:ascii="仿宋" w:hAnsi="仿宋" w:eastAsia="仿宋"/>
          <w:sz w:val="24"/>
          <w:highlight w:val="none"/>
          <w:lang w:val="zh-CN"/>
        </w:rPr>
        <w:t>(以下简称：甲方)和</w:t>
      </w:r>
      <w:r>
        <w:rPr>
          <w:rFonts w:ascii="仿宋" w:hAnsi="仿宋" w:eastAsia="仿宋"/>
          <w:sz w:val="24"/>
          <w:highlight w:val="none"/>
          <w:u w:val="single"/>
        </w:rPr>
        <w:t xml:space="preserve">   （中标供应商名称）   </w:t>
      </w:r>
      <w:r>
        <w:rPr>
          <w:rFonts w:ascii="仿宋" w:hAnsi="仿宋" w:eastAsia="仿宋"/>
          <w:sz w:val="24"/>
          <w:highlight w:val="none"/>
          <w:lang w:val="zh-CN"/>
        </w:rPr>
        <w:t>(以下简称：乙方)协商一致，约定以下合同</w:t>
      </w:r>
      <w:r>
        <w:rPr>
          <w:rFonts w:hint="eastAsia" w:ascii="仿宋" w:hAnsi="仿宋" w:eastAsia="仿宋"/>
          <w:sz w:val="24"/>
          <w:highlight w:val="none"/>
        </w:rPr>
        <w:t>条款，以兹共同遵守、全面履行。</w:t>
      </w:r>
    </w:p>
    <w:p>
      <w:pPr>
        <w:spacing w:line="560" w:lineRule="exact"/>
        <w:ind w:firstLine="482" w:firstLineChars="200"/>
        <w:outlineLvl w:val="0"/>
        <w:rPr>
          <w:rFonts w:ascii="仿宋" w:hAnsi="仿宋" w:eastAsia="仿宋"/>
          <w:b/>
          <w:sz w:val="24"/>
          <w:highlight w:val="none"/>
        </w:rPr>
      </w:pPr>
      <w:bookmarkStart w:id="384" w:name="_Toc24059"/>
      <w:bookmarkStart w:id="385" w:name="_Toc3029"/>
      <w:bookmarkStart w:id="386" w:name="_Toc2232"/>
      <w:r>
        <w:rPr>
          <w:rFonts w:ascii="仿宋" w:hAnsi="仿宋" w:eastAsia="仿宋"/>
          <w:b/>
          <w:sz w:val="24"/>
          <w:highlight w:val="none"/>
        </w:rPr>
        <w:t xml:space="preserve">1.1 </w:t>
      </w:r>
      <w:r>
        <w:rPr>
          <w:rFonts w:hint="eastAsia" w:ascii="仿宋" w:hAnsi="仿宋" w:eastAsia="仿宋"/>
          <w:b/>
          <w:sz w:val="24"/>
          <w:highlight w:val="none"/>
        </w:rPr>
        <w:t>合同组成部分</w:t>
      </w:r>
      <w:bookmarkEnd w:id="384"/>
      <w:bookmarkEnd w:id="385"/>
      <w:bookmarkEnd w:id="386"/>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1.1.1 </w:t>
      </w:r>
      <w:r>
        <w:rPr>
          <w:rFonts w:hint="eastAsia" w:ascii="仿宋" w:hAnsi="仿宋" w:eastAsia="仿宋"/>
          <w:sz w:val="24"/>
          <w:highlight w:val="none"/>
        </w:rPr>
        <w:t>本合同及其补充合同、变更协议；</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1.1.2 </w:t>
      </w:r>
      <w:r>
        <w:rPr>
          <w:rFonts w:hint="eastAsia" w:ascii="仿宋" w:hAnsi="仿宋" w:eastAsia="仿宋"/>
          <w:sz w:val="24"/>
          <w:highlight w:val="none"/>
        </w:rPr>
        <w:t>中标通知书；</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1.1.3 </w:t>
      </w:r>
      <w:r>
        <w:rPr>
          <w:rFonts w:hint="eastAsia" w:ascii="仿宋" w:hAnsi="仿宋" w:eastAsia="仿宋"/>
          <w:sz w:val="24"/>
          <w:highlight w:val="none"/>
        </w:rPr>
        <w:t>投标文件（含澄清或者说明文件）；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1.1.4 </w:t>
      </w:r>
      <w:r>
        <w:rPr>
          <w:rFonts w:hint="eastAsia" w:ascii="仿宋" w:hAnsi="仿宋" w:eastAsia="仿宋"/>
          <w:sz w:val="24"/>
          <w:highlight w:val="none"/>
        </w:rPr>
        <w:t>招标文件（含澄清或者修改文件）；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1.1.5 </w:t>
      </w:r>
      <w:r>
        <w:rPr>
          <w:rFonts w:hint="eastAsia" w:ascii="仿宋" w:hAnsi="仿宋" w:eastAsia="仿宋"/>
          <w:sz w:val="24"/>
          <w:highlight w:val="none"/>
        </w:rPr>
        <w:t>其他相关采购文件。</w:t>
      </w:r>
    </w:p>
    <w:p>
      <w:pPr>
        <w:spacing w:line="560" w:lineRule="exact"/>
        <w:ind w:firstLine="482" w:firstLineChars="200"/>
        <w:outlineLvl w:val="0"/>
        <w:rPr>
          <w:rFonts w:ascii="仿宋" w:hAnsi="仿宋" w:eastAsia="仿宋"/>
          <w:b/>
          <w:sz w:val="24"/>
          <w:highlight w:val="none"/>
        </w:rPr>
      </w:pPr>
      <w:bookmarkStart w:id="387" w:name="_Toc24300"/>
      <w:bookmarkStart w:id="388" w:name="_Toc27126"/>
      <w:bookmarkStart w:id="389" w:name="_Toc21295"/>
      <w:r>
        <w:rPr>
          <w:rFonts w:ascii="仿宋" w:hAnsi="仿宋" w:eastAsia="仿宋"/>
          <w:b/>
          <w:sz w:val="24"/>
          <w:highlight w:val="none"/>
        </w:rPr>
        <w:t xml:space="preserve">1.2 </w:t>
      </w:r>
      <w:r>
        <w:rPr>
          <w:rFonts w:hint="eastAsia" w:ascii="仿宋" w:hAnsi="仿宋" w:eastAsia="仿宋"/>
          <w:b/>
          <w:sz w:val="24"/>
          <w:highlight w:val="none"/>
        </w:rPr>
        <w:t>货物</w:t>
      </w:r>
      <w:bookmarkEnd w:id="387"/>
      <w:bookmarkEnd w:id="388"/>
      <w:bookmarkEnd w:id="389"/>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1.2.1 </w:t>
      </w:r>
      <w:r>
        <w:rPr>
          <w:rFonts w:hint="eastAsia" w:ascii="仿宋" w:hAnsi="仿宋" w:eastAsia="仿宋"/>
          <w:sz w:val="24"/>
          <w:highlight w:val="none"/>
        </w:rPr>
        <w:t>货物名称、品牌、规格型号、花色：</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1.2.2 </w:t>
      </w:r>
      <w:r>
        <w:rPr>
          <w:rFonts w:hint="eastAsia" w:ascii="仿宋" w:hAnsi="仿宋" w:eastAsia="仿宋"/>
          <w:sz w:val="24"/>
          <w:highlight w:val="none"/>
        </w:rPr>
        <w:t>货物数量：</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1.2.3 </w:t>
      </w:r>
      <w:r>
        <w:rPr>
          <w:rFonts w:hint="eastAsia" w:ascii="仿宋" w:hAnsi="仿宋" w:eastAsia="仿宋"/>
          <w:sz w:val="24"/>
          <w:highlight w:val="none"/>
        </w:rPr>
        <w:t>货物质量：</w:t>
      </w:r>
      <w:r>
        <w:rPr>
          <w:rFonts w:hint="eastAsia" w:ascii="仿宋" w:hAnsi="仿宋" w:eastAsia="仿宋"/>
          <w:sz w:val="24"/>
          <w:highlight w:val="none"/>
          <w:u w:val="single"/>
        </w:rPr>
        <w:t>　　　　　　　　　</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390" w:name="_Toc21631"/>
      <w:bookmarkStart w:id="391" w:name="_Toc21551"/>
      <w:bookmarkStart w:id="392" w:name="_Toc23292"/>
      <w:r>
        <w:rPr>
          <w:rFonts w:ascii="仿宋" w:hAnsi="仿宋" w:eastAsia="仿宋"/>
          <w:b/>
          <w:sz w:val="24"/>
          <w:highlight w:val="none"/>
        </w:rPr>
        <w:t xml:space="preserve">1.3 </w:t>
      </w:r>
      <w:r>
        <w:rPr>
          <w:rFonts w:hint="eastAsia" w:ascii="仿宋" w:hAnsi="仿宋" w:eastAsia="仿宋"/>
          <w:b/>
          <w:sz w:val="24"/>
          <w:highlight w:val="none"/>
        </w:rPr>
        <w:t>价款</w:t>
      </w:r>
      <w:bookmarkEnd w:id="390"/>
      <w:bookmarkEnd w:id="391"/>
      <w:bookmarkEnd w:id="392"/>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本合同总价（含税）为：￥</w:t>
      </w:r>
      <w:r>
        <w:rPr>
          <w:rFonts w:ascii="仿宋" w:hAnsi="仿宋" w:eastAsia="仿宋"/>
          <w:sz w:val="24"/>
          <w:highlight w:val="none"/>
          <w:u w:val="single"/>
        </w:rPr>
        <w:t xml:space="preserve">           </w:t>
      </w:r>
      <w:r>
        <w:rPr>
          <w:rFonts w:hint="eastAsia" w:ascii="仿宋" w:hAnsi="仿宋" w:eastAsia="仿宋"/>
          <w:sz w:val="24"/>
          <w:highlight w:val="none"/>
        </w:rPr>
        <w:t>元（大写：</w:t>
      </w:r>
      <w:r>
        <w:rPr>
          <w:rFonts w:ascii="仿宋" w:hAnsi="仿宋" w:eastAsia="仿宋"/>
          <w:sz w:val="24"/>
          <w:highlight w:val="none"/>
          <w:u w:val="single"/>
        </w:rPr>
        <w:t xml:space="preserve">                 </w:t>
      </w:r>
      <w:r>
        <w:rPr>
          <w:rFonts w:hint="eastAsia" w:ascii="仿宋" w:hAnsi="仿宋" w:eastAsia="仿宋"/>
          <w:sz w:val="24"/>
          <w:highlight w:val="none"/>
        </w:rPr>
        <w:t>元人民币）。</w:t>
      </w:r>
    </w:p>
    <w:p>
      <w:pPr>
        <w:spacing w:line="560" w:lineRule="exact"/>
        <w:ind w:firstLine="480" w:firstLineChars="200"/>
        <w:rPr>
          <w:rFonts w:hint="eastAsia" w:ascii="仿宋" w:hAnsi="仿宋" w:eastAsia="仿宋"/>
          <w:sz w:val="24"/>
          <w:highlight w:val="none"/>
        </w:rPr>
      </w:pPr>
      <w:r>
        <w:rPr>
          <w:rFonts w:hint="eastAsia" w:ascii="仿宋" w:hAnsi="仿宋" w:eastAsia="仿宋"/>
          <w:sz w:val="24"/>
          <w:highlight w:val="none"/>
        </w:rPr>
        <w:t>分项价格：</w:t>
      </w:r>
    </w:p>
    <w:tbl>
      <w:tblPr>
        <w:tblStyle w:val="21"/>
        <w:tblW w:w="7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4"/>
              <w:spacing w:line="560" w:lineRule="exact"/>
              <w:ind w:firstLine="200"/>
              <w:jc w:val="center"/>
              <w:rPr>
                <w:rFonts w:ascii="仿宋" w:hAnsi="仿宋" w:eastAsia="仿宋"/>
                <w:sz w:val="24"/>
                <w:szCs w:val="24"/>
                <w:highlight w:val="none"/>
              </w:rPr>
            </w:pPr>
          </w:p>
        </w:tc>
      </w:tr>
    </w:tbl>
    <w:p>
      <w:pPr>
        <w:pStyle w:val="35"/>
        <w:spacing w:before="0" w:beforeAutospacing="0" w:after="0" w:afterAutospacing="0" w:line="360" w:lineRule="auto"/>
        <w:ind w:firstLine="480"/>
        <w:rPr>
          <w:rFonts w:hint="eastAsia" w:ascii="仿宋" w:hAnsi="仿宋" w:eastAsia="仿宋" w:cs="仿宋"/>
          <w:b/>
          <w:highlight w:val="none"/>
        </w:rPr>
      </w:pPr>
    </w:p>
    <w:p>
      <w:pPr>
        <w:pStyle w:val="35"/>
        <w:spacing w:before="0" w:beforeAutospacing="0" w:after="0" w:afterAutospacing="0" w:line="360" w:lineRule="auto"/>
        <w:ind w:firstLine="480"/>
        <w:rPr>
          <w:rFonts w:ascii="仿宋" w:hAnsi="仿宋" w:eastAsia="仿宋" w:cs="仿宋"/>
          <w:b/>
          <w:highlight w:val="none"/>
        </w:rPr>
      </w:pPr>
      <w:r>
        <w:rPr>
          <w:rFonts w:hint="eastAsia" w:ascii="仿宋" w:hAnsi="仿宋" w:eastAsia="仿宋" w:cs="仿宋"/>
          <w:b/>
          <w:highlight w:val="none"/>
        </w:rPr>
        <w:t>1.4履约保证金</w:t>
      </w:r>
    </w:p>
    <w:p>
      <w:pPr>
        <w:pStyle w:val="35"/>
        <w:spacing w:before="0" w:beforeAutospacing="0" w:after="0" w:afterAutospacing="0" w:line="360" w:lineRule="auto"/>
        <w:ind w:firstLine="480"/>
        <w:rPr>
          <w:rFonts w:ascii="仿宋" w:hAnsi="仿宋" w:eastAsia="仿宋" w:cs="仿宋"/>
          <w:highlight w:val="none"/>
        </w:rPr>
      </w:pPr>
      <w:r>
        <w:rPr>
          <w:rFonts w:hint="eastAsia" w:ascii="仿宋" w:hAnsi="仿宋" w:eastAsia="仿宋" w:cs="仿宋"/>
          <w:highlight w:val="none"/>
        </w:rPr>
        <w:t>乙方</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是</w:t>
      </w:r>
      <w:r>
        <w:rPr>
          <w:rFonts w:hint="eastAsia" w:ascii="仿宋" w:hAnsi="仿宋" w:eastAsia="仿宋" w:cs="仿宋"/>
          <w:highlight w:val="none"/>
          <w:u w:val="single"/>
        </w:rPr>
        <w:t xml:space="preserve">  </w:t>
      </w:r>
      <w:r>
        <w:rPr>
          <w:rFonts w:hint="eastAsia" w:ascii="仿宋" w:hAnsi="仿宋" w:eastAsia="仿宋" w:cs="仿宋"/>
          <w:highlight w:val="none"/>
        </w:rPr>
        <w:t>（是/否）需要支付履约保证金。若需要支付履约保证金的，则：</w:t>
      </w:r>
    </w:p>
    <w:p>
      <w:pPr>
        <w:spacing w:line="360" w:lineRule="auto"/>
        <w:ind w:firstLine="480" w:firstLineChars="200"/>
        <w:outlineLvl w:val="0"/>
        <w:rPr>
          <w:rFonts w:ascii="仿宋" w:hAnsi="仿宋" w:eastAsia="仿宋" w:cs="仿宋"/>
          <w:kern w:val="0"/>
          <w:sz w:val="24"/>
          <w:highlight w:val="none"/>
        </w:rPr>
      </w:pPr>
      <w:r>
        <w:rPr>
          <w:rFonts w:hint="eastAsia" w:ascii="仿宋" w:hAnsi="仿宋" w:eastAsia="仿宋" w:cs="仿宋"/>
          <w:kern w:val="0"/>
          <w:sz w:val="24"/>
          <w:highlight w:val="none"/>
        </w:rPr>
        <w:t>1.4.1履约保证金的比例为合同金额的</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w:t>
      </w:r>
    </w:p>
    <w:p>
      <w:pPr>
        <w:spacing w:line="360" w:lineRule="auto"/>
        <w:ind w:firstLine="480" w:firstLineChars="200"/>
        <w:outlineLvl w:val="0"/>
        <w:rPr>
          <w:rFonts w:ascii="仿宋" w:hAnsi="仿宋" w:eastAsia="仿宋" w:cs="仿宋"/>
          <w:kern w:val="0"/>
          <w:sz w:val="24"/>
          <w:highlight w:val="none"/>
        </w:rPr>
      </w:pPr>
      <w:r>
        <w:rPr>
          <w:rFonts w:hint="eastAsia" w:ascii="仿宋" w:hAnsi="仿宋" w:eastAsia="仿宋" w:cs="仿宋"/>
          <w:kern w:val="0"/>
          <w:sz w:val="24"/>
          <w:highlight w:val="none"/>
        </w:rPr>
        <w:t>1.4.2履约保证金支付方式详见</w:t>
      </w:r>
      <w:r>
        <w:rPr>
          <w:rFonts w:hint="eastAsia" w:ascii="仿宋" w:hAnsi="仿宋" w:eastAsia="仿宋" w:cs="仿宋"/>
          <w:kern w:val="0"/>
          <w:sz w:val="24"/>
          <w:highlight w:val="none"/>
          <w:u w:val="single"/>
        </w:rPr>
        <w:t xml:space="preserve">    </w:t>
      </w:r>
      <w:r>
        <w:rPr>
          <w:rFonts w:hint="eastAsia" w:ascii="仿宋" w:hAnsi="仿宋" w:eastAsia="仿宋" w:cs="仿宋"/>
          <w:b/>
          <w:i/>
          <w:sz w:val="24"/>
          <w:highlight w:val="none"/>
          <w:u w:val="single"/>
        </w:rPr>
        <w:t>合同专用条款</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w:t>
      </w:r>
    </w:p>
    <w:p>
      <w:pPr>
        <w:pStyle w:val="2"/>
        <w:tabs>
          <w:tab w:val="left" w:pos="0"/>
          <w:tab w:val="clear" w:pos="432"/>
        </w:tabs>
        <w:ind w:left="0" w:firstLine="480" w:firstLineChars="200"/>
        <w:rPr>
          <w:rFonts w:ascii="仿宋" w:eastAsia="仿宋" w:cs="仿宋"/>
          <w:sz w:val="24"/>
          <w:szCs w:val="24"/>
          <w:highlight w:val="none"/>
          <w:lang w:val="en-US"/>
        </w:rPr>
      </w:pPr>
      <w:r>
        <w:rPr>
          <w:rFonts w:hint="eastAsia" w:ascii="仿宋" w:eastAsia="仿宋" w:cs="仿宋"/>
          <w:b w:val="0"/>
          <w:bCs w:val="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仿宋" w:hAnsi="仿宋" w:eastAsia="仿宋" w:cs="仿宋"/>
          <w:sz w:val="24"/>
          <w:highlight w:val="none"/>
        </w:rPr>
      </w:pPr>
      <w:r>
        <w:rPr>
          <w:rFonts w:hint="eastAsia" w:ascii="仿宋" w:hAnsi="仿宋" w:eastAsia="仿宋" w:cs="仿宋"/>
          <w:kern w:val="0"/>
          <w:sz w:val="24"/>
          <w:highlight w:val="none"/>
        </w:rPr>
        <w:t>1.4.4 甲方在项目验收结束后及时退还履约保证金。甲方在项目通过验收之日起</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%计算，最高限额为本合同履约保证金的</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 xml:space="preserve"> %。</w:t>
      </w:r>
    </w:p>
    <w:p>
      <w:pPr>
        <w:spacing w:line="360" w:lineRule="auto"/>
        <w:ind w:firstLine="482" w:firstLineChars="200"/>
        <w:outlineLvl w:val="0"/>
        <w:rPr>
          <w:rFonts w:ascii="仿宋" w:hAnsi="仿宋" w:eastAsia="仿宋" w:cs="仿宋"/>
          <w:b/>
          <w:sz w:val="24"/>
          <w:highlight w:val="none"/>
        </w:rPr>
      </w:pPr>
      <w:r>
        <w:rPr>
          <w:rFonts w:hint="eastAsia" w:ascii="仿宋" w:hAnsi="仿宋" w:eastAsia="仿宋" w:cs="仿宋"/>
          <w:b/>
          <w:sz w:val="24"/>
          <w:highlight w:val="none"/>
        </w:rPr>
        <w:t>1.5预付款</w:t>
      </w:r>
    </w:p>
    <w:p>
      <w:pPr>
        <w:pStyle w:val="35"/>
        <w:spacing w:before="0" w:beforeAutospacing="0" w:after="0" w:afterAutospacing="0" w:line="360" w:lineRule="auto"/>
        <w:ind w:firstLine="480"/>
        <w:rPr>
          <w:rFonts w:ascii="仿宋" w:hAnsi="仿宋" w:eastAsia="仿宋" w:cs="仿宋"/>
          <w:highlight w:val="none"/>
        </w:rPr>
      </w:pPr>
      <w:r>
        <w:rPr>
          <w:rFonts w:hint="eastAsia" w:ascii="仿宋" w:hAnsi="仿宋" w:eastAsia="仿宋" w:cs="仿宋"/>
          <w:highlight w:val="none"/>
        </w:rPr>
        <w:t>甲方</w:t>
      </w:r>
      <w:r>
        <w:rPr>
          <w:rFonts w:hint="eastAsia" w:ascii="仿宋" w:hAnsi="仿宋" w:eastAsia="仿宋" w:cs="仿宋"/>
          <w:highlight w:val="none"/>
          <w:u w:val="single"/>
        </w:rPr>
        <w:t xml:space="preserve">     </w:t>
      </w:r>
      <w:r>
        <w:rPr>
          <w:rFonts w:hint="eastAsia" w:ascii="仿宋" w:hAnsi="仿宋" w:eastAsia="仿宋" w:cs="仿宋"/>
          <w:highlight w:val="none"/>
        </w:rPr>
        <w:t>（是/否）需要支付预付款。若需要支付预付款的，则：</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1.5.1预付款比例、支付方式、时间详见</w:t>
      </w:r>
      <w:r>
        <w:rPr>
          <w:rFonts w:hint="eastAsia" w:ascii="仿宋" w:hAnsi="仿宋" w:eastAsia="仿宋" w:cs="仿宋"/>
          <w:kern w:val="0"/>
          <w:sz w:val="24"/>
          <w:highlight w:val="none"/>
          <w:u w:val="single"/>
        </w:rPr>
        <w:t xml:space="preserve">    </w:t>
      </w:r>
      <w:r>
        <w:rPr>
          <w:rFonts w:hint="eastAsia" w:ascii="仿宋" w:hAnsi="仿宋" w:eastAsia="仿宋" w:cs="仿宋"/>
          <w:b/>
          <w:i/>
          <w:sz w:val="24"/>
          <w:highlight w:val="none"/>
          <w:u w:val="single"/>
        </w:rPr>
        <w:t>合同专用条款</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w:t>
      </w:r>
    </w:p>
    <w:p>
      <w:pPr>
        <w:pStyle w:val="35"/>
        <w:spacing w:before="0" w:beforeAutospacing="0" w:after="0" w:afterAutospacing="0" w:line="360" w:lineRule="auto"/>
        <w:ind w:firstLine="480"/>
        <w:rPr>
          <w:rFonts w:ascii="仿宋" w:hAnsi="仿宋" w:eastAsia="仿宋" w:cs="仿宋"/>
          <w:highlight w:val="none"/>
        </w:rPr>
      </w:pPr>
      <w:r>
        <w:rPr>
          <w:rFonts w:hint="eastAsia" w:ascii="仿宋" w:hAnsi="仿宋" w:eastAsia="仿宋" w:cs="仿宋"/>
          <w:highlight w:val="none"/>
        </w:rPr>
        <w:t>1.5.2预付款的扣回方式详见</w:t>
      </w:r>
      <w:r>
        <w:rPr>
          <w:rFonts w:hint="eastAsia" w:ascii="仿宋" w:hAnsi="仿宋" w:eastAsia="仿宋" w:cs="仿宋"/>
          <w:highlight w:val="none"/>
          <w:u w:val="single"/>
        </w:rPr>
        <w:t xml:space="preserve">    </w:t>
      </w:r>
      <w:r>
        <w:rPr>
          <w:rFonts w:hint="eastAsia" w:ascii="仿宋" w:hAnsi="仿宋" w:eastAsia="仿宋" w:cs="仿宋"/>
          <w:b/>
          <w:i/>
          <w:highlight w:val="none"/>
          <w:u w:val="single"/>
        </w:rPr>
        <w:t>合同专用条款</w:t>
      </w:r>
      <w:r>
        <w:rPr>
          <w:rFonts w:hint="eastAsia" w:ascii="仿宋" w:hAnsi="仿宋" w:eastAsia="仿宋" w:cs="仿宋"/>
          <w:highlight w:val="none"/>
          <w:u w:val="single"/>
        </w:rPr>
        <w:t xml:space="preserve">           </w:t>
      </w:r>
      <w:r>
        <w:rPr>
          <w:rFonts w:hint="eastAsia" w:ascii="仿宋" w:hAnsi="仿宋" w:eastAsia="仿宋" w:cs="仿宋"/>
          <w:highlight w:val="none"/>
        </w:rPr>
        <w:t>；</w:t>
      </w:r>
    </w:p>
    <w:p>
      <w:pPr>
        <w:pStyle w:val="35"/>
        <w:spacing w:before="0" w:beforeAutospacing="0" w:after="0" w:afterAutospacing="0" w:line="360" w:lineRule="auto"/>
        <w:ind w:firstLine="480"/>
        <w:rPr>
          <w:rFonts w:ascii="仿宋" w:hAnsi="仿宋" w:eastAsia="仿宋" w:cs="仿宋"/>
          <w:highlight w:val="none"/>
          <w:u w:val="single"/>
        </w:rPr>
      </w:pPr>
      <w:r>
        <w:rPr>
          <w:rFonts w:hint="eastAsia" w:ascii="仿宋" w:hAnsi="仿宋" w:eastAsia="仿宋" w:cs="仿宋"/>
          <w:highlight w:val="none"/>
        </w:rPr>
        <w:t>1.5.3预付款的担保措施详见</w:t>
      </w:r>
      <w:r>
        <w:rPr>
          <w:rFonts w:hint="eastAsia" w:ascii="仿宋" w:hAnsi="仿宋" w:eastAsia="仿宋" w:cs="仿宋"/>
          <w:highlight w:val="none"/>
          <w:u w:val="single"/>
        </w:rPr>
        <w:t xml:space="preserve">    </w:t>
      </w:r>
      <w:r>
        <w:rPr>
          <w:rFonts w:hint="eastAsia" w:ascii="仿宋" w:hAnsi="仿宋" w:eastAsia="仿宋" w:cs="仿宋"/>
          <w:b/>
          <w:i/>
          <w:highlight w:val="none"/>
          <w:u w:val="single"/>
        </w:rPr>
        <w:t>合同专用条款</w:t>
      </w:r>
      <w:r>
        <w:rPr>
          <w:rFonts w:hint="eastAsia" w:ascii="仿宋" w:hAnsi="仿宋" w:eastAsia="仿宋" w:cs="仿宋"/>
          <w:highlight w:val="none"/>
          <w:u w:val="single"/>
        </w:rPr>
        <w:t xml:space="preserve">          </w:t>
      </w:r>
      <w:r>
        <w:rPr>
          <w:rFonts w:hint="eastAsia" w:ascii="仿宋" w:hAnsi="仿宋" w:eastAsia="仿宋" w:cs="仿宋"/>
          <w:highlight w:val="none"/>
        </w:rPr>
        <w:t>。</w:t>
      </w:r>
    </w:p>
    <w:p>
      <w:pPr>
        <w:pStyle w:val="35"/>
        <w:spacing w:before="0" w:beforeAutospacing="0" w:after="0" w:afterAutospacing="0" w:line="360" w:lineRule="auto"/>
        <w:ind w:firstLine="480"/>
        <w:rPr>
          <w:rFonts w:ascii="仿宋" w:hAnsi="仿宋" w:eastAsia="仿宋" w:cs="仿宋"/>
          <w:b/>
          <w:bCs/>
          <w:highlight w:val="none"/>
        </w:rPr>
      </w:pPr>
      <w:r>
        <w:rPr>
          <w:rFonts w:hint="eastAsia" w:ascii="仿宋" w:hAnsi="仿宋" w:eastAsia="仿宋" w:cs="仿宋"/>
          <w:b/>
          <w:bCs/>
          <w:highlight w:val="none"/>
        </w:rPr>
        <w:t>1.6资金支付</w:t>
      </w:r>
    </w:p>
    <w:p>
      <w:pPr>
        <w:pStyle w:val="35"/>
        <w:spacing w:before="0" w:beforeAutospacing="0" w:after="0" w:afterAutospacing="0" w:line="360" w:lineRule="auto"/>
        <w:ind w:firstLine="480"/>
        <w:rPr>
          <w:rFonts w:ascii="仿宋" w:hAnsi="仿宋" w:eastAsia="仿宋" w:cs="仿宋"/>
          <w:highlight w:val="none"/>
        </w:rPr>
      </w:pPr>
      <w:r>
        <w:rPr>
          <w:rFonts w:hint="eastAsia" w:ascii="仿宋" w:hAnsi="仿宋" w:eastAsia="仿宋" w:cs="仿宋"/>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outlineLvl w:val="0"/>
        <w:rPr>
          <w:rFonts w:ascii="仿宋" w:hAnsi="仿宋" w:eastAsia="仿宋" w:cs="仿宋"/>
          <w:sz w:val="24"/>
          <w:highlight w:val="none"/>
        </w:rPr>
      </w:pPr>
      <w:r>
        <w:rPr>
          <w:rFonts w:hint="eastAsia" w:ascii="仿宋" w:hAnsi="仿宋" w:eastAsia="仿宋" w:cs="仿宋"/>
          <w:sz w:val="24"/>
          <w:highlight w:val="none"/>
        </w:rPr>
        <w:t>1.6.2资金支付的方式、时间和条件详见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360" w:lineRule="auto"/>
        <w:ind w:firstLine="482" w:firstLineChars="200"/>
        <w:outlineLvl w:val="0"/>
        <w:rPr>
          <w:rFonts w:ascii="仿宋" w:hAnsi="仿宋" w:eastAsia="仿宋" w:cs="仿宋"/>
          <w:b/>
          <w:sz w:val="24"/>
          <w:highlight w:val="none"/>
        </w:rPr>
      </w:pPr>
      <w:r>
        <w:rPr>
          <w:rFonts w:hint="eastAsia" w:ascii="仿宋" w:hAnsi="仿宋" w:eastAsia="仿宋" w:cs="仿宋"/>
          <w:b/>
          <w:sz w:val="24"/>
          <w:highlight w:val="none"/>
        </w:rPr>
        <w:t>1.7货物交付期限、地点和方式</w:t>
      </w:r>
    </w:p>
    <w:p>
      <w:pPr>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rPr>
        <w:t>1.7.1 交付期限：详见</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1.7.2 交付地点：</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1.7.3 交付方式：</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w:t>
      </w:r>
    </w:p>
    <w:p>
      <w:pPr>
        <w:spacing w:line="360" w:lineRule="auto"/>
        <w:ind w:firstLine="482" w:firstLineChars="200"/>
        <w:outlineLvl w:val="0"/>
        <w:rPr>
          <w:rFonts w:ascii="仿宋" w:hAnsi="仿宋" w:eastAsia="仿宋" w:cs="仿宋"/>
          <w:b/>
          <w:sz w:val="24"/>
          <w:highlight w:val="none"/>
        </w:rPr>
      </w:pPr>
      <w:r>
        <w:rPr>
          <w:rFonts w:hint="eastAsia" w:ascii="仿宋" w:hAnsi="仿宋" w:eastAsia="仿宋" w:cs="仿宋"/>
          <w:b/>
          <w:sz w:val="24"/>
          <w:highlight w:val="none"/>
        </w:rPr>
        <w:t>1.8违约责任</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%计算，最高限额为本合同总价的</w:t>
      </w:r>
      <w:r>
        <w:rPr>
          <w:rFonts w:hint="eastAsia" w:ascii="仿宋" w:hAnsi="仿宋" w:eastAsia="仿宋" w:cs="仿宋"/>
          <w:sz w:val="24"/>
          <w:highlight w:val="none"/>
          <w:u w:val="single"/>
        </w:rPr>
        <w:t xml:space="preserve"> 20   </w:t>
      </w:r>
      <w:r>
        <w:rPr>
          <w:rFonts w:hint="eastAsia" w:ascii="仿宋" w:hAnsi="仿宋" w:eastAsia="仿宋" w:cs="仿宋"/>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1.8.2 除不可抗力外，如果甲方没有按照本合同约定的付款方式付款，那么乙方可要求甲方支付违约金，违约金按每迟延付款一日的应付而未付款的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%计算，最高限额为本合同总价的</w:t>
      </w:r>
      <w:r>
        <w:rPr>
          <w:rFonts w:hint="eastAsia" w:ascii="仿宋" w:hAnsi="仿宋" w:eastAsia="仿宋" w:cs="仿宋"/>
          <w:sz w:val="24"/>
          <w:highlight w:val="none"/>
          <w:u w:val="single"/>
        </w:rPr>
        <w:t xml:space="preserve">   20   </w:t>
      </w:r>
      <w:r>
        <w:rPr>
          <w:rFonts w:hint="eastAsia" w:ascii="仿宋" w:hAnsi="仿宋" w:eastAsia="仿宋" w:cs="仿宋"/>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360" w:lineRule="auto"/>
        <w:ind w:left="-420" w:leftChars="-200" w:right="-420" w:rightChars="-200" w:firstLine="960" w:firstLineChars="400"/>
        <w:rPr>
          <w:rFonts w:ascii="仿宋" w:hAnsi="仿宋" w:eastAsia="仿宋" w:cs="仿宋"/>
          <w:sz w:val="24"/>
          <w:highlight w:val="none"/>
        </w:rPr>
      </w:pPr>
      <w:r>
        <w:rPr>
          <w:rFonts w:hint="eastAsia" w:ascii="仿宋" w:hAnsi="仿宋" w:eastAsia="仿宋" w:cs="仿宋"/>
          <w:sz w:val="24"/>
          <w:highlight w:val="none"/>
        </w:rPr>
        <w:t>1.8.6违约责任</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另有约定的，从其约定。</w:t>
      </w:r>
    </w:p>
    <w:p>
      <w:pPr>
        <w:spacing w:line="360" w:lineRule="auto"/>
        <w:ind w:firstLine="482" w:firstLineChars="200"/>
        <w:outlineLvl w:val="0"/>
        <w:rPr>
          <w:rFonts w:ascii="仿宋" w:hAnsi="仿宋" w:eastAsia="仿宋" w:cs="仿宋"/>
          <w:b/>
          <w:sz w:val="24"/>
          <w:highlight w:val="none"/>
        </w:rPr>
      </w:pPr>
      <w:r>
        <w:rPr>
          <w:rFonts w:hint="eastAsia" w:ascii="仿宋" w:hAnsi="仿宋" w:eastAsia="仿宋" w:cs="仿宋"/>
          <w:b/>
          <w:sz w:val="24"/>
          <w:highlight w:val="none"/>
        </w:rPr>
        <w:t>1.9合同争议的解决</w:t>
      </w:r>
    </w:p>
    <w:p>
      <w:pPr>
        <w:spacing w:line="360" w:lineRule="auto"/>
        <w:ind w:left="-61" w:leftChars="-29" w:right="-420" w:rightChars="-200" w:firstLine="240" w:firstLineChars="100"/>
        <w:rPr>
          <w:rFonts w:ascii="仿宋" w:hAnsi="仿宋" w:eastAsia="仿宋" w:cs="仿宋"/>
          <w:sz w:val="24"/>
          <w:highlight w:val="none"/>
        </w:rPr>
      </w:pPr>
      <w:r>
        <w:rPr>
          <w:rFonts w:hint="eastAsia" w:ascii="仿宋" w:hAnsi="仿宋" w:eastAsia="仿宋" w:cs="仿宋"/>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highlight w:val="none"/>
          <w:u w:val="single"/>
        </w:rPr>
        <w:t xml:space="preserve">      </w:t>
      </w:r>
      <w:r>
        <w:rPr>
          <w:rFonts w:hint="eastAsia" w:ascii="仿宋" w:hAnsi="仿宋" w:eastAsia="仿宋" w:cs="仿宋"/>
          <w:sz w:val="24"/>
          <w:highlight w:val="none"/>
        </w:rPr>
        <w:t>条款规定的方式解决：</w:t>
      </w:r>
    </w:p>
    <w:p>
      <w:pPr>
        <w:spacing w:line="360" w:lineRule="auto"/>
        <w:ind w:left="-420" w:leftChars="-200" w:right="-420" w:rightChars="-200" w:firstLine="840" w:firstLineChars="350"/>
        <w:rPr>
          <w:rFonts w:ascii="仿宋" w:hAnsi="仿宋" w:eastAsia="仿宋" w:cs="仿宋"/>
          <w:sz w:val="24"/>
          <w:highlight w:val="none"/>
        </w:rPr>
      </w:pPr>
      <w:r>
        <w:rPr>
          <w:rFonts w:hint="eastAsia" w:ascii="仿宋" w:hAnsi="仿宋" w:eastAsia="仿宋" w:cs="仿宋"/>
          <w:sz w:val="24"/>
          <w:highlight w:val="none"/>
        </w:rPr>
        <w:t>1.9.1 将争议提交</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仲裁委员会依申请仲裁时其现行有效的仲裁规则裁决；</w:t>
      </w:r>
    </w:p>
    <w:p>
      <w:pPr>
        <w:spacing w:line="360" w:lineRule="auto"/>
        <w:ind w:left="-420" w:leftChars="-200" w:right="-420" w:rightChars="-200" w:firstLine="840" w:firstLineChars="350"/>
        <w:rPr>
          <w:rFonts w:ascii="仿宋" w:hAnsi="仿宋" w:eastAsia="仿宋" w:cs="仿宋"/>
          <w:sz w:val="24"/>
          <w:highlight w:val="none"/>
        </w:rPr>
      </w:pPr>
      <w:r>
        <w:rPr>
          <w:rFonts w:hint="eastAsia" w:ascii="仿宋" w:hAnsi="仿宋" w:eastAsia="仿宋" w:cs="仿宋"/>
          <w:sz w:val="24"/>
          <w:highlight w:val="none"/>
        </w:rPr>
        <w:t>1.9.2 向</w:t>
      </w:r>
      <w:r>
        <w:rPr>
          <w:rFonts w:hint="eastAsia" w:ascii="仿宋" w:hAnsi="仿宋" w:eastAsia="仿宋" w:cs="仿宋"/>
          <w:b/>
          <w:i/>
          <w:sz w:val="24"/>
          <w:highlight w:val="none"/>
          <w:u w:val="single"/>
        </w:rPr>
        <w:t>合同专用条款</w:t>
      </w:r>
      <w:r>
        <w:rPr>
          <w:rFonts w:hint="eastAsia" w:ascii="仿宋" w:hAnsi="仿宋" w:eastAsia="仿宋" w:cs="仿宋"/>
          <w:sz w:val="24"/>
          <w:highlight w:val="none"/>
        </w:rPr>
        <w:t>人民法院起诉。</w:t>
      </w:r>
    </w:p>
    <w:p>
      <w:pPr>
        <w:spacing w:line="360" w:lineRule="auto"/>
        <w:ind w:left="-420" w:leftChars="-200" w:right="-420" w:rightChars="-200" w:firstLine="843" w:firstLineChars="350"/>
        <w:rPr>
          <w:rFonts w:ascii="仿宋" w:hAnsi="仿宋" w:eastAsia="仿宋" w:cs="仿宋"/>
          <w:b/>
          <w:sz w:val="24"/>
          <w:highlight w:val="none"/>
        </w:rPr>
      </w:pPr>
      <w:r>
        <w:rPr>
          <w:rFonts w:hint="eastAsia" w:ascii="仿宋" w:hAnsi="仿宋" w:eastAsia="仿宋" w:cs="仿宋"/>
          <w:b/>
          <w:sz w:val="24"/>
          <w:highlight w:val="none"/>
        </w:rPr>
        <w:t>1.10 合同生效</w:t>
      </w:r>
    </w:p>
    <w:p>
      <w:pPr>
        <w:spacing w:line="360" w:lineRule="auto"/>
        <w:ind w:left="-420" w:leftChars="-200" w:right="-420" w:rightChars="-200" w:firstLine="840" w:firstLineChars="350"/>
        <w:rPr>
          <w:rFonts w:ascii="仿宋" w:hAnsi="仿宋" w:eastAsia="仿宋" w:cs="仿宋"/>
          <w:sz w:val="24"/>
          <w:highlight w:val="none"/>
          <w:lang w:val="zh-CN"/>
        </w:rPr>
      </w:pPr>
      <w:r>
        <w:rPr>
          <w:rFonts w:hint="eastAsia" w:ascii="仿宋" w:hAnsi="仿宋" w:eastAsia="仿宋" w:cs="仿宋"/>
          <w:sz w:val="24"/>
          <w:highlight w:val="none"/>
        </w:rPr>
        <w:t>本合同自双方当事人盖章签字时生效。</w:t>
      </w:r>
    </w:p>
    <w:p>
      <w:pPr>
        <w:autoSpaceDE w:val="0"/>
        <w:autoSpaceDN w:val="0"/>
        <w:spacing w:line="560" w:lineRule="exact"/>
        <w:rPr>
          <w:rFonts w:ascii="仿宋" w:hAnsi="仿宋" w:eastAsia="仿宋"/>
          <w:sz w:val="24"/>
          <w:highlight w:val="none"/>
          <w:lang w:val="zh-CN"/>
        </w:rPr>
      </w:pPr>
      <w:r>
        <w:rPr>
          <w:rFonts w:hint="eastAsia" w:ascii="仿宋" w:hAnsi="仿宋" w:eastAsia="仿宋"/>
          <w:b/>
          <w:sz w:val="24"/>
          <w:highlight w:val="none"/>
          <w:lang w:val="zh-CN"/>
        </w:rPr>
        <w:t>甲方</w:t>
      </w:r>
      <w:r>
        <w:rPr>
          <w:rFonts w:hint="eastAsia" w:ascii="仿宋" w:hAnsi="仿宋" w:eastAsia="仿宋"/>
          <w:sz w:val="24"/>
          <w:highlight w:val="none"/>
          <w:lang w:val="zh-CN"/>
        </w:rPr>
        <w:t>：</w:t>
      </w:r>
      <w:r>
        <w:rPr>
          <w:rFonts w:ascii="仿宋" w:hAnsi="仿宋" w:eastAsia="仿宋"/>
          <w:sz w:val="24"/>
          <w:highlight w:val="none"/>
          <w:lang w:val="zh-CN"/>
        </w:rPr>
        <w:t xml:space="preserve">                             </w:t>
      </w:r>
      <w:r>
        <w:rPr>
          <w:rFonts w:ascii="仿宋" w:hAnsi="仿宋" w:eastAsia="仿宋"/>
          <w:b/>
          <w:sz w:val="24"/>
          <w:highlight w:val="none"/>
          <w:lang w:val="zh-CN"/>
        </w:rPr>
        <w:t xml:space="preserve">      乙方</w:t>
      </w:r>
      <w:r>
        <w:rPr>
          <w:rFonts w:hint="eastAsia" w:ascii="仿宋" w:hAnsi="仿宋" w:eastAsia="仿宋"/>
          <w:sz w:val="24"/>
          <w:highlight w:val="none"/>
          <w:lang w:val="zh-CN"/>
        </w:rPr>
        <w:t>：</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统一社会信用代码：</w:t>
      </w:r>
      <w:r>
        <w:rPr>
          <w:rFonts w:ascii="仿宋" w:hAnsi="仿宋" w:eastAsia="仿宋"/>
          <w:sz w:val="24"/>
          <w:highlight w:val="none"/>
          <w:lang w:val="zh-CN"/>
        </w:rPr>
        <w:t xml:space="preserve">                        </w:t>
      </w:r>
      <w:r>
        <w:rPr>
          <w:rFonts w:hint="eastAsia" w:ascii="仿宋" w:hAnsi="仿宋" w:eastAsia="仿宋"/>
          <w:sz w:val="24"/>
          <w:highlight w:val="none"/>
          <w:lang w:val="zh-CN"/>
        </w:rPr>
        <w:t>统一社会信用代码或身份证号码：</w:t>
      </w:r>
    </w:p>
    <w:p>
      <w:pPr>
        <w:autoSpaceDE w:val="0"/>
        <w:autoSpaceDN w:val="0"/>
        <w:spacing w:line="560" w:lineRule="exact"/>
        <w:rPr>
          <w:rFonts w:ascii="仿宋" w:hAnsi="仿宋" w:eastAsia="仿宋"/>
          <w:sz w:val="24"/>
          <w:highlight w:val="none"/>
          <w:lang w:val="zh-CN"/>
        </w:rPr>
      </w:pP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住所：</w:t>
      </w:r>
      <w:r>
        <w:rPr>
          <w:rFonts w:ascii="仿宋" w:hAnsi="仿宋" w:eastAsia="仿宋"/>
          <w:sz w:val="24"/>
          <w:highlight w:val="none"/>
          <w:lang w:val="zh-CN"/>
        </w:rPr>
        <w:t xml:space="preserve">                                   </w:t>
      </w:r>
      <w:r>
        <w:rPr>
          <w:rFonts w:hint="eastAsia" w:ascii="仿宋" w:hAnsi="仿宋" w:eastAsia="仿宋"/>
          <w:sz w:val="24"/>
          <w:highlight w:val="none"/>
          <w:lang w:val="zh-CN"/>
        </w:rPr>
        <w:t>住所：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法定代表人或</w:t>
      </w:r>
      <w:r>
        <w:rPr>
          <w:rFonts w:ascii="仿宋" w:hAnsi="仿宋" w:eastAsia="仿宋"/>
          <w:sz w:val="24"/>
          <w:highlight w:val="none"/>
          <w:lang w:val="zh-CN"/>
        </w:rPr>
        <w:t xml:space="preserve">                             </w:t>
      </w:r>
      <w:r>
        <w:rPr>
          <w:rFonts w:hint="eastAsia" w:ascii="仿宋" w:hAnsi="仿宋" w:eastAsia="仿宋"/>
          <w:sz w:val="24"/>
          <w:highlight w:val="none"/>
          <w:lang w:val="zh-CN"/>
        </w:rPr>
        <w:t>法定代表人或</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授权代表（签字）：</w:t>
      </w:r>
      <w:r>
        <w:rPr>
          <w:rFonts w:ascii="仿宋" w:hAnsi="仿宋" w:eastAsia="仿宋"/>
          <w:sz w:val="24"/>
          <w:highlight w:val="none"/>
          <w:lang w:val="zh-CN"/>
        </w:rPr>
        <w:t xml:space="preserve">                       授权代表（签字）: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联系人：</w:t>
      </w:r>
      <w:r>
        <w:rPr>
          <w:rFonts w:ascii="仿宋" w:hAnsi="仿宋" w:eastAsia="仿宋"/>
          <w:sz w:val="24"/>
          <w:highlight w:val="none"/>
          <w:lang w:val="zh-CN"/>
        </w:rPr>
        <w:t xml:space="preserve">                                 </w:t>
      </w:r>
      <w:r>
        <w:rPr>
          <w:rFonts w:hint="eastAsia" w:ascii="仿宋" w:hAnsi="仿宋" w:eastAsia="仿宋"/>
          <w:sz w:val="24"/>
          <w:highlight w:val="none"/>
          <w:lang w:val="zh-CN"/>
        </w:rPr>
        <w:t>联系人：</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约定送达地址：</w:t>
      </w:r>
      <w:r>
        <w:rPr>
          <w:rFonts w:ascii="仿宋" w:hAnsi="仿宋" w:eastAsia="仿宋"/>
          <w:sz w:val="24"/>
          <w:highlight w:val="none"/>
          <w:lang w:val="zh-CN"/>
        </w:rPr>
        <w:t xml:space="preserve">                           </w:t>
      </w:r>
      <w:r>
        <w:rPr>
          <w:rFonts w:hint="eastAsia" w:ascii="仿宋" w:hAnsi="仿宋" w:eastAsia="仿宋"/>
          <w:sz w:val="24"/>
          <w:highlight w:val="none"/>
          <w:lang w:val="zh-CN"/>
        </w:rPr>
        <w:t>约定送达地址：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邮政编码：</w:t>
      </w:r>
      <w:r>
        <w:rPr>
          <w:rFonts w:ascii="仿宋" w:hAnsi="仿宋" w:eastAsia="仿宋"/>
          <w:sz w:val="24"/>
          <w:highlight w:val="none"/>
          <w:lang w:val="zh-CN"/>
        </w:rPr>
        <w:t xml:space="preserve">                               </w:t>
      </w:r>
      <w:r>
        <w:rPr>
          <w:rFonts w:hint="eastAsia" w:ascii="仿宋" w:hAnsi="仿宋" w:eastAsia="仿宋"/>
          <w:sz w:val="24"/>
          <w:highlight w:val="none"/>
          <w:lang w:val="zh-CN"/>
        </w:rPr>
        <w:t>邮政编码：</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电话</w:t>
      </w:r>
      <w:r>
        <w:rPr>
          <w:rFonts w:ascii="仿宋" w:hAnsi="仿宋" w:eastAsia="仿宋"/>
          <w:sz w:val="24"/>
          <w:highlight w:val="none"/>
          <w:lang w:val="zh-CN"/>
        </w:rPr>
        <w:t xml:space="preserve">:                                    电话: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传真</w:t>
      </w:r>
      <w:r>
        <w:rPr>
          <w:rFonts w:ascii="仿宋" w:hAnsi="仿宋" w:eastAsia="仿宋"/>
          <w:sz w:val="24"/>
          <w:highlight w:val="none"/>
          <w:lang w:val="zh-CN"/>
        </w:rPr>
        <w:t xml:space="preserve">:                                    </w:t>
      </w:r>
      <w:r>
        <w:rPr>
          <w:rFonts w:hint="eastAsia" w:ascii="仿宋" w:hAnsi="仿宋" w:eastAsia="仿宋"/>
          <w:sz w:val="24"/>
          <w:highlight w:val="none"/>
          <w:lang w:val="zh-CN"/>
        </w:rPr>
        <w:t>传真</w:t>
      </w:r>
      <w:r>
        <w:rPr>
          <w:rFonts w:ascii="仿宋" w:hAnsi="仿宋" w:eastAsia="仿宋"/>
          <w:sz w:val="24"/>
          <w:highlight w:val="none"/>
          <w:lang w:val="zh-CN"/>
        </w:rPr>
        <w:t>:</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lang w:val="zh-CN"/>
        </w:rPr>
        <w:t>电子邮箱：</w:t>
      </w:r>
      <w:r>
        <w:rPr>
          <w:rFonts w:ascii="仿宋" w:hAnsi="仿宋" w:eastAsia="仿宋"/>
          <w:sz w:val="24"/>
          <w:highlight w:val="none"/>
          <w:lang w:val="zh-CN"/>
        </w:rPr>
        <w:t xml:space="preserve">                               </w:t>
      </w:r>
      <w:r>
        <w:rPr>
          <w:rFonts w:hint="eastAsia" w:ascii="仿宋" w:hAnsi="仿宋" w:eastAsia="仿宋"/>
          <w:sz w:val="24"/>
          <w:highlight w:val="none"/>
          <w:lang w:val="zh-CN"/>
        </w:rPr>
        <w:t>电子邮箱：</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开户银行：</w:t>
      </w:r>
      <w:r>
        <w:rPr>
          <w:rFonts w:ascii="仿宋" w:hAnsi="仿宋" w:eastAsia="仿宋"/>
          <w:sz w:val="24"/>
          <w:highlight w:val="none"/>
        </w:rPr>
        <w:t xml:space="preserve">                               开户银行：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开户名称：</w:t>
      </w:r>
      <w:r>
        <w:rPr>
          <w:rFonts w:ascii="仿宋" w:hAnsi="仿宋" w:eastAsia="仿宋"/>
          <w:sz w:val="24"/>
          <w:highlight w:val="none"/>
        </w:rPr>
        <w:t xml:space="preserve">                               开户名称：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开户账号：</w:t>
      </w:r>
      <w:r>
        <w:rPr>
          <w:rFonts w:ascii="仿宋" w:hAnsi="仿宋" w:eastAsia="仿宋"/>
          <w:sz w:val="24"/>
          <w:highlight w:val="none"/>
          <w:lang w:val="zh-CN"/>
        </w:rPr>
        <w:t xml:space="preserve">                               </w:t>
      </w:r>
      <w:r>
        <w:rPr>
          <w:rFonts w:hint="eastAsia" w:ascii="仿宋" w:hAnsi="仿宋" w:eastAsia="仿宋"/>
          <w:sz w:val="24"/>
          <w:highlight w:val="none"/>
        </w:rPr>
        <w:t>开户账号：</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第二部分 合同一般条款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 定义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b w:val="0"/>
          <w:bCs w:val="0"/>
          <w:sz w:val="24"/>
          <w:szCs w:val="24"/>
        </w:rPr>
        <w:t>2.1.1</w:t>
      </w:r>
      <w:r>
        <w:rPr>
          <w:rFonts w:hint="eastAsia" w:ascii="仿宋" w:hAnsi="仿宋" w:eastAsia="仿宋" w:cs="仿宋"/>
          <w:sz w:val="24"/>
          <w:szCs w:val="24"/>
        </w:rPr>
        <w:t xml:space="preserve"> “合同”系指采购人和中标供应商签订的载明双方当事人所达成的协议，并包括所有的附件、附录和构成合同的其他文件。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2.1.3 “货物”系指中标供应商根据合同约定应向采购人交付的一切各种形态和种类的物品，包括原材料、燃料、设备、机械、仪表、备件、计算机软件、产品等，并包括工具、手册等其他相关资料。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2.1.4 “甲方”系指与中标供应商签署合同的采购人；采购人委托采购代理机构代表其与乙方签订合同的，采购人的授权委托书作为合同附件。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2.1.6 “现场”系指合同约定货物将要运至或者安装的地点。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2.2 技术规范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2.3 知识产权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2.3.2具有知识产权的计算机软件等货物的知识产权归属，详见合同专用条款。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2.4 包装和装运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2.4.1除合同专用条款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2.4.3 装运货物的要求和通知，详见合同专用条款。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2.5 履约检查和问题反馈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2.5.1甲方有权在其认为必要时，对乙方是否能够按照合同约定交付货物进行履约检查，以确保乙方所交付的货物能够依约满足甲方之项目需求，但不得因履约检查妨碍乙方的正常工作，乙方应予积极配合；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2.5.2 合同履行期间，甲方有权将履行过程中出现的问题反馈给乙方，双方当事人应以书面形式约定需要完善和改进的内容。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2.6 技术资料和保密义务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2.6.1 乙方有权依据合同约定和项目需要，向甲方了解有关情况，调阅有关资料等，甲方应予积极配合；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2.6.2 乙方有义务妥善保管和保护由甲方提供的前款信息和资料等；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2.7 质量保证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2.7.1 乙方应建立和完善履行合同的内部质量保证体系，并提供相关内部规章制度给甲方，以便甲方进行监督检查；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2.7.2 乙方应保证履行合同的人员数量和素质、软件和硬件设备的配置、场地、环境和设施等满足全面履行合同的要求，并应接受甲方的监督检查。</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2.8 货物的风险负担</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货物或者在途货物或者交付给第一承运人后的货物毁损、灭失的风险负担详见合同专用条款。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 延迟交货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2.10 合同变更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2.11 合同转让和分包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2.11.2乙方采取分包方式履行合同的，甲方可直接向分包供应商支付款项。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2.12 不可抗力</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2.12.1如果任何一方遭遇法律规定的不可抗力，致使合同履行受阻时，履行合同的期限应予延长，延长的期限应相当于不可抗力所影响的时间；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2.12.2 因不可抗力致使不能实现合同目的的，当事人可以解除合同；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2.12.3 因不可抗力致使合同有变更必要的，双方当事人应在合同专用条款约定时间内以书面形式变更合同；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2.12.4受不可抗力影响的一方在不可抗力发生后，应在合同专用条款约定时间内以书面形式通知对方当事人，并在合同专用条款约定时间内，将有关部门出具的证明文件送达对方当事人。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2.13 税费</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2.14乙方破产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2.15 合同中止、终止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2.15.1 双方当事人不得擅自中止或者终止合同；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2.15.2合同继续履行将损害国家利益和社会公共利益的，双方当事人应当中止或者终止合同。有过错的一方应当承担赔偿责任，双方当事人都有过错的，各自承担相应的责任。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2.16检验和验收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2.16.1货物交付前，乙方应对货物的质量、数量等方面进行详细、全面的检验，并向甲方出具证明货物符合合同约定的文件；货物交付时，甲方在合同专用条款约定时间内组织验收，并可依法邀请相关方参加，验收应出具验收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2.16.3 检验和验收标准、程序等具体内容以及前述验收书的效力详见合同专用条款。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2.17 通知和送达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2.17.1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2.18 计量单位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除技术规范中另有规定外,合同的计量单位均使用国家法定计量单位。</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2.19 合同使用的文字和适用的法律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2.19.1 合同使用汉语书就、变更和解释；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2.19.2 合同适用中华人民共和国法律。</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2.20合同份数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合同份数按合同专用条款规定，每份均具有同等法律效力。</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4"/>
        <w:jc w:val="both"/>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第三部分  合同专用条款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r>
        <w:rPr>
          <w:rFonts w:hint="eastAsia" w:ascii="仿宋" w:hAnsi="仿宋" w:eastAsia="仿宋" w:cs="仿宋"/>
          <w:b/>
          <w:bCs/>
          <w:sz w:val="24"/>
          <w:szCs w:val="24"/>
        </w:rPr>
        <w:t>具体合同签订由采购人和投标人根据投标文件内容最终确定（以最终签订合同为准）。</w:t>
      </w:r>
    </w:p>
    <w:tbl>
      <w:tblPr>
        <w:tblStyle w:val="21"/>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条款号</w:t>
            </w:r>
          </w:p>
        </w:tc>
        <w:tc>
          <w:tcPr>
            <w:tcW w:w="8275" w:type="dxa"/>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1.4.</w:t>
            </w:r>
            <w:r>
              <w:rPr>
                <w:rFonts w:hint="eastAsia" w:ascii="仿宋" w:hAnsi="仿宋" w:eastAsia="仿宋" w:cs="仿宋"/>
                <w:sz w:val="24"/>
                <w:highlight w:val="none"/>
                <w:lang w:val="en-US" w:eastAsia="zh-CN" w:bidi="ar"/>
              </w:rPr>
              <w:t>2</w:t>
            </w:r>
          </w:p>
        </w:tc>
        <w:tc>
          <w:tcPr>
            <w:tcW w:w="8275"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乙方应提交合同价</w:t>
            </w:r>
            <w:r>
              <w:rPr>
                <w:rFonts w:hint="eastAsia" w:ascii="仿宋" w:hAnsi="仿宋" w:eastAsia="仿宋" w:cs="仿宋"/>
                <w:sz w:val="24"/>
                <w:highlight w:val="none"/>
                <w:u w:val="single"/>
                <w:lang w:val="en-US" w:eastAsia="zh-CN"/>
              </w:rPr>
              <w:t xml:space="preserve">  %   </w:t>
            </w:r>
            <w:r>
              <w:rPr>
                <w:rFonts w:hint="eastAsia" w:ascii="仿宋" w:hAnsi="仿宋" w:eastAsia="仿宋" w:cs="仿宋"/>
                <w:sz w:val="24"/>
                <w:highlight w:val="none"/>
              </w:rPr>
              <w:t>的履约保证金，以支票、汇票、本票或者金融机构、担保机构出具的保函等非现金形式。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 xml:space="preserve">1.5.1 </w:t>
            </w:r>
          </w:p>
        </w:tc>
        <w:tc>
          <w:tcPr>
            <w:tcW w:w="8275"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预付款比例、支付方式、时间</w:t>
            </w:r>
            <w:r>
              <w:rPr>
                <w:rFonts w:hint="eastAsia" w:ascii="仿宋" w:hAnsi="仿宋" w:eastAsia="仿宋" w:cs="仿宋"/>
                <w:sz w:val="24"/>
                <w:highlight w:val="none"/>
                <w:lang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1.5.2</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预付款扣回方式：\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 xml:space="preserve">1.5.3 </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预付款担保措施：乙方需提供相应的预付款保函。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1.6.</w:t>
            </w:r>
            <w:r>
              <w:rPr>
                <w:rFonts w:hint="eastAsia" w:ascii="仿宋" w:hAnsi="仿宋" w:eastAsia="仿宋" w:cs="仿宋"/>
                <w:sz w:val="24"/>
                <w:highlight w:val="none"/>
                <w:lang w:val="en-US" w:eastAsia="zh-CN" w:bidi="ar"/>
              </w:rPr>
              <w:t>2</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资金支付的方式、时间和条件</w:t>
            </w:r>
            <w:r>
              <w:rPr>
                <w:rFonts w:hint="eastAsia" w:ascii="仿宋" w:hAnsi="仿宋" w:eastAsia="仿宋" w:cs="仿宋"/>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1.7.1</w:t>
            </w:r>
          </w:p>
        </w:tc>
        <w:tc>
          <w:tcPr>
            <w:tcW w:w="8275" w:type="dxa"/>
            <w:vAlign w:val="center"/>
          </w:tcPr>
          <w:p>
            <w:pPr>
              <w:spacing w:line="420" w:lineRule="exact"/>
              <w:ind w:firstLine="0" w:firstLineChars="0"/>
              <w:rPr>
                <w:rFonts w:hint="default" w:ascii="仿宋" w:hAnsi="仿宋" w:eastAsia="仿宋" w:cs="仿宋"/>
                <w:sz w:val="24"/>
                <w:highlight w:val="none"/>
                <w:lang w:val="en-US" w:eastAsia="zh-CN"/>
              </w:rPr>
            </w:pPr>
            <w:r>
              <w:rPr>
                <w:rFonts w:hint="default" w:ascii="仿宋" w:hAnsi="仿宋" w:eastAsia="仿宋" w:cs="仿宋"/>
                <w:sz w:val="24"/>
                <w:highlight w:val="none"/>
                <w:lang w:val="en-US" w:eastAsia="zh-CN"/>
              </w:rPr>
              <w:t>合同签订后</w:t>
            </w:r>
            <w:r>
              <w:rPr>
                <w:rFonts w:hint="eastAsia" w:ascii="仿宋" w:hAnsi="仿宋" w:eastAsia="仿宋" w:cs="仿宋"/>
                <w:sz w:val="24"/>
                <w:highlight w:val="none"/>
                <w:lang w:val="en-US" w:eastAsia="zh-CN"/>
              </w:rPr>
              <w:t>15</w:t>
            </w:r>
            <w:r>
              <w:rPr>
                <w:rFonts w:hint="default" w:ascii="仿宋" w:hAnsi="仿宋" w:eastAsia="仿宋" w:cs="仿宋"/>
                <w:sz w:val="24"/>
                <w:highlight w:val="none"/>
                <w:lang w:val="en-US" w:eastAsia="zh-CN"/>
              </w:rPr>
              <w:t>个日历天完成供货、安装、调试工作。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1.7.2</w:t>
            </w:r>
          </w:p>
        </w:tc>
        <w:tc>
          <w:tcPr>
            <w:tcW w:w="8275" w:type="dxa"/>
            <w:vAlign w:val="center"/>
          </w:tcPr>
          <w:p>
            <w:pPr>
              <w:widowControl/>
              <w:spacing w:line="240" w:lineRule="auto"/>
              <w:jc w:val="left"/>
              <w:rPr>
                <w:rFonts w:hint="default" w:ascii="仿宋" w:hAnsi="仿宋" w:eastAsia="仿宋" w:cs="仿宋"/>
                <w:sz w:val="24"/>
                <w:highlight w:val="none"/>
                <w:lang w:val="en-US" w:eastAsia="zh-CN"/>
              </w:rPr>
            </w:pPr>
            <w:r>
              <w:rPr>
                <w:rFonts w:hint="eastAsia" w:ascii="仿宋" w:hAnsi="仿宋" w:eastAsia="仿宋" w:cs="仿宋"/>
                <w:sz w:val="24"/>
                <w:highlight w:val="none"/>
                <w:lang w:bidi="ar"/>
              </w:rPr>
              <w:t>交付地点：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default" w:ascii="仿宋" w:hAnsi="仿宋" w:eastAsia="仿宋" w:cs="仿宋"/>
                <w:sz w:val="24"/>
                <w:highlight w:val="none"/>
                <w:lang w:val="en-US" w:eastAsia="zh-CN" w:bidi="ar"/>
              </w:rPr>
            </w:pPr>
            <w:r>
              <w:rPr>
                <w:rFonts w:hint="eastAsia" w:ascii="仿宋" w:hAnsi="仿宋" w:eastAsia="仿宋" w:cs="仿宋"/>
                <w:sz w:val="24"/>
                <w:highlight w:val="none"/>
                <w:lang w:val="en-US" w:eastAsia="zh-CN" w:bidi="ar"/>
              </w:rPr>
              <w:t>1.7.3</w:t>
            </w:r>
          </w:p>
        </w:tc>
        <w:tc>
          <w:tcPr>
            <w:tcW w:w="8275" w:type="dxa"/>
            <w:vAlign w:val="center"/>
          </w:tcPr>
          <w:p>
            <w:pPr>
              <w:spacing w:line="360" w:lineRule="auto"/>
              <w:ind w:left="-420" w:leftChars="-200" w:right="-420" w:rightChars="-200" w:firstLine="480" w:firstLineChars="200"/>
              <w:rPr>
                <w:rFonts w:hint="eastAsia" w:ascii="仿宋" w:hAnsi="仿宋" w:eastAsia="仿宋" w:cs="仿宋"/>
                <w:sz w:val="24"/>
                <w:highlight w:val="none"/>
                <w:lang w:bidi="ar"/>
              </w:rPr>
            </w:pPr>
            <w:r>
              <w:rPr>
                <w:rFonts w:hint="eastAsia" w:ascii="仿宋" w:hAnsi="仿宋" w:eastAsia="仿宋" w:cs="仿宋"/>
                <w:sz w:val="24"/>
                <w:highlight w:val="none"/>
                <w:lang w:bidi="ar"/>
              </w:rPr>
              <w:t>交付方式：现场交付。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default" w:ascii="仿宋" w:hAnsi="仿宋" w:eastAsia="仿宋" w:cs="仿宋"/>
                <w:sz w:val="24"/>
                <w:highlight w:val="none"/>
                <w:lang w:val="en-US" w:eastAsia="zh-CN" w:bidi="ar"/>
              </w:rPr>
            </w:pPr>
            <w:r>
              <w:rPr>
                <w:rFonts w:hint="eastAsia" w:ascii="仿宋" w:hAnsi="仿宋" w:eastAsia="仿宋" w:cs="仿宋"/>
                <w:sz w:val="24"/>
                <w:highlight w:val="none"/>
                <w:lang w:val="en-US" w:eastAsia="zh-CN" w:bidi="ar"/>
              </w:rPr>
              <w:t>1.8.6</w:t>
            </w:r>
          </w:p>
        </w:tc>
        <w:tc>
          <w:tcPr>
            <w:tcW w:w="8275" w:type="dxa"/>
            <w:vAlign w:val="center"/>
          </w:tcPr>
          <w:p>
            <w:pPr>
              <w:spacing w:line="360" w:lineRule="auto"/>
              <w:ind w:left="-420" w:leftChars="-200" w:right="-420" w:rightChars="-200" w:firstLine="480" w:firstLineChars="200"/>
              <w:rPr>
                <w:rFonts w:hint="eastAsia" w:ascii="仿宋" w:hAnsi="仿宋" w:eastAsia="仿宋" w:cs="仿宋"/>
                <w:sz w:val="24"/>
                <w:highlight w:val="none"/>
                <w:lang w:val="en-US" w:eastAsia="zh-CN" w:bidi="ar"/>
              </w:rPr>
            </w:pPr>
            <w:r>
              <w:rPr>
                <w:rFonts w:hint="eastAsia" w:ascii="仿宋" w:hAnsi="仿宋" w:eastAsia="仿宋" w:cs="仿宋"/>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2.3.2</w:t>
            </w:r>
          </w:p>
        </w:tc>
        <w:tc>
          <w:tcPr>
            <w:tcW w:w="8275" w:type="dxa"/>
            <w:vAlign w:val="center"/>
          </w:tcPr>
          <w:p>
            <w:pPr>
              <w:spacing w:line="360" w:lineRule="auto"/>
              <w:ind w:left="-420" w:leftChars="-200" w:right="-420" w:rightChars="-200"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2.4.1</w:t>
            </w:r>
          </w:p>
        </w:tc>
        <w:tc>
          <w:tcPr>
            <w:tcW w:w="8275" w:type="dxa"/>
            <w:vAlign w:val="center"/>
          </w:tcPr>
          <w:p>
            <w:pPr>
              <w:spacing w:line="360" w:lineRule="auto"/>
              <w:ind w:left="-420" w:leftChars="-200" w:right="-420" w:rightChars="-200" w:firstLine="480" w:firstLineChars="200"/>
              <w:rPr>
                <w:rFonts w:ascii="仿宋" w:hAnsi="仿宋" w:eastAsia="仿宋" w:cs="仿宋"/>
                <w:sz w:val="24"/>
                <w:highlight w:val="none"/>
              </w:rPr>
            </w:pPr>
            <w:r>
              <w:rPr>
                <w:rFonts w:hint="eastAsia" w:ascii="仿宋" w:hAnsi="仿宋" w:eastAsia="仿宋" w:cs="仿宋"/>
                <w:sz w:val="24"/>
                <w:highlight w:val="none"/>
                <w:lang w:bidi="ar"/>
              </w:rPr>
              <w:t>甲方指定要求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2.4.</w:t>
            </w:r>
            <w:r>
              <w:rPr>
                <w:rFonts w:hint="eastAsia" w:ascii="仿宋" w:hAnsi="仿宋" w:eastAsia="仿宋" w:cs="仿宋"/>
                <w:sz w:val="24"/>
                <w:highlight w:val="none"/>
                <w:lang w:val="en-US" w:eastAsia="zh-CN" w:bidi="ar"/>
              </w:rPr>
              <w:t>3</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在货物发运手续办理完毕后</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小时内或货到甲方</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小时前通知甲方，以准备接货。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sz w:val="24"/>
                <w:highlight w:val="none"/>
              </w:rPr>
            </w:pPr>
            <w:r>
              <w:rPr>
                <w:rFonts w:hint="eastAsia" w:ascii="仿宋" w:hAnsi="仿宋" w:eastAsia="仿宋" w:cs="仿宋"/>
                <w:sz w:val="24"/>
                <w:highlight w:val="none"/>
                <w:lang w:bidi="ar"/>
              </w:rPr>
              <w:t xml:space="preserve">2.8 </w:t>
            </w:r>
          </w:p>
        </w:tc>
        <w:tc>
          <w:tcPr>
            <w:tcW w:w="8275"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货物或者在途货物或者交付给第一承运人后的货物毁损、灭失的风险由乙方承担一切责任并赔偿甲方损失。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2.12.3</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lang w:bidi="ar"/>
              </w:rPr>
              <w:t>因不可抗力致使合同有变更必要的，双方当事人应在</w:t>
            </w:r>
            <w:r>
              <w:rPr>
                <w:rFonts w:hint="eastAsia" w:ascii="仿宋" w:hAnsi="仿宋" w:eastAsia="仿宋" w:cs="仿宋"/>
                <w:sz w:val="24"/>
                <w:highlight w:val="none"/>
                <w:u w:val="single"/>
                <w:lang w:val="en-US" w:eastAsia="zh-CN" w:bidi="ar"/>
              </w:rPr>
              <w:t xml:space="preserve">    </w:t>
            </w:r>
            <w:r>
              <w:rPr>
                <w:rFonts w:hint="eastAsia" w:ascii="仿宋" w:hAnsi="仿宋" w:eastAsia="仿宋" w:cs="仿宋"/>
                <w:sz w:val="24"/>
                <w:highlight w:val="none"/>
                <w:lang w:bidi="ar"/>
              </w:rPr>
              <w:t>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2.12.4</w:t>
            </w:r>
          </w:p>
        </w:tc>
        <w:tc>
          <w:tcPr>
            <w:tcW w:w="8275"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lang w:bidi="ar"/>
              </w:rPr>
              <w:t>受不可抗力影响的一方在不可抗力发生后，应在</w:t>
            </w:r>
            <w:r>
              <w:rPr>
                <w:rFonts w:hint="eastAsia" w:ascii="仿宋" w:hAnsi="仿宋" w:eastAsia="仿宋" w:cs="仿宋"/>
                <w:sz w:val="24"/>
                <w:highlight w:val="none"/>
                <w:u w:val="single"/>
                <w:lang w:val="en-US" w:eastAsia="zh-CN" w:bidi="ar"/>
              </w:rPr>
              <w:t xml:space="preserve">    </w:t>
            </w:r>
            <w:r>
              <w:rPr>
                <w:rFonts w:hint="eastAsia" w:ascii="仿宋" w:hAnsi="仿宋" w:eastAsia="仿宋" w:cs="仿宋"/>
                <w:sz w:val="24"/>
                <w:highlight w:val="none"/>
                <w:lang w:bidi="ar"/>
              </w:rPr>
              <w:t>日内以书面形式通知对方当事人，并在</w:t>
            </w:r>
            <w:r>
              <w:rPr>
                <w:rFonts w:hint="eastAsia" w:ascii="仿宋" w:hAnsi="仿宋" w:eastAsia="仿宋" w:cs="仿宋"/>
                <w:sz w:val="24"/>
                <w:highlight w:val="none"/>
                <w:u w:val="single"/>
                <w:lang w:val="en-US" w:eastAsia="zh-CN" w:bidi="ar"/>
              </w:rPr>
              <w:t xml:space="preserve">    </w:t>
            </w:r>
            <w:r>
              <w:rPr>
                <w:rFonts w:hint="eastAsia" w:ascii="仿宋" w:hAnsi="仿宋" w:eastAsia="仿宋" w:cs="仿宋"/>
                <w:sz w:val="24"/>
                <w:highlight w:val="none"/>
                <w:lang w:bidi="ar"/>
              </w:rPr>
              <w:t>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2.16.1</w:t>
            </w:r>
          </w:p>
        </w:tc>
        <w:tc>
          <w:tcPr>
            <w:tcW w:w="8275" w:type="dxa"/>
            <w:vAlign w:val="center"/>
          </w:tcPr>
          <w:p>
            <w:pPr>
              <w:spacing w:line="360" w:lineRule="auto"/>
              <w:rPr>
                <w:rFonts w:hint="eastAsia" w:ascii="仿宋" w:hAnsi="仿宋" w:eastAsia="仿宋" w:cs="仿宋"/>
                <w:color w:val="auto"/>
                <w:sz w:val="24"/>
                <w:highlight w:val="none"/>
                <w:lang w:bidi="ar"/>
              </w:rPr>
            </w:pPr>
            <w:r>
              <w:rPr>
                <w:rFonts w:hint="eastAsia" w:ascii="仿宋" w:hAnsi="仿宋" w:eastAsia="仿宋" w:cs="仿宋"/>
                <w:sz w:val="24"/>
                <w:highlight w:val="none"/>
                <w:lang w:bidi="ar"/>
              </w:rPr>
              <w:t>货物交付前，乙方应对货物的质量、数量等方面进行详细、全面的检验，并向甲方出具证明货物符合合同约定的文件；货物交</w:t>
            </w:r>
            <w:r>
              <w:rPr>
                <w:rFonts w:hint="eastAsia" w:ascii="仿宋" w:hAnsi="仿宋" w:eastAsia="仿宋" w:cs="仿宋"/>
                <w:color w:val="auto"/>
                <w:sz w:val="24"/>
                <w:highlight w:val="none"/>
                <w:lang w:bidi="ar"/>
              </w:rPr>
              <w:t>付</w:t>
            </w:r>
            <w:r>
              <w:rPr>
                <w:rFonts w:hint="eastAsia" w:ascii="仿宋" w:hAnsi="仿宋" w:eastAsia="仿宋" w:cs="仿宋"/>
                <w:color w:val="auto"/>
                <w:sz w:val="24"/>
                <w:highlight w:val="none"/>
                <w:u w:val="none"/>
              </w:rPr>
              <w:t>安装调试完成后</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lang w:bidi="ar"/>
              </w:rPr>
              <w:t>乙方在</w:t>
            </w:r>
          </w:p>
          <w:p>
            <w:pPr>
              <w:spacing w:line="360" w:lineRule="auto"/>
              <w:rPr>
                <w:rFonts w:ascii="仿宋" w:hAnsi="仿宋" w:eastAsia="仿宋" w:cs="仿宋"/>
                <w:sz w:val="24"/>
                <w:highlight w:val="none"/>
              </w:rPr>
            </w:pPr>
            <w:r>
              <w:rPr>
                <w:rFonts w:hint="eastAsia" w:ascii="仿宋" w:hAnsi="仿宋" w:eastAsia="仿宋" w:cs="仿宋"/>
                <w:color w:val="auto"/>
                <w:sz w:val="24"/>
                <w:highlight w:val="none"/>
                <w:lang w:val="en-US" w:eastAsia="zh-CN" w:bidi="ar"/>
              </w:rPr>
              <w:t xml:space="preserve"> </w:t>
            </w:r>
            <w:r>
              <w:rPr>
                <w:rFonts w:hint="eastAsia" w:ascii="仿宋" w:hAnsi="仿宋" w:eastAsia="仿宋" w:cs="仿宋"/>
                <w:color w:val="auto"/>
                <w:sz w:val="24"/>
                <w:highlight w:val="none"/>
                <w:u w:val="single"/>
                <w:lang w:val="en-US" w:eastAsia="zh-CN" w:bidi="ar"/>
              </w:rPr>
              <w:t xml:space="preserve">   </w:t>
            </w:r>
            <w:r>
              <w:rPr>
                <w:rFonts w:hint="eastAsia" w:ascii="仿宋" w:hAnsi="仿宋" w:eastAsia="仿宋" w:cs="仿宋"/>
                <w:sz w:val="24"/>
                <w:highlight w:val="none"/>
                <w:u w:val="single"/>
                <w:lang w:val="en-US" w:eastAsia="zh-CN" w:bidi="ar"/>
              </w:rPr>
              <w:t xml:space="preserve">  </w:t>
            </w:r>
            <w:r>
              <w:rPr>
                <w:rFonts w:hint="eastAsia" w:ascii="仿宋" w:hAnsi="仿宋" w:eastAsia="仿宋" w:cs="仿宋"/>
                <w:sz w:val="24"/>
                <w:highlight w:val="none"/>
                <w:lang w:bidi="ar"/>
              </w:rPr>
              <w:t>日内</w:t>
            </w:r>
            <w:r>
              <w:rPr>
                <w:rFonts w:hint="eastAsia" w:ascii="仿宋" w:hAnsi="仿宋" w:eastAsia="仿宋" w:cs="仿宋"/>
                <w:color w:val="auto"/>
                <w:sz w:val="24"/>
                <w:highlight w:val="none"/>
                <w:lang w:bidi="ar"/>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cs="仿宋"/>
                <w:sz w:val="24"/>
                <w:highlight w:val="none"/>
                <w:lang w:bidi="ar"/>
              </w:rPr>
              <w:t>2.16.3</w:t>
            </w:r>
          </w:p>
        </w:tc>
        <w:tc>
          <w:tcPr>
            <w:tcW w:w="8275" w:type="dxa"/>
            <w:vAlign w:val="center"/>
          </w:tcPr>
          <w:p>
            <w:pPr>
              <w:spacing w:line="360" w:lineRule="auto"/>
              <w:rPr>
                <w:rFonts w:hint="eastAsia" w:ascii="仿宋" w:hAnsi="仿宋" w:eastAsia="仿宋" w:cs="仿宋"/>
                <w:sz w:val="24"/>
                <w:highlight w:val="none"/>
                <w:lang w:eastAsia="zh-CN"/>
              </w:rPr>
            </w:pPr>
            <w:r>
              <w:rPr>
                <w:rFonts w:hint="eastAsia" w:ascii="仿宋" w:hAnsi="仿宋" w:eastAsia="仿宋" w:cs="仿宋"/>
                <w:color w:val="auto"/>
                <w:sz w:val="24"/>
                <w:highlight w:val="none"/>
                <w:lang w:eastAsia="zh-CN"/>
              </w:rPr>
              <w:t>乙</w:t>
            </w:r>
            <w:r>
              <w:rPr>
                <w:rFonts w:hint="eastAsia" w:ascii="仿宋" w:hAnsi="仿宋" w:eastAsia="仿宋" w:cs="仿宋"/>
                <w:color w:val="auto"/>
                <w:sz w:val="24"/>
                <w:highlight w:val="none"/>
              </w:rPr>
              <w:t>方应提供设备的有效检验文件，经</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认可后，与合同和投标文件一起作为设备验收标准。设备验收合格后，由双方共同签署验收文件。验收中发现设备达不到验收标准或规定的性能指标，</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必须更换设备，并承担由此给</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sz w:val="24"/>
                <w:highlight w:val="none"/>
              </w:rPr>
            </w:pPr>
            <w:r>
              <w:rPr>
                <w:rFonts w:hint="eastAsia" w:ascii="仿宋" w:hAnsi="仿宋" w:eastAsia="仿宋" w:cs="仿宋"/>
                <w:sz w:val="24"/>
                <w:highlight w:val="none"/>
                <w:lang w:bidi="ar"/>
              </w:rPr>
              <w:t>2.20</w:t>
            </w:r>
          </w:p>
        </w:tc>
        <w:tc>
          <w:tcPr>
            <w:tcW w:w="8275" w:type="dxa"/>
          </w:tcPr>
          <w:p>
            <w:pPr>
              <w:spacing w:line="360" w:lineRule="auto"/>
              <w:rPr>
                <w:rFonts w:ascii="仿宋" w:hAnsi="仿宋" w:eastAsia="仿宋" w:cs="仿宋"/>
                <w:sz w:val="24"/>
                <w:highlight w:val="none"/>
              </w:rPr>
            </w:pPr>
            <w:r>
              <w:rPr>
                <w:rFonts w:hint="eastAsia" w:ascii="仿宋" w:hAnsi="仿宋" w:eastAsia="仿宋" w:cs="仿宋"/>
                <w:sz w:val="24"/>
                <w:highlight w:val="none"/>
                <w:lang w:bidi="ar"/>
              </w:rPr>
              <w:t>本合同一式</w:t>
            </w:r>
            <w:r>
              <w:rPr>
                <w:rFonts w:hint="eastAsia" w:ascii="仿宋" w:hAnsi="仿宋" w:eastAsia="仿宋" w:cs="仿宋"/>
                <w:sz w:val="24"/>
                <w:highlight w:val="none"/>
                <w:u w:val="single"/>
                <w:lang w:val="en-US" w:eastAsia="zh-CN" w:bidi="ar"/>
              </w:rPr>
              <w:t xml:space="preserve">    </w:t>
            </w:r>
            <w:r>
              <w:rPr>
                <w:rFonts w:hint="eastAsia" w:ascii="仿宋" w:hAnsi="仿宋" w:eastAsia="仿宋" w:cs="仿宋"/>
                <w:sz w:val="24"/>
                <w:highlight w:val="none"/>
                <w:lang w:bidi="ar"/>
              </w:rPr>
              <w:t>份，甲乙双方各执</w:t>
            </w:r>
            <w:r>
              <w:rPr>
                <w:rFonts w:hint="eastAsia" w:ascii="仿宋" w:hAnsi="仿宋" w:eastAsia="仿宋" w:cs="仿宋"/>
                <w:sz w:val="24"/>
                <w:highlight w:val="none"/>
                <w:u w:val="single"/>
                <w:lang w:val="en-US" w:eastAsia="zh-CN" w:bidi="ar"/>
              </w:rPr>
              <w:t xml:space="preserve">    </w:t>
            </w:r>
            <w:r>
              <w:rPr>
                <w:rFonts w:hint="eastAsia" w:ascii="仿宋" w:hAnsi="仿宋" w:eastAsia="仿宋" w:cs="仿宋"/>
                <w:sz w:val="24"/>
                <w:highlight w:val="none"/>
                <w:lang w:bidi="ar"/>
              </w:rPr>
              <w:t>份。</w:t>
            </w:r>
          </w:p>
        </w:tc>
      </w:tr>
    </w:tbl>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7"/>
        <w:rPr>
          <w:rFonts w:hint="eastAsia"/>
        </w:rPr>
      </w:pPr>
    </w:p>
    <w:p>
      <w:pPr>
        <w:pStyle w:val="4"/>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spacing w:line="360" w:lineRule="auto"/>
        <w:ind w:left="720" w:firstLine="723" w:firstLineChars="200"/>
        <w:outlineLvl w:val="0"/>
        <w:rPr>
          <w:rFonts w:ascii="仿宋" w:hAnsi="仿宋" w:eastAsia="仿宋" w:cs="仿宋"/>
          <w:b/>
          <w:sz w:val="36"/>
          <w:szCs w:val="20"/>
          <w:highlight w:val="none"/>
        </w:rPr>
      </w:pPr>
      <w:bookmarkStart w:id="393" w:name="_Toc15867_WPSOffice_Level1"/>
      <w:r>
        <w:rPr>
          <w:rFonts w:hint="eastAsia" w:ascii="仿宋" w:hAnsi="仿宋" w:eastAsia="仿宋" w:cs="仿宋"/>
          <w:b/>
          <w:sz w:val="36"/>
          <w:szCs w:val="20"/>
          <w:highlight w:val="none"/>
        </w:rPr>
        <w:t>第六部分 应提交的有关格式范例</w:t>
      </w:r>
      <w:bookmarkEnd w:id="393"/>
    </w:p>
    <w:p>
      <w:pPr>
        <w:spacing w:line="360" w:lineRule="auto"/>
        <w:jc w:val="center"/>
        <w:outlineLvl w:val="0"/>
        <w:rPr>
          <w:rFonts w:ascii="仿宋" w:hAnsi="仿宋" w:eastAsia="仿宋" w:cs="仿宋"/>
          <w:b/>
          <w:kern w:val="0"/>
          <w:sz w:val="36"/>
          <w:szCs w:val="36"/>
          <w:highlight w:val="none"/>
        </w:rPr>
      </w:pPr>
    </w:p>
    <w:p>
      <w:pPr>
        <w:spacing w:line="360" w:lineRule="auto"/>
        <w:jc w:val="center"/>
        <w:outlineLvl w:val="0"/>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资格文件部分</w:t>
      </w:r>
    </w:p>
    <w:p>
      <w:pPr>
        <w:spacing w:line="360" w:lineRule="auto"/>
        <w:jc w:val="center"/>
        <w:outlineLvl w:val="0"/>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360" w:lineRule="auto"/>
        <w:jc w:val="center"/>
        <w:outlineLvl w:val="0"/>
        <w:rPr>
          <w:rFonts w:ascii="仿宋" w:hAnsi="仿宋" w:eastAsia="仿宋" w:cs="仿宋"/>
          <w:b/>
          <w:kern w:val="0"/>
          <w:sz w:val="36"/>
          <w:szCs w:val="36"/>
          <w:highlight w:val="none"/>
        </w:rPr>
      </w:pP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（1）符合参加政府采购活动应当具备的一般条件的承诺函……………（页码）</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（2）联合协议（如果有）…………………………………………………（页码）</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（3）落实政府采购政策需满足的资格要求（如果有）…………………（页码）</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（4）本项目的特定资格要求（如果有）…………………………………（页码）</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7"/>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snapToGrid w:val="0"/>
        <w:spacing w:line="360" w:lineRule="auto"/>
        <w:ind w:right="480"/>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lang w:val="en-US" w:eastAsia="zh-CN"/>
        </w:rPr>
        <w:t>富蕴县</w:t>
      </w:r>
      <w:r>
        <w:rPr>
          <w:rFonts w:hint="eastAsia" w:ascii="仿宋" w:hAnsi="仿宋" w:eastAsia="仿宋" w:cs="仿宋"/>
          <w:sz w:val="24"/>
          <w:highlight w:val="none"/>
          <w:lang w:eastAsia="zh-CN"/>
        </w:rPr>
        <w:t>教育局</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富蕴县政府采购中心</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我方参与</w:t>
      </w:r>
      <w:r>
        <w:rPr>
          <w:rFonts w:hint="eastAsia" w:ascii="仿宋" w:hAnsi="仿宋" w:eastAsia="仿宋" w:cs="仿宋"/>
          <w:sz w:val="24"/>
          <w:highlight w:val="none"/>
          <w:u w:val="single"/>
          <w:lang w:val="en" w:eastAsia="zh-CN"/>
        </w:rPr>
        <w:t>2023年义务教育薄弱环节改善与能力提升项目中央资金（第二批）建设项目</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项目</w:t>
      </w:r>
      <w:r>
        <w:rPr>
          <w:rFonts w:hint="eastAsia" w:ascii="仿宋" w:hAnsi="仿宋" w:eastAsia="仿宋" w:cs="仿宋"/>
          <w:sz w:val="24"/>
          <w:highlight w:val="none"/>
        </w:rPr>
        <w:t>编号：</w:t>
      </w:r>
      <w:r>
        <w:rPr>
          <w:rFonts w:hint="eastAsia" w:ascii="仿宋" w:hAnsi="仿宋" w:eastAsia="仿宋" w:cs="仿宋"/>
          <w:color w:val="auto"/>
          <w:sz w:val="24"/>
          <w:highlight w:val="none"/>
          <w:lang w:val="en-US" w:eastAsia="zh-CN"/>
        </w:rPr>
        <w:t>FYXCGZX-JC2023-016</w:t>
      </w:r>
      <w:r>
        <w:rPr>
          <w:rFonts w:hint="eastAsia" w:ascii="仿宋" w:hAnsi="仿宋" w:eastAsia="仿宋" w:cs="仿宋"/>
          <w:sz w:val="24"/>
          <w:highlight w:val="none"/>
        </w:rPr>
        <w:t>】政府采购活动，郑重承诺：</w:t>
      </w:r>
    </w:p>
    <w:p>
      <w:pPr>
        <w:snapToGrid w:val="0"/>
        <w:spacing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1、具有独立承担民事责任的能力；</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6、具有法律、行政法规规定的其他条件。</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（三）不存在以下情况：</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 xml:space="preserve">                        </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7"/>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widowControl/>
        <w:spacing w:line="360" w:lineRule="auto"/>
        <w:ind w:firstLine="643" w:firstLineChars="200"/>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二、联合协议（如果有）</w:t>
      </w:r>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[以联合体形式投标的，提供联合协议（附件5）；本项目不接受联合体投标或者投标人不以联合体形式投标的，则不需要提供]</w:t>
      </w:r>
    </w:p>
    <w:p>
      <w:pPr>
        <w:snapToGrid w:val="0"/>
        <w:spacing w:line="360" w:lineRule="auto"/>
        <w:ind w:right="480"/>
        <w:rPr>
          <w:rFonts w:ascii="仿宋" w:hAnsi="仿宋" w:eastAsia="仿宋" w:cs="仿宋"/>
          <w:b/>
          <w:kern w:val="0"/>
          <w:sz w:val="32"/>
          <w:szCs w:val="32"/>
          <w:highlight w:val="none"/>
        </w:rPr>
      </w:pPr>
    </w:p>
    <w:p>
      <w:pPr>
        <w:pStyle w:val="2"/>
        <w:rPr>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三、落实政府采购政策需满足的资格要求（如果有）</w:t>
      </w:r>
    </w:p>
    <w:p>
      <w:pPr>
        <w:spacing w:line="360" w:lineRule="auto"/>
        <w:rPr>
          <w:rFonts w:ascii="仿宋" w:hAnsi="仿宋" w:eastAsia="仿宋" w:cs="仿宋"/>
          <w:sz w:val="24"/>
          <w:highlight w:val="none"/>
        </w:rPr>
      </w:pPr>
      <w:r>
        <w:rPr>
          <w:rFonts w:hint="eastAsia" w:ascii="仿宋" w:hAnsi="仿宋" w:eastAsia="仿宋" w:cs="仿宋"/>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highlight w:val="none"/>
        </w:rPr>
      </w:pPr>
      <w:r>
        <w:rPr>
          <w:rFonts w:hint="eastAsia" w:ascii="仿宋" w:hAnsi="仿宋" w:eastAsia="仿宋" w:cs="仿宋"/>
          <w:b/>
          <w:sz w:val="24"/>
          <w:highlight w:val="none"/>
        </w:rPr>
        <w:t>A</w:t>
      </w:r>
      <w:r>
        <w:rPr>
          <w:rFonts w:hint="eastAsia" w:ascii="仿宋" w:hAnsi="仿宋" w:eastAsia="仿宋" w:cs="仿宋"/>
          <w:sz w:val="24"/>
          <w:highlight w:val="none"/>
        </w:rPr>
        <w:t xml:space="preserve">.专门面向中小企业，货物全部由符合政策要求的中小企业（或小微企业）制造的，提供相应的中小企业声明函（附件7）。 </w:t>
      </w:r>
    </w:p>
    <w:p>
      <w:pPr>
        <w:widowControl/>
        <w:spacing w:line="360" w:lineRule="auto"/>
        <w:ind w:firstLine="480"/>
        <w:jc w:val="left"/>
        <w:rPr>
          <w:rFonts w:ascii="仿宋" w:hAnsi="仿宋" w:eastAsia="仿宋" w:cs="仿宋"/>
          <w:sz w:val="24"/>
          <w:highlight w:val="none"/>
        </w:rPr>
      </w:pPr>
    </w:p>
    <w:p>
      <w:pPr>
        <w:widowControl/>
        <w:spacing w:line="360" w:lineRule="auto"/>
        <w:ind w:firstLine="472" w:firstLineChars="196"/>
        <w:jc w:val="left"/>
        <w:rPr>
          <w:rFonts w:ascii="仿宋" w:hAnsi="仿宋" w:eastAsia="仿宋" w:cs="仿宋"/>
          <w:sz w:val="24"/>
          <w:highlight w:val="none"/>
        </w:rPr>
      </w:pPr>
      <w:r>
        <w:rPr>
          <w:rFonts w:hint="eastAsia" w:ascii="仿宋" w:hAnsi="仿宋" w:eastAsia="仿宋" w:cs="仿宋"/>
          <w:b/>
          <w:sz w:val="24"/>
          <w:highlight w:val="none"/>
        </w:rPr>
        <w:t>B.</w:t>
      </w:r>
      <w:r>
        <w:rPr>
          <w:rFonts w:hint="eastAsia" w:ascii="仿宋" w:hAnsi="仿宋" w:eastAsia="仿宋" w:cs="仿宋"/>
          <w:sz w:val="24"/>
          <w:highlight w:val="none"/>
        </w:rPr>
        <w:t>要求以联合体形式参加的，提供联合协议（附件5）和中小企业声明函（附件7），联合协议中中小企业合同金额应当达到招标公告载明的比例；如果供应商本身提供所有标的均由中小企业制造的，并相应达到了前述比例要求，视同符合了资格条件，无需再与其他中小企业组成联合体参加政府采购活动，无需提供联合协议。</w:t>
      </w:r>
    </w:p>
    <w:p>
      <w:pPr>
        <w:spacing w:line="360" w:lineRule="auto"/>
        <w:ind w:firstLine="480" w:firstLineChars="200"/>
        <w:rPr>
          <w:rFonts w:ascii="仿宋" w:hAnsi="仿宋" w:eastAsia="仿宋" w:cs="仿宋"/>
          <w:sz w:val="24"/>
          <w:highlight w:val="none"/>
        </w:rPr>
      </w:pPr>
    </w:p>
    <w:p>
      <w:pPr>
        <w:spacing w:line="360" w:lineRule="auto"/>
        <w:ind w:firstLine="482" w:firstLineChars="200"/>
        <w:rPr>
          <w:rFonts w:ascii="仿宋" w:hAnsi="仿宋" w:eastAsia="仿宋" w:cs="仿宋"/>
          <w:sz w:val="24"/>
          <w:highlight w:val="none"/>
        </w:rPr>
      </w:pPr>
      <w:r>
        <w:rPr>
          <w:rFonts w:hint="eastAsia" w:ascii="仿宋" w:hAnsi="仿宋" w:eastAsia="仿宋" w:cs="仿宋"/>
          <w:b/>
          <w:sz w:val="24"/>
          <w:highlight w:val="none"/>
        </w:rPr>
        <w:t>C.</w:t>
      </w:r>
      <w:r>
        <w:rPr>
          <w:rFonts w:hint="eastAsia" w:ascii="仿宋" w:hAnsi="仿宋" w:eastAsia="仿宋" w:cs="仿宋"/>
          <w:sz w:val="24"/>
          <w:highlight w:val="none"/>
        </w:rPr>
        <w:t>要求合同分包的，提供分包意向协议（附件6）和中小企业声明函（附件7），分包意向协议中中小企业合同金额应当达到招标公告载明的比例；如果供应商本身提供所有标的均由中小企业制造的，并相应达到了前述比例要求，视同符合了资格条件，无需再向中小企业分包，无需提供分包意向协议。</w:t>
      </w:r>
    </w:p>
    <w:p>
      <w:pPr>
        <w:widowControl/>
        <w:spacing w:line="360" w:lineRule="auto"/>
        <w:ind w:left="150"/>
        <w:jc w:val="center"/>
        <w:rPr>
          <w:rFonts w:ascii="仿宋" w:hAnsi="仿宋" w:eastAsia="仿宋" w:cs="仿宋"/>
          <w:b/>
          <w:kern w:val="0"/>
          <w:sz w:val="32"/>
          <w:szCs w:val="32"/>
          <w:highlight w:val="none"/>
        </w:rPr>
      </w:pPr>
    </w:p>
    <w:p>
      <w:pPr>
        <w:widowControl/>
        <w:spacing w:line="360" w:lineRule="auto"/>
        <w:ind w:left="150"/>
        <w:jc w:val="center"/>
        <w:rPr>
          <w:rFonts w:ascii="仿宋" w:hAnsi="仿宋" w:eastAsia="仿宋" w:cs="仿宋"/>
          <w:b/>
          <w:kern w:val="0"/>
          <w:sz w:val="32"/>
          <w:szCs w:val="32"/>
          <w:highlight w:val="none"/>
        </w:rPr>
      </w:pPr>
    </w:p>
    <w:p>
      <w:pPr>
        <w:widowControl/>
        <w:spacing w:line="360" w:lineRule="auto"/>
        <w:ind w:left="150"/>
        <w:jc w:val="center"/>
        <w:rPr>
          <w:rFonts w:hint="eastAsia" w:ascii="仿宋" w:hAnsi="仿宋" w:eastAsia="仿宋" w:cs="仿宋"/>
          <w:b/>
          <w:kern w:val="0"/>
          <w:sz w:val="32"/>
          <w:szCs w:val="32"/>
          <w:highlight w:val="none"/>
        </w:rPr>
      </w:pPr>
    </w:p>
    <w:p>
      <w:pPr>
        <w:widowControl/>
        <w:spacing w:line="360" w:lineRule="auto"/>
        <w:ind w:left="150"/>
        <w:jc w:val="center"/>
        <w:rPr>
          <w:rFonts w:hint="eastAsia" w:ascii="仿宋" w:hAnsi="仿宋" w:eastAsia="仿宋" w:cs="仿宋"/>
          <w:b/>
          <w:kern w:val="0"/>
          <w:sz w:val="32"/>
          <w:szCs w:val="32"/>
          <w:highlight w:val="none"/>
        </w:rPr>
      </w:pPr>
    </w:p>
    <w:p>
      <w:pPr>
        <w:widowControl/>
        <w:spacing w:line="360" w:lineRule="auto"/>
        <w:ind w:left="150"/>
        <w:jc w:val="center"/>
        <w:rPr>
          <w:rFonts w:hint="eastAsia" w:ascii="仿宋" w:hAnsi="仿宋" w:eastAsia="仿宋" w:cs="仿宋"/>
          <w:b/>
          <w:kern w:val="0"/>
          <w:sz w:val="32"/>
          <w:szCs w:val="32"/>
          <w:highlight w:val="none"/>
        </w:rPr>
      </w:pPr>
    </w:p>
    <w:p>
      <w:pPr>
        <w:widowControl/>
        <w:spacing w:line="360" w:lineRule="auto"/>
        <w:ind w:left="150"/>
        <w:jc w:val="center"/>
        <w:rPr>
          <w:rFonts w:hint="eastAsia" w:ascii="仿宋" w:hAnsi="仿宋" w:eastAsia="仿宋" w:cs="仿宋"/>
          <w:b/>
          <w:kern w:val="0"/>
          <w:sz w:val="32"/>
          <w:szCs w:val="32"/>
          <w:highlight w:val="none"/>
        </w:rPr>
      </w:pPr>
    </w:p>
    <w:p>
      <w:pPr>
        <w:widowControl/>
        <w:spacing w:line="360" w:lineRule="auto"/>
        <w:ind w:left="150"/>
        <w:jc w:val="center"/>
        <w:rPr>
          <w:rFonts w:hint="eastAsia" w:ascii="仿宋" w:hAnsi="仿宋" w:eastAsia="仿宋" w:cs="仿宋"/>
          <w:b/>
          <w:kern w:val="0"/>
          <w:sz w:val="32"/>
          <w:szCs w:val="32"/>
          <w:highlight w:val="none"/>
        </w:rPr>
      </w:pPr>
    </w:p>
    <w:p>
      <w:pPr>
        <w:widowControl/>
        <w:spacing w:line="360" w:lineRule="auto"/>
        <w:ind w:left="150"/>
        <w:jc w:val="center"/>
        <w:rPr>
          <w:rFonts w:hint="eastAsia" w:ascii="仿宋" w:hAnsi="仿宋" w:eastAsia="仿宋" w:cs="仿宋"/>
          <w:b/>
          <w:kern w:val="0"/>
          <w:sz w:val="32"/>
          <w:szCs w:val="32"/>
          <w:highlight w:val="none"/>
        </w:rPr>
      </w:pPr>
    </w:p>
    <w:p>
      <w:pPr>
        <w:widowControl/>
        <w:spacing w:line="360" w:lineRule="auto"/>
        <w:ind w:left="150"/>
        <w:jc w:val="center"/>
        <w:rPr>
          <w:rFonts w:hint="eastAsia" w:ascii="仿宋" w:hAnsi="仿宋" w:eastAsia="仿宋" w:cs="仿宋"/>
          <w:b/>
          <w:kern w:val="0"/>
          <w:sz w:val="32"/>
          <w:szCs w:val="32"/>
          <w:highlight w:val="none"/>
        </w:rPr>
      </w:pPr>
    </w:p>
    <w:p>
      <w:pPr>
        <w:pStyle w:val="7"/>
        <w:rPr>
          <w:rFonts w:hint="eastAsia"/>
        </w:rPr>
      </w:pPr>
    </w:p>
    <w:p>
      <w:pPr>
        <w:widowControl/>
        <w:spacing w:line="360" w:lineRule="auto"/>
        <w:ind w:left="150"/>
        <w:jc w:val="center"/>
        <w:rPr>
          <w:rFonts w:hint="eastAsia" w:ascii="仿宋" w:hAnsi="仿宋" w:eastAsia="仿宋" w:cs="仿宋"/>
          <w:b/>
          <w:kern w:val="0"/>
          <w:sz w:val="32"/>
          <w:szCs w:val="32"/>
          <w:highlight w:val="none"/>
        </w:rPr>
      </w:pPr>
    </w:p>
    <w:p>
      <w:pPr>
        <w:widowControl/>
        <w:spacing w:line="360" w:lineRule="auto"/>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四、本项目的特定资格要求（如果有）</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highlight w:val="none"/>
        </w:rPr>
        <w:t>（根据招标公告本项目的特定资格要求提供相应的材料；未要求的，无需提供）</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hint="eastAsia" w:ascii="仿宋" w:hAnsi="仿宋" w:eastAsia="仿宋" w:cs="仿宋"/>
          <w:b/>
          <w:kern w:val="0"/>
          <w:sz w:val="36"/>
          <w:szCs w:val="36"/>
          <w:highlight w:val="none"/>
        </w:rPr>
      </w:pPr>
    </w:p>
    <w:p>
      <w:pPr>
        <w:pStyle w:val="2"/>
        <w:rPr>
          <w:rFonts w:hint="eastAsia"/>
        </w:rPr>
      </w:pPr>
    </w:p>
    <w:p>
      <w:pPr>
        <w:spacing w:line="360" w:lineRule="auto"/>
        <w:ind w:right="420"/>
        <w:jc w:val="center"/>
        <w:rPr>
          <w:rFonts w:hint="eastAsia" w:ascii="仿宋" w:hAnsi="仿宋" w:eastAsia="仿宋" w:cs="仿宋"/>
          <w:b/>
          <w:kern w:val="0"/>
          <w:sz w:val="36"/>
          <w:szCs w:val="36"/>
          <w:highlight w:val="none"/>
        </w:rPr>
      </w:pPr>
    </w:p>
    <w:p>
      <w:pPr>
        <w:spacing w:line="360" w:lineRule="auto"/>
        <w:ind w:right="420"/>
        <w:jc w:val="center"/>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商务技术文件部分</w:t>
      </w:r>
    </w:p>
    <w:p>
      <w:pPr>
        <w:spacing w:line="360" w:lineRule="auto"/>
        <w:jc w:val="center"/>
        <w:outlineLvl w:val="0"/>
        <w:rPr>
          <w:rFonts w:ascii="仿宋" w:hAnsi="仿宋" w:eastAsia="仿宋" w:cs="仿宋"/>
          <w:b/>
          <w:kern w:val="0"/>
          <w:sz w:val="24"/>
          <w:highlight w:val="none"/>
        </w:rPr>
      </w:pPr>
    </w:p>
    <w:p>
      <w:pPr>
        <w:spacing w:line="360" w:lineRule="auto"/>
        <w:jc w:val="center"/>
        <w:outlineLvl w:val="0"/>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目录</w:t>
      </w:r>
    </w:p>
    <w:p>
      <w:pPr>
        <w:snapToGrid w:val="0"/>
        <w:spacing w:line="360" w:lineRule="auto"/>
        <w:ind w:left="479" w:leftChars="228"/>
        <w:rPr>
          <w:rFonts w:ascii="仿宋" w:hAnsi="仿宋" w:eastAsia="仿宋" w:cs="仿宋"/>
          <w:sz w:val="24"/>
          <w:highlight w:val="none"/>
        </w:rPr>
      </w:pPr>
      <w:r>
        <w:rPr>
          <w:rFonts w:hint="eastAsia" w:ascii="仿宋" w:hAnsi="仿宋" w:eastAsia="仿宋" w:cs="仿宋"/>
          <w:sz w:val="24"/>
          <w:highlight w:val="none"/>
        </w:rPr>
        <w:t>（1）投标函………………………………………………………………………（页码）</w:t>
      </w:r>
    </w:p>
    <w:p>
      <w:pPr>
        <w:snapToGrid w:val="0"/>
        <w:spacing w:line="360" w:lineRule="auto"/>
        <w:ind w:left="479" w:leftChars="228"/>
        <w:rPr>
          <w:rFonts w:ascii="仿宋" w:hAnsi="仿宋" w:eastAsia="仿宋" w:cs="仿宋"/>
          <w:sz w:val="24"/>
          <w:highlight w:val="none"/>
        </w:rPr>
      </w:pPr>
      <w:r>
        <w:rPr>
          <w:rFonts w:hint="eastAsia" w:ascii="仿宋" w:hAnsi="仿宋" w:eastAsia="仿宋" w:cs="仿宋"/>
          <w:sz w:val="24"/>
          <w:highlight w:val="none"/>
        </w:rPr>
        <w:t>（2）授权委托书或法定代表人（单位负责人、自然人本人）身份证明……（页码）</w:t>
      </w:r>
    </w:p>
    <w:p>
      <w:pPr>
        <w:snapToGrid w:val="0"/>
        <w:spacing w:line="360" w:lineRule="auto"/>
        <w:ind w:left="479" w:leftChars="228"/>
        <w:rPr>
          <w:rFonts w:ascii="仿宋" w:hAnsi="仿宋" w:eastAsia="仿宋" w:cs="仿宋"/>
          <w:sz w:val="24"/>
          <w:highlight w:val="none"/>
        </w:rPr>
      </w:pPr>
      <w:r>
        <w:rPr>
          <w:rFonts w:hint="eastAsia" w:ascii="仿宋" w:hAnsi="仿宋" w:eastAsia="仿宋" w:cs="仿宋"/>
          <w:sz w:val="24"/>
          <w:highlight w:val="none"/>
        </w:rPr>
        <w:t>（3）分包意向协议（如果有）…………………………………………………（页码）</w:t>
      </w:r>
    </w:p>
    <w:p>
      <w:pPr>
        <w:snapToGrid w:val="0"/>
        <w:spacing w:line="360" w:lineRule="auto"/>
        <w:ind w:left="479" w:leftChars="228"/>
        <w:rPr>
          <w:rFonts w:ascii="仿宋" w:hAnsi="仿宋" w:eastAsia="仿宋" w:cs="仿宋"/>
          <w:sz w:val="24"/>
          <w:highlight w:val="none"/>
        </w:rPr>
      </w:pPr>
      <w:r>
        <w:rPr>
          <w:rFonts w:hint="eastAsia" w:ascii="仿宋" w:hAnsi="仿宋" w:eastAsia="仿宋" w:cs="仿宋"/>
          <w:sz w:val="24"/>
          <w:highlight w:val="none"/>
        </w:rPr>
        <w:t>（4）符合性审查资料……………………………………………………………（页码）</w:t>
      </w:r>
    </w:p>
    <w:p>
      <w:pPr>
        <w:snapToGrid w:val="0"/>
        <w:spacing w:line="360" w:lineRule="auto"/>
        <w:ind w:left="479" w:leftChars="228"/>
        <w:rPr>
          <w:rFonts w:ascii="仿宋" w:hAnsi="仿宋" w:eastAsia="仿宋" w:cs="仿宋"/>
          <w:sz w:val="24"/>
          <w:highlight w:val="none"/>
        </w:rPr>
      </w:pPr>
      <w:r>
        <w:rPr>
          <w:rFonts w:hint="eastAsia" w:ascii="仿宋" w:hAnsi="仿宋" w:eastAsia="仿宋" w:cs="仿宋"/>
          <w:sz w:val="24"/>
          <w:highlight w:val="none"/>
        </w:rPr>
        <w:t>（5）评标标准相应的商务技术资料……………………………………………（页码）</w:t>
      </w:r>
    </w:p>
    <w:p>
      <w:pPr>
        <w:snapToGrid w:val="0"/>
        <w:spacing w:line="360" w:lineRule="auto"/>
        <w:ind w:left="479" w:leftChars="228"/>
        <w:rPr>
          <w:rFonts w:ascii="仿宋" w:hAnsi="仿宋" w:eastAsia="仿宋" w:cs="仿宋"/>
          <w:sz w:val="24"/>
          <w:highlight w:val="none"/>
        </w:rPr>
      </w:pPr>
      <w:r>
        <w:rPr>
          <w:rFonts w:hint="eastAsia" w:ascii="仿宋" w:hAnsi="仿宋" w:eastAsia="仿宋" w:cs="仿宋"/>
          <w:sz w:val="24"/>
          <w:highlight w:val="none"/>
        </w:rPr>
        <w:t>（6）投标标的清单………………………………………………………………（页码）</w:t>
      </w:r>
    </w:p>
    <w:p>
      <w:pPr>
        <w:snapToGrid w:val="0"/>
        <w:spacing w:line="360" w:lineRule="auto"/>
        <w:ind w:left="479" w:leftChars="228"/>
        <w:rPr>
          <w:rFonts w:ascii="仿宋" w:hAnsi="仿宋" w:eastAsia="仿宋" w:cs="仿宋"/>
          <w:sz w:val="24"/>
          <w:highlight w:val="none"/>
        </w:rPr>
      </w:pPr>
      <w:r>
        <w:rPr>
          <w:rFonts w:hint="eastAsia" w:ascii="仿宋" w:hAnsi="仿宋" w:eastAsia="仿宋" w:cs="仿宋"/>
          <w:sz w:val="24"/>
          <w:highlight w:val="none"/>
        </w:rPr>
        <w:t>（7）商务技术偏离表……………………………………………………………（页码）</w:t>
      </w:r>
    </w:p>
    <w:p>
      <w:pPr>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r>
        <w:rPr>
          <w:rFonts w:hint="eastAsia" w:ascii="仿宋" w:hAnsi="仿宋" w:eastAsia="仿宋" w:cs="仿宋"/>
          <w:sz w:val="24"/>
          <w:highlight w:val="none"/>
        </w:rPr>
        <w:t>…………………………………………（页码）</w:t>
      </w:r>
    </w:p>
    <w:p>
      <w:pPr>
        <w:snapToGrid w:val="0"/>
        <w:spacing w:line="360" w:lineRule="auto"/>
        <w:outlineLvl w:val="0"/>
        <w:rPr>
          <w:rFonts w:ascii="仿宋" w:hAnsi="仿宋" w:eastAsia="仿宋" w:cs="仿宋"/>
          <w:b/>
          <w:kern w:val="0"/>
          <w:sz w:val="32"/>
          <w:szCs w:val="32"/>
          <w:highlight w:val="none"/>
        </w:rPr>
        <w:sectPr>
          <w:pgSz w:w="11906" w:h="16838"/>
          <w:pgMar w:top="1276" w:right="141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snapToGrid w:val="0"/>
        <w:spacing w:line="360" w:lineRule="auto"/>
        <w:jc w:val="center"/>
        <w:outlineLvl w:val="0"/>
        <w:rPr>
          <w:rFonts w:ascii="仿宋" w:hAnsi="仿宋" w:eastAsia="仿宋" w:cs="仿宋"/>
          <w:b/>
          <w:sz w:val="32"/>
          <w:szCs w:val="32"/>
          <w:highlight w:val="none"/>
        </w:rPr>
      </w:pPr>
      <w:r>
        <w:rPr>
          <w:rFonts w:hint="eastAsia" w:ascii="仿宋" w:hAnsi="仿宋" w:eastAsia="仿宋" w:cs="仿宋"/>
          <w:b/>
          <w:kern w:val="0"/>
          <w:sz w:val="32"/>
          <w:szCs w:val="32"/>
          <w:highlight w:val="none"/>
        </w:rPr>
        <w:t>一、投标</w:t>
      </w:r>
      <w:r>
        <w:rPr>
          <w:rFonts w:hint="eastAsia" w:ascii="仿宋" w:hAnsi="仿宋" w:eastAsia="仿宋" w:cs="仿宋"/>
          <w:b/>
          <w:sz w:val="32"/>
          <w:szCs w:val="32"/>
          <w:highlight w:val="none"/>
        </w:rPr>
        <w:t>函</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lang w:val="en-US" w:eastAsia="zh-CN"/>
        </w:rPr>
        <w:t>富蕴县</w:t>
      </w:r>
      <w:r>
        <w:rPr>
          <w:rFonts w:hint="eastAsia" w:ascii="仿宋" w:hAnsi="仿宋" w:eastAsia="仿宋" w:cs="仿宋"/>
          <w:sz w:val="24"/>
          <w:highlight w:val="none"/>
          <w:lang w:eastAsia="zh-CN"/>
        </w:rPr>
        <w:t>教育局</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富蕴县政府采购中心</w:t>
      </w:r>
      <w:r>
        <w:rPr>
          <w:rFonts w:hint="eastAsia" w:ascii="仿宋" w:hAnsi="仿宋" w:eastAsia="仿宋" w:cs="仿宋"/>
          <w:sz w:val="24"/>
          <w:highlight w:val="none"/>
        </w:rPr>
        <w:t>：</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我方参加你方组织的</w:t>
      </w:r>
      <w:r>
        <w:rPr>
          <w:rFonts w:hint="eastAsia" w:ascii="仿宋" w:hAnsi="仿宋" w:eastAsia="仿宋" w:cs="仿宋"/>
          <w:sz w:val="24"/>
          <w:highlight w:val="none"/>
          <w:u w:val="single"/>
          <w:lang w:val="en" w:eastAsia="zh-CN"/>
        </w:rPr>
        <w:t>2023年义务教育薄弱环节改善与能力提升项目中央资金（第二批）建设项目</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项目</w:t>
      </w:r>
      <w:r>
        <w:rPr>
          <w:rFonts w:hint="eastAsia" w:ascii="仿宋" w:hAnsi="仿宋" w:eastAsia="仿宋" w:cs="仿宋"/>
          <w:sz w:val="24"/>
          <w:highlight w:val="none"/>
        </w:rPr>
        <w:t>编号：</w:t>
      </w:r>
      <w:r>
        <w:rPr>
          <w:rFonts w:hint="eastAsia" w:ascii="仿宋" w:hAnsi="仿宋" w:eastAsia="仿宋" w:cs="仿宋"/>
          <w:color w:val="auto"/>
          <w:sz w:val="24"/>
          <w:highlight w:val="none"/>
          <w:lang w:val="en-US" w:eastAsia="zh-CN"/>
        </w:rPr>
        <w:t>FYXCGZX-JC2023-016</w:t>
      </w:r>
      <w:r>
        <w:rPr>
          <w:rFonts w:hint="eastAsia" w:ascii="仿宋" w:hAnsi="仿宋" w:eastAsia="仿宋" w:cs="仿宋"/>
          <w:sz w:val="24"/>
          <w:highlight w:val="none"/>
        </w:rPr>
        <w:t>】招标的有关活动，并对此项目进行投标。为此：</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1、我方承诺投标有效期从提交投标文件的截止之日起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天（不少于</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0天）</w:t>
      </w:r>
      <w:r>
        <w:rPr>
          <w:rFonts w:hint="eastAsia" w:ascii="仿宋" w:hAnsi="仿宋" w:eastAsia="仿宋" w:cs="仿宋"/>
          <w:highlight w:val="none"/>
        </w:rPr>
        <w:t>，</w:t>
      </w:r>
      <w:r>
        <w:rPr>
          <w:rFonts w:hint="eastAsia" w:ascii="仿宋" w:hAnsi="仿宋" w:eastAsia="仿宋" w:cs="仿宋"/>
          <w:sz w:val="24"/>
          <w:highlight w:val="none"/>
        </w:rPr>
        <w:t>本投标文件在投标有效期满之前均具有约束力。</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2、我方的投标文件包括以下内容：</w:t>
      </w:r>
    </w:p>
    <w:p>
      <w:pPr>
        <w:snapToGrid w:val="0"/>
        <w:spacing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2.1资格文件：</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2.1.1承诺函；</w:t>
      </w:r>
    </w:p>
    <w:p>
      <w:pPr>
        <w:snapToGrid w:val="0"/>
        <w:spacing w:line="360" w:lineRule="auto"/>
        <w:ind w:left="420" w:leftChars="200" w:firstLine="480" w:firstLineChars="200"/>
        <w:rPr>
          <w:highlight w:val="none"/>
        </w:rPr>
      </w:pPr>
      <w:r>
        <w:rPr>
          <w:rFonts w:hint="eastAsia" w:ascii="仿宋" w:hAnsi="仿宋" w:eastAsia="仿宋" w:cs="仿宋"/>
          <w:sz w:val="24"/>
          <w:highlight w:val="none"/>
        </w:rPr>
        <w:t>2.1.2联合协议（如果有）；</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2.1.3落实政府采购政策需满足的资格要求（如果有）；</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2.1.4本项目的特定资格要求（如果有）。</w:t>
      </w:r>
    </w:p>
    <w:p>
      <w:pPr>
        <w:snapToGrid w:val="0"/>
        <w:spacing w:line="360" w:lineRule="auto"/>
        <w:ind w:firstLine="720" w:firstLineChars="3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商务技术</w:t>
      </w:r>
      <w:r>
        <w:rPr>
          <w:rFonts w:hint="eastAsia" w:ascii="仿宋" w:hAnsi="仿宋" w:eastAsia="仿宋" w:cs="仿宋"/>
          <w:sz w:val="24"/>
          <w:highlight w:val="none"/>
          <w:lang w:val="zh-CN"/>
        </w:rPr>
        <w:t>文件：</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2.2.1投标函；</w:t>
      </w:r>
      <w:r>
        <w:rPr>
          <w:rFonts w:hint="eastAsia" w:ascii="仿宋" w:hAnsi="仿宋" w:eastAsia="仿宋" w:cs="仿宋"/>
          <w:sz w:val="24"/>
          <w:highlight w:val="none"/>
          <w:lang w:val="zh-CN"/>
        </w:rPr>
        <w:t xml:space="preserve"> </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2.2.3分包意向协议（如果有）；</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2.2.4符合性审查资料；</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2.2.5评标标准相应的商务技术资料；</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2.2.6投标标的清单；</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2.2.7商务技术偏离表；</w:t>
      </w:r>
    </w:p>
    <w:p>
      <w:pPr>
        <w:snapToGrid w:val="0"/>
        <w:spacing w:line="360" w:lineRule="auto"/>
        <w:ind w:left="420" w:leftChars="200" w:firstLine="480" w:firstLineChars="2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p>
    <w:p>
      <w:pPr>
        <w:snapToGrid w:val="0"/>
        <w:spacing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3报价文件</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2.3.1开标一览表（报价表）；</w:t>
      </w:r>
    </w:p>
    <w:p>
      <w:pPr>
        <w:snapToGrid w:val="0"/>
        <w:spacing w:line="360" w:lineRule="auto"/>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2.3.2中小企业声明函（如果有）。</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4、如我方中标，我方承诺：</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5、其他补充说明: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360" w:lineRule="auto"/>
        <w:ind w:firstLine="3600" w:firstLineChars="1500"/>
        <w:rPr>
          <w:rFonts w:ascii="仿宋" w:hAnsi="仿宋" w:eastAsia="仿宋" w:cs="仿宋"/>
          <w:sz w:val="24"/>
          <w:highlight w:val="none"/>
        </w:rPr>
      </w:pPr>
      <w:r>
        <w:rPr>
          <w:rFonts w:hint="eastAsia" w:ascii="仿宋" w:hAnsi="仿宋" w:eastAsia="仿宋" w:cs="仿宋"/>
          <w:sz w:val="24"/>
          <w:highlight w:val="none"/>
        </w:rPr>
        <w:t xml:space="preserve">投标人名称（电子签名）：                          </w:t>
      </w:r>
    </w:p>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 xml:space="preserve">     日期：  年   月   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p>
    <w:p>
      <w:pPr>
        <w:snapToGrid w:val="0"/>
        <w:spacing w:line="360" w:lineRule="auto"/>
        <w:ind w:firstLine="2872" w:firstLineChars="894"/>
        <w:rPr>
          <w:rFonts w:ascii="仿宋" w:hAnsi="仿宋" w:eastAsia="仿宋" w:cs="仿宋"/>
          <w:highlight w:val="none"/>
        </w:rPr>
      </w:pPr>
      <w:r>
        <w:rPr>
          <w:rFonts w:hint="eastAsia" w:ascii="仿宋" w:hAnsi="仿宋" w:eastAsia="仿宋" w:cs="仿宋"/>
          <w:b/>
          <w:kern w:val="0"/>
          <w:sz w:val="32"/>
          <w:szCs w:val="32"/>
          <w:highlight w:val="none"/>
          <w:lang w:val="zh-CN"/>
        </w:rPr>
        <w:t>授权委托书（适用于非联合体投标）</w:t>
      </w:r>
      <w:r>
        <w:rPr>
          <w:rFonts w:hint="eastAsia" w:ascii="仿宋" w:hAnsi="仿宋" w:eastAsia="仿宋" w:cs="仿宋"/>
          <w:highlight w:val="none"/>
        </w:rPr>
        <w:t xml:space="preserve">                               </w:t>
      </w: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lang w:val="en-US" w:eastAsia="zh-CN"/>
        </w:rPr>
        <w:t>富蕴县</w:t>
      </w:r>
      <w:r>
        <w:rPr>
          <w:rFonts w:hint="eastAsia" w:ascii="仿宋" w:hAnsi="仿宋" w:eastAsia="仿宋" w:cs="仿宋"/>
          <w:sz w:val="24"/>
          <w:highlight w:val="none"/>
          <w:lang w:eastAsia="zh-CN"/>
        </w:rPr>
        <w:t>教育局</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富蕴县政府采购中心</w:t>
      </w:r>
      <w:r>
        <w:rPr>
          <w:rFonts w:hint="eastAsia" w:ascii="仿宋" w:hAnsi="仿宋" w:eastAsia="仿宋" w:cs="仿宋"/>
          <w:kern w:val="0"/>
          <w:sz w:val="24"/>
          <w:highlight w:val="none"/>
          <w:lang w:val="zh-CN"/>
        </w:rPr>
        <w:t>：</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u w:val="single"/>
          <w:lang w:val="en" w:eastAsia="zh-CN"/>
        </w:rPr>
        <w:t>2023年义务教育薄弱环节改善与能力提升项目中央资金（第二批）建设项目</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项目</w:t>
      </w:r>
      <w:r>
        <w:rPr>
          <w:rFonts w:hint="eastAsia" w:ascii="仿宋" w:hAnsi="仿宋" w:eastAsia="仿宋" w:cs="仿宋"/>
          <w:sz w:val="24"/>
          <w:highlight w:val="none"/>
        </w:rPr>
        <w:t>编号：</w:t>
      </w:r>
      <w:r>
        <w:rPr>
          <w:rFonts w:hint="eastAsia" w:ascii="仿宋" w:hAnsi="仿宋" w:eastAsia="仿宋" w:cs="仿宋"/>
          <w:sz w:val="24"/>
          <w:highlight w:val="none"/>
          <w:lang w:val="en-US" w:eastAsia="zh-CN"/>
        </w:rPr>
        <w:t>FYXCGZX-JC2023-016</w:t>
      </w:r>
      <w:r>
        <w:rPr>
          <w:rFonts w:hint="eastAsia" w:ascii="仿宋" w:hAnsi="仿宋" w:eastAsia="仿宋" w:cs="仿宋"/>
          <w:sz w:val="24"/>
          <w:highlight w:val="none"/>
        </w:rPr>
        <w:t>】</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snapToGrid w:val="0"/>
        <w:spacing w:line="360" w:lineRule="auto"/>
        <w:rPr>
          <w:rFonts w:ascii="仿宋" w:hAnsi="仿宋" w:eastAsia="仿宋" w:cs="仿宋"/>
          <w:kern w:val="0"/>
          <w:sz w:val="24"/>
          <w:highlight w:val="none"/>
        </w:rPr>
      </w:pPr>
      <w:r>
        <w:rPr>
          <w:rFonts w:hint="eastAsia" w:ascii="仿宋" w:hAnsi="仿宋" w:eastAsia="仿宋" w:cs="仿宋"/>
          <w:kern w:val="0"/>
          <w:sz w:val="24"/>
          <w:highlight w:val="none"/>
          <w:lang w:val="zh-CN"/>
        </w:rPr>
        <w:t xml:space="preserve">                                                 投标人名称(电子签名)：</w:t>
      </w:r>
    </w:p>
    <w:p>
      <w:pPr>
        <w:snapToGrid w:val="0"/>
        <w:spacing w:line="360" w:lineRule="auto"/>
        <w:rPr>
          <w:rFonts w:ascii="仿宋" w:hAnsi="仿宋" w:eastAsia="仿宋" w:cs="仿宋"/>
          <w:sz w:val="24"/>
          <w:highlight w:val="none"/>
        </w:rPr>
      </w:pPr>
      <w:r>
        <w:rPr>
          <w:rFonts w:hint="eastAsia" w:ascii="仿宋" w:hAnsi="仿宋" w:eastAsia="仿宋" w:cs="仿宋"/>
          <w:kern w:val="0"/>
          <w:sz w:val="24"/>
          <w:highlight w:val="none"/>
          <w:lang w:val="zh-CN"/>
        </w:rPr>
        <w:t xml:space="preserve">                                                 签发日期：  年  月   日</w:t>
      </w: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kern w:val="0"/>
          <w:sz w:val="24"/>
          <w:highlight w:val="none"/>
          <w:lang w:val="zh-CN"/>
        </w:rPr>
      </w:pPr>
      <w:r>
        <w:rPr>
          <w:rFonts w:hint="eastAsia" w:ascii="仿宋" w:hAnsi="仿宋" w:eastAsia="仿宋" w:cs="仿宋"/>
          <w:b/>
          <w:kern w:val="0"/>
          <w:sz w:val="32"/>
          <w:szCs w:val="32"/>
          <w:highlight w:val="none"/>
          <w:lang w:val="zh-CN"/>
        </w:rPr>
        <w:t xml:space="preserve">      </w:t>
      </w:r>
      <w:r>
        <w:rPr>
          <w:rFonts w:hint="eastAsia" w:ascii="仿宋" w:hAnsi="仿宋" w:eastAsia="仿宋" w:cs="仿宋"/>
          <w:b/>
          <w:kern w:val="0"/>
          <w:sz w:val="32"/>
          <w:szCs w:val="32"/>
          <w:highlight w:val="none"/>
        </w:rPr>
        <w:t xml:space="preserve"> </w:t>
      </w:r>
    </w:p>
    <w:p>
      <w:pPr>
        <w:pStyle w:val="2"/>
        <w:rPr>
          <w:rFonts w:ascii="仿宋" w:eastAsia="仿宋" w:cs="仿宋"/>
          <w:kern w:val="0"/>
          <w:sz w:val="24"/>
          <w:szCs w:val="24"/>
          <w:highlight w:val="none"/>
        </w:rPr>
      </w:pPr>
    </w:p>
    <w:p>
      <w:pPr>
        <w:spacing w:line="360" w:lineRule="auto"/>
        <w:ind w:firstLine="480" w:firstLineChars="200"/>
        <w:rPr>
          <w:rFonts w:ascii="仿宋" w:hAnsi="仿宋" w:eastAsia="仿宋" w:cs="仿宋"/>
          <w:sz w:val="24"/>
          <w:highlight w:val="none"/>
          <w:lang w:val="zh-CN"/>
        </w:rPr>
        <w:sectPr>
          <w:pgSz w:w="11906" w:h="16838"/>
          <w:pgMar w:top="1276" w:right="1418" w:bottom="1247" w:left="1418" w:header="851" w:footer="992" w:gutter="0"/>
          <w:pgNumType w:fmt="decimal"/>
          <w:cols w:space="720" w:num="1"/>
          <w:titlePg/>
          <w:docGrid w:linePitch="312" w:charSpace="0"/>
        </w:sectPr>
      </w:pPr>
      <w:r>
        <w:rPr>
          <w:rFonts w:hint="eastAsia" w:ascii="仿宋" w:hAnsi="仿宋" w:eastAsia="仿宋" w:cs="仿宋"/>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jc w:val="center"/>
        <w:rPr>
          <w:rFonts w:ascii="仿宋" w:hAnsi="仿宋" w:eastAsia="仿宋" w:cs="仿宋"/>
          <w:b/>
          <w:sz w:val="24"/>
          <w:highlight w:val="none"/>
        </w:rPr>
      </w:pPr>
      <w:r>
        <w:rPr>
          <w:rFonts w:hint="eastAsia" w:ascii="仿宋" w:hAnsi="仿宋" w:eastAsia="仿宋" w:cs="仿宋"/>
          <w:b/>
          <w:kern w:val="0"/>
          <w:sz w:val="32"/>
          <w:szCs w:val="32"/>
          <w:highlight w:val="none"/>
          <w:lang w:val="zh-CN"/>
        </w:rPr>
        <w:t>法定代表人、单位负责人或自然人本人</w:t>
      </w:r>
      <w:r>
        <w:rPr>
          <w:rFonts w:hint="eastAsia" w:ascii="仿宋" w:hAnsi="仿宋" w:eastAsia="仿宋" w:cs="仿宋"/>
          <w:b/>
          <w:sz w:val="30"/>
          <w:szCs w:val="30"/>
          <w:highlight w:val="none"/>
        </w:rPr>
        <w:t>的身份证明（适用于法定代表人、单位负责人或者自然人本人代表投标人参加投标）</w:t>
      </w:r>
    </w:p>
    <w:p>
      <w:pPr>
        <w:pStyle w:val="37"/>
        <w:spacing w:line="360" w:lineRule="auto"/>
        <w:rPr>
          <w:rFonts w:ascii="仿宋" w:hAnsi="仿宋" w:eastAsia="仿宋" w:cs="仿宋"/>
          <w:bCs/>
          <w:sz w:val="24"/>
          <w:highlight w:val="none"/>
        </w:rPr>
      </w:pPr>
      <w:r>
        <w:rPr>
          <w:rFonts w:hint="eastAsia" w:ascii="仿宋" w:hAnsi="仿宋" w:eastAsia="仿宋" w:cs="仿宋"/>
          <w:bCs/>
          <w:sz w:val="24"/>
          <w:highlight w:val="none"/>
        </w:rPr>
        <w:t>身份证件扫描件：</w:t>
      </w:r>
    </w:p>
    <w:tbl>
      <w:tblPr>
        <w:tblStyle w:val="21"/>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tcPr>
          <w:p>
            <w:pPr>
              <w:pStyle w:val="37"/>
              <w:adjustRightInd w:val="0"/>
              <w:spacing w:line="360" w:lineRule="auto"/>
              <w:rPr>
                <w:rFonts w:ascii="仿宋" w:hAnsi="仿宋" w:eastAsia="仿宋" w:cs="仿宋"/>
                <w:bCs/>
                <w:sz w:val="24"/>
                <w:highlight w:val="none"/>
              </w:rPr>
            </w:pPr>
            <w:r>
              <w:rPr>
                <w:rFonts w:hint="eastAsia" w:ascii="仿宋" w:hAnsi="仿宋" w:eastAsia="仿宋" w:cs="仿宋"/>
                <w:bCs/>
                <w:sz w:val="24"/>
                <w:highlight w:val="none"/>
              </w:rPr>
              <w:t>正面：                                 反面：</w:t>
            </w:r>
          </w:p>
          <w:p>
            <w:pPr>
              <w:pStyle w:val="37"/>
              <w:adjustRightInd w:val="0"/>
              <w:spacing w:line="360" w:lineRule="auto"/>
              <w:rPr>
                <w:rFonts w:ascii="仿宋" w:hAnsi="仿宋" w:eastAsia="仿宋" w:cs="仿宋"/>
                <w:bCs/>
                <w:sz w:val="24"/>
                <w:highlight w:val="none"/>
              </w:rPr>
            </w:pPr>
          </w:p>
        </w:tc>
      </w:tr>
    </w:tbl>
    <w:p>
      <w:pPr>
        <w:snapToGrid w:val="0"/>
        <w:spacing w:line="360" w:lineRule="auto"/>
        <w:ind w:firstLine="576"/>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snapToGrid w:val="0"/>
        <w:spacing w:line="360" w:lineRule="auto"/>
        <w:ind w:firstLine="576"/>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                              </w:t>
      </w:r>
    </w:p>
    <w:p>
      <w:pPr>
        <w:spacing w:line="360" w:lineRule="auto"/>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napToGrid w:val="0"/>
        <w:spacing w:line="360" w:lineRule="auto"/>
        <w:rPr>
          <w:rFonts w:ascii="仿宋" w:hAnsi="仿宋" w:eastAsia="仿宋" w:cs="仿宋"/>
          <w:b/>
          <w:kern w:val="0"/>
          <w:sz w:val="32"/>
          <w:szCs w:val="32"/>
          <w:highlight w:val="none"/>
        </w:rPr>
        <w:sectPr>
          <w:headerReference r:id="rId5" w:type="first"/>
          <w:footerReference r:id="rId7" w:type="first"/>
          <w:headerReference r:id="rId4" w:type="default"/>
          <w:footerReference r:id="rId6" w:type="default"/>
          <w:pgSz w:w="11906" w:h="16838"/>
          <w:pgMar w:top="1276" w:right="141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snapToGrid w:val="0"/>
        <w:spacing w:line="360" w:lineRule="auto"/>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三、分包意向协议（如果有）</w:t>
      </w:r>
    </w:p>
    <w:p>
      <w:pPr>
        <w:widowControl/>
        <w:spacing w:line="360" w:lineRule="auto"/>
        <w:ind w:firstLine="120" w:firstLineChars="50"/>
        <w:jc w:val="left"/>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sz w:val="24"/>
          <w:highlight w:val="none"/>
        </w:rPr>
        <w:t>）</w:t>
      </w:r>
    </w:p>
    <w:p>
      <w:pPr>
        <w:pStyle w:val="2"/>
        <w:rPr>
          <w:highlight w:val="none"/>
        </w:rPr>
      </w:pPr>
    </w:p>
    <w:p>
      <w:pPr>
        <w:rPr>
          <w:highlight w:val="none"/>
        </w:rPr>
      </w:pPr>
    </w:p>
    <w:p>
      <w:pPr>
        <w:pStyle w:val="2"/>
        <w:rPr>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四、符合性审查资料</w:t>
      </w:r>
    </w:p>
    <w:p>
      <w:pPr>
        <w:jc w:val="center"/>
        <w:rPr>
          <w:rFonts w:ascii="仿宋" w:hAnsi="仿宋" w:eastAsia="仿宋" w:cs="仿宋"/>
          <w:b/>
          <w:kern w:val="0"/>
          <w:sz w:val="32"/>
          <w:szCs w:val="32"/>
          <w:highlight w:val="none"/>
        </w:rPr>
      </w:pPr>
    </w:p>
    <w:tbl>
      <w:tblPr>
        <w:tblStyle w:val="2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4991"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实质性要求</w:t>
            </w:r>
          </w:p>
        </w:tc>
        <w:tc>
          <w:tcPr>
            <w:tcW w:w="2551"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投标文件中的</w:t>
            </w:r>
          </w:p>
          <w:p>
            <w:pPr>
              <w:snapToGrid w:val="0"/>
              <w:spacing w:line="240" w:lineRule="atLeast"/>
              <w:jc w:val="center"/>
              <w:rPr>
                <w:rFonts w:ascii="仿宋" w:hAnsi="仿宋" w:eastAsia="仿宋" w:cs="仿宋"/>
                <w:b/>
                <w:sz w:val="24"/>
                <w:highlight w:val="none"/>
              </w:rPr>
            </w:pPr>
            <w:r>
              <w:rPr>
                <w:rFonts w:hint="eastAsia" w:ascii="仿宋" w:hAnsi="仿宋" w:eastAsia="仿宋" w:cs="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highlight w:val="none"/>
              </w:rPr>
            </w:pPr>
            <w:r>
              <w:rPr>
                <w:rFonts w:hint="eastAsia" w:ascii="仿宋" w:hAnsi="仿宋" w:eastAsia="仿宋" w:cs="仿宋"/>
                <w:sz w:val="24"/>
                <w:highlight w:val="none"/>
              </w:rPr>
              <w:t>1</w:t>
            </w:r>
          </w:p>
        </w:tc>
        <w:tc>
          <w:tcPr>
            <w:tcW w:w="4991"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2551" w:type="dxa"/>
            <w:vAlign w:val="center"/>
          </w:tcPr>
          <w:p>
            <w:pPr>
              <w:rPr>
                <w:rFonts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c>
          <w:tcPr>
            <w:tcW w:w="1418" w:type="dxa"/>
          </w:tcPr>
          <w:p>
            <w:pPr>
              <w:rPr>
                <w:rFonts w:ascii="仿宋" w:hAnsi="仿宋" w:eastAsia="仿宋" w:cs="仿宋"/>
                <w:sz w:val="24"/>
                <w:highlight w:val="none"/>
              </w:rPr>
            </w:pPr>
          </w:p>
          <w:p>
            <w:pPr>
              <w:rPr>
                <w:rFonts w:ascii="仿宋" w:hAnsi="仿宋" w:eastAsia="仿宋" w:cs="仿宋"/>
                <w:sz w:val="24"/>
                <w:highlight w:val="none"/>
              </w:rPr>
            </w:pPr>
            <w:r>
              <w:rPr>
                <w:rFonts w:hint="eastAsia" w:ascii="仿宋" w:hAnsi="仿宋" w:eastAsia="仿宋" w:cs="仿宋"/>
                <w:sz w:val="24"/>
                <w:highlight w:val="none"/>
              </w:rPr>
              <w:t>见投标文件</w:t>
            </w:r>
          </w:p>
          <w:p>
            <w:pPr>
              <w:rPr>
                <w:rFonts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highlight w:val="none"/>
              </w:rPr>
            </w:pPr>
            <w:r>
              <w:rPr>
                <w:rFonts w:hint="eastAsia" w:ascii="仿宋" w:hAnsi="仿宋" w:eastAsia="仿宋" w:cs="仿宋"/>
                <w:sz w:val="24"/>
                <w:highlight w:val="none"/>
              </w:rPr>
              <w:t>2</w:t>
            </w:r>
          </w:p>
        </w:tc>
        <w:tc>
          <w:tcPr>
            <w:tcW w:w="4991"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投标文件中承诺的投标有效期不少于招标文件中载明的投标有效期。</w:t>
            </w:r>
          </w:p>
        </w:tc>
        <w:tc>
          <w:tcPr>
            <w:tcW w:w="2551" w:type="dxa"/>
            <w:vAlign w:val="center"/>
          </w:tcPr>
          <w:p>
            <w:pPr>
              <w:rPr>
                <w:rFonts w:ascii="仿宋" w:hAnsi="仿宋" w:eastAsia="仿宋" w:cs="仿宋"/>
                <w:sz w:val="24"/>
                <w:highlight w:val="none"/>
              </w:rPr>
            </w:pPr>
            <w:r>
              <w:rPr>
                <w:rFonts w:hint="eastAsia" w:ascii="仿宋" w:hAnsi="仿宋" w:eastAsia="仿宋" w:cs="仿宋"/>
                <w:sz w:val="24"/>
                <w:highlight w:val="none"/>
              </w:rPr>
              <w:t>投标函</w:t>
            </w:r>
          </w:p>
        </w:tc>
        <w:tc>
          <w:tcPr>
            <w:tcW w:w="1418" w:type="dxa"/>
          </w:tcPr>
          <w:p>
            <w:pPr>
              <w:rPr>
                <w:rFonts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highlight w:val="none"/>
              </w:rPr>
            </w:pPr>
            <w:r>
              <w:rPr>
                <w:rFonts w:hint="eastAsia" w:ascii="仿宋" w:hAnsi="仿宋" w:eastAsia="仿宋" w:cs="仿宋"/>
                <w:sz w:val="24"/>
                <w:highlight w:val="none"/>
              </w:rPr>
              <w:t>3</w:t>
            </w:r>
          </w:p>
        </w:tc>
        <w:tc>
          <w:tcPr>
            <w:tcW w:w="4991" w:type="dxa"/>
          </w:tcPr>
          <w:p>
            <w:pPr>
              <w:spacing w:line="360" w:lineRule="auto"/>
              <w:rPr>
                <w:rFonts w:ascii="仿宋" w:hAnsi="仿宋" w:eastAsia="仿宋" w:cs="仿宋"/>
                <w:sz w:val="24"/>
                <w:highlight w:val="none"/>
              </w:rPr>
            </w:pPr>
            <w:r>
              <w:rPr>
                <w:rFonts w:hint="eastAsia" w:ascii="仿宋" w:hAnsi="仿宋" w:eastAsia="仿宋" w:cs="仿宋"/>
                <w:sz w:val="24"/>
                <w:highlight w:val="none"/>
              </w:rPr>
              <w:t>投标文件满足招标文件的其它实质性要求。</w:t>
            </w:r>
          </w:p>
        </w:tc>
        <w:tc>
          <w:tcPr>
            <w:tcW w:w="2551" w:type="dxa"/>
            <w:vAlign w:val="center"/>
          </w:tcPr>
          <w:p>
            <w:pPr>
              <w:rPr>
                <w:rFonts w:ascii="仿宋" w:hAnsi="仿宋" w:eastAsia="仿宋" w:cs="仿宋"/>
                <w:sz w:val="24"/>
                <w:highlight w:val="none"/>
              </w:rPr>
            </w:pPr>
            <w:r>
              <w:rPr>
                <w:rFonts w:hint="eastAsia" w:ascii="仿宋" w:hAnsi="仿宋" w:eastAsia="仿宋" w:cs="仿宋"/>
                <w:kern w:val="0"/>
                <w:sz w:val="24"/>
                <w:highlight w:val="none"/>
              </w:rPr>
              <w:t>招标文件其它实质性要求相应的材料（“▲” 系指实质性要求条款，招标文件无其它实质性要求的，无需提供）</w:t>
            </w:r>
          </w:p>
        </w:tc>
        <w:tc>
          <w:tcPr>
            <w:tcW w:w="1418" w:type="dxa"/>
          </w:tcPr>
          <w:p>
            <w:pPr>
              <w:rPr>
                <w:rFonts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仿宋" w:hAnsi="仿宋" w:eastAsia="仿宋" w:cs="仿宋"/>
          <w:b/>
          <w:kern w:val="0"/>
          <w:sz w:val="32"/>
          <w:szCs w:val="32"/>
          <w:highlight w:val="none"/>
        </w:rPr>
        <w:sectPr>
          <w:pgSz w:w="11906" w:h="16838"/>
          <w:pgMar w:top="1276" w:right="141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jc w:val="center"/>
        <w:rPr>
          <w:rFonts w:ascii="仿宋" w:hAnsi="仿宋" w:eastAsia="仿宋" w:cs="仿宋"/>
          <w:highlight w:val="none"/>
        </w:rPr>
      </w:pPr>
      <w:r>
        <w:rPr>
          <w:rFonts w:hint="eastAsia" w:ascii="仿宋" w:hAnsi="仿宋" w:eastAsia="仿宋" w:cs="仿宋"/>
          <w:b/>
          <w:kern w:val="0"/>
          <w:sz w:val="32"/>
          <w:szCs w:val="32"/>
          <w:highlight w:val="none"/>
        </w:rPr>
        <w:t>五、评标标准相应的商务技术资料</w:t>
      </w: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（按招标文件第四部分评标办法前附表中“投标文件中评标标准相应的商务技术资料目录”提供资料）</w:t>
      </w: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六、投标标的清单</w:t>
      </w:r>
    </w:p>
    <w:tbl>
      <w:tblPr>
        <w:tblStyle w:val="21"/>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品牌</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highlight w:val="none"/>
              </w:rPr>
            </w:pPr>
          </w:p>
        </w:tc>
      </w:tr>
    </w:tbl>
    <w:p>
      <w:pPr>
        <w:spacing w:line="360" w:lineRule="auto"/>
        <w:ind w:right="420"/>
        <w:rPr>
          <w:rFonts w:ascii="仿宋" w:hAnsi="仿宋" w:eastAsia="仿宋" w:cs="仿宋"/>
          <w:sz w:val="24"/>
          <w:highlight w:val="none"/>
        </w:rPr>
      </w:pPr>
    </w:p>
    <w:p>
      <w:pPr>
        <w:spacing w:line="360" w:lineRule="auto"/>
        <w:ind w:right="420"/>
        <w:rPr>
          <w:rFonts w:ascii="仿宋" w:hAnsi="仿宋" w:eastAsia="仿宋" w:cs="仿宋"/>
          <w:sz w:val="24"/>
          <w:highlight w:val="none"/>
        </w:rPr>
      </w:pPr>
      <w:r>
        <w:rPr>
          <w:rFonts w:hint="eastAsia" w:ascii="仿宋" w:hAnsi="仿宋" w:eastAsia="仿宋" w:cs="仿宋"/>
          <w:sz w:val="24"/>
          <w:highlight w:val="none"/>
        </w:rPr>
        <w:t>注：按本格式和要求提供。</w:t>
      </w: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七、商务技术偏离表</w:t>
      </w:r>
    </w:p>
    <w:tbl>
      <w:tblPr>
        <w:tblStyle w:val="2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序号</w:t>
            </w:r>
          </w:p>
        </w:tc>
        <w:tc>
          <w:tcPr>
            <w:tcW w:w="3683"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3546"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276" w:type="dxa"/>
          </w:tcPr>
          <w:p>
            <w:pPr>
              <w:jc w:val="center"/>
              <w:rPr>
                <w:rFonts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c>
          <w:tcPr>
            <w:tcW w:w="3683" w:type="dxa"/>
          </w:tcPr>
          <w:p>
            <w:pPr>
              <w:jc w:val="center"/>
              <w:rPr>
                <w:rFonts w:ascii="仿宋" w:hAnsi="仿宋" w:eastAsia="仿宋" w:cs="仿宋"/>
                <w:b/>
                <w:kern w:val="0"/>
                <w:sz w:val="32"/>
                <w:szCs w:val="32"/>
                <w:highlight w:val="none"/>
              </w:rPr>
            </w:pPr>
          </w:p>
        </w:tc>
        <w:tc>
          <w:tcPr>
            <w:tcW w:w="3546" w:type="dxa"/>
          </w:tcPr>
          <w:p>
            <w:pPr>
              <w:jc w:val="center"/>
              <w:rPr>
                <w:rFonts w:ascii="仿宋" w:hAnsi="仿宋" w:eastAsia="仿宋" w:cs="仿宋"/>
                <w:b/>
                <w:kern w:val="0"/>
                <w:sz w:val="32"/>
                <w:szCs w:val="32"/>
                <w:highlight w:val="none"/>
              </w:rPr>
            </w:pPr>
          </w:p>
        </w:tc>
        <w:tc>
          <w:tcPr>
            <w:tcW w:w="1276" w:type="dxa"/>
          </w:tcPr>
          <w:p>
            <w:pPr>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2</w:t>
            </w:r>
          </w:p>
        </w:tc>
        <w:tc>
          <w:tcPr>
            <w:tcW w:w="3683" w:type="dxa"/>
          </w:tcPr>
          <w:p>
            <w:pPr>
              <w:jc w:val="center"/>
              <w:rPr>
                <w:rFonts w:ascii="仿宋" w:hAnsi="仿宋" w:eastAsia="仿宋" w:cs="仿宋"/>
                <w:b/>
                <w:kern w:val="0"/>
                <w:sz w:val="32"/>
                <w:szCs w:val="32"/>
                <w:highlight w:val="none"/>
              </w:rPr>
            </w:pPr>
          </w:p>
        </w:tc>
        <w:tc>
          <w:tcPr>
            <w:tcW w:w="3546" w:type="dxa"/>
          </w:tcPr>
          <w:p>
            <w:pPr>
              <w:jc w:val="center"/>
              <w:rPr>
                <w:rFonts w:ascii="仿宋" w:hAnsi="仿宋" w:eastAsia="仿宋" w:cs="仿宋"/>
                <w:b/>
                <w:kern w:val="0"/>
                <w:sz w:val="32"/>
                <w:szCs w:val="32"/>
                <w:highlight w:val="none"/>
              </w:rPr>
            </w:pPr>
          </w:p>
        </w:tc>
        <w:tc>
          <w:tcPr>
            <w:tcW w:w="1276" w:type="dxa"/>
          </w:tcPr>
          <w:p>
            <w:pPr>
              <w:jc w:val="center"/>
              <w:rPr>
                <w:rFonts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3683" w:type="dxa"/>
          </w:tcPr>
          <w:p>
            <w:pPr>
              <w:jc w:val="center"/>
              <w:rPr>
                <w:rFonts w:ascii="仿宋" w:hAnsi="仿宋" w:eastAsia="仿宋" w:cs="仿宋"/>
                <w:b/>
                <w:kern w:val="0"/>
                <w:sz w:val="32"/>
                <w:szCs w:val="32"/>
                <w:highlight w:val="none"/>
              </w:rPr>
            </w:pPr>
          </w:p>
        </w:tc>
        <w:tc>
          <w:tcPr>
            <w:tcW w:w="3546" w:type="dxa"/>
          </w:tcPr>
          <w:p>
            <w:pPr>
              <w:jc w:val="center"/>
              <w:rPr>
                <w:rFonts w:ascii="仿宋" w:hAnsi="仿宋" w:eastAsia="仿宋" w:cs="仿宋"/>
                <w:b/>
                <w:kern w:val="0"/>
                <w:sz w:val="32"/>
                <w:szCs w:val="32"/>
                <w:highlight w:val="none"/>
              </w:rPr>
            </w:pPr>
          </w:p>
        </w:tc>
        <w:tc>
          <w:tcPr>
            <w:tcW w:w="1276" w:type="dxa"/>
          </w:tcPr>
          <w:p>
            <w:pPr>
              <w:jc w:val="center"/>
              <w:rPr>
                <w:rFonts w:ascii="仿宋" w:hAnsi="仿宋" w:eastAsia="仿宋" w:cs="仿宋"/>
                <w:b/>
                <w:kern w:val="0"/>
                <w:sz w:val="32"/>
                <w:szCs w:val="32"/>
                <w:highlight w:val="none"/>
              </w:rPr>
            </w:pPr>
          </w:p>
        </w:tc>
      </w:tr>
    </w:tbl>
    <w:p>
      <w:pPr>
        <w:jc w:val="left"/>
        <w:rPr>
          <w:rFonts w:ascii="仿宋" w:hAnsi="仿宋" w:eastAsia="仿宋" w:cs="仿宋"/>
          <w:kern w:val="0"/>
          <w:sz w:val="24"/>
          <w:highlight w:val="none"/>
        </w:rPr>
      </w:pPr>
      <w:r>
        <w:rPr>
          <w:rFonts w:hint="eastAsia" w:ascii="仿宋" w:hAnsi="仿宋" w:eastAsia="仿宋" w:cs="仿宋"/>
          <w:kern w:val="0"/>
          <w:sz w:val="24"/>
          <w:highlight w:val="none"/>
        </w:rPr>
        <w:t>投标人保证：除商务技术偏离表列出的偏离外，投标人响应招标文件的全部要求</w:t>
      </w:r>
    </w:p>
    <w:p>
      <w:pPr>
        <w:jc w:val="left"/>
        <w:rPr>
          <w:rFonts w:ascii="仿宋" w:hAnsi="仿宋" w:eastAsia="仿宋" w:cs="仿宋"/>
          <w:kern w:val="0"/>
          <w:sz w:val="24"/>
          <w:highlight w:val="none"/>
        </w:rPr>
      </w:pPr>
    </w:p>
    <w:p>
      <w:pPr>
        <w:jc w:val="left"/>
        <w:rPr>
          <w:rFonts w:ascii="仿宋" w:hAnsi="仿宋" w:eastAsia="仿宋" w:cs="仿宋"/>
          <w:kern w:val="0"/>
          <w:sz w:val="24"/>
          <w:highlight w:val="none"/>
        </w:rPr>
      </w:pPr>
      <w:r>
        <w:rPr>
          <w:rFonts w:hint="eastAsia" w:ascii="仿宋" w:hAnsi="仿宋" w:eastAsia="仿宋" w:cs="仿宋"/>
          <w:kern w:val="0"/>
          <w:sz w:val="24"/>
          <w:highlight w:val="none"/>
        </w:rPr>
        <w:t>注：按本格式和要求提供。</w:t>
      </w:r>
    </w:p>
    <w:p>
      <w:pPr>
        <w:ind w:firstLine="1911" w:firstLineChars="595"/>
        <w:rPr>
          <w:rFonts w:ascii="仿宋" w:hAnsi="仿宋" w:eastAsia="仿宋" w:cs="仿宋"/>
          <w:b/>
          <w:kern w:val="0"/>
          <w:sz w:val="32"/>
          <w:szCs w:val="32"/>
          <w:highlight w:val="none"/>
        </w:rPr>
        <w:sectPr>
          <w:pgSz w:w="11906" w:h="16838"/>
          <w:pgMar w:top="1276" w:right="141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ind w:firstLine="1911" w:firstLineChars="595"/>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八、</w:t>
      </w:r>
      <w:r>
        <w:rPr>
          <w:rFonts w:hint="eastAsia" w:ascii="仿宋" w:hAnsi="仿宋" w:eastAsia="仿宋" w:cs="仿宋"/>
          <w:b/>
          <w:kern w:val="0"/>
          <w:sz w:val="32"/>
          <w:szCs w:val="32"/>
          <w:highlight w:val="none"/>
          <w:lang w:val="zh-CN"/>
        </w:rPr>
        <w:t>政府采购供应商廉洁自律承诺书</w:t>
      </w: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lang w:val="en-US" w:eastAsia="zh-CN"/>
        </w:rPr>
        <w:t>富蕴县</w:t>
      </w:r>
      <w:r>
        <w:rPr>
          <w:rFonts w:hint="eastAsia" w:ascii="仿宋" w:hAnsi="仿宋" w:eastAsia="仿宋" w:cs="仿宋"/>
          <w:sz w:val="24"/>
          <w:highlight w:val="none"/>
          <w:lang w:eastAsia="zh-CN"/>
        </w:rPr>
        <w:t>教育局</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富蕴县政府采购中心</w:t>
      </w:r>
      <w:r>
        <w:rPr>
          <w:rFonts w:hint="eastAsia" w:ascii="仿宋" w:hAnsi="仿宋" w:eastAsia="仿宋" w:cs="仿宋"/>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好处；</w:t>
      </w:r>
    </w:p>
    <w:p>
      <w:pPr>
        <w:autoSpaceDE w:val="0"/>
        <w:autoSpaceDN w:val="0"/>
        <w:spacing w:line="360" w:lineRule="auto"/>
        <w:ind w:left="481" w:leftChars="229"/>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w:t>
      </w:r>
    </w:p>
    <w:p>
      <w:pPr>
        <w:autoSpaceDE w:val="0"/>
        <w:autoSpaceDN w:val="0"/>
        <w:spacing w:line="360" w:lineRule="auto"/>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法》</w:t>
      </w:r>
      <w:r>
        <w:rPr>
          <w:rFonts w:hint="eastAsia" w:ascii="仿宋" w:hAnsi="仿宋" w:eastAsia="仿宋" w:cs="仿宋"/>
          <w:sz w:val="24"/>
          <w:highlight w:val="none"/>
          <w:lang w:val="zh-CN"/>
        </w:rPr>
        <w:t>《中华人民共和国民法典》</w:t>
      </w:r>
      <w:r>
        <w:rPr>
          <w:rFonts w:hint="eastAsia" w:ascii="仿宋" w:hAnsi="仿宋" w:eastAsia="仿宋" w:cs="仿宋"/>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left="2"/>
        <w:jc w:val="left"/>
        <w:rPr>
          <w:rFonts w:ascii="仿宋" w:hAnsi="仿宋" w:eastAsia="仿宋" w:cs="仿宋"/>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left="4620" w:leftChars="2200"/>
        <w:rPr>
          <w:rFonts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7"/>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spacing w:line="360" w:lineRule="auto"/>
        <w:jc w:val="center"/>
        <w:outlineLvl w:val="0"/>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报价文件部分</w:t>
      </w:r>
    </w:p>
    <w:p>
      <w:pPr>
        <w:spacing w:line="360" w:lineRule="auto"/>
        <w:jc w:val="center"/>
        <w:outlineLvl w:val="0"/>
        <w:rPr>
          <w:rFonts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360" w:lineRule="auto"/>
        <w:jc w:val="center"/>
        <w:outlineLvl w:val="0"/>
        <w:rPr>
          <w:rFonts w:ascii="仿宋" w:hAnsi="仿宋" w:eastAsia="仿宋" w:cs="仿宋"/>
          <w:b/>
          <w:kern w:val="0"/>
          <w:sz w:val="36"/>
          <w:szCs w:val="36"/>
          <w:highlight w:val="none"/>
        </w:rPr>
      </w:pPr>
    </w:p>
    <w:p>
      <w:pPr>
        <w:snapToGrid w:val="0"/>
        <w:spacing w:line="360" w:lineRule="auto"/>
        <w:ind w:right="480"/>
        <w:jc w:val="center"/>
        <w:rPr>
          <w:rFonts w:ascii="仿宋" w:hAnsi="仿宋" w:eastAsia="仿宋" w:cs="仿宋"/>
          <w:sz w:val="24"/>
          <w:highlight w:val="none"/>
        </w:rPr>
      </w:pPr>
      <w:r>
        <w:rPr>
          <w:rFonts w:hint="eastAsia" w:ascii="仿宋" w:hAnsi="仿宋" w:eastAsia="仿宋" w:cs="仿宋"/>
          <w:sz w:val="24"/>
          <w:highlight w:val="none"/>
        </w:rPr>
        <w:t>（1）开标一览表（报价表）………………………………………………（页码）</w:t>
      </w:r>
    </w:p>
    <w:p>
      <w:pPr>
        <w:snapToGrid w:val="0"/>
        <w:spacing w:line="360" w:lineRule="auto"/>
        <w:ind w:right="480"/>
        <w:jc w:val="center"/>
        <w:rPr>
          <w:rFonts w:ascii="仿宋" w:hAnsi="仿宋" w:eastAsia="仿宋" w:cs="仿宋"/>
          <w:sz w:val="24"/>
          <w:highlight w:val="none"/>
        </w:rPr>
      </w:pPr>
      <w:r>
        <w:rPr>
          <w:rFonts w:hint="eastAsia" w:ascii="仿宋" w:hAnsi="仿宋" w:eastAsia="仿宋" w:cs="仿宋"/>
          <w:sz w:val="24"/>
          <w:highlight w:val="none"/>
        </w:rPr>
        <w:t>（2）中小企业声明函（如果有）…………………………………………（页码）</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39"/>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p>
    <w:p>
      <w:pPr>
        <w:pStyle w:val="39"/>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p>
    <w:p>
      <w:pPr>
        <w:pStyle w:val="39"/>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p>
    <w:p>
      <w:pPr>
        <w:pStyle w:val="39"/>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p>
    <w:p>
      <w:pPr>
        <w:pStyle w:val="39"/>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p>
    <w:p>
      <w:pPr>
        <w:pStyle w:val="39"/>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p>
    <w:p>
      <w:pPr>
        <w:pStyle w:val="39"/>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p>
    <w:p>
      <w:pPr>
        <w:pStyle w:val="39"/>
        <w:keepNext w:val="0"/>
        <w:pageBreakBefore w:val="0"/>
        <w:tabs>
          <w:tab w:val="clear" w:pos="720"/>
        </w:tabs>
        <w:snapToGrid w:val="0"/>
        <w:spacing w:before="120" w:after="120"/>
        <w:ind w:firstLine="643"/>
        <w:outlineLvl w:val="9"/>
        <w:rPr>
          <w:rFonts w:ascii="仿宋" w:hAnsi="仿宋" w:eastAsia="仿宋" w:cs="仿宋"/>
          <w:kern w:val="2"/>
          <w:sz w:val="32"/>
          <w:szCs w:val="32"/>
          <w:highlight w:val="none"/>
        </w:rPr>
      </w:pPr>
      <w:r>
        <w:rPr>
          <w:rFonts w:hint="eastAsia" w:ascii="仿宋" w:hAnsi="仿宋" w:eastAsia="仿宋" w:cs="仿宋"/>
          <w:kern w:val="2"/>
          <w:sz w:val="32"/>
          <w:szCs w:val="32"/>
          <w:highlight w:val="none"/>
        </w:rPr>
        <w:t>一、开标一览表（报价表）</w:t>
      </w:r>
    </w:p>
    <w:p>
      <w:pPr>
        <w:snapToGrid w:val="0"/>
        <w:spacing w:line="360" w:lineRule="auto"/>
        <w:rPr>
          <w:rFonts w:ascii="仿宋" w:hAnsi="仿宋" w:eastAsia="仿宋" w:cs="仿宋"/>
          <w:kern w:val="0"/>
          <w:sz w:val="24"/>
          <w:highlight w:val="none"/>
        </w:rPr>
      </w:pPr>
      <w:r>
        <w:rPr>
          <w:rFonts w:hint="eastAsia" w:ascii="仿宋" w:hAnsi="仿宋" w:eastAsia="仿宋" w:cs="仿宋"/>
          <w:sz w:val="24"/>
          <w:highlight w:val="none"/>
          <w:lang w:val="en-US" w:eastAsia="zh-CN"/>
        </w:rPr>
        <w:t>富蕴县</w:t>
      </w:r>
      <w:r>
        <w:rPr>
          <w:rFonts w:hint="eastAsia" w:ascii="仿宋" w:hAnsi="仿宋" w:eastAsia="仿宋" w:cs="仿宋"/>
          <w:sz w:val="24"/>
          <w:highlight w:val="none"/>
          <w:lang w:eastAsia="zh-CN"/>
        </w:rPr>
        <w:t>教育局</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富蕴县政府采购中心</w:t>
      </w:r>
      <w:r>
        <w:rPr>
          <w:rFonts w:hint="eastAsia" w:ascii="仿宋" w:hAnsi="仿宋" w:eastAsia="仿宋" w:cs="仿宋"/>
          <w:kern w:val="0"/>
          <w:sz w:val="24"/>
          <w:highlight w:val="none"/>
          <w:lang w:val="zh-CN"/>
        </w:rPr>
        <w:t>：</w:t>
      </w:r>
    </w:p>
    <w:p>
      <w:pPr>
        <w:snapToGrid w:val="0"/>
        <w:spacing w:line="360" w:lineRule="auto"/>
        <w:ind w:firstLine="482"/>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kern w:val="0"/>
          <w:sz w:val="24"/>
          <w:highlight w:val="none"/>
          <w:lang w:val="zh-CN" w:eastAsia="zh-CN"/>
        </w:rPr>
        <w:t>2023年义务教育薄弱环节改善与能力提升项目中央资金（第二批）建设项目</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lang w:val="en-US" w:eastAsia="zh-CN"/>
        </w:rPr>
        <w:t>项目</w:t>
      </w:r>
      <w:r>
        <w:rPr>
          <w:rFonts w:hint="eastAsia" w:ascii="仿宋" w:hAnsi="仿宋" w:eastAsia="仿宋" w:cs="仿宋"/>
          <w:kern w:val="0"/>
          <w:sz w:val="24"/>
          <w:highlight w:val="none"/>
          <w:lang w:val="zh-CN"/>
        </w:rPr>
        <w:t>编号：</w:t>
      </w:r>
      <w:r>
        <w:rPr>
          <w:rFonts w:hint="eastAsia" w:ascii="仿宋" w:hAnsi="仿宋" w:eastAsia="仿宋" w:cs="仿宋"/>
          <w:color w:val="auto"/>
          <w:sz w:val="24"/>
          <w:highlight w:val="none"/>
          <w:lang w:val="en-US" w:eastAsia="zh-CN"/>
        </w:rPr>
        <w:t>FYXCGZX-JC2023-016</w:t>
      </w:r>
      <w:r>
        <w:rPr>
          <w:rFonts w:hint="eastAsia" w:ascii="仿宋" w:hAnsi="仿宋" w:eastAsia="仿宋" w:cs="仿宋"/>
          <w:sz w:val="24"/>
          <w:highlight w:val="none"/>
        </w:rPr>
        <w:t>】的实施</w:t>
      </w:r>
      <w:r>
        <w:rPr>
          <w:rFonts w:hint="eastAsia" w:ascii="仿宋" w:hAnsi="仿宋" w:eastAsia="仿宋" w:cs="仿宋"/>
          <w:kern w:val="0"/>
          <w:sz w:val="24"/>
          <w:highlight w:val="none"/>
          <w:lang w:val="zh-CN"/>
        </w:rPr>
        <w:t>。</w:t>
      </w:r>
    </w:p>
    <w:p>
      <w:pPr>
        <w:spacing w:line="360" w:lineRule="auto"/>
        <w:jc w:val="center"/>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开标一览表（报价表）(单位均为人民币元)</w:t>
      </w:r>
    </w:p>
    <w:tbl>
      <w:tblPr>
        <w:tblStyle w:val="21"/>
        <w:tblW w:w="10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849"/>
        <w:gridCol w:w="2107"/>
        <w:gridCol w:w="1861"/>
        <w:gridCol w:w="1082"/>
        <w:gridCol w:w="949"/>
        <w:gridCol w:w="927"/>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438"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序号</w:t>
            </w:r>
          </w:p>
        </w:tc>
        <w:tc>
          <w:tcPr>
            <w:tcW w:w="1849"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名称</w:t>
            </w:r>
          </w:p>
        </w:tc>
        <w:tc>
          <w:tcPr>
            <w:tcW w:w="2107"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品牌</w:t>
            </w:r>
          </w:p>
        </w:tc>
        <w:tc>
          <w:tcPr>
            <w:tcW w:w="1861"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规格型号</w:t>
            </w:r>
          </w:p>
        </w:tc>
        <w:tc>
          <w:tcPr>
            <w:tcW w:w="1082"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数量</w:t>
            </w:r>
          </w:p>
        </w:tc>
        <w:tc>
          <w:tcPr>
            <w:tcW w:w="949"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单价</w:t>
            </w:r>
          </w:p>
        </w:tc>
        <w:tc>
          <w:tcPr>
            <w:tcW w:w="927"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lang w:eastAsia="zh-CN"/>
              </w:rPr>
              <w:t>合计</w:t>
            </w:r>
          </w:p>
        </w:tc>
        <w:tc>
          <w:tcPr>
            <w:tcW w:w="1627" w:type="dxa"/>
            <w:vAlign w:val="center"/>
          </w:tcPr>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38" w:type="dxa"/>
            <w:vAlign w:val="center"/>
          </w:tcPr>
          <w:p>
            <w:pPr>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1</w:t>
            </w:r>
          </w:p>
        </w:tc>
        <w:tc>
          <w:tcPr>
            <w:tcW w:w="1849" w:type="dxa"/>
            <w:vAlign w:val="center"/>
          </w:tcPr>
          <w:p>
            <w:pPr>
              <w:snapToGrid w:val="0"/>
              <w:spacing w:line="360" w:lineRule="auto"/>
              <w:jc w:val="center"/>
              <w:rPr>
                <w:rFonts w:ascii="仿宋_GB2312" w:hAnsi="仿宋" w:eastAsia="仿宋_GB2312" w:cs="仿宋_GB2312"/>
                <w:sz w:val="24"/>
                <w:highlight w:val="none"/>
              </w:rPr>
            </w:pPr>
          </w:p>
        </w:tc>
        <w:tc>
          <w:tcPr>
            <w:tcW w:w="2107" w:type="dxa"/>
            <w:vAlign w:val="center"/>
          </w:tcPr>
          <w:p>
            <w:pPr>
              <w:snapToGrid w:val="0"/>
              <w:spacing w:line="360" w:lineRule="auto"/>
              <w:jc w:val="center"/>
              <w:rPr>
                <w:rFonts w:ascii="仿宋_GB2312" w:hAnsi="仿宋" w:eastAsia="仿宋_GB2312" w:cs="仿宋_GB2312"/>
                <w:sz w:val="24"/>
                <w:highlight w:val="none"/>
              </w:rPr>
            </w:pPr>
          </w:p>
        </w:tc>
        <w:tc>
          <w:tcPr>
            <w:tcW w:w="1861" w:type="dxa"/>
            <w:vAlign w:val="center"/>
          </w:tcPr>
          <w:p>
            <w:pPr>
              <w:snapToGrid w:val="0"/>
              <w:spacing w:line="360" w:lineRule="auto"/>
              <w:jc w:val="center"/>
              <w:rPr>
                <w:rFonts w:ascii="仿宋_GB2312" w:hAnsi="仿宋" w:eastAsia="仿宋_GB2312" w:cs="仿宋_GB2312"/>
                <w:sz w:val="24"/>
                <w:highlight w:val="none"/>
              </w:rPr>
            </w:pPr>
          </w:p>
        </w:tc>
        <w:tc>
          <w:tcPr>
            <w:tcW w:w="1082" w:type="dxa"/>
            <w:vAlign w:val="center"/>
          </w:tcPr>
          <w:p>
            <w:pPr>
              <w:snapToGrid w:val="0"/>
              <w:spacing w:line="360" w:lineRule="auto"/>
              <w:jc w:val="center"/>
              <w:rPr>
                <w:rFonts w:ascii="仿宋_GB2312" w:hAnsi="仿宋" w:eastAsia="仿宋_GB2312" w:cs="仿宋_GB2312"/>
                <w:sz w:val="24"/>
                <w:highlight w:val="none"/>
              </w:rPr>
            </w:pPr>
          </w:p>
        </w:tc>
        <w:tc>
          <w:tcPr>
            <w:tcW w:w="949" w:type="dxa"/>
            <w:vAlign w:val="center"/>
          </w:tcPr>
          <w:p>
            <w:pPr>
              <w:spacing w:line="360" w:lineRule="auto"/>
              <w:jc w:val="center"/>
              <w:rPr>
                <w:rFonts w:ascii="仿宋_GB2312" w:hAnsi="仿宋" w:eastAsia="仿宋_GB2312" w:cs="仿宋_GB2312"/>
                <w:sz w:val="24"/>
                <w:highlight w:val="none"/>
              </w:rPr>
            </w:pPr>
          </w:p>
        </w:tc>
        <w:tc>
          <w:tcPr>
            <w:tcW w:w="927" w:type="dxa"/>
            <w:vAlign w:val="center"/>
          </w:tcPr>
          <w:p>
            <w:pPr>
              <w:spacing w:line="360" w:lineRule="auto"/>
              <w:jc w:val="center"/>
              <w:rPr>
                <w:rFonts w:ascii="仿宋_GB2312" w:hAnsi="仿宋" w:eastAsia="仿宋_GB2312" w:cs="仿宋_GB2312"/>
                <w:sz w:val="24"/>
                <w:highlight w:val="none"/>
              </w:rPr>
            </w:pPr>
          </w:p>
        </w:tc>
        <w:tc>
          <w:tcPr>
            <w:tcW w:w="1627"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38" w:type="dxa"/>
            <w:vAlign w:val="center"/>
          </w:tcPr>
          <w:p>
            <w:pPr>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2</w:t>
            </w:r>
          </w:p>
        </w:tc>
        <w:tc>
          <w:tcPr>
            <w:tcW w:w="1849" w:type="dxa"/>
            <w:vAlign w:val="center"/>
          </w:tcPr>
          <w:p>
            <w:pPr>
              <w:snapToGrid w:val="0"/>
              <w:spacing w:line="360" w:lineRule="auto"/>
              <w:jc w:val="center"/>
              <w:rPr>
                <w:rFonts w:ascii="仿宋_GB2312" w:hAnsi="仿宋" w:eastAsia="仿宋_GB2312" w:cs="仿宋_GB2312"/>
                <w:sz w:val="24"/>
                <w:highlight w:val="none"/>
              </w:rPr>
            </w:pPr>
          </w:p>
        </w:tc>
        <w:tc>
          <w:tcPr>
            <w:tcW w:w="2107" w:type="dxa"/>
            <w:vAlign w:val="center"/>
          </w:tcPr>
          <w:p>
            <w:pPr>
              <w:snapToGrid w:val="0"/>
              <w:spacing w:line="360" w:lineRule="auto"/>
              <w:jc w:val="center"/>
              <w:rPr>
                <w:rFonts w:ascii="仿宋_GB2312" w:hAnsi="仿宋" w:eastAsia="仿宋_GB2312" w:cs="仿宋_GB2312"/>
                <w:sz w:val="24"/>
                <w:highlight w:val="none"/>
              </w:rPr>
            </w:pPr>
          </w:p>
        </w:tc>
        <w:tc>
          <w:tcPr>
            <w:tcW w:w="1861" w:type="dxa"/>
            <w:vAlign w:val="center"/>
          </w:tcPr>
          <w:p>
            <w:pPr>
              <w:snapToGrid w:val="0"/>
              <w:spacing w:line="360" w:lineRule="auto"/>
              <w:jc w:val="center"/>
              <w:rPr>
                <w:rFonts w:ascii="仿宋_GB2312" w:hAnsi="仿宋" w:eastAsia="仿宋_GB2312" w:cs="仿宋_GB2312"/>
                <w:sz w:val="24"/>
                <w:highlight w:val="none"/>
              </w:rPr>
            </w:pPr>
          </w:p>
        </w:tc>
        <w:tc>
          <w:tcPr>
            <w:tcW w:w="1082" w:type="dxa"/>
            <w:vAlign w:val="center"/>
          </w:tcPr>
          <w:p>
            <w:pPr>
              <w:snapToGrid w:val="0"/>
              <w:spacing w:line="360" w:lineRule="auto"/>
              <w:jc w:val="center"/>
              <w:rPr>
                <w:rFonts w:ascii="仿宋_GB2312" w:hAnsi="仿宋" w:eastAsia="仿宋_GB2312" w:cs="仿宋_GB2312"/>
                <w:sz w:val="24"/>
                <w:highlight w:val="none"/>
              </w:rPr>
            </w:pPr>
          </w:p>
        </w:tc>
        <w:tc>
          <w:tcPr>
            <w:tcW w:w="949" w:type="dxa"/>
            <w:vAlign w:val="center"/>
          </w:tcPr>
          <w:p>
            <w:pPr>
              <w:spacing w:line="360" w:lineRule="auto"/>
              <w:jc w:val="center"/>
              <w:rPr>
                <w:rFonts w:ascii="仿宋_GB2312" w:hAnsi="仿宋" w:eastAsia="仿宋_GB2312" w:cs="仿宋_GB2312"/>
                <w:sz w:val="24"/>
                <w:highlight w:val="none"/>
              </w:rPr>
            </w:pPr>
          </w:p>
        </w:tc>
        <w:tc>
          <w:tcPr>
            <w:tcW w:w="927" w:type="dxa"/>
            <w:vAlign w:val="center"/>
          </w:tcPr>
          <w:p>
            <w:pPr>
              <w:spacing w:line="360" w:lineRule="auto"/>
              <w:jc w:val="center"/>
              <w:rPr>
                <w:rFonts w:ascii="仿宋_GB2312" w:hAnsi="仿宋" w:eastAsia="仿宋_GB2312" w:cs="仿宋_GB2312"/>
                <w:sz w:val="24"/>
                <w:highlight w:val="none"/>
              </w:rPr>
            </w:pPr>
          </w:p>
        </w:tc>
        <w:tc>
          <w:tcPr>
            <w:tcW w:w="1627"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38" w:type="dxa"/>
            <w:vAlign w:val="center"/>
          </w:tcPr>
          <w:p>
            <w:pPr>
              <w:spacing w:line="360" w:lineRule="auto"/>
              <w:jc w:val="center"/>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3</w:t>
            </w:r>
          </w:p>
        </w:tc>
        <w:tc>
          <w:tcPr>
            <w:tcW w:w="1849" w:type="dxa"/>
            <w:vAlign w:val="center"/>
          </w:tcPr>
          <w:p>
            <w:pPr>
              <w:snapToGrid w:val="0"/>
              <w:spacing w:line="360" w:lineRule="auto"/>
              <w:jc w:val="center"/>
              <w:rPr>
                <w:rFonts w:hint="eastAsia" w:ascii="仿宋_GB2312" w:eastAsia="仿宋_GB2312"/>
                <w:sz w:val="24"/>
                <w:highlight w:val="none"/>
              </w:rPr>
            </w:pPr>
          </w:p>
        </w:tc>
        <w:tc>
          <w:tcPr>
            <w:tcW w:w="2107" w:type="dxa"/>
            <w:vAlign w:val="center"/>
          </w:tcPr>
          <w:p>
            <w:pPr>
              <w:snapToGrid w:val="0"/>
              <w:spacing w:line="360" w:lineRule="auto"/>
              <w:jc w:val="center"/>
              <w:rPr>
                <w:rFonts w:ascii="仿宋_GB2312" w:hAnsi="仿宋" w:eastAsia="仿宋_GB2312" w:cs="仿宋_GB2312"/>
                <w:sz w:val="24"/>
                <w:highlight w:val="none"/>
              </w:rPr>
            </w:pPr>
          </w:p>
        </w:tc>
        <w:tc>
          <w:tcPr>
            <w:tcW w:w="1861" w:type="dxa"/>
            <w:vAlign w:val="center"/>
          </w:tcPr>
          <w:p>
            <w:pPr>
              <w:snapToGrid w:val="0"/>
              <w:spacing w:line="360" w:lineRule="auto"/>
              <w:jc w:val="center"/>
              <w:rPr>
                <w:rFonts w:ascii="仿宋_GB2312" w:hAnsi="仿宋" w:eastAsia="仿宋_GB2312" w:cs="仿宋_GB2312"/>
                <w:sz w:val="24"/>
                <w:highlight w:val="none"/>
              </w:rPr>
            </w:pPr>
          </w:p>
        </w:tc>
        <w:tc>
          <w:tcPr>
            <w:tcW w:w="1082" w:type="dxa"/>
            <w:vAlign w:val="center"/>
          </w:tcPr>
          <w:p>
            <w:pPr>
              <w:snapToGrid w:val="0"/>
              <w:spacing w:line="360" w:lineRule="auto"/>
              <w:jc w:val="center"/>
              <w:rPr>
                <w:rFonts w:ascii="仿宋_GB2312" w:hAnsi="仿宋" w:eastAsia="仿宋_GB2312" w:cs="仿宋_GB2312"/>
                <w:sz w:val="24"/>
                <w:highlight w:val="none"/>
              </w:rPr>
            </w:pPr>
          </w:p>
        </w:tc>
        <w:tc>
          <w:tcPr>
            <w:tcW w:w="949" w:type="dxa"/>
            <w:vAlign w:val="center"/>
          </w:tcPr>
          <w:p>
            <w:pPr>
              <w:spacing w:line="360" w:lineRule="auto"/>
              <w:jc w:val="center"/>
              <w:rPr>
                <w:rFonts w:ascii="仿宋_GB2312" w:hAnsi="仿宋" w:eastAsia="仿宋_GB2312" w:cs="仿宋_GB2312"/>
                <w:sz w:val="24"/>
                <w:highlight w:val="none"/>
              </w:rPr>
            </w:pPr>
          </w:p>
        </w:tc>
        <w:tc>
          <w:tcPr>
            <w:tcW w:w="927" w:type="dxa"/>
            <w:vAlign w:val="center"/>
          </w:tcPr>
          <w:p>
            <w:pPr>
              <w:spacing w:line="360" w:lineRule="auto"/>
              <w:jc w:val="center"/>
              <w:rPr>
                <w:rFonts w:ascii="仿宋_GB2312" w:hAnsi="仿宋" w:eastAsia="仿宋_GB2312" w:cs="仿宋_GB2312"/>
                <w:sz w:val="24"/>
                <w:highlight w:val="none"/>
              </w:rPr>
            </w:pPr>
          </w:p>
        </w:tc>
        <w:tc>
          <w:tcPr>
            <w:tcW w:w="1627"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38" w:type="dxa"/>
            <w:vAlign w:val="center"/>
          </w:tcPr>
          <w:p>
            <w:pPr>
              <w:spacing w:line="360" w:lineRule="auto"/>
              <w:jc w:val="center"/>
              <w:rPr>
                <w:rFonts w:ascii="仿宋_GB2312" w:hAnsi="仿宋" w:eastAsia="仿宋_GB2312" w:cs="仿宋_GB2312"/>
                <w:sz w:val="24"/>
                <w:highlight w:val="none"/>
              </w:rPr>
            </w:pPr>
            <w:r>
              <w:rPr>
                <w:rFonts w:hint="eastAsia" w:ascii="仿宋_GB2312" w:eastAsia="仿宋_GB2312"/>
                <w:sz w:val="24"/>
                <w:highlight w:val="none"/>
              </w:rPr>
              <w:t>…</w:t>
            </w:r>
          </w:p>
        </w:tc>
        <w:tc>
          <w:tcPr>
            <w:tcW w:w="1849" w:type="dxa"/>
            <w:vAlign w:val="center"/>
          </w:tcPr>
          <w:p>
            <w:pPr>
              <w:snapToGrid w:val="0"/>
              <w:spacing w:line="360" w:lineRule="auto"/>
              <w:jc w:val="center"/>
              <w:rPr>
                <w:rFonts w:ascii="仿宋_GB2312" w:eastAsia="仿宋_GB2312"/>
                <w:sz w:val="24"/>
                <w:highlight w:val="none"/>
              </w:rPr>
            </w:pPr>
            <w:r>
              <w:rPr>
                <w:rFonts w:hint="eastAsia" w:ascii="仿宋_GB2312" w:eastAsia="仿宋_GB2312"/>
                <w:sz w:val="24"/>
                <w:highlight w:val="none"/>
              </w:rPr>
              <w:t>……</w:t>
            </w:r>
          </w:p>
        </w:tc>
        <w:tc>
          <w:tcPr>
            <w:tcW w:w="2107" w:type="dxa"/>
            <w:vAlign w:val="center"/>
          </w:tcPr>
          <w:p>
            <w:pPr>
              <w:snapToGrid w:val="0"/>
              <w:spacing w:line="360" w:lineRule="auto"/>
              <w:jc w:val="center"/>
              <w:rPr>
                <w:rFonts w:ascii="仿宋_GB2312" w:hAnsi="仿宋" w:eastAsia="仿宋_GB2312" w:cs="仿宋_GB2312"/>
                <w:sz w:val="24"/>
                <w:highlight w:val="none"/>
              </w:rPr>
            </w:pPr>
          </w:p>
        </w:tc>
        <w:tc>
          <w:tcPr>
            <w:tcW w:w="1861" w:type="dxa"/>
            <w:vAlign w:val="center"/>
          </w:tcPr>
          <w:p>
            <w:pPr>
              <w:snapToGrid w:val="0"/>
              <w:spacing w:line="360" w:lineRule="auto"/>
              <w:jc w:val="center"/>
              <w:rPr>
                <w:rFonts w:ascii="仿宋_GB2312" w:hAnsi="仿宋" w:eastAsia="仿宋_GB2312" w:cs="仿宋_GB2312"/>
                <w:sz w:val="24"/>
                <w:highlight w:val="none"/>
              </w:rPr>
            </w:pPr>
          </w:p>
        </w:tc>
        <w:tc>
          <w:tcPr>
            <w:tcW w:w="1082" w:type="dxa"/>
            <w:vAlign w:val="center"/>
          </w:tcPr>
          <w:p>
            <w:pPr>
              <w:snapToGrid w:val="0"/>
              <w:spacing w:line="360" w:lineRule="auto"/>
              <w:jc w:val="center"/>
              <w:rPr>
                <w:rFonts w:ascii="仿宋_GB2312" w:hAnsi="仿宋" w:eastAsia="仿宋_GB2312" w:cs="仿宋_GB2312"/>
                <w:sz w:val="24"/>
                <w:highlight w:val="none"/>
              </w:rPr>
            </w:pPr>
          </w:p>
        </w:tc>
        <w:tc>
          <w:tcPr>
            <w:tcW w:w="949" w:type="dxa"/>
            <w:vAlign w:val="center"/>
          </w:tcPr>
          <w:p>
            <w:pPr>
              <w:spacing w:line="360" w:lineRule="auto"/>
              <w:jc w:val="center"/>
              <w:rPr>
                <w:rFonts w:ascii="仿宋_GB2312" w:hAnsi="仿宋" w:eastAsia="仿宋_GB2312" w:cs="仿宋_GB2312"/>
                <w:sz w:val="24"/>
                <w:highlight w:val="none"/>
              </w:rPr>
            </w:pPr>
          </w:p>
        </w:tc>
        <w:tc>
          <w:tcPr>
            <w:tcW w:w="927" w:type="dxa"/>
            <w:vAlign w:val="center"/>
          </w:tcPr>
          <w:p>
            <w:pPr>
              <w:spacing w:line="360" w:lineRule="auto"/>
              <w:jc w:val="center"/>
              <w:rPr>
                <w:rFonts w:ascii="仿宋_GB2312" w:hAnsi="仿宋" w:eastAsia="仿宋_GB2312" w:cs="仿宋_GB2312"/>
                <w:sz w:val="24"/>
                <w:highlight w:val="none"/>
              </w:rPr>
            </w:pPr>
          </w:p>
        </w:tc>
        <w:tc>
          <w:tcPr>
            <w:tcW w:w="1627"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394" w:type="dxa"/>
            <w:gridSpan w:val="3"/>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投标报价（小写）</w:t>
            </w:r>
          </w:p>
        </w:tc>
        <w:tc>
          <w:tcPr>
            <w:tcW w:w="6446" w:type="dxa"/>
            <w:gridSpan w:val="5"/>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4394" w:type="dxa"/>
            <w:gridSpan w:val="3"/>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投标报价（大写）</w:t>
            </w:r>
          </w:p>
        </w:tc>
        <w:tc>
          <w:tcPr>
            <w:tcW w:w="6446" w:type="dxa"/>
            <w:gridSpan w:val="5"/>
            <w:vAlign w:val="center"/>
          </w:tcPr>
          <w:p>
            <w:pPr>
              <w:spacing w:line="360" w:lineRule="auto"/>
              <w:jc w:val="center"/>
              <w:rPr>
                <w:rFonts w:ascii="仿宋_GB2312" w:hAnsi="仿宋" w:eastAsia="仿宋_GB2312" w:cs="仿宋_GB2312"/>
                <w:sz w:val="24"/>
                <w:highlight w:val="none"/>
              </w:rPr>
            </w:pPr>
          </w:p>
        </w:tc>
      </w:tr>
    </w:tbl>
    <w:p>
      <w:pPr>
        <w:snapToGrid w:val="0"/>
        <w:spacing w:line="360" w:lineRule="auto"/>
        <w:ind w:firstLine="482" w:firstLineChars="200"/>
        <w:rPr>
          <w:rFonts w:hint="eastAsia" w:ascii="仿宋" w:hAnsi="仿宋" w:eastAsia="仿宋" w:cs="仿宋"/>
          <w:b/>
          <w:kern w:val="0"/>
          <w:sz w:val="24"/>
          <w:highlight w:val="none"/>
          <w:lang w:val="zh-CN"/>
        </w:rPr>
      </w:pPr>
    </w:p>
    <w:p>
      <w:pPr>
        <w:snapToGrid w:val="0"/>
        <w:spacing w:line="360" w:lineRule="auto"/>
        <w:ind w:firstLine="482" w:firstLineChars="200"/>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注：</w:t>
      </w:r>
    </w:p>
    <w:p>
      <w:pPr>
        <w:pStyle w:val="39"/>
        <w:keepNext w:val="0"/>
        <w:pageBreakBefore w:val="0"/>
        <w:numPr>
          <w:ilvl w:val="0"/>
          <w:numId w:val="17"/>
        </w:numPr>
        <w:tabs>
          <w:tab w:val="clear" w:pos="720"/>
        </w:tabs>
        <w:snapToGrid w:val="0"/>
        <w:spacing w:before="120" w:after="120"/>
        <w:ind w:firstLine="482" w:firstLineChars="200"/>
        <w:jc w:val="both"/>
        <w:outlineLvl w:val="9"/>
        <w:rPr>
          <w:rFonts w:ascii="仿宋" w:hAnsi="仿宋" w:eastAsia="仿宋" w:cs="仿宋"/>
          <w:kern w:val="0"/>
          <w:sz w:val="24"/>
          <w:highlight w:val="none"/>
        </w:rPr>
      </w:pPr>
      <w:r>
        <w:rPr>
          <w:rFonts w:hint="eastAsia" w:ascii="仿宋" w:hAnsi="仿宋" w:eastAsia="仿宋" w:cs="仿宋"/>
          <w:kern w:val="0"/>
          <w:sz w:val="24"/>
          <w:highlight w:val="none"/>
          <w:lang w:val="zh-CN"/>
        </w:rPr>
        <w:t>投标人需按本表格式填写</w:t>
      </w:r>
      <w:r>
        <w:rPr>
          <w:rFonts w:hint="eastAsia" w:ascii="仿宋" w:hAnsi="仿宋" w:eastAsia="仿宋" w:cs="仿宋"/>
          <w:b/>
          <w:kern w:val="0"/>
          <w:sz w:val="24"/>
          <w:highlight w:val="none"/>
          <w:lang w:val="zh-CN"/>
        </w:rPr>
        <w:t>，</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投标文件含有采购人不能接受的附加条件，投标无效</w:t>
      </w:r>
      <w:r>
        <w:rPr>
          <w:rFonts w:hint="eastAsia" w:ascii="仿宋" w:hAnsi="仿宋" w:eastAsia="仿宋" w:cs="仿宋"/>
          <w:kern w:val="0"/>
          <w:sz w:val="24"/>
          <w:highlight w:val="none"/>
          <w:lang w:val="zh-CN"/>
        </w:rPr>
        <w:t>。</w:t>
      </w:r>
    </w:p>
    <w:p>
      <w:pPr>
        <w:pStyle w:val="39"/>
        <w:keepNext w:val="0"/>
        <w:pageBreakBefore w:val="0"/>
        <w:numPr>
          <w:ilvl w:val="0"/>
          <w:numId w:val="0"/>
        </w:numPr>
        <w:tabs>
          <w:tab w:val="clear" w:pos="720"/>
        </w:tabs>
        <w:snapToGrid w:val="0"/>
        <w:spacing w:before="120" w:after="120"/>
        <w:ind w:firstLine="482" w:firstLineChars="200"/>
        <w:jc w:val="both"/>
        <w:outlineLvl w:val="9"/>
        <w:rPr>
          <w:rFonts w:ascii="仿宋" w:hAnsi="仿宋" w:eastAsia="仿宋" w:cs="仿宋"/>
          <w:kern w:val="0"/>
          <w:sz w:val="24"/>
          <w:highlight w:val="none"/>
        </w:rPr>
      </w:pPr>
      <w:r>
        <w:rPr>
          <w:rFonts w:hint="eastAsia" w:ascii="仿宋" w:hAnsi="仿宋" w:eastAsia="仿宋" w:cs="仿宋"/>
          <w:kern w:val="0"/>
          <w:sz w:val="24"/>
          <w:highlight w:val="none"/>
          <w:lang w:val="zh-CN"/>
        </w:rPr>
        <w:t>2、有关本项目实施所涉及的一切费用均计入报价。总价不为零，开标一览表（报价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kern w:val="0"/>
          <w:sz w:val="24"/>
          <w:highlight w:val="none"/>
        </w:rPr>
        <w:t>视为</w:t>
      </w:r>
      <w:r>
        <w:rPr>
          <w:rFonts w:hint="eastAsia" w:ascii="仿宋" w:hAnsi="仿宋" w:eastAsia="仿宋" w:cs="仿宋"/>
          <w:sz w:val="24"/>
          <w:highlight w:val="none"/>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3、特别提示：采购代理机构将对项目名称和项目编号，中标供应商名称、地址和中标金额，主要中标标的名称、品牌、规格型号、数量、单价等予以公示。</w:t>
      </w:r>
    </w:p>
    <w:p>
      <w:pPr>
        <w:snapToGrid w:val="0"/>
        <w:spacing w:line="360" w:lineRule="auto"/>
        <w:ind w:firstLine="480" w:firstLineChars="200"/>
        <w:jc w:val="left"/>
        <w:rPr>
          <w:rFonts w:ascii="仿宋" w:hAnsi="仿宋" w:eastAsia="仿宋" w:cs="仿宋"/>
          <w:kern w:val="0"/>
          <w:sz w:val="24"/>
          <w:highlight w:val="none"/>
          <w:lang w:val="zh-CN"/>
        </w:rPr>
      </w:pPr>
      <w:r>
        <w:rPr>
          <w:rFonts w:hint="eastAsia" w:ascii="仿宋" w:hAnsi="仿宋" w:eastAsia="仿宋" w:cs="仿宋"/>
          <w:kern w:val="0"/>
          <w:sz w:val="24"/>
          <w:szCs w:val="22"/>
          <w:highlight w:val="none"/>
          <w:lang w:val="zh-CN"/>
        </w:rPr>
        <w:t>4、</w:t>
      </w:r>
      <w:r>
        <w:rPr>
          <w:rFonts w:hint="eastAsia" w:ascii="仿宋" w:hAnsi="仿宋" w:eastAsia="仿宋" w:cs="仿宋"/>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5、特别说明：▲供应商报价低于项目预算</w:t>
      </w:r>
      <w:r>
        <w:rPr>
          <w:rFonts w:hint="eastAsia" w:ascii="仿宋" w:hAnsi="仿宋" w:eastAsia="仿宋" w:cs="仿宋"/>
          <w:kern w:val="0"/>
          <w:sz w:val="24"/>
          <w:highlight w:val="none"/>
          <w:lang w:val="en-US" w:eastAsia="zh-CN"/>
        </w:rPr>
        <w:t>6</w:t>
      </w:r>
      <w:r>
        <w:rPr>
          <w:rFonts w:hint="eastAsia" w:ascii="仿宋" w:hAnsi="仿宋" w:eastAsia="仿宋" w:cs="仿宋"/>
          <w:kern w:val="0"/>
          <w:sz w:val="24"/>
          <w:highlight w:val="none"/>
          <w:lang w:val="zh-CN"/>
        </w:rPr>
        <w:t>0%的，应当在报价文件中详细阐述不影响产品质量或者诚信履约的具体原因。</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7"/>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39"/>
        <w:keepNext w:val="0"/>
        <w:pageBreakBefore w:val="0"/>
        <w:tabs>
          <w:tab w:val="clear" w:pos="720"/>
        </w:tabs>
        <w:snapToGrid w:val="0"/>
        <w:spacing w:before="120" w:after="120"/>
        <w:ind w:firstLine="643"/>
        <w:outlineLvl w:val="9"/>
        <w:rPr>
          <w:rFonts w:ascii="仿宋" w:hAnsi="仿宋" w:eastAsia="仿宋" w:cs="仿宋"/>
          <w:sz w:val="32"/>
          <w:szCs w:val="32"/>
          <w:highlight w:val="none"/>
        </w:rPr>
      </w:pPr>
      <w:r>
        <w:rPr>
          <w:rFonts w:hint="eastAsia" w:ascii="仿宋" w:hAnsi="仿宋" w:eastAsia="仿宋" w:cs="仿宋"/>
          <w:kern w:val="2"/>
          <w:sz w:val="32"/>
          <w:szCs w:val="32"/>
          <w:highlight w:val="none"/>
        </w:rPr>
        <w:t>二、</w:t>
      </w:r>
      <w:r>
        <w:rPr>
          <w:rFonts w:hint="eastAsia" w:ascii="仿宋" w:hAnsi="仿宋" w:eastAsia="仿宋" w:cs="仿宋"/>
          <w:sz w:val="32"/>
          <w:szCs w:val="32"/>
          <w:highlight w:val="none"/>
        </w:rPr>
        <w:t>中小企业声明函（如果有）</w:t>
      </w:r>
    </w:p>
    <w:p>
      <w:pPr>
        <w:widowControl/>
        <w:spacing w:line="360" w:lineRule="auto"/>
        <w:ind w:firstLine="120" w:firstLineChars="50"/>
        <w:jc w:val="left"/>
        <w:rPr>
          <w:rFonts w:ascii="仿宋" w:hAnsi="仿宋" w:eastAsia="仿宋" w:cs="仿宋"/>
          <w:b/>
          <w:sz w:val="24"/>
          <w:highlight w:val="none"/>
        </w:rPr>
      </w:pPr>
      <w:r>
        <w:rPr>
          <w:rFonts w:hint="eastAsia" w:ascii="仿宋" w:hAnsi="仿宋" w:eastAsia="仿宋" w:cs="仿宋"/>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highlight w:val="none"/>
        </w:rPr>
      </w:pPr>
      <w:bookmarkStart w:id="394" w:name="_Toc465665161"/>
      <w:bookmarkStart w:id="395" w:name="_Toc3033_WPSOffice_Level1"/>
      <w:r>
        <w:rPr>
          <w:rFonts w:hint="eastAsia" w:ascii="仿宋" w:hAnsi="仿宋" w:eastAsia="仿宋" w:cs="仿宋"/>
          <w:highlight w:val="none"/>
        </w:rPr>
        <w:t>附件</w:t>
      </w:r>
      <w:bookmarkEnd w:id="394"/>
      <w:bookmarkEnd w:id="395"/>
    </w:p>
    <w:p>
      <w:pPr>
        <w:spacing w:line="360" w:lineRule="auto"/>
        <w:rPr>
          <w:rFonts w:ascii="仿宋" w:hAnsi="仿宋" w:eastAsia="仿宋" w:cs="仿宋"/>
          <w:b/>
          <w:spacing w:val="6"/>
          <w:sz w:val="32"/>
          <w:szCs w:val="32"/>
          <w:highlight w:val="none"/>
        </w:rPr>
      </w:pPr>
      <w:bookmarkStart w:id="396" w:name="_Toc27587_WPSOffice_Level1"/>
      <w:r>
        <w:rPr>
          <w:rFonts w:hint="eastAsia" w:ascii="仿宋" w:hAnsi="仿宋" w:eastAsia="仿宋" w:cs="仿宋"/>
          <w:b/>
          <w:spacing w:val="6"/>
          <w:sz w:val="32"/>
          <w:szCs w:val="32"/>
          <w:highlight w:val="none"/>
        </w:rPr>
        <w:t>附件1：</w:t>
      </w:r>
      <w:bookmarkEnd w:id="396"/>
    </w:p>
    <w:p>
      <w:pPr>
        <w:spacing w:line="360" w:lineRule="auto"/>
        <w:jc w:val="center"/>
        <w:rPr>
          <w:rFonts w:ascii="仿宋" w:hAnsi="仿宋" w:eastAsia="仿宋" w:cs="仿宋"/>
          <w:b/>
          <w:spacing w:val="6"/>
          <w:sz w:val="32"/>
          <w:szCs w:val="32"/>
          <w:highlight w:val="none"/>
        </w:rPr>
      </w:pPr>
      <w:bookmarkStart w:id="397" w:name="OLE_LINK13"/>
      <w:bookmarkStart w:id="398" w:name="OLE_LINK14"/>
      <w:r>
        <w:rPr>
          <w:rFonts w:hint="eastAsia" w:ascii="仿宋" w:hAnsi="仿宋" w:eastAsia="仿宋" w:cs="仿宋"/>
          <w:b/>
          <w:spacing w:val="6"/>
          <w:sz w:val="32"/>
          <w:szCs w:val="32"/>
          <w:highlight w:val="none"/>
        </w:rPr>
        <w:t>残疾人福利性单位声明函</w:t>
      </w:r>
      <w:bookmarkEnd w:id="397"/>
      <w:bookmarkEnd w:id="398"/>
    </w:p>
    <w:p>
      <w:pPr>
        <w:spacing w:line="360" w:lineRule="auto"/>
        <w:rPr>
          <w:rFonts w:ascii="仿宋" w:hAnsi="仿宋" w:eastAsia="仿宋" w:cs="仿宋"/>
          <w:b/>
          <w:spacing w:val="6"/>
          <w:sz w:val="30"/>
          <w:szCs w:val="30"/>
          <w:highlight w:val="none"/>
        </w:rPr>
      </w:pP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ascii="仿宋" w:hAnsi="仿宋" w:eastAsia="仿宋" w:cs="仿宋"/>
          <w:sz w:val="24"/>
          <w:highlight w:val="none"/>
          <w:lang w:val="en"/>
        </w:rPr>
        <w:t xml:space="preserve"> </w:t>
      </w:r>
      <w:r>
        <w:rPr>
          <w:rFonts w:hint="eastAsia" w:ascii="仿宋" w:hAnsi="仿宋" w:eastAsia="仿宋" w:cs="仿宋"/>
          <w:sz w:val="24"/>
          <w:highlight w:val="none"/>
          <w:u w:val="single"/>
          <w:lang w:val="en-US" w:eastAsia="zh-CN"/>
        </w:rPr>
        <w:t>富蕴县</w:t>
      </w:r>
      <w:r>
        <w:rPr>
          <w:rFonts w:hint="eastAsia" w:ascii="仿宋" w:hAnsi="仿宋" w:eastAsia="仿宋" w:cs="仿宋"/>
          <w:sz w:val="24"/>
          <w:highlight w:val="none"/>
          <w:u w:val="single"/>
          <w:lang w:eastAsia="zh-CN"/>
        </w:rPr>
        <w:t>教育局</w:t>
      </w:r>
      <w:r>
        <w:rPr>
          <w:rFonts w:ascii="仿宋" w:hAnsi="仿宋" w:eastAsia="仿宋" w:cs="仿宋"/>
          <w:sz w:val="24"/>
          <w:highlight w:val="none"/>
          <w:u w:val="single"/>
          <w:lang w:val="en"/>
        </w:rPr>
        <w:t xml:space="preserve"> </w:t>
      </w:r>
      <w:r>
        <w:rPr>
          <w:rFonts w:hint="eastAsia" w:ascii="仿宋" w:hAnsi="仿宋" w:eastAsia="仿宋" w:cs="仿宋"/>
          <w:sz w:val="24"/>
          <w:highlight w:val="none"/>
        </w:rPr>
        <w:t>单位的</w:t>
      </w:r>
      <w:r>
        <w:rPr>
          <w:rFonts w:hint="eastAsia" w:ascii="仿宋" w:hAnsi="仿宋" w:eastAsia="仿宋" w:cs="仿宋"/>
          <w:sz w:val="24"/>
          <w:highlight w:val="none"/>
          <w:u w:val="single"/>
        </w:rPr>
        <w:t>_</w:t>
      </w:r>
      <w:r>
        <w:rPr>
          <w:rFonts w:hint="eastAsia" w:ascii="仿宋" w:hAnsi="仿宋" w:eastAsia="仿宋" w:cs="仿宋"/>
          <w:sz w:val="24"/>
          <w:highlight w:val="none"/>
          <w:u w:val="single"/>
          <w:lang w:val="en" w:eastAsia="zh-CN"/>
        </w:rPr>
        <w:t>2023年义务教育薄弱环节改善与能力提升项目中央资金（第二批）建设</w:t>
      </w:r>
      <w:r>
        <w:rPr>
          <w:rFonts w:hint="eastAsia" w:ascii="仿宋" w:hAnsi="仿宋" w:eastAsia="仿宋" w:cs="仿宋"/>
          <w:sz w:val="24"/>
          <w:highlight w:val="none"/>
          <w:u w:val="single"/>
        </w:rPr>
        <w:t>项目</w:t>
      </w:r>
      <w:r>
        <w:rPr>
          <w:rFonts w:hint="eastAsia" w:ascii="仿宋" w:hAnsi="仿宋" w:eastAsia="仿宋" w:cs="仿宋"/>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tabs>
          <w:tab w:val="left" w:pos="4860"/>
        </w:tabs>
        <w:spacing w:line="360" w:lineRule="auto"/>
        <w:ind w:right="1560" w:firstLine="480" w:firstLineChars="200"/>
        <w:jc w:val="center"/>
        <w:rPr>
          <w:rFonts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val="zh-CN"/>
        </w:rPr>
        <w:t>投标人名称（电子签名）</w:t>
      </w:r>
      <w:r>
        <w:rPr>
          <w:rFonts w:hint="eastAsia" w:ascii="仿宋" w:hAnsi="仿宋" w:eastAsia="仿宋" w:cs="仿宋"/>
          <w:sz w:val="24"/>
          <w:highlight w:val="none"/>
        </w:rPr>
        <w:t>：</w:t>
      </w:r>
    </w:p>
    <w:p>
      <w:pPr>
        <w:tabs>
          <w:tab w:val="left" w:pos="4860"/>
        </w:tabs>
        <w:spacing w:line="360" w:lineRule="auto"/>
        <w:ind w:right="1560" w:firstLine="480" w:firstLineChars="200"/>
        <w:jc w:val="center"/>
        <w:rPr>
          <w:rFonts w:ascii="仿宋" w:hAnsi="仿宋" w:eastAsia="仿宋" w:cs="仿宋"/>
          <w:sz w:val="24"/>
          <w:highlight w:val="none"/>
        </w:rPr>
      </w:pPr>
      <w:r>
        <w:rPr>
          <w:rFonts w:hint="eastAsia" w:ascii="仿宋" w:hAnsi="仿宋" w:eastAsia="仿宋" w:cs="仿宋"/>
          <w:sz w:val="24"/>
          <w:highlight w:val="none"/>
        </w:rPr>
        <w:t xml:space="preserve">       日  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7"/>
        <w:rPr>
          <w:rFonts w:hint="eastAsia"/>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pStyle w:val="4"/>
        <w:rPr>
          <w:rFonts w:hint="eastAsia" w:ascii="仿宋" w:hAnsi="仿宋" w:eastAsia="仿宋" w:cs="仿宋"/>
          <w:sz w:val="24"/>
          <w:szCs w:val="24"/>
        </w:rPr>
      </w:pPr>
    </w:p>
    <w:p>
      <w:pPr>
        <w:rPr>
          <w:rFonts w:hint="eastAsia" w:ascii="仿宋" w:hAnsi="仿宋" w:eastAsia="仿宋" w:cs="仿宋"/>
          <w:sz w:val="24"/>
          <w:szCs w:val="24"/>
        </w:rPr>
      </w:pPr>
    </w:p>
    <w:p>
      <w:pPr>
        <w:spacing w:line="360" w:lineRule="auto"/>
        <w:jc w:val="left"/>
        <w:rPr>
          <w:rFonts w:ascii="仿宋" w:hAnsi="仿宋" w:eastAsia="仿宋" w:cs="仿宋"/>
          <w:b/>
          <w:spacing w:val="6"/>
          <w:sz w:val="32"/>
          <w:szCs w:val="32"/>
          <w:highlight w:val="none"/>
        </w:rPr>
      </w:pPr>
      <w:bookmarkStart w:id="399" w:name="_Toc21285_WPSOffice_Level1"/>
      <w:r>
        <w:rPr>
          <w:rFonts w:hint="eastAsia" w:ascii="仿宋" w:hAnsi="仿宋" w:eastAsia="仿宋" w:cs="仿宋"/>
          <w:b/>
          <w:spacing w:val="6"/>
          <w:sz w:val="32"/>
          <w:szCs w:val="32"/>
          <w:highlight w:val="none"/>
        </w:rPr>
        <w:t>附件2：质疑函范本及制作说明</w:t>
      </w:r>
      <w:bookmarkEnd w:id="399"/>
    </w:p>
    <w:p>
      <w:pPr>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质疑函范本</w:t>
      </w:r>
    </w:p>
    <w:p>
      <w:pPr>
        <w:snapToGrid w:val="0"/>
        <w:spacing w:before="240" w:beforeLines="100" w:line="360" w:lineRule="auto"/>
        <w:rPr>
          <w:rFonts w:ascii="仿宋" w:hAnsi="仿宋" w:eastAsia="仿宋" w:cs="仿宋"/>
          <w:bCs/>
          <w:sz w:val="24"/>
          <w:highlight w:val="none"/>
        </w:rPr>
      </w:pPr>
      <w:r>
        <w:rPr>
          <w:rFonts w:hint="eastAsia" w:ascii="仿宋" w:hAnsi="仿宋" w:eastAsia="仿宋" w:cs="仿宋"/>
          <w:bCs/>
          <w:sz w:val="24"/>
          <w:highlight w:val="none"/>
        </w:rPr>
        <w:t>一、质疑供应商基本信息</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质疑供应商：</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 xml:space="preserve">地址： </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二、质疑项目基本情况</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质疑项目的名称：</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质疑项目的编号：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采购文件获取日期：</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三、质疑事项具体内容</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质疑事项1：</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质疑事项2</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w:t>
      </w:r>
    </w:p>
    <w:p>
      <w:pPr>
        <w:snapToGrid w:val="0"/>
        <w:spacing w:line="360" w:lineRule="auto"/>
        <w:rPr>
          <w:rFonts w:ascii="仿宋" w:hAnsi="仿宋" w:eastAsia="仿宋" w:cs="仿宋"/>
          <w:bCs/>
          <w:sz w:val="24"/>
          <w:highlight w:val="none"/>
        </w:rPr>
      </w:pPr>
      <w:r>
        <w:rPr>
          <w:rFonts w:hint="eastAsia" w:ascii="仿宋" w:hAnsi="仿宋" w:eastAsia="仿宋" w:cs="仿宋"/>
          <w:bCs/>
          <w:sz w:val="24"/>
          <w:highlight w:val="none"/>
        </w:rPr>
        <w:t>四、与质疑事项相关的质疑请求</w:t>
      </w:r>
    </w:p>
    <w:p>
      <w:pPr>
        <w:snapToGrid w:val="0"/>
        <w:spacing w:line="360" w:lineRule="auto"/>
        <w:rPr>
          <w:rFonts w:ascii="仿宋" w:hAnsi="仿宋" w:eastAsia="仿宋" w:cs="仿宋"/>
          <w:sz w:val="24"/>
          <w:highlight w:val="none"/>
          <w:u w:val="dotted"/>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jc w:val="center"/>
        <w:rPr>
          <w:rFonts w:ascii="仿宋" w:hAnsi="仿宋" w:eastAsia="仿宋" w:cs="仿宋"/>
          <w:b/>
          <w:bCs/>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t>质疑函制作说明：</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5.质疑函的质疑请求应与质疑事项相关。</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6.质疑供应商为自然人的，质疑函应由本人签字；质疑供应商为法人或者其他组织的，质疑函应由法定代表人、主要负责人，或者其授权代表签字或者盖章，并加盖公章。</w:t>
      </w:r>
    </w:p>
    <w:p>
      <w:pPr>
        <w:pStyle w:val="4"/>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spacing w:line="360" w:lineRule="auto"/>
        <w:jc w:val="left"/>
        <w:rPr>
          <w:rFonts w:ascii="仿宋" w:hAnsi="仿宋" w:eastAsia="仿宋" w:cs="仿宋"/>
          <w:b/>
          <w:spacing w:val="6"/>
          <w:sz w:val="32"/>
          <w:szCs w:val="32"/>
          <w:highlight w:val="none"/>
        </w:rPr>
      </w:pPr>
      <w:bookmarkStart w:id="400" w:name="_Toc7308_WPSOffice_Level1"/>
      <w:r>
        <w:rPr>
          <w:rFonts w:hint="eastAsia" w:ascii="仿宋" w:hAnsi="仿宋" w:eastAsia="仿宋" w:cs="仿宋"/>
          <w:b/>
          <w:spacing w:val="6"/>
          <w:sz w:val="32"/>
          <w:szCs w:val="32"/>
          <w:highlight w:val="none"/>
        </w:rPr>
        <w:t>附件3：投诉书范本及制作说明</w:t>
      </w:r>
      <w:bookmarkEnd w:id="400"/>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投诉书范本</w:t>
      </w:r>
    </w:p>
    <w:p>
      <w:pPr>
        <w:spacing w:line="360" w:lineRule="auto"/>
        <w:rPr>
          <w:rFonts w:ascii="仿宋" w:hAnsi="仿宋" w:eastAsia="仿宋" w:cs="仿宋"/>
          <w:sz w:val="24"/>
          <w:highlight w:val="none"/>
        </w:rPr>
      </w:pPr>
      <w:r>
        <w:rPr>
          <w:rFonts w:hint="eastAsia" w:ascii="仿宋" w:hAnsi="仿宋" w:eastAsia="仿宋" w:cs="仿宋"/>
          <w:sz w:val="24"/>
          <w:highlight w:val="none"/>
        </w:rPr>
        <w:t>一、投诉相关主体基本情况</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投诉人：</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tabs>
          <w:tab w:val="left" w:pos="6510"/>
        </w:tabs>
        <w:spacing w:line="360" w:lineRule="auto"/>
        <w:jc w:val="left"/>
        <w:rPr>
          <w:rFonts w:ascii="仿宋" w:hAnsi="仿宋" w:eastAsia="仿宋" w:cs="仿宋"/>
          <w:sz w:val="24"/>
          <w:highlight w:val="none"/>
        </w:rPr>
      </w:pPr>
      <w:r>
        <w:rPr>
          <w:rFonts w:hint="eastAsia" w:ascii="仿宋" w:hAnsi="仿宋" w:eastAsia="仿宋" w:cs="仿宋"/>
          <w:sz w:val="24"/>
          <w:highlight w:val="none"/>
        </w:rPr>
        <w:t>法定代表人/主要负责人：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tabs>
          <w:tab w:val="left" w:pos="6510"/>
        </w:tabs>
        <w:spacing w:line="360" w:lineRule="auto"/>
        <w:rPr>
          <w:rFonts w:ascii="仿宋" w:hAnsi="仿宋" w:eastAsia="仿宋" w:cs="仿宋"/>
          <w:sz w:val="24"/>
          <w:highlight w:val="none"/>
          <w:u w:val="dotted"/>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被投诉人1：</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被投诉人2</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相关供应商：</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二、投诉项目基本情况</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采购项目名称：</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代理机构名称：</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采购文件公告: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采购结果公告: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三、质疑基本情况</w:t>
      </w:r>
    </w:p>
    <w:p>
      <w:pPr>
        <w:spacing w:line="360" w:lineRule="auto"/>
        <w:ind w:firstLine="480" w:firstLineChars="200"/>
        <w:rPr>
          <w:rFonts w:ascii="仿宋" w:hAnsi="仿宋" w:eastAsia="仿宋" w:cs="仿宋"/>
          <w:sz w:val="24"/>
          <w:highlight w:val="none"/>
          <w:u w:val="dotted"/>
        </w:rPr>
      </w:pPr>
      <w:r>
        <w:rPr>
          <w:rFonts w:hint="eastAsia" w:ascii="仿宋" w:hAnsi="仿宋" w:eastAsia="仿宋" w:cs="仿宋"/>
          <w:sz w:val="24"/>
          <w:highlight w:val="none"/>
        </w:rPr>
        <w:t>投诉人于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日,向</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提出质疑，质疑事项为：</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ind w:firstLine="360" w:firstLineChars="150"/>
        <w:rPr>
          <w:rFonts w:ascii="仿宋" w:hAnsi="仿宋" w:eastAsia="仿宋" w:cs="仿宋"/>
          <w:sz w:val="24"/>
          <w:highlight w:val="none"/>
        </w:rPr>
      </w:pPr>
      <w:r>
        <w:rPr>
          <w:rFonts w:hint="eastAsia" w:ascii="仿宋" w:hAnsi="仿宋" w:eastAsia="仿宋" w:cs="仿宋"/>
          <w:sz w:val="24"/>
          <w:highlight w:val="none"/>
          <w:u w:val="dotted"/>
        </w:rPr>
        <w:t>采购人/代理机构</w:t>
      </w:r>
      <w:r>
        <w:rPr>
          <w:rFonts w:hint="eastAsia" w:ascii="仿宋" w:hAnsi="仿宋" w:eastAsia="仿宋" w:cs="仿宋"/>
          <w:sz w:val="24"/>
          <w:highlight w:val="none"/>
        </w:rPr>
        <w:t>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日,就质疑事项作出了答复/没有在法定期限内作出答复。</w:t>
      </w:r>
    </w:p>
    <w:p>
      <w:pPr>
        <w:spacing w:line="360" w:lineRule="auto"/>
        <w:rPr>
          <w:rFonts w:ascii="仿宋" w:hAnsi="仿宋" w:eastAsia="仿宋" w:cs="仿宋"/>
          <w:sz w:val="24"/>
          <w:highlight w:val="none"/>
        </w:rPr>
      </w:pPr>
      <w:r>
        <w:rPr>
          <w:rFonts w:hint="eastAsia" w:ascii="仿宋" w:hAnsi="仿宋" w:eastAsia="仿宋" w:cs="仿宋"/>
          <w:sz w:val="24"/>
          <w:highlight w:val="none"/>
        </w:rPr>
        <w:t>四、投诉事项具体内容</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投诉事项 1：</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投诉事项2</w:t>
      </w:r>
    </w:p>
    <w:p>
      <w:pPr>
        <w:spacing w:line="360" w:lineRule="auto"/>
        <w:rPr>
          <w:rFonts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ascii="仿宋" w:hAnsi="仿宋" w:eastAsia="仿宋" w:cs="仿宋"/>
          <w:sz w:val="24"/>
          <w:highlight w:val="none"/>
        </w:rPr>
      </w:pPr>
      <w:r>
        <w:rPr>
          <w:rFonts w:hint="eastAsia" w:ascii="仿宋" w:hAnsi="仿宋" w:eastAsia="仿宋" w:cs="仿宋"/>
          <w:sz w:val="24"/>
          <w:highlight w:val="none"/>
        </w:rPr>
        <w:t>五、与投诉事项相关的投诉请求</w:t>
      </w:r>
    </w:p>
    <w:p>
      <w:pPr>
        <w:spacing w:line="360" w:lineRule="auto"/>
        <w:rPr>
          <w:rFonts w:ascii="仿宋" w:hAnsi="仿宋" w:eastAsia="仿宋" w:cs="仿宋"/>
          <w:sz w:val="24"/>
          <w:highlight w:val="none"/>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u w:val="single"/>
        </w:rPr>
      </w:pP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t>投诉书制作说明：</w:t>
      </w:r>
    </w:p>
    <w:p>
      <w:pPr>
        <w:widowControl/>
        <w:spacing w:line="360" w:lineRule="auto"/>
        <w:ind w:firstLine="480" w:firstLineChars="200"/>
        <w:rPr>
          <w:rFonts w:ascii="仿宋" w:hAnsi="仿宋" w:eastAsia="仿宋" w:cs="仿宋"/>
          <w:kern w:val="0"/>
          <w:sz w:val="24"/>
          <w:highlight w:val="none"/>
        </w:rPr>
      </w:pPr>
      <w:r>
        <w:rPr>
          <w:rFonts w:hint="eastAsia" w:ascii="仿宋" w:hAnsi="仿宋" w:eastAsia="仿宋" w:cs="仿宋"/>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sz w:val="24"/>
          <w:highlight w:val="none"/>
        </w:rPr>
        <w:t>2.投诉人若委托代理人进行投诉的，投诉书应按照要求列明“授权代表”的有关内容，并在附件中提交由</w:t>
      </w:r>
      <w:r>
        <w:rPr>
          <w:rFonts w:hint="eastAsia" w:ascii="仿宋" w:hAnsi="仿宋" w:eastAsia="仿宋" w:cs="仿宋"/>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6.投诉书的投诉请求应与投诉事项相关。</w:t>
      </w:r>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sz w:val="24"/>
          <w:highlight w:val="none"/>
        </w:rPr>
        <w:t>7.投诉人为自然人的，投诉书应当由本人签字；投诉人为法人或者其他组织的，投诉书应当由法定代表人、主要负责人，或者其授权代表签字或者盖章，并加盖公章。</w:t>
      </w:r>
    </w:p>
    <w:p>
      <w:pPr>
        <w:rPr>
          <w:rFonts w:hint="eastAsia" w:ascii="仿宋" w:hAnsi="仿宋" w:eastAsia="仿宋" w:cs="仿宋"/>
          <w:sz w:val="24"/>
          <w:szCs w:val="24"/>
        </w:rPr>
      </w:pPr>
    </w:p>
    <w:p>
      <w:pPr>
        <w:autoSpaceDE w:val="0"/>
        <w:autoSpaceDN w:val="0"/>
        <w:jc w:val="center"/>
        <w:rPr>
          <w:rFonts w:ascii="仿宋" w:hAnsi="仿宋" w:eastAsia="仿宋" w:cs="仿宋"/>
          <w:b/>
          <w:bCs/>
          <w:sz w:val="32"/>
          <w:szCs w:val="32"/>
          <w:highlight w:val="none"/>
        </w:rPr>
      </w:pPr>
      <w:bookmarkStart w:id="401" w:name="_Toc17116_WPSOffice_Level1"/>
      <w:r>
        <w:rPr>
          <w:rFonts w:hint="eastAsia" w:ascii="仿宋" w:hAnsi="仿宋" w:eastAsia="仿宋" w:cs="仿宋"/>
          <w:b/>
          <w:spacing w:val="6"/>
          <w:sz w:val="32"/>
          <w:szCs w:val="32"/>
          <w:highlight w:val="none"/>
        </w:rPr>
        <w:t>附件4：</w:t>
      </w:r>
      <w:r>
        <w:rPr>
          <w:rFonts w:hint="eastAsia" w:ascii="仿宋" w:hAnsi="仿宋" w:eastAsia="仿宋" w:cs="仿宋"/>
          <w:b/>
          <w:bCs/>
          <w:sz w:val="32"/>
          <w:szCs w:val="32"/>
          <w:highlight w:val="none"/>
        </w:rPr>
        <w:t>业务专用章使用说明函</w:t>
      </w:r>
      <w:bookmarkEnd w:id="401"/>
    </w:p>
    <w:p>
      <w:pPr>
        <w:spacing w:line="360" w:lineRule="auto"/>
        <w:rPr>
          <w:rFonts w:hint="eastAsia" w:ascii="仿宋" w:hAnsi="仿宋" w:eastAsia="仿宋" w:cs="仿宋"/>
          <w:sz w:val="24"/>
          <w:highlight w:val="none"/>
          <w:u w:val="single"/>
          <w:lang w:val="en-US" w:eastAsia="zh-CN"/>
        </w:rPr>
      </w:pPr>
    </w:p>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u w:val="single"/>
          <w:lang w:val="en-US" w:eastAsia="zh-CN"/>
        </w:rPr>
        <w:t>富蕴县</w:t>
      </w:r>
      <w:r>
        <w:rPr>
          <w:rFonts w:hint="eastAsia" w:ascii="仿宋" w:hAnsi="仿宋" w:eastAsia="仿宋" w:cs="仿宋"/>
          <w:sz w:val="24"/>
          <w:highlight w:val="none"/>
          <w:u w:val="single"/>
          <w:lang w:eastAsia="zh-CN"/>
        </w:rPr>
        <w:t>教育局</w:t>
      </w:r>
      <w:r>
        <w:rPr>
          <w:rFonts w:hint="eastAsia" w:ascii="仿宋" w:hAnsi="仿宋" w:eastAsia="仿宋" w:cs="仿宋"/>
          <w:sz w:val="24"/>
          <w:highlight w:val="none"/>
          <w:u w:val="single"/>
        </w:rPr>
        <w:t>、</w:t>
      </w:r>
      <w:r>
        <w:rPr>
          <w:rFonts w:hint="eastAsia" w:ascii="仿宋" w:hAnsi="仿宋" w:eastAsia="仿宋" w:cs="仿宋"/>
          <w:sz w:val="24"/>
          <w:highlight w:val="none"/>
          <w:u w:val="single"/>
          <w:lang w:val="en-US" w:eastAsia="zh-CN"/>
        </w:rPr>
        <w:t>富蕴县政府采购中心；</w:t>
      </w:r>
    </w:p>
    <w:p>
      <w:pPr>
        <w:spacing w:line="360" w:lineRule="auto"/>
        <w:ind w:firstLine="480" w:firstLineChars="200"/>
        <w:rPr>
          <w:rFonts w:ascii="仿宋" w:hAnsi="仿宋" w:eastAsia="仿宋" w:cs="仿宋"/>
          <w:sz w:val="24"/>
          <w:highlight w:val="none"/>
        </w:rPr>
      </w:pPr>
      <w:r>
        <w:rPr>
          <w:rFonts w:hint="eastAsia" w:ascii="仿宋" w:hAnsi="仿宋" w:eastAsia="仿宋" w:cs="仿宋"/>
          <w:kern w:val="0"/>
          <w:sz w:val="24"/>
          <w:highlight w:val="none"/>
          <w:lang w:val="zh-CN"/>
        </w:rPr>
        <w:t>我方</w:t>
      </w:r>
      <w:r>
        <w:rPr>
          <w:rFonts w:hint="eastAsia" w:ascii="仿宋" w:hAnsi="仿宋" w:eastAsia="仿宋" w:cs="仿宋"/>
          <w:kern w:val="0"/>
          <w:sz w:val="24"/>
          <w:highlight w:val="none"/>
          <w:u w:val="single"/>
          <w:lang w:val="zh-CN"/>
        </w:rPr>
        <w:t xml:space="preserve">                         </w:t>
      </w:r>
      <w:r>
        <w:rPr>
          <w:rFonts w:hint="eastAsia" w:ascii="仿宋" w:hAnsi="仿宋" w:eastAsia="仿宋" w:cs="仿宋"/>
          <w:sz w:val="24"/>
          <w:highlight w:val="none"/>
        </w:rPr>
        <w:t>(投标人全称)是中华人民共和国依法登记注册的合法企业，</w:t>
      </w:r>
      <w:r>
        <w:rPr>
          <w:rFonts w:hint="eastAsia" w:ascii="仿宋" w:hAnsi="仿宋" w:eastAsia="仿宋" w:cs="仿宋"/>
          <w:bCs/>
          <w:sz w:val="24"/>
          <w:highlight w:val="none"/>
        </w:rPr>
        <w:t>在参加</w:t>
      </w:r>
      <w:r>
        <w:rPr>
          <w:rFonts w:hint="eastAsia" w:ascii="仿宋" w:hAnsi="仿宋" w:eastAsia="仿宋" w:cs="仿宋"/>
          <w:sz w:val="24"/>
          <w:highlight w:val="none"/>
        </w:rPr>
        <w:t>你方组织的</w:t>
      </w:r>
      <w:r>
        <w:rPr>
          <w:rFonts w:hint="eastAsia" w:ascii="仿宋" w:hAnsi="仿宋" w:eastAsia="仿宋" w:cs="仿宋"/>
          <w:sz w:val="24"/>
          <w:highlight w:val="none"/>
          <w:lang w:val="en" w:eastAsia="zh-CN"/>
        </w:rPr>
        <w:t>2023年义务教育薄弱环节改善与能力提升项目中央资金（第二批）建设项目</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项目</w:t>
      </w:r>
      <w:r>
        <w:rPr>
          <w:rFonts w:hint="eastAsia" w:ascii="仿宋" w:hAnsi="仿宋" w:eastAsia="仿宋" w:cs="仿宋"/>
          <w:sz w:val="24"/>
          <w:highlight w:val="none"/>
        </w:rPr>
        <w:t>编号：</w:t>
      </w:r>
      <w:r>
        <w:rPr>
          <w:rFonts w:hint="eastAsia" w:ascii="仿宋" w:hAnsi="仿宋" w:eastAsia="仿宋" w:cs="仿宋"/>
          <w:sz w:val="24"/>
          <w:highlight w:val="none"/>
          <w:lang w:val="en-US" w:eastAsia="zh-CN"/>
        </w:rPr>
        <w:t>FYXCGZX-JC2023-016</w:t>
      </w:r>
      <w:r>
        <w:rPr>
          <w:rFonts w:hint="eastAsia" w:ascii="仿宋" w:hAnsi="仿宋" w:eastAsia="仿宋" w:cs="仿宋"/>
          <w:sz w:val="24"/>
          <w:highlight w:val="none"/>
        </w:rPr>
        <w:t>】</w:t>
      </w:r>
      <w:r>
        <w:rPr>
          <w:rFonts w:hint="eastAsia" w:ascii="仿宋" w:hAnsi="仿宋" w:eastAsia="仿宋" w:cs="仿宋"/>
          <w:bCs/>
          <w:sz w:val="24"/>
          <w:highlight w:val="none"/>
        </w:rPr>
        <w:t>投标活动中作如下说明：</w:t>
      </w:r>
      <w:r>
        <w:rPr>
          <w:rFonts w:hint="eastAsia" w:ascii="仿宋" w:hAnsi="仿宋" w:eastAsia="仿宋" w:cs="仿宋"/>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特此说明。</w:t>
      </w:r>
    </w:p>
    <w:p>
      <w:pPr>
        <w:spacing w:line="360" w:lineRule="auto"/>
        <w:ind w:firstLine="494"/>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ind w:firstLine="494"/>
        <w:rPr>
          <w:rFonts w:ascii="仿宋" w:hAnsi="仿宋" w:eastAsia="仿宋" w:cs="仿宋"/>
          <w:sz w:val="24"/>
          <w:highlight w:val="none"/>
        </w:rPr>
      </w:pPr>
    </w:p>
    <w:p>
      <w:pPr>
        <w:spacing w:line="360" w:lineRule="auto"/>
        <w:ind w:right="480" w:firstLine="4080" w:firstLineChars="1700"/>
        <w:rPr>
          <w:rFonts w:ascii="仿宋" w:hAnsi="仿宋" w:eastAsia="仿宋" w:cs="仿宋"/>
          <w:sz w:val="24"/>
          <w:highlight w:val="none"/>
        </w:rPr>
      </w:pPr>
      <w:r>
        <w:rPr>
          <w:rFonts w:hint="eastAsia" w:ascii="仿宋" w:hAnsi="仿宋" w:eastAsia="仿宋" w:cs="仿宋"/>
          <w:sz w:val="24"/>
          <w:highlight w:val="none"/>
        </w:rPr>
        <w:t>投标单位（法定名称章）：</w:t>
      </w:r>
    </w:p>
    <w:p>
      <w:pPr>
        <w:ind w:right="1440" w:firstLine="494"/>
        <w:jc w:val="center"/>
        <w:rPr>
          <w:rFonts w:ascii="仿宋" w:hAnsi="仿宋" w:eastAsia="仿宋" w:cs="仿宋"/>
          <w:sz w:val="24"/>
          <w:highlight w:val="none"/>
        </w:rPr>
      </w:pPr>
      <w:r>
        <w:rPr>
          <w:rFonts w:hint="eastAsia" w:ascii="仿宋" w:hAnsi="仿宋" w:eastAsia="仿宋" w:cs="仿宋"/>
          <w:sz w:val="24"/>
          <w:highlight w:val="none"/>
        </w:rPr>
        <w:t xml:space="preserve">                              日期：       年     月     日</w:t>
      </w:r>
    </w:p>
    <w:p>
      <w:pPr>
        <w:rPr>
          <w:rFonts w:ascii="仿宋" w:hAnsi="仿宋" w:eastAsia="仿宋" w:cs="仿宋"/>
          <w:sz w:val="24"/>
          <w:highlight w:val="none"/>
        </w:rPr>
      </w:pPr>
      <w:r>
        <w:rPr>
          <w:rFonts w:hint="eastAsia" w:ascii="仿宋" w:hAnsi="仿宋" w:eastAsia="仿宋" w:cs="仿宋"/>
          <w:b/>
          <w:bCs/>
          <w:sz w:val="24"/>
          <w:highlight w:val="none"/>
        </w:rPr>
        <w:t>附：</w:t>
      </w:r>
    </w:p>
    <w:p>
      <w:pPr>
        <w:spacing w:line="360" w:lineRule="auto"/>
        <w:rPr>
          <w:rFonts w:ascii="仿宋" w:hAnsi="仿宋" w:eastAsia="仿宋" w:cs="仿宋"/>
          <w:bCs/>
          <w:sz w:val="24"/>
          <w:highlight w:val="none"/>
        </w:rPr>
      </w:pPr>
      <w:r>
        <w:rPr>
          <w:rFonts w:hint="eastAsia" w:ascii="仿宋" w:hAnsi="仿宋" w:eastAsia="仿宋" w:cs="仿宋"/>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ZAPP9gAAAAKAQAADwAAAAAAAAABACAA&#10;AAAiAAAAZHJzL2Rvd25yZXYueG1sUEsBAhQAFAAAAAgAh07iQJDfNusNAgAAJgQAAA4AAAAAAAAA&#10;AQAgAAAAJwEAAGRycy9lMm9Eb2MueG1sUEsFBgAAAAAGAAYAWQEAAKYFAAAAAA==&#10;">
                <v:fill on="t" focussize="0,0"/>
                <v:stroke color="#000000" miterlimit="2" joinstyle="miter"/>
                <v:imagedata o:title=""/>
                <o:lock v:ext="edit" aspectratio="f"/>
              </v:rect>
            </w:pict>
          </mc:Fallback>
        </mc:AlternateContent>
      </w:r>
      <w:r>
        <w:rPr>
          <w:rFonts w:hint="eastAsia" w:ascii="仿宋" w:hAnsi="仿宋" w:eastAsia="仿宋" w:cs="仿宋"/>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1pt;margin-top:30.3pt;height:177.45pt;width:208.5pt;z-index:-251656192;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ZfC0dgAAAAKAQAADwAAAAAAAAABACAA&#10;AAAiAAAAZHJzL2Rvd25yZXYueG1sUEsBAhQAFAAAAAgAh07iQAWK06YNAgAAJgQAAA4AAAAAAAAA&#10;AQAgAAAAJwEAAGRycy9lMm9Eb2MueG1sUEsFBgAAAAAGAAYAWQEAAKYFAAAAAA==&#10;">
                <v:fill on="t" focussize="0,0"/>
                <v:stroke color="#000000" miterlimit="2" joinstyle="miter"/>
                <v:imagedata o:title=""/>
                <o:lock v:ext="edit" aspectratio="f"/>
              </v:rect>
            </w:pict>
          </mc:Fallback>
        </mc:AlternateContent>
      </w:r>
      <w:r>
        <w:rPr>
          <w:rFonts w:hint="eastAsia" w:ascii="仿宋" w:hAnsi="仿宋" w:eastAsia="仿宋" w:cs="仿宋"/>
          <w:sz w:val="24"/>
          <w:highlight w:val="none"/>
        </w:rPr>
        <w:t>投标单位法定名称章（印模）                投标单位“XX专用章”（印模）</w:t>
      </w: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autoSpaceDE w:val="0"/>
        <w:autoSpaceDN w:val="0"/>
        <w:jc w:val="center"/>
        <w:rPr>
          <w:rFonts w:ascii="仿宋" w:hAnsi="仿宋" w:eastAsia="仿宋" w:cs="仿宋"/>
          <w:b/>
          <w:spacing w:val="6"/>
          <w:sz w:val="32"/>
          <w:szCs w:val="32"/>
          <w:highlight w:val="none"/>
        </w:rPr>
      </w:pPr>
    </w:p>
    <w:p>
      <w:pPr>
        <w:pStyle w:val="4"/>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autoSpaceDE w:val="0"/>
        <w:autoSpaceDN w:val="0"/>
        <w:jc w:val="center"/>
        <w:rPr>
          <w:rFonts w:ascii="仿宋" w:hAnsi="仿宋" w:eastAsia="仿宋" w:cs="仿宋"/>
          <w:b/>
          <w:kern w:val="0"/>
          <w:sz w:val="32"/>
          <w:szCs w:val="32"/>
          <w:highlight w:val="none"/>
          <w:lang w:val="zh-CN"/>
        </w:rPr>
      </w:pPr>
      <w:bookmarkStart w:id="402" w:name="_Toc1231_WPSOffice_Level1"/>
      <w:r>
        <w:rPr>
          <w:rFonts w:hint="eastAsia" w:ascii="仿宋" w:hAnsi="仿宋" w:eastAsia="仿宋" w:cs="仿宋"/>
          <w:b/>
          <w:spacing w:val="6"/>
          <w:sz w:val="32"/>
          <w:szCs w:val="32"/>
          <w:highlight w:val="none"/>
        </w:rPr>
        <w:t>附件5：</w:t>
      </w:r>
      <w:r>
        <w:rPr>
          <w:rFonts w:hint="eastAsia" w:ascii="仿宋" w:hAnsi="仿宋" w:eastAsia="仿宋" w:cs="仿宋"/>
          <w:b/>
          <w:kern w:val="0"/>
          <w:sz w:val="32"/>
          <w:szCs w:val="32"/>
          <w:highlight w:val="none"/>
          <w:lang w:val="zh-CN"/>
        </w:rPr>
        <w:t>联合协议</w:t>
      </w:r>
      <w:bookmarkEnd w:id="402"/>
    </w:p>
    <w:p>
      <w:pPr>
        <w:widowControl/>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kern w:val="0"/>
          <w:sz w:val="24"/>
          <w:highlight w:val="none"/>
          <w:u w:val="single"/>
          <w:lang w:val="en" w:eastAsia="zh-CN"/>
        </w:rPr>
        <w:t>2023年义务教育薄弱环节改善与能力提升项目中央资金（第二批）建设项目</w:t>
      </w:r>
      <w:r>
        <w:rPr>
          <w:rFonts w:hint="eastAsia" w:ascii="仿宋" w:hAnsi="仿宋" w:eastAsia="仿宋" w:cs="仿宋"/>
          <w:sz w:val="24"/>
          <w:highlight w:val="none"/>
        </w:rPr>
        <w:t>【</w:t>
      </w:r>
      <w:r>
        <w:rPr>
          <w:rFonts w:hint="eastAsia" w:ascii="仿宋" w:hAnsi="仿宋" w:eastAsia="仿宋" w:cs="仿宋"/>
          <w:sz w:val="24"/>
          <w:highlight w:val="none"/>
          <w:lang w:eastAsia="zh-CN"/>
        </w:rPr>
        <w:t>项目编号</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FYXCGZX-JC2023-016</w:t>
      </w:r>
      <w:r>
        <w:rPr>
          <w:rFonts w:hint="eastAsia" w:ascii="仿宋" w:hAnsi="仿宋" w:eastAsia="仿宋" w:cs="仿宋"/>
          <w:sz w:val="24"/>
          <w:highlight w:val="none"/>
        </w:rPr>
        <w:t>】</w:t>
      </w:r>
      <w:r>
        <w:rPr>
          <w:rFonts w:hint="eastAsia" w:ascii="仿宋" w:hAnsi="仿宋" w:eastAsia="仿宋" w:cs="仿宋"/>
          <w:kern w:val="0"/>
          <w:sz w:val="24"/>
          <w:highlight w:val="none"/>
          <w:lang w:val="zh-CN"/>
        </w:rPr>
        <w:t xml:space="preserve">投标。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p>
    <w:p>
      <w:pPr>
        <w:snapToGrid w:val="0"/>
        <w:spacing w:line="360" w:lineRule="auto"/>
        <w:ind w:firstLine="576"/>
        <w:rPr>
          <w:rFonts w:ascii="仿宋" w:hAnsi="仿宋" w:eastAsia="仿宋" w:cs="仿宋"/>
          <w:kern w:val="0"/>
          <w:sz w:val="24"/>
          <w:highlight w:val="none"/>
          <w:lang w:val="zh-CN"/>
        </w:rPr>
      </w:pPr>
      <w:bookmarkStart w:id="403" w:name="_Hlk101134295"/>
      <w:r>
        <w:rPr>
          <w:rFonts w:hint="eastAsia" w:ascii="仿宋" w:hAnsi="仿宋" w:eastAsia="仿宋" w:cs="仿宋"/>
          <w:kern w:val="0"/>
          <w:sz w:val="24"/>
          <w:highlight w:val="none"/>
          <w:u w:val="single"/>
        </w:rPr>
        <w:t>（联合体成员1）</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（联合体成员2）</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w:t>
      </w:r>
    </w:p>
    <w:bookmarkEnd w:id="403"/>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四、联合体成员中小企业合同份额。</w:t>
      </w:r>
    </w:p>
    <w:p>
      <w:pPr>
        <w:snapToGrid w:val="0"/>
        <w:spacing w:line="360" w:lineRule="auto"/>
        <w:ind w:firstLine="576"/>
        <w:rPr>
          <w:rFonts w:ascii="仿宋" w:hAnsi="仿宋" w:eastAsia="仿宋" w:cs="仿宋"/>
          <w:b/>
          <w:kern w:val="0"/>
          <w:sz w:val="24"/>
          <w:highlight w:val="none"/>
          <w:lang w:val="zh-CN"/>
        </w:rPr>
      </w:pPr>
      <w:r>
        <w:rPr>
          <w:rFonts w:hint="eastAsia" w:ascii="仿宋" w:hAnsi="仿宋" w:eastAsia="仿宋" w:cs="仿宋"/>
          <w:kern w:val="0"/>
          <w:sz w:val="24"/>
          <w:highlight w:val="none"/>
          <w:lang w:val="zh-CN"/>
        </w:rPr>
        <w:t>1、</w:t>
      </w:r>
      <w:r>
        <w:rPr>
          <w:rFonts w:hint="eastAsia" w:ascii="仿宋" w:hAnsi="仿宋" w:eastAsia="仿宋" w:cs="仿宋"/>
          <w:kern w:val="0"/>
          <w:sz w:val="24"/>
          <w:highlight w:val="none"/>
          <w:u w:val="single"/>
        </w:rPr>
        <w:t>（联合体成员X,……）</w:t>
      </w:r>
      <w:r>
        <w:rPr>
          <w:rFonts w:hint="eastAsia" w:ascii="仿宋" w:hAnsi="仿宋" w:eastAsia="仿宋" w:cs="仿宋"/>
          <w:kern w:val="0"/>
          <w:sz w:val="24"/>
          <w:highlight w:val="none"/>
        </w:rPr>
        <w:t>提供的全部货物由小微企业制造，其合同份额占到合同总金额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highlight w:val="none"/>
        </w:rPr>
        <w:t>拟享受以上价格扣除政策的，填写有关内容。</w:t>
      </w:r>
      <w:r>
        <w:rPr>
          <w:rFonts w:hint="eastAsia" w:ascii="仿宋" w:hAnsi="仿宋" w:eastAsia="仿宋" w:cs="仿宋"/>
          <w:b/>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sz w:val="24"/>
          <w:highlight w:val="none"/>
        </w:rPr>
        <w:t>2、中小企业合同金额达到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%，其中小微企业合同金额达到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r>
        <w:rPr>
          <w:rFonts w:hint="eastAsia" w:ascii="仿宋" w:hAnsi="仿宋" w:eastAsia="仿宋" w:cs="仿宋"/>
          <w:b/>
          <w:bCs/>
          <w:kern w:val="0"/>
          <w:sz w:val="24"/>
          <w:highlight w:val="none"/>
          <w:lang w:val="zh-CN"/>
        </w:rPr>
        <w:t>（</w:t>
      </w:r>
      <w:r>
        <w:rPr>
          <w:rFonts w:hint="eastAsia" w:ascii="仿宋" w:hAnsi="仿宋" w:eastAsia="仿宋" w:cs="仿宋"/>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highlight w:val="none"/>
          <w:lang w:val="zh-CN"/>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3、本协议提交采购人、采购代理机构后，联合体各方不得以任何形式对上述内容进行修改或撤销。</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right="960"/>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040" w:firstLineChars="2100"/>
        <w:rPr>
          <w:rFonts w:ascii="仿宋" w:hAnsi="仿宋" w:eastAsia="仿宋" w:cs="仿宋"/>
          <w:kern w:val="0"/>
          <w:sz w:val="24"/>
          <w:highlight w:val="none"/>
          <w:lang w:val="zh-CN"/>
        </w:rPr>
      </w:pP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pacing w:line="360" w:lineRule="auto"/>
        <w:ind w:right="420"/>
        <w:rPr>
          <w:rFonts w:ascii="仿宋" w:hAnsi="仿宋" w:eastAsia="仿宋" w:cs="仿宋"/>
          <w:sz w:val="24"/>
          <w:highlight w:val="none"/>
        </w:rPr>
      </w:pPr>
      <w:r>
        <w:rPr>
          <w:rFonts w:hint="eastAsia" w:ascii="仿宋" w:hAnsi="仿宋" w:eastAsia="仿宋" w:cs="仿宋"/>
          <w:sz w:val="24"/>
          <w:highlight w:val="none"/>
        </w:rPr>
        <w:t>注：按本格式和要求提供。</w:t>
      </w:r>
    </w:p>
    <w:p>
      <w:pPr>
        <w:snapToGrid w:val="0"/>
        <w:spacing w:line="360" w:lineRule="auto"/>
        <w:ind w:firstLine="3666" w:firstLineChars="1100"/>
        <w:rPr>
          <w:rFonts w:ascii="仿宋" w:hAnsi="仿宋" w:eastAsia="仿宋" w:cs="仿宋"/>
          <w:b/>
          <w:spacing w:val="6"/>
          <w:sz w:val="32"/>
          <w:szCs w:val="32"/>
          <w:highlight w:val="none"/>
        </w:rPr>
        <w:sectPr>
          <w:headerReference r:id="rId9" w:type="first"/>
          <w:footerReference r:id="rId12" w:type="first"/>
          <w:headerReference r:id="rId8" w:type="default"/>
          <w:footerReference r:id="rId10" w:type="default"/>
          <w:footerReference r:id="rId11" w:type="even"/>
          <w:pgSz w:w="11906" w:h="16838"/>
          <w:pgMar w:top="1276" w:right="1668" w:bottom="1247" w:left="1838" w:header="851" w:footer="992" w:gutter="0"/>
          <w:pgNumType w:fmt="decimal"/>
          <w:cols w:space="720" w:num="1"/>
          <w:titlePg/>
          <w:docGrid w:linePitch="312" w:charSpace="0"/>
        </w:sectPr>
      </w:pPr>
    </w:p>
    <w:p>
      <w:pPr>
        <w:snapToGrid w:val="0"/>
        <w:spacing w:line="360" w:lineRule="auto"/>
        <w:ind w:firstLine="3666" w:firstLineChars="1100"/>
        <w:rPr>
          <w:rFonts w:ascii="仿宋" w:hAnsi="仿宋" w:eastAsia="仿宋" w:cs="仿宋"/>
          <w:b/>
          <w:kern w:val="0"/>
          <w:sz w:val="32"/>
          <w:szCs w:val="32"/>
          <w:highlight w:val="none"/>
        </w:rPr>
      </w:pPr>
      <w:bookmarkStart w:id="404" w:name="_Toc11007_WPSOffice_Level1"/>
      <w:r>
        <w:rPr>
          <w:rFonts w:hint="eastAsia" w:ascii="仿宋" w:hAnsi="仿宋" w:eastAsia="仿宋" w:cs="仿宋"/>
          <w:b/>
          <w:spacing w:val="6"/>
          <w:sz w:val="32"/>
          <w:szCs w:val="32"/>
          <w:highlight w:val="none"/>
        </w:rPr>
        <w:t>附件6：</w:t>
      </w:r>
      <w:r>
        <w:rPr>
          <w:rFonts w:hint="eastAsia" w:ascii="仿宋" w:hAnsi="仿宋" w:eastAsia="仿宋" w:cs="仿宋"/>
          <w:b/>
          <w:kern w:val="0"/>
          <w:sz w:val="32"/>
          <w:szCs w:val="32"/>
          <w:highlight w:val="none"/>
        </w:rPr>
        <w:t>分包意向协议</w:t>
      </w:r>
      <w:bookmarkEnd w:id="404"/>
    </w:p>
    <w:p>
      <w:pPr>
        <w:widowControl/>
        <w:spacing w:line="360" w:lineRule="auto"/>
        <w:ind w:firstLine="120" w:firstLineChars="50"/>
        <w:jc w:val="left"/>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kern w:val="0"/>
          <w:sz w:val="24"/>
          <w:highlight w:val="none"/>
          <w:u w:val="single"/>
          <w:lang w:val="zh-CN" w:eastAsia="zh-CN"/>
        </w:rPr>
        <w:t>2023年义务教育薄弱环节改善与能力提升项目中央资金（第二批）建设项目</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项目</w:t>
      </w:r>
      <w:r>
        <w:rPr>
          <w:rFonts w:hint="eastAsia" w:ascii="仿宋" w:hAnsi="仿宋" w:eastAsia="仿宋" w:cs="仿宋"/>
          <w:sz w:val="24"/>
          <w:highlight w:val="none"/>
        </w:rPr>
        <w:t>编号：</w:t>
      </w:r>
      <w:r>
        <w:rPr>
          <w:rFonts w:hint="eastAsia" w:ascii="仿宋" w:hAnsi="仿宋" w:eastAsia="仿宋" w:cs="仿宋"/>
          <w:sz w:val="24"/>
          <w:highlight w:val="none"/>
          <w:lang w:val="en-US" w:eastAsia="zh-CN"/>
        </w:rPr>
        <w:t>FYXCGZX-JC2023-016</w:t>
      </w:r>
      <w:r>
        <w:rPr>
          <w:rFonts w:hint="eastAsia" w:ascii="仿宋" w:hAnsi="仿宋" w:eastAsia="仿宋" w:cs="仿宋"/>
          <w:sz w:val="24"/>
          <w:highlight w:val="none"/>
        </w:rPr>
        <w:t>】</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w:t>
      </w:r>
      <w:r>
        <w:rPr>
          <w:rFonts w:hint="eastAsia" w:ascii="仿宋" w:hAnsi="仿宋" w:eastAsia="仿宋" w:cs="仿宋"/>
          <w:kern w:val="0"/>
          <w:sz w:val="24"/>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（分包供应商1名称）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（分包供应商1名称），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snapToGrid w:val="0"/>
        <w:spacing w:line="360" w:lineRule="auto"/>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二、分包供应商中小企业合同份额</w:t>
      </w:r>
    </w:p>
    <w:p>
      <w:pPr>
        <w:snapToGrid w:val="0"/>
        <w:spacing w:line="360" w:lineRule="auto"/>
        <w:ind w:firstLine="576"/>
        <w:rPr>
          <w:rFonts w:ascii="仿宋" w:hAnsi="仿宋" w:eastAsia="仿宋" w:cs="仿宋"/>
          <w:b/>
          <w:kern w:val="0"/>
          <w:sz w:val="24"/>
          <w:highlight w:val="none"/>
          <w:lang w:val="zh-CN"/>
        </w:rPr>
      </w:pPr>
      <w:r>
        <w:rPr>
          <w:rFonts w:hint="eastAsia" w:ascii="仿宋" w:hAnsi="仿宋" w:eastAsia="仿宋" w:cs="仿宋"/>
          <w:kern w:val="0"/>
          <w:sz w:val="24"/>
          <w:highlight w:val="none"/>
        </w:rPr>
        <w:t>1、</w:t>
      </w:r>
      <w:r>
        <w:rPr>
          <w:rFonts w:hint="eastAsia" w:ascii="仿宋" w:hAnsi="仿宋" w:eastAsia="仿宋" w:cs="仿宋"/>
          <w:kern w:val="0"/>
          <w:sz w:val="24"/>
          <w:highlight w:val="none"/>
          <w:u w:val="single"/>
        </w:rPr>
        <w:t>（分包供应商X,……）提供的货物全部由小微企业制造，</w:t>
      </w:r>
      <w:r>
        <w:rPr>
          <w:rFonts w:hint="eastAsia" w:ascii="仿宋" w:hAnsi="仿宋" w:eastAsia="仿宋" w:cs="仿宋"/>
          <w:kern w:val="0"/>
          <w:sz w:val="24"/>
          <w:highlight w:val="none"/>
        </w:rPr>
        <w:t>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highlight w:val="none"/>
        </w:rPr>
        <w:t>。</w:t>
      </w:r>
      <w:r>
        <w:rPr>
          <w:rFonts w:hint="eastAsia" w:ascii="仿宋" w:hAnsi="仿宋" w:eastAsia="仿宋" w:cs="仿宋"/>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highlight w:val="none"/>
        </w:rPr>
        <w:t>拟享受以上价格扣除政策的，填写有关内容。</w:t>
      </w:r>
      <w:r>
        <w:rPr>
          <w:rFonts w:hint="eastAsia" w:ascii="仿宋" w:hAnsi="仿宋" w:eastAsia="仿宋" w:cs="仿宋"/>
          <w:b/>
          <w:kern w:val="0"/>
          <w:sz w:val="24"/>
          <w:highlight w:val="none"/>
          <w:lang w:val="zh-CN"/>
        </w:rPr>
        <w:t>）</w:t>
      </w:r>
    </w:p>
    <w:p>
      <w:pPr>
        <w:spacing w:line="360" w:lineRule="auto"/>
        <w:ind w:firstLine="480" w:firstLineChars="200"/>
        <w:rPr>
          <w:rFonts w:ascii="仿宋" w:hAnsi="仿宋" w:eastAsia="仿宋" w:cs="仿宋"/>
          <w:b/>
          <w:bCs/>
          <w:kern w:val="0"/>
          <w:sz w:val="24"/>
          <w:highlight w:val="none"/>
          <w:lang w:val="zh-CN"/>
        </w:rPr>
      </w:pPr>
      <w:r>
        <w:rPr>
          <w:rFonts w:hint="eastAsia" w:ascii="仿宋" w:hAnsi="仿宋" w:eastAsia="仿宋" w:cs="仿宋"/>
          <w:sz w:val="24"/>
          <w:highlight w:val="none"/>
        </w:rPr>
        <w:t>2、</w:t>
      </w:r>
      <w:bookmarkStart w:id="405" w:name="_Hlk101133173"/>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%，其中小微企业合同金额达到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r>
        <w:rPr>
          <w:rFonts w:hint="eastAsia" w:ascii="仿宋" w:hAnsi="仿宋" w:eastAsia="仿宋" w:cs="仿宋"/>
          <w:b/>
          <w:bCs/>
          <w:kern w:val="0"/>
          <w:sz w:val="24"/>
          <w:highlight w:val="none"/>
          <w:lang w:val="zh-CN"/>
        </w:rPr>
        <w:t>（</w:t>
      </w:r>
      <w:r>
        <w:rPr>
          <w:rFonts w:hint="eastAsia" w:ascii="仿宋" w:hAnsi="仿宋" w:eastAsia="仿宋" w:cs="仿宋"/>
          <w:b/>
          <w:bCs/>
          <w:sz w:val="24"/>
          <w:highlight w:val="none"/>
        </w:rPr>
        <w:t>要求合同分包形式参加的项目或采购包，供应商按招标文件第一部分招标公告申请人的资格要求中规定的</w:t>
      </w:r>
      <w:r>
        <w:rPr>
          <w:rFonts w:hint="eastAsia" w:ascii="仿宋" w:hAnsi="仿宋" w:eastAsia="仿宋" w:cs="仿宋"/>
          <w:b/>
          <w:kern w:val="0"/>
          <w:sz w:val="24"/>
          <w:highlight w:val="none"/>
          <w:lang w:val="zh-CN"/>
        </w:rPr>
        <w:t>分包意向协议</w:t>
      </w:r>
      <w:r>
        <w:rPr>
          <w:rFonts w:hint="eastAsia" w:ascii="仿宋" w:hAnsi="仿宋" w:eastAsia="仿宋" w:cs="仿宋"/>
          <w:b/>
          <w:bCs/>
          <w:sz w:val="24"/>
          <w:highlight w:val="none"/>
        </w:rPr>
        <w:t>中中小企业、小微企业合同金额应当达到的比例要求填写。</w:t>
      </w:r>
      <w:r>
        <w:rPr>
          <w:rFonts w:hint="eastAsia" w:ascii="仿宋" w:hAnsi="仿宋" w:eastAsia="仿宋" w:cs="仿宋"/>
          <w:b/>
          <w:bCs/>
          <w:kern w:val="0"/>
          <w:sz w:val="24"/>
          <w:highlight w:val="none"/>
          <w:lang w:val="zh-CN"/>
        </w:rPr>
        <w:t>）</w:t>
      </w:r>
      <w:bookmarkEnd w:id="405"/>
    </w:p>
    <w:p>
      <w:pPr>
        <w:snapToGrid w:val="0"/>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三、分包工作履行期限、地点、方式</w:t>
      </w:r>
    </w:p>
    <w:p>
      <w:pPr>
        <w:snapToGrid w:val="0"/>
        <w:ind w:firstLine="576"/>
        <w:rPr>
          <w:rFonts w:ascii="仿宋" w:hAnsi="仿宋" w:eastAsia="仿宋" w:cs="仿宋"/>
          <w:highlight w:val="none"/>
          <w:u w:val="single"/>
        </w:rPr>
      </w:pPr>
      <w:r>
        <w:rPr>
          <w:rFonts w:hint="eastAsia" w:ascii="仿宋" w:hAnsi="仿宋" w:eastAsia="仿宋" w:cs="仿宋"/>
          <w:highlight w:val="none"/>
          <w:u w:val="single"/>
        </w:rPr>
        <w:t xml:space="preserve">                                                                                  </w:t>
      </w:r>
    </w:p>
    <w:p>
      <w:pPr>
        <w:snapToGrid w:val="0"/>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四、质量</w:t>
      </w:r>
    </w:p>
    <w:p>
      <w:pPr>
        <w:snapToGrid w:val="0"/>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五、价款或者报酬</w:t>
      </w:r>
    </w:p>
    <w:p>
      <w:pPr>
        <w:snapToGrid w:val="0"/>
        <w:ind w:left="573" w:leftChars="273"/>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ind w:left="573" w:leftChars="273"/>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六、违约责任</w:t>
      </w:r>
    </w:p>
    <w:p>
      <w:pPr>
        <w:snapToGrid w:val="0"/>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ind w:firstLine="576"/>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七、争议解决的办法</w:t>
      </w:r>
    </w:p>
    <w:p>
      <w:pPr>
        <w:snapToGrid w:val="0"/>
        <w:ind w:firstLine="576"/>
        <w:rPr>
          <w:rFonts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58" w:leftChars="342" w:hanging="5040" w:hangingChars="210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w:t>
      </w:r>
    </w:p>
    <w:p>
      <w:pPr>
        <w:snapToGrid w:val="0"/>
        <w:spacing w:line="360" w:lineRule="auto"/>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分包供应商名称(电子签名/公章)：</w:t>
      </w:r>
    </w:p>
    <w:p>
      <w:pPr>
        <w:snapToGrid w:val="0"/>
        <w:spacing w:line="360" w:lineRule="auto"/>
        <w:ind w:firstLine="5760" w:firstLineChars="2400"/>
        <w:rPr>
          <w:rFonts w:ascii="仿宋" w:hAnsi="仿宋" w:eastAsia="仿宋" w:cs="仿宋"/>
          <w:highlight w:val="none"/>
        </w:rPr>
      </w:pPr>
      <w:r>
        <w:rPr>
          <w:rFonts w:hint="eastAsia" w:ascii="仿宋" w:hAnsi="仿宋" w:eastAsia="仿宋" w:cs="仿宋"/>
          <w:kern w:val="0"/>
          <w:sz w:val="24"/>
          <w:highlight w:val="none"/>
          <w:lang w:val="zh-CN"/>
        </w:rPr>
        <w:t>……</w:t>
      </w:r>
    </w:p>
    <w:p>
      <w:pPr>
        <w:autoSpaceDE w:val="0"/>
        <w:autoSpaceDN w:val="0"/>
        <w:jc w:val="center"/>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autoSpaceDE w:val="0"/>
        <w:autoSpaceDN w:val="0"/>
        <w:rPr>
          <w:rFonts w:ascii="仿宋" w:hAnsi="仿宋" w:eastAsia="仿宋" w:cs="仿宋"/>
          <w:b/>
          <w:spacing w:val="6"/>
          <w:sz w:val="32"/>
          <w:szCs w:val="32"/>
          <w:highlight w:val="none"/>
        </w:rPr>
      </w:pPr>
      <w:r>
        <w:rPr>
          <w:rFonts w:hint="eastAsia" w:ascii="宋体" w:hAnsi="宋体" w:cs="宋体"/>
          <w:sz w:val="24"/>
          <w:highlight w:val="none"/>
        </w:rPr>
        <w:t>注：按本格式和要求提供。</w:t>
      </w:r>
    </w:p>
    <w:p>
      <w:pPr>
        <w:pStyle w:val="2"/>
        <w:rPr>
          <w:highlight w:val="none"/>
        </w:rPr>
        <w:sectPr>
          <w:pgSz w:w="11906" w:h="16838"/>
          <w:pgMar w:top="1276" w:right="1668" w:bottom="124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附件7：中小企业声明函</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中小企业声明函（货物）</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公司（联合体）郑重声明，根据《政府采购促进中小企业发展管理办法》（财库[2020]46号）、《关于落实好政府采购支持中小企业发展的通知》（新财购[2022]22号）的规定，本公司（联合体）参加（单位名称）的（项目名称）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；制造商为</w:t>
      </w:r>
      <w:r>
        <w:rPr>
          <w:rFonts w:hint="eastAsia" w:ascii="仿宋" w:hAnsi="仿宋" w:eastAsia="仿宋" w:cs="仿宋"/>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万元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大写</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，属于（</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2. </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；制造商为</w:t>
      </w:r>
      <w:r>
        <w:rPr>
          <w:rFonts w:hint="eastAsia" w:ascii="仿宋" w:hAnsi="仿宋" w:eastAsia="仿宋" w:cs="仿宋"/>
          <w:sz w:val="24"/>
          <w:szCs w:val="24"/>
          <w:u w:val="single"/>
        </w:rPr>
        <w:t>（企业名称）</w:t>
      </w:r>
      <w:r>
        <w:rPr>
          <w:rFonts w:hint="eastAsia" w:ascii="仿宋" w:hAnsi="仿宋" w:eastAsia="仿宋" w:cs="仿宋"/>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万元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大写</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，属于（</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5520" w:firstLineChars="2300"/>
        <w:textAlignment w:val="auto"/>
        <w:rPr>
          <w:rFonts w:hint="eastAsia" w:ascii="仿宋" w:hAnsi="仿宋" w:eastAsia="仿宋" w:cs="仿宋"/>
          <w:sz w:val="24"/>
          <w:szCs w:val="24"/>
        </w:rPr>
      </w:pPr>
      <w:r>
        <w:rPr>
          <w:rFonts w:hint="eastAsia" w:ascii="仿宋" w:hAnsi="仿宋" w:eastAsia="仿宋" w:cs="仿宋"/>
          <w:sz w:val="24"/>
          <w:szCs w:val="24"/>
        </w:rPr>
        <w:t>企业名称（盖章）：</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日期：</w:t>
      </w:r>
    </w:p>
    <w:sectPr>
      <w:headerReference r:id="rId14" w:type="first"/>
      <w:footerReference r:id="rId16" w:type="first"/>
      <w:headerReference r:id="rId13" w:type="default"/>
      <w:footerReference r:id="rId15" w:type="default"/>
      <w:pgSz w:w="11906" w:h="16838"/>
      <w:pgMar w:top="1276" w:right="2088" w:bottom="1247" w:left="163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28" name="文本框 2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U2NEV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PU2NEVAgAAFw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29" name="文本框 2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hoRk0WAgAAFw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4aEZNFgIAABcEAAAOAAAAAAAA&#10;AAEAIAAAAB8BAABkcnMvZTJvRG9jLnhtbFBLBQYAAAAABgAGAFkBAACn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39"/>
        <w:tab w:val="clear" w:pos="4153"/>
      </w:tabs>
      <w:rPr>
        <w:rFonts w:ascii="仿宋_GB2312" w:eastAsia="仿宋_GB2312"/>
        <w:szCs w:val="24"/>
      </w:rPr>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172</w:t>
                    </w:r>
                    <w:r>
                      <w:rPr>
                        <w:rFonts w:hint="eastAsia"/>
                        <w:lang w:eastAsia="zh-CN"/>
                      </w:rPr>
                      <w:fldChar w:fldCharType="end"/>
                    </w:r>
                  </w:p>
                </w:txbxContent>
              </v:textbox>
            </v:shape>
          </w:pict>
        </mc:Fallback>
      </mc:AlternateContent>
    </w:r>
    <w:r>
      <w:rPr>
        <w:rFonts w:hint="eastAsia" w:ascii="仿宋_GB2312" w:eastAsia="仿宋_GB2312"/>
        <w:szCs w:val="24"/>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5"/>
      </w:rPr>
    </w:pPr>
    <w:r>
      <w:fldChar w:fldCharType="begin"/>
    </w:r>
    <w:r>
      <w:rPr>
        <w:rStyle w:val="25"/>
      </w:rPr>
      <w:instrText xml:space="preserve">PAGE  </w:instrText>
    </w:r>
    <w:r>
      <w:fldChar w:fldCharType="end"/>
    </w:r>
  </w:p>
  <w:p>
    <w:pPr>
      <w:pStyle w:val="1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rPr>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39"/>
        <w:tab w:val="clear" w:pos="4153"/>
      </w:tabs>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6u9Y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2ervWFgIAABcEAAAOAAAAAAAA&#10;AAEAIAAAAB8BAABkcnMvZTJvRG9jLnhtbFBLBQYAAAAABgAGAFkBAACn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172</w:t>
                    </w:r>
                    <w:r>
                      <w:rPr>
                        <w:rFonts w:hint="eastAsia"/>
                        <w:lang w:eastAsia="zh-CN"/>
                      </w:rPr>
                      <w:fldChar w:fldCharType="end"/>
                    </w:r>
                  </w:p>
                </w:txbxContent>
              </v:textbox>
            </v:shape>
          </w:pict>
        </mc:Fallback>
      </mc:AlternateContent>
    </w:r>
    <w:r>
      <w:rPr>
        <w:rFonts w:hint="eastAsia" w:ascii="仿宋_GB2312" w:eastAsia="仿宋_GB2312"/>
        <w:szCs w:val="24"/>
        <w:lang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33" name="文本框 2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GJUoWAgAAFw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dxiVKFgIAABcEAAAOAAAAAAAA&#10;AAEAIAAAAB8BAABkcnMvZTJvRG9jLnhtbFBLBQYAAAAABgAGAFkBAACn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_GB2312" w:eastAsia="仿宋_GB2312"/>
        <w:b/>
        <w:i/>
        <w:iCs/>
        <w:u w:val="single"/>
      </w:rPr>
    </w:pP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_GB2312" w:eastAsia="仿宋_GB2312"/>
        <w:b/>
        <w:i/>
        <w:iCs/>
        <w:u w:val="single"/>
      </w:rPr>
    </w:pP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95E425"/>
    <w:multiLevelType w:val="singleLevel"/>
    <w:tmpl w:val="A195E425"/>
    <w:lvl w:ilvl="0" w:tentative="0">
      <w:start w:val="1"/>
      <w:numFmt w:val="decimal"/>
      <w:suff w:val="nothing"/>
      <w:lvlText w:val="%1、"/>
      <w:lvlJc w:val="left"/>
    </w:lvl>
  </w:abstractNum>
  <w:abstractNum w:abstractNumId="1">
    <w:nsid w:val="B46A8975"/>
    <w:multiLevelType w:val="singleLevel"/>
    <w:tmpl w:val="B46A8975"/>
    <w:lvl w:ilvl="0" w:tentative="0">
      <w:start w:val="1"/>
      <w:numFmt w:val="decimal"/>
      <w:suff w:val="nothing"/>
      <w:lvlText w:val="%1、"/>
      <w:lvlJc w:val="left"/>
    </w:lvl>
  </w:abstractNum>
  <w:abstractNum w:abstractNumId="2">
    <w:nsid w:val="CA7EC61E"/>
    <w:multiLevelType w:val="singleLevel"/>
    <w:tmpl w:val="CA7EC61E"/>
    <w:lvl w:ilvl="0" w:tentative="0">
      <w:start w:val="1"/>
      <w:numFmt w:val="decimal"/>
      <w:suff w:val="nothing"/>
      <w:lvlText w:val="%1、"/>
      <w:lvlJc w:val="left"/>
    </w:lvl>
  </w:abstractNum>
  <w:abstractNum w:abstractNumId="3">
    <w:nsid w:val="CFD3FCD7"/>
    <w:multiLevelType w:val="singleLevel"/>
    <w:tmpl w:val="CFD3FCD7"/>
    <w:lvl w:ilvl="0" w:tentative="0">
      <w:start w:val="1"/>
      <w:numFmt w:val="decimal"/>
      <w:suff w:val="nothing"/>
      <w:lvlText w:val="%1、"/>
      <w:lvlJc w:val="left"/>
    </w:lvl>
  </w:abstractNum>
  <w:abstractNum w:abstractNumId="4">
    <w:nsid w:val="E9318CE9"/>
    <w:multiLevelType w:val="singleLevel"/>
    <w:tmpl w:val="E9318CE9"/>
    <w:lvl w:ilvl="0" w:tentative="0">
      <w:start w:val="1"/>
      <w:numFmt w:val="decimal"/>
      <w:suff w:val="nothing"/>
      <w:lvlText w:val="%1、"/>
      <w:lvlJc w:val="left"/>
    </w:lvl>
  </w:abstractNum>
  <w:abstractNum w:abstractNumId="5">
    <w:nsid w:val="097EFC6D"/>
    <w:multiLevelType w:val="singleLevel"/>
    <w:tmpl w:val="097EFC6D"/>
    <w:lvl w:ilvl="0" w:tentative="0">
      <w:start w:val="6"/>
      <w:numFmt w:val="chineseCounting"/>
      <w:suff w:val="nothing"/>
      <w:lvlText w:val="%1、"/>
      <w:lvlJc w:val="left"/>
      <w:rPr>
        <w:rFonts w:hint="eastAsia"/>
      </w:rPr>
    </w:lvl>
  </w:abstractNum>
  <w:abstractNum w:abstractNumId="6">
    <w:nsid w:val="1F1430ED"/>
    <w:multiLevelType w:val="singleLevel"/>
    <w:tmpl w:val="1F1430ED"/>
    <w:lvl w:ilvl="0" w:tentative="0">
      <w:start w:val="1"/>
      <w:numFmt w:val="decimal"/>
      <w:suff w:val="nothing"/>
      <w:lvlText w:val="%1、"/>
      <w:lvlJc w:val="left"/>
    </w:lvl>
  </w:abstractNum>
  <w:abstractNum w:abstractNumId="7">
    <w:nsid w:val="3013F695"/>
    <w:multiLevelType w:val="singleLevel"/>
    <w:tmpl w:val="3013F695"/>
    <w:lvl w:ilvl="0" w:tentative="0">
      <w:start w:val="1"/>
      <w:numFmt w:val="decimal"/>
      <w:suff w:val="nothing"/>
      <w:lvlText w:val="%1、"/>
      <w:lvlJc w:val="left"/>
    </w:lvl>
  </w:abstractNum>
  <w:abstractNum w:abstractNumId="8">
    <w:nsid w:val="354ED8F0"/>
    <w:multiLevelType w:val="singleLevel"/>
    <w:tmpl w:val="354ED8F0"/>
    <w:lvl w:ilvl="0" w:tentative="0">
      <w:start w:val="1"/>
      <w:numFmt w:val="decimal"/>
      <w:suff w:val="nothing"/>
      <w:lvlText w:val="%1、"/>
      <w:lvlJc w:val="left"/>
    </w:lvl>
  </w:abstractNum>
  <w:abstractNum w:abstractNumId="9">
    <w:nsid w:val="365B8D19"/>
    <w:multiLevelType w:val="singleLevel"/>
    <w:tmpl w:val="365B8D19"/>
    <w:lvl w:ilvl="0" w:tentative="0">
      <w:start w:val="1"/>
      <w:numFmt w:val="decimal"/>
      <w:suff w:val="nothing"/>
      <w:lvlText w:val="%1、"/>
      <w:lvlJc w:val="left"/>
    </w:lvl>
  </w:abstractNum>
  <w:abstractNum w:abstractNumId="10">
    <w:nsid w:val="3FBF84A5"/>
    <w:multiLevelType w:val="singleLevel"/>
    <w:tmpl w:val="3FBF84A5"/>
    <w:lvl w:ilvl="0" w:tentative="0">
      <w:start w:val="2"/>
      <w:numFmt w:val="chineseCounting"/>
      <w:suff w:val="space"/>
      <w:lvlText w:val="第%1部分"/>
      <w:lvlJc w:val="left"/>
      <w:rPr>
        <w:rFonts w:hint="eastAsia"/>
      </w:rPr>
    </w:lvl>
  </w:abstractNum>
  <w:abstractNum w:abstractNumId="11">
    <w:nsid w:val="4691C9BC"/>
    <w:multiLevelType w:val="singleLevel"/>
    <w:tmpl w:val="4691C9BC"/>
    <w:lvl w:ilvl="0" w:tentative="0">
      <w:start w:val="2"/>
      <w:numFmt w:val="decimal"/>
      <w:suff w:val="nothing"/>
      <w:lvlText w:val="%1、"/>
      <w:lvlJc w:val="left"/>
    </w:lvl>
  </w:abstractNum>
  <w:abstractNum w:abstractNumId="12">
    <w:nsid w:val="538933A4"/>
    <w:multiLevelType w:val="singleLevel"/>
    <w:tmpl w:val="538933A4"/>
    <w:lvl w:ilvl="0" w:tentative="0">
      <w:start w:val="1"/>
      <w:numFmt w:val="decimal"/>
      <w:suff w:val="nothing"/>
      <w:lvlText w:val="%1、"/>
      <w:lvlJc w:val="left"/>
    </w:lvl>
  </w:abstractNum>
  <w:abstractNum w:abstractNumId="13">
    <w:nsid w:val="555B5083"/>
    <w:multiLevelType w:val="singleLevel"/>
    <w:tmpl w:val="555B5083"/>
    <w:lvl w:ilvl="0" w:tentative="0">
      <w:start w:val="1"/>
      <w:numFmt w:val="decimal"/>
      <w:suff w:val="nothing"/>
      <w:lvlText w:val="%1、"/>
      <w:lvlJc w:val="left"/>
    </w:lvl>
  </w:abstractNum>
  <w:abstractNum w:abstractNumId="14">
    <w:nsid w:val="68190B33"/>
    <w:multiLevelType w:val="singleLevel"/>
    <w:tmpl w:val="68190B33"/>
    <w:lvl w:ilvl="0" w:tentative="0">
      <w:start w:val="1"/>
      <w:numFmt w:val="decimal"/>
      <w:suff w:val="nothing"/>
      <w:lvlText w:val="%1、"/>
      <w:lvlJc w:val="left"/>
    </w:lvl>
  </w:abstractNum>
  <w:abstractNum w:abstractNumId="15">
    <w:nsid w:val="7073B984"/>
    <w:multiLevelType w:val="singleLevel"/>
    <w:tmpl w:val="7073B984"/>
    <w:lvl w:ilvl="0" w:tentative="0">
      <w:start w:val="1"/>
      <w:numFmt w:val="decimal"/>
      <w:suff w:val="nothing"/>
      <w:lvlText w:val="%1、"/>
      <w:lvlJc w:val="left"/>
    </w:lvl>
  </w:abstractNum>
  <w:abstractNum w:abstractNumId="16">
    <w:nsid w:val="7D8B299A"/>
    <w:multiLevelType w:val="singleLevel"/>
    <w:tmpl w:val="7D8B299A"/>
    <w:lvl w:ilvl="0" w:tentative="0">
      <w:start w:val="1"/>
      <w:numFmt w:val="decimal"/>
      <w:suff w:val="nothing"/>
      <w:lvlText w:val="%1、"/>
      <w:lvlJc w:val="left"/>
    </w:lvl>
  </w:abstractNum>
  <w:num w:numId="1">
    <w:abstractNumId w:val="10"/>
  </w:num>
  <w:num w:numId="2">
    <w:abstractNumId w:val="11"/>
  </w:num>
  <w:num w:numId="3">
    <w:abstractNumId w:val="0"/>
  </w:num>
  <w:num w:numId="4">
    <w:abstractNumId w:val="3"/>
  </w:num>
  <w:num w:numId="5">
    <w:abstractNumId w:val="8"/>
  </w:num>
  <w:num w:numId="6">
    <w:abstractNumId w:val="4"/>
  </w:num>
  <w:num w:numId="7">
    <w:abstractNumId w:val="12"/>
  </w:num>
  <w:num w:numId="8">
    <w:abstractNumId w:val="6"/>
  </w:num>
  <w:num w:numId="9">
    <w:abstractNumId w:val="15"/>
  </w:num>
  <w:num w:numId="10">
    <w:abstractNumId w:val="14"/>
  </w:num>
  <w:num w:numId="11">
    <w:abstractNumId w:val="13"/>
  </w:num>
  <w:num w:numId="12">
    <w:abstractNumId w:val="2"/>
  </w:num>
  <w:num w:numId="13">
    <w:abstractNumId w:val="9"/>
  </w:num>
  <w:num w:numId="14">
    <w:abstractNumId w:val="1"/>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02E5C"/>
    <w:rsid w:val="03DE553F"/>
    <w:rsid w:val="05F81EB1"/>
    <w:rsid w:val="073F2141"/>
    <w:rsid w:val="0A371A1E"/>
    <w:rsid w:val="0A753BE9"/>
    <w:rsid w:val="0EA50A34"/>
    <w:rsid w:val="10BB49CE"/>
    <w:rsid w:val="11650D2D"/>
    <w:rsid w:val="13131D7C"/>
    <w:rsid w:val="1419358A"/>
    <w:rsid w:val="153A6C58"/>
    <w:rsid w:val="16F4470B"/>
    <w:rsid w:val="178A48F4"/>
    <w:rsid w:val="17902392"/>
    <w:rsid w:val="188132E4"/>
    <w:rsid w:val="19ED3884"/>
    <w:rsid w:val="1D1E149A"/>
    <w:rsid w:val="1D7A432F"/>
    <w:rsid w:val="1E1825AD"/>
    <w:rsid w:val="1EF45A14"/>
    <w:rsid w:val="1F2B582A"/>
    <w:rsid w:val="2101687A"/>
    <w:rsid w:val="223C7EA4"/>
    <w:rsid w:val="234F5E88"/>
    <w:rsid w:val="241D69BA"/>
    <w:rsid w:val="24B13DFC"/>
    <w:rsid w:val="261815C6"/>
    <w:rsid w:val="284305D4"/>
    <w:rsid w:val="2994352D"/>
    <w:rsid w:val="2A8C1722"/>
    <w:rsid w:val="2B55643A"/>
    <w:rsid w:val="2CB2308C"/>
    <w:rsid w:val="2DB05EF5"/>
    <w:rsid w:val="2E2A74B0"/>
    <w:rsid w:val="2EA07C3B"/>
    <w:rsid w:val="2F0F4C15"/>
    <w:rsid w:val="303978B1"/>
    <w:rsid w:val="31344974"/>
    <w:rsid w:val="35AC12E7"/>
    <w:rsid w:val="370B2EBC"/>
    <w:rsid w:val="37572F7F"/>
    <w:rsid w:val="381863FD"/>
    <w:rsid w:val="38D02376"/>
    <w:rsid w:val="3ACC7358"/>
    <w:rsid w:val="3B2D72FB"/>
    <w:rsid w:val="3B860021"/>
    <w:rsid w:val="3F991F6E"/>
    <w:rsid w:val="401E662C"/>
    <w:rsid w:val="4080797E"/>
    <w:rsid w:val="42783EC8"/>
    <w:rsid w:val="436B0419"/>
    <w:rsid w:val="43853F87"/>
    <w:rsid w:val="443C2EE0"/>
    <w:rsid w:val="470904F4"/>
    <w:rsid w:val="492C290F"/>
    <w:rsid w:val="4D616D3A"/>
    <w:rsid w:val="4F361552"/>
    <w:rsid w:val="4F6F5FD3"/>
    <w:rsid w:val="4FCC66D2"/>
    <w:rsid w:val="50556273"/>
    <w:rsid w:val="51E26CE0"/>
    <w:rsid w:val="52E75ECD"/>
    <w:rsid w:val="54992A50"/>
    <w:rsid w:val="55EF6183"/>
    <w:rsid w:val="57661A0A"/>
    <w:rsid w:val="5AC75D3B"/>
    <w:rsid w:val="5BC52B25"/>
    <w:rsid w:val="5C866AFD"/>
    <w:rsid w:val="5CB60946"/>
    <w:rsid w:val="5EC45337"/>
    <w:rsid w:val="5F145752"/>
    <w:rsid w:val="60A8624C"/>
    <w:rsid w:val="626F513A"/>
    <w:rsid w:val="63BE4394"/>
    <w:rsid w:val="655E19AD"/>
    <w:rsid w:val="66881557"/>
    <w:rsid w:val="67354B66"/>
    <w:rsid w:val="678771B7"/>
    <w:rsid w:val="6AF32C57"/>
    <w:rsid w:val="6CA705F6"/>
    <w:rsid w:val="6D393789"/>
    <w:rsid w:val="6D4B5336"/>
    <w:rsid w:val="6DB02359"/>
    <w:rsid w:val="6E851CE6"/>
    <w:rsid w:val="6F5F210A"/>
    <w:rsid w:val="70CF1BA8"/>
    <w:rsid w:val="7189241E"/>
    <w:rsid w:val="72FD3F75"/>
    <w:rsid w:val="732C5D13"/>
    <w:rsid w:val="73F37179"/>
    <w:rsid w:val="75002E5C"/>
    <w:rsid w:val="755261C6"/>
    <w:rsid w:val="75C3208B"/>
    <w:rsid w:val="76002AEE"/>
    <w:rsid w:val="76CD1F4D"/>
    <w:rsid w:val="77D40DF9"/>
    <w:rsid w:val="78584135"/>
    <w:rsid w:val="790E32CD"/>
    <w:rsid w:val="79C86093"/>
    <w:rsid w:val="7A3E1ACA"/>
    <w:rsid w:val="7A944475"/>
    <w:rsid w:val="7B195D51"/>
    <w:rsid w:val="7B692B59"/>
    <w:rsid w:val="7F1172A5"/>
    <w:rsid w:val="7F2C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1"/>
    <w:pPr>
      <w:jc w:val="center"/>
      <w:outlineLvl w:val="2"/>
    </w:pPr>
    <w:rPr>
      <w:rFonts w:ascii="微软雅黑" w:hAnsi="微软雅黑" w:eastAsia="微软雅黑" w:cs="微软雅黑"/>
      <w:b/>
      <w:bCs/>
      <w:sz w:val="30"/>
      <w:szCs w:val="30"/>
      <w:lang w:val="zh-CN" w:eastAsia="zh-CN" w:bidi="zh-CN"/>
    </w:rPr>
  </w:style>
  <w:style w:type="character" w:default="1" w:styleId="23">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next w:val="1"/>
    <w:qFormat/>
    <w:uiPriority w:val="0"/>
    <w:pPr>
      <w:widowControl/>
      <w:snapToGrid w:val="0"/>
      <w:spacing w:line="480" w:lineRule="exact"/>
      <w:ind w:firstLine="567"/>
    </w:pPr>
    <w:rPr>
      <w:rFonts w:ascii="宋体"/>
      <w:snapToGrid w:val="0"/>
      <w:color w:val="000000"/>
      <w:kern w:val="28"/>
      <w:sz w:val="28"/>
      <w:szCs w:val="20"/>
    </w:rPr>
  </w:style>
  <w:style w:type="paragraph" w:styleId="6">
    <w:name w:val="index 5"/>
    <w:basedOn w:val="1"/>
    <w:next w:val="1"/>
    <w:unhideWhenUsed/>
    <w:qFormat/>
    <w:uiPriority w:val="99"/>
    <w:pPr>
      <w:ind w:left="1680"/>
    </w:pPr>
  </w:style>
  <w:style w:type="paragraph" w:styleId="7">
    <w:name w:val="Body Text"/>
    <w:basedOn w:val="1"/>
    <w:next w:val="8"/>
    <w:qFormat/>
    <w:uiPriority w:val="0"/>
    <w:pPr>
      <w:autoSpaceDE w:val="0"/>
      <w:autoSpaceDN w:val="0"/>
      <w:spacing w:line="360" w:lineRule="auto"/>
    </w:pPr>
    <w:rPr>
      <w:rFonts w:ascii="宋体" w:hAnsi="Arial" w:cs="Arial"/>
      <w:snapToGrid w:val="0"/>
      <w:sz w:val="24"/>
      <w:szCs w:val="21"/>
      <w:lang w:val="zh-CN"/>
    </w:rPr>
  </w:style>
  <w:style w:type="paragraph" w:styleId="8">
    <w:name w:val="Date"/>
    <w:basedOn w:val="1"/>
    <w:next w:val="1"/>
    <w:qFormat/>
    <w:uiPriority w:val="0"/>
    <w:pPr>
      <w:ind w:left="100" w:leftChars="2500"/>
    </w:pPr>
  </w:style>
  <w:style w:type="paragraph" w:styleId="9">
    <w:name w:val="Body Text Indent"/>
    <w:basedOn w:val="1"/>
    <w:next w:val="1"/>
    <w:qFormat/>
    <w:uiPriority w:val="0"/>
    <w:pPr>
      <w:spacing w:line="480" w:lineRule="exact"/>
      <w:ind w:firstLine="480" w:firstLineChars="200"/>
    </w:pPr>
    <w:rPr>
      <w:rFonts w:ascii="宋体" w:hAnsi="宋体"/>
      <w:sz w:val="24"/>
    </w:rPr>
  </w:style>
  <w:style w:type="paragraph" w:styleId="10">
    <w:name w:val="Block Text"/>
    <w:basedOn w:val="1"/>
    <w:unhideWhenUsed/>
    <w:qFormat/>
    <w:uiPriority w:val="99"/>
    <w:pPr>
      <w:spacing w:after="120"/>
      <w:ind w:left="1440" w:leftChars="700" w:right="1440" w:rightChars="700"/>
    </w:pPr>
  </w:style>
  <w:style w:type="paragraph" w:styleId="11">
    <w:name w:val="Plain Text"/>
    <w:basedOn w:val="1"/>
    <w:next w:val="1"/>
    <w:qFormat/>
    <w:uiPriority w:val="0"/>
    <w:rPr>
      <w:rFonts w:ascii="宋体" w:hAnsi="Courier New" w:cs="Arial"/>
      <w:snapToGrid w:val="0"/>
      <w:szCs w:val="21"/>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List"/>
    <w:basedOn w:val="1"/>
    <w:unhideWhenUsed/>
    <w:qFormat/>
    <w:uiPriority w:val="0"/>
    <w:pPr>
      <w:ind w:left="200" w:hanging="200" w:hangingChars="200"/>
      <w:contextualSpacing/>
    </w:pPr>
    <w:rPr>
      <w:szCs w:val="24"/>
    </w:rPr>
  </w:style>
  <w:style w:type="paragraph" w:styleId="16">
    <w:name w:val="footnote text"/>
    <w:basedOn w:val="1"/>
    <w:next w:val="6"/>
    <w:qFormat/>
    <w:uiPriority w:val="0"/>
    <w:pPr>
      <w:snapToGrid w:val="0"/>
      <w:spacing w:line="240" w:lineRule="auto"/>
      <w:jc w:val="left"/>
    </w:pPr>
    <w:rPr>
      <w:kern w:val="0"/>
      <w:sz w:val="18"/>
      <w:szCs w:val="18"/>
    </w:rPr>
  </w:style>
  <w:style w:type="paragraph" w:styleId="17">
    <w:name w:val="toc 6"/>
    <w:basedOn w:val="1"/>
    <w:next w:val="1"/>
    <w:qFormat/>
    <w:uiPriority w:val="0"/>
    <w:pPr>
      <w:ind w:left="2100" w:leftChars="1000"/>
    </w:p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Title"/>
    <w:basedOn w:val="1"/>
    <w:next w:val="1"/>
    <w:qFormat/>
    <w:uiPriority w:val="10"/>
    <w:pPr>
      <w:widowControl/>
      <w:overflowPunct w:val="0"/>
      <w:autoSpaceDE w:val="0"/>
      <w:autoSpaceDN w:val="0"/>
      <w:jc w:val="center"/>
      <w:textAlignment w:val="baseline"/>
    </w:pPr>
    <w:rPr>
      <w:b/>
      <w:kern w:val="0"/>
      <w:sz w:val="24"/>
      <w:szCs w:val="20"/>
      <w:lang w:val="en-GB"/>
    </w:rPr>
  </w:style>
  <w:style w:type="paragraph" w:styleId="20">
    <w:name w:val="Body Text First Indent"/>
    <w:basedOn w:val="7"/>
    <w:next w:val="17"/>
    <w:qFormat/>
    <w:uiPriority w:val="0"/>
    <w:pPr>
      <w:ind w:firstLine="420"/>
    </w:pPr>
    <w:rPr>
      <w:rFonts w:hAnsi="Calibri" w:cs="Times New Roman"/>
      <w:snapToGrid/>
      <w:szCs w:val="2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4">
    <w:name w:val="Strong"/>
    <w:basedOn w:val="23"/>
    <w:qFormat/>
    <w:uiPriority w:val="0"/>
    <w:rPr>
      <w:b/>
      <w:bCs/>
    </w:rPr>
  </w:style>
  <w:style w:type="character" w:styleId="25">
    <w:name w:val="page number"/>
    <w:basedOn w:val="23"/>
    <w:qFormat/>
    <w:uiPriority w:val="0"/>
    <w:rPr>
      <w:rFonts w:ascii="Arial" w:hAnsi="Arial" w:eastAsia="黑体" w:cs="Arial"/>
      <w:snapToGrid w:val="0"/>
      <w:kern w:val="0"/>
      <w:szCs w:val="21"/>
    </w:rPr>
  </w:style>
  <w:style w:type="character" w:styleId="26">
    <w:name w:val="Hyperlink"/>
    <w:qFormat/>
    <w:uiPriority w:val="99"/>
    <w:rPr>
      <w:rFonts w:ascii="Arial" w:hAnsi="Arial" w:eastAsia="黑体" w:cs="Arial"/>
      <w:snapToGrid w:val="0"/>
      <w:color w:val="000000"/>
      <w:kern w:val="0"/>
      <w:sz w:val="18"/>
      <w:szCs w:val="18"/>
      <w:u w:val="none"/>
    </w:rPr>
  </w:style>
  <w:style w:type="character" w:styleId="27">
    <w:name w:val="footnote reference"/>
    <w:basedOn w:val="23"/>
    <w:qFormat/>
    <w:uiPriority w:val="0"/>
    <w:rPr>
      <w:vertAlign w:val="superscript"/>
    </w:rPr>
  </w:style>
  <w:style w:type="paragraph" w:customStyle="1" w:styleId="28">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正文2"/>
    <w:basedOn w:val="1"/>
    <w:qFormat/>
    <w:uiPriority w:val="0"/>
    <w:pPr>
      <w:spacing w:before="156" w:line="360" w:lineRule="auto"/>
      <w:ind w:firstLine="510" w:firstLineChars="200"/>
    </w:pPr>
    <w:rPr>
      <w:sz w:val="24"/>
      <w:szCs w:val="20"/>
    </w:rPr>
  </w:style>
  <w:style w:type="paragraph" w:customStyle="1" w:styleId="3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2">
    <w:name w:val="正文缩进1"/>
    <w:basedOn w:val="1"/>
    <w:next w:val="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3">
    <w:name w:val="索引 11"/>
    <w:basedOn w:val="1"/>
    <w:next w:val="1"/>
    <w:qFormat/>
    <w:uiPriority w:val="99"/>
    <w:pPr>
      <w:adjustRightInd/>
      <w:spacing w:line="360" w:lineRule="auto"/>
    </w:pPr>
    <w:rPr>
      <w:rFonts w:ascii="仿宋_GB2312" w:eastAsia="仿宋_GB2312"/>
      <w:sz w:val="24"/>
      <w:szCs w:val="20"/>
    </w:rPr>
  </w:style>
  <w:style w:type="paragraph" w:customStyle="1" w:styleId="34">
    <w:name w:val="纯文本1"/>
    <w:basedOn w:val="1"/>
    <w:qFormat/>
    <w:uiPriority w:val="0"/>
    <w:pPr>
      <w:adjustRightInd/>
    </w:pPr>
    <w:rPr>
      <w:rFonts w:ascii="宋体" w:hAnsi="Courier New"/>
      <w:kern w:val="0"/>
      <w:sz w:val="20"/>
      <w:szCs w:val="20"/>
    </w:rPr>
  </w:style>
  <w:style w:type="paragraph" w:customStyle="1" w:styleId="35">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6">
    <w:name w:val="_Style 3"/>
    <w:basedOn w:val="1"/>
    <w:qFormat/>
    <w:uiPriority w:val="0"/>
    <w:pPr>
      <w:adjustRightInd/>
      <w:ind w:firstLine="420" w:firstLineChars="200"/>
    </w:pPr>
    <w:rPr>
      <w:rFonts w:eastAsia="仿宋_GB2312"/>
      <w:sz w:val="28"/>
    </w:rPr>
  </w:style>
  <w:style w:type="paragraph" w:customStyle="1" w:styleId="37">
    <w:name w:val="纯文本_0_0"/>
    <w:basedOn w:val="38"/>
    <w:qFormat/>
    <w:uiPriority w:val="0"/>
    <w:rPr>
      <w:rFonts w:ascii="宋体" w:hAnsi="Courier New"/>
      <w:szCs w:val="21"/>
    </w:rPr>
  </w:style>
  <w:style w:type="paragraph" w:customStyle="1" w:styleId="3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9d3007b-39a6-4cad-ae18-48f3370b04e7}"/>
        <w:style w:val=""/>
        <w:category>
          <w:name w:val="常规"/>
          <w:gallery w:val="placeholder"/>
        </w:category>
        <w:types>
          <w:type w:val="bbPlcHdr"/>
        </w:types>
        <w:behaviors>
          <w:behavior w:val="content"/>
        </w:behaviors>
        <w:description w:val=""/>
        <w:guid w:val="{79d3007b-39a6-4cad-ae18-48f3370b04e7}"/>
      </w:docPartPr>
      <w:docPartBody>
        <w:p>
          <w:r>
            <w:rPr>
              <w:color w:val="808080"/>
            </w:rPr>
            <w:t>单击此处输入文字。</w:t>
          </w:r>
        </w:p>
      </w:docPartBody>
    </w:docPart>
    <w:docPart>
      <w:docPartPr>
        <w:name w:val="{e53b5a9a-437f-452e-8d24-bf414897ea68}"/>
        <w:style w:val=""/>
        <w:category>
          <w:name w:val="常规"/>
          <w:gallery w:val="placeholder"/>
        </w:category>
        <w:types>
          <w:type w:val="bbPlcHdr"/>
        </w:types>
        <w:behaviors>
          <w:behavior w:val="content"/>
        </w:behaviors>
        <w:description w:val=""/>
        <w:guid w:val="{e53b5a9a-437f-452e-8d24-bf414897ea68}"/>
      </w:docPartPr>
      <w:docPartBody>
        <w:p>
          <w:r>
            <w:rPr>
              <w:color w:val="808080"/>
            </w:rPr>
            <w:t>单击此处输入文字。</w:t>
          </w:r>
        </w:p>
      </w:docPartBody>
    </w:docPart>
    <w:docPart>
      <w:docPartPr>
        <w:name w:val="{7983e74e-3530-4461-ae56-016ba67e33d7}"/>
        <w:style w:val=""/>
        <w:category>
          <w:name w:val="常规"/>
          <w:gallery w:val="placeholder"/>
        </w:category>
        <w:types>
          <w:type w:val="bbPlcHdr"/>
        </w:types>
        <w:behaviors>
          <w:behavior w:val="content"/>
        </w:behaviors>
        <w:description w:val=""/>
        <w:guid w:val="{7983e74e-3530-4461-ae56-016ba67e33d7}"/>
      </w:docPartPr>
      <w:docPartBody>
        <w:p>
          <w:r>
            <w:rPr>
              <w:color w:val="808080"/>
            </w:rPr>
            <w:t>单击此处输入文字。</w:t>
          </w:r>
        </w:p>
      </w:docPartBody>
    </w:docPart>
    <w:docPart>
      <w:docPartPr>
        <w:name w:val="{e5489cab-0052-4427-a189-943d3f4a347d}"/>
        <w:style w:val=""/>
        <w:category>
          <w:name w:val="常规"/>
          <w:gallery w:val="placeholder"/>
        </w:category>
        <w:types>
          <w:type w:val="bbPlcHdr"/>
        </w:types>
        <w:behaviors>
          <w:behavior w:val="content"/>
        </w:behaviors>
        <w:description w:val=""/>
        <w:guid w:val="{e5489cab-0052-4427-a189-943d3f4a347d}"/>
      </w:docPartPr>
      <w:docPartBody>
        <w:p>
          <w:r>
            <w:rPr>
              <w:color w:val="808080"/>
            </w:rPr>
            <w:t>单击此处输入文字。</w:t>
          </w:r>
        </w:p>
      </w:docPartBody>
    </w:docPart>
    <w:docPart>
      <w:docPartPr>
        <w:name w:val="{ad1fd500-9f0b-4b21-b2a0-51ff2b54e618}"/>
        <w:style w:val=""/>
        <w:category>
          <w:name w:val="常规"/>
          <w:gallery w:val="placeholder"/>
        </w:category>
        <w:types>
          <w:type w:val="bbPlcHdr"/>
        </w:types>
        <w:behaviors>
          <w:behavior w:val="content"/>
        </w:behaviors>
        <w:description w:val=""/>
        <w:guid w:val="{ad1fd500-9f0b-4b21-b2a0-51ff2b54e618}"/>
      </w:docPartPr>
      <w:docPartBody>
        <w:p>
          <w:r>
            <w:rPr>
              <w:color w:val="808080"/>
            </w:rPr>
            <w:t>单击此处输入文字。</w:t>
          </w:r>
        </w:p>
      </w:docPartBody>
    </w:docPart>
    <w:docPart>
      <w:docPartPr>
        <w:name w:val="{d50b2190-05df-4595-b591-640e93304c70}"/>
        <w:style w:val=""/>
        <w:category>
          <w:name w:val="常规"/>
          <w:gallery w:val="placeholder"/>
        </w:category>
        <w:types>
          <w:type w:val="bbPlcHdr"/>
        </w:types>
        <w:behaviors>
          <w:behavior w:val="content"/>
        </w:behaviors>
        <w:description w:val=""/>
        <w:guid w:val="{d50b2190-05df-4595-b591-640e93304c70}"/>
      </w:docPartPr>
      <w:docPartBody>
        <w:p>
          <w:r>
            <w:rPr>
              <w:color w:val="808080"/>
            </w:rPr>
            <w:t>单击此处输入文字。</w:t>
          </w:r>
        </w:p>
      </w:docPartBody>
    </w:docPart>
    <w:docPart>
      <w:docPartPr>
        <w:name w:val="{cefc004a-03d9-4368-b9d1-377fa2fe46c3}"/>
        <w:style w:val=""/>
        <w:category>
          <w:name w:val="常规"/>
          <w:gallery w:val="placeholder"/>
        </w:category>
        <w:types>
          <w:type w:val="bbPlcHdr"/>
        </w:types>
        <w:behaviors>
          <w:behavior w:val="content"/>
        </w:behaviors>
        <w:description w:val=""/>
        <w:guid w:val="{cefc004a-03d9-4368-b9d1-377fa2fe46c3}"/>
      </w:docPartPr>
      <w:docPartBody>
        <w:p>
          <w:r>
            <w:rPr>
              <w:color w:val="808080"/>
            </w:rPr>
            <w:t>单击此处输入文字。</w:t>
          </w:r>
        </w:p>
      </w:docPartBody>
    </w:docPart>
    <w:docPart>
      <w:docPartPr>
        <w:name w:val="{01db7a03-b0a0-4ed7-9f3a-f63617a212d6}"/>
        <w:style w:val=""/>
        <w:category>
          <w:name w:val="常规"/>
          <w:gallery w:val="placeholder"/>
        </w:category>
        <w:types>
          <w:type w:val="bbPlcHdr"/>
        </w:types>
        <w:behaviors>
          <w:behavior w:val="content"/>
        </w:behaviors>
        <w:description w:val=""/>
        <w:guid w:val="{01db7a03-b0a0-4ed7-9f3a-f63617a212d6}"/>
      </w:docPartPr>
      <w:docPartBody>
        <w:p>
          <w:r>
            <w:rPr>
              <w:color w:val="808080"/>
            </w:rPr>
            <w:t>单击此处输入文字。</w:t>
          </w:r>
        </w:p>
      </w:docPartBody>
    </w:docPart>
    <w:docPart>
      <w:docPartPr>
        <w:name w:val="{d7ea36ad-8b47-44da-b376-639aa3361806}"/>
        <w:style w:val=""/>
        <w:category>
          <w:name w:val="常规"/>
          <w:gallery w:val="placeholder"/>
        </w:category>
        <w:types>
          <w:type w:val="bbPlcHdr"/>
        </w:types>
        <w:behaviors>
          <w:behavior w:val="content"/>
        </w:behaviors>
        <w:description w:val=""/>
        <w:guid w:val="{d7ea36ad-8b47-44da-b376-639aa3361806}"/>
      </w:docPartPr>
      <w:docPartBody>
        <w:p>
          <w:r>
            <w:rPr>
              <w:color w:val="808080"/>
            </w:rPr>
            <w:t>单击此处输入文字。</w:t>
          </w:r>
        </w:p>
      </w:docPartBody>
    </w:docPart>
    <w:docPart>
      <w:docPartPr>
        <w:name w:val="{41a0b0b6-1e90-4365-829b-59aad0f50904}"/>
        <w:style w:val=""/>
        <w:category>
          <w:name w:val="常规"/>
          <w:gallery w:val="placeholder"/>
        </w:category>
        <w:types>
          <w:type w:val="bbPlcHdr"/>
        </w:types>
        <w:behaviors>
          <w:behavior w:val="content"/>
        </w:behaviors>
        <w:description w:val=""/>
        <w:guid w:val="{41a0b0b6-1e90-4365-829b-59aad0f50904}"/>
      </w:docPartPr>
      <w:docPartBody>
        <w:p>
          <w:r>
            <w:rPr>
              <w:color w:val="808080"/>
            </w:rPr>
            <w:t>单击此处输入文字。</w:t>
          </w:r>
        </w:p>
      </w:docPartBody>
    </w:docPart>
    <w:docPart>
      <w:docPartPr>
        <w:name w:val="{608c540c-1379-489e-886c-363d4b8ba1e1}"/>
        <w:style w:val=""/>
        <w:category>
          <w:name w:val="常规"/>
          <w:gallery w:val="placeholder"/>
        </w:category>
        <w:types>
          <w:type w:val="bbPlcHdr"/>
        </w:types>
        <w:behaviors>
          <w:behavior w:val="content"/>
        </w:behaviors>
        <w:description w:val=""/>
        <w:guid w:val="{608c540c-1379-489e-886c-363d4b8ba1e1}"/>
      </w:docPartPr>
      <w:docPartBody>
        <w:p>
          <w:r>
            <w:rPr>
              <w:color w:val="808080"/>
            </w:rPr>
            <w:t>单击此处输入文字。</w:t>
          </w:r>
        </w:p>
      </w:docPartBody>
    </w:docPart>
    <w:docPart>
      <w:docPartPr>
        <w:name w:val="{b6e271bc-a775-4236-8faf-aec9477e9af1}"/>
        <w:style w:val=""/>
        <w:category>
          <w:name w:val="常规"/>
          <w:gallery w:val="placeholder"/>
        </w:category>
        <w:types>
          <w:type w:val="bbPlcHdr"/>
        </w:types>
        <w:behaviors>
          <w:behavior w:val="content"/>
        </w:behaviors>
        <w:description w:val=""/>
        <w:guid w:val="{b6e271bc-a775-4236-8faf-aec9477e9af1}"/>
      </w:docPartPr>
      <w:docPartBody>
        <w:p>
          <w:r>
            <w:rPr>
              <w:color w:val="808080"/>
            </w:rPr>
            <w:t>单击此处输入文字。</w:t>
          </w:r>
        </w:p>
      </w:docPartBody>
    </w:docPart>
    <w:docPart>
      <w:docPartPr>
        <w:name w:val="{0a9d7081-77bf-4179-a900-3554e9c4cfcf}"/>
        <w:style w:val=""/>
        <w:category>
          <w:name w:val="常规"/>
          <w:gallery w:val="placeholder"/>
        </w:category>
        <w:types>
          <w:type w:val="bbPlcHdr"/>
        </w:types>
        <w:behaviors>
          <w:behavior w:val="content"/>
        </w:behaviors>
        <w:description w:val=""/>
        <w:guid w:val="{0a9d7081-77bf-4179-a900-3554e9c4cfcf}"/>
      </w:docPartPr>
      <w:docPartBody>
        <w:p>
          <w:r>
            <w:rPr>
              <w:color w:val="808080"/>
            </w:rPr>
            <w:t>单击此处输入文字。</w:t>
          </w:r>
        </w:p>
      </w:docPartBody>
    </w:docPart>
    <w:docPart>
      <w:docPartPr>
        <w:name w:val="{e096b3fc-9497-4e09-b154-ee240db88e32}"/>
        <w:style w:val=""/>
        <w:category>
          <w:name w:val="常规"/>
          <w:gallery w:val="placeholder"/>
        </w:category>
        <w:types>
          <w:type w:val="bbPlcHdr"/>
        </w:types>
        <w:behaviors>
          <w:behavior w:val="content"/>
        </w:behaviors>
        <w:description w:val=""/>
        <w:guid w:val="{e096b3fc-9497-4e09-b154-ee240db88e3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2023-08-09T03:29:00Z</dcterms:created>
  <dc:creator>Administrator</dc:creator>
  <cp:lastModifiedBy>Administrator</cp:lastModifiedBy>
  <dcterms:modified xsi:type="dcterms:W3CDTF">2023-08-10T09:32:24Z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