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9B53B">
      <w:pPr>
        <w:pStyle w:val="26"/>
        <w:adjustRightInd w:val="0"/>
        <w:snapToGrid w:val="0"/>
        <w:spacing w:line="360" w:lineRule="auto"/>
        <w:jc w:val="center"/>
        <w:rPr>
          <w:rFonts w:hint="default"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lang w:val="en-US" w:eastAsia="zh-CN"/>
        </w:rPr>
        <w:t>吉木乃县2025年义务教育薄弱环节与能力提升项目-录播设备</w:t>
      </w:r>
    </w:p>
    <w:p w14:paraId="585CB253">
      <w:pPr>
        <w:pStyle w:val="26"/>
        <w:adjustRightInd w:val="0"/>
        <w:snapToGrid w:val="0"/>
        <w:spacing w:line="240" w:lineRule="auto"/>
        <w:jc w:val="center"/>
        <w:rPr>
          <w:rFonts w:hint="eastAsia" w:ascii="仿宋" w:hAnsi="仿宋" w:eastAsia="仿宋" w:cs="仿宋"/>
          <w:b/>
          <w:color w:val="auto"/>
          <w:sz w:val="22"/>
          <w:szCs w:val="22"/>
          <w:highlight w:val="none"/>
          <w:lang w:val="en-US" w:eastAsia="zh-CN"/>
        </w:rPr>
      </w:pPr>
    </w:p>
    <w:p w14:paraId="4FC80B08">
      <w:pPr>
        <w:pStyle w:val="26"/>
        <w:adjustRightInd w:val="0"/>
        <w:snapToGrid w:val="0"/>
        <w:spacing w:line="36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项目编号：</w:t>
      </w:r>
      <w:r>
        <w:rPr>
          <w:rFonts w:hint="eastAsia" w:ascii="仿宋" w:hAnsi="仿宋" w:eastAsia="仿宋" w:cs="仿宋"/>
          <w:b/>
          <w:color w:val="auto"/>
          <w:sz w:val="36"/>
          <w:szCs w:val="36"/>
          <w:highlight w:val="none"/>
          <w:lang w:val="en-US" w:eastAsia="zh-CN"/>
        </w:rPr>
        <w:t>HMZCFW-2025-04</w:t>
      </w:r>
    </w:p>
    <w:p w14:paraId="06E29B7D">
      <w:pPr>
        <w:pStyle w:val="26"/>
        <w:adjustRightInd w:val="0"/>
        <w:snapToGrid w:val="0"/>
        <w:spacing w:line="240" w:lineRule="auto"/>
        <w:jc w:val="center"/>
        <w:rPr>
          <w:rFonts w:hint="eastAsia" w:ascii="仿宋" w:hAnsi="仿宋" w:eastAsia="仿宋" w:cs="仿宋"/>
          <w:b/>
          <w:color w:val="auto"/>
          <w:sz w:val="44"/>
          <w:szCs w:val="44"/>
          <w:highlight w:val="none"/>
          <w:lang w:eastAsia="zh-CN"/>
        </w:rPr>
      </w:pPr>
    </w:p>
    <w:p w14:paraId="2E7098E5">
      <w:pPr>
        <w:pStyle w:val="26"/>
        <w:adjustRightInd w:val="0"/>
        <w:snapToGrid w:val="0"/>
        <w:spacing w:line="240" w:lineRule="auto"/>
        <w:jc w:val="center"/>
        <w:rPr>
          <w:rFonts w:hint="eastAsia" w:ascii="仿宋" w:hAnsi="仿宋" w:eastAsia="仿宋" w:cs="仿宋"/>
          <w:b/>
          <w:color w:val="auto"/>
          <w:sz w:val="36"/>
          <w:szCs w:val="36"/>
          <w:highlight w:val="none"/>
          <w:lang w:eastAsia="zh-CN"/>
        </w:rPr>
      </w:pPr>
    </w:p>
    <w:p w14:paraId="4D631EB5">
      <w:pPr>
        <w:pageBreakBefore w:val="0"/>
        <w:kinsoku/>
        <w:topLinePunct w:val="0"/>
        <w:bidi w:val="0"/>
        <w:jc w:val="center"/>
        <w:outlineLvl w:val="9"/>
        <w:rPr>
          <w:rFonts w:hint="eastAsia" w:ascii="仿宋" w:hAnsi="仿宋" w:eastAsia="仿宋" w:cs="仿宋"/>
          <w:b/>
          <w:color w:val="auto"/>
          <w:sz w:val="74"/>
          <w:szCs w:val="96"/>
          <w:highlight w:val="none"/>
        </w:rPr>
      </w:pPr>
      <w:r>
        <w:rPr>
          <w:rFonts w:hint="eastAsia" w:ascii="仿宋" w:hAnsi="仿宋" w:eastAsia="仿宋" w:cs="仿宋"/>
          <w:b/>
          <w:color w:val="auto"/>
          <w:sz w:val="74"/>
          <w:szCs w:val="96"/>
          <w:highlight w:val="none"/>
        </w:rPr>
        <w:t>招</w:t>
      </w:r>
    </w:p>
    <w:p w14:paraId="69067256">
      <w:pPr>
        <w:pStyle w:val="36"/>
        <w:rPr>
          <w:rFonts w:hint="eastAsia"/>
          <w:color w:val="auto"/>
          <w:highlight w:val="none"/>
        </w:rPr>
      </w:pPr>
    </w:p>
    <w:p w14:paraId="2292E135">
      <w:pPr>
        <w:pageBreakBefore w:val="0"/>
        <w:kinsoku/>
        <w:topLinePunct w:val="0"/>
        <w:bidi w:val="0"/>
        <w:jc w:val="center"/>
        <w:outlineLvl w:val="9"/>
        <w:rPr>
          <w:rFonts w:hint="eastAsia" w:ascii="仿宋" w:hAnsi="仿宋" w:eastAsia="仿宋" w:cs="仿宋"/>
          <w:b/>
          <w:color w:val="auto"/>
          <w:sz w:val="74"/>
          <w:szCs w:val="96"/>
          <w:highlight w:val="none"/>
        </w:rPr>
      </w:pPr>
      <w:r>
        <w:rPr>
          <w:rFonts w:hint="eastAsia" w:ascii="仿宋" w:hAnsi="仿宋" w:eastAsia="仿宋" w:cs="仿宋"/>
          <w:b/>
          <w:color w:val="auto"/>
          <w:sz w:val="74"/>
          <w:szCs w:val="96"/>
          <w:highlight w:val="none"/>
        </w:rPr>
        <w:t>标</w:t>
      </w:r>
    </w:p>
    <w:p w14:paraId="0959C0FA">
      <w:pPr>
        <w:pStyle w:val="36"/>
        <w:rPr>
          <w:rFonts w:hint="eastAsia"/>
          <w:color w:val="auto"/>
          <w:highlight w:val="none"/>
        </w:rPr>
      </w:pPr>
    </w:p>
    <w:p w14:paraId="0B39EE9C">
      <w:pPr>
        <w:pageBreakBefore w:val="0"/>
        <w:kinsoku/>
        <w:topLinePunct w:val="0"/>
        <w:bidi w:val="0"/>
        <w:jc w:val="center"/>
        <w:outlineLvl w:val="9"/>
        <w:rPr>
          <w:rFonts w:hint="eastAsia" w:ascii="仿宋" w:hAnsi="仿宋" w:eastAsia="仿宋" w:cs="仿宋"/>
          <w:b/>
          <w:color w:val="auto"/>
          <w:sz w:val="74"/>
          <w:szCs w:val="96"/>
          <w:highlight w:val="none"/>
        </w:rPr>
      </w:pPr>
      <w:r>
        <w:rPr>
          <w:rFonts w:hint="eastAsia" w:ascii="仿宋" w:hAnsi="仿宋" w:eastAsia="仿宋" w:cs="仿宋"/>
          <w:b/>
          <w:color w:val="auto"/>
          <w:sz w:val="74"/>
          <w:szCs w:val="96"/>
          <w:highlight w:val="none"/>
        </w:rPr>
        <w:t>文</w:t>
      </w:r>
    </w:p>
    <w:p w14:paraId="5F271E75">
      <w:pPr>
        <w:pStyle w:val="36"/>
        <w:rPr>
          <w:rFonts w:hint="eastAsia"/>
          <w:color w:val="auto"/>
          <w:highlight w:val="none"/>
        </w:rPr>
      </w:pPr>
    </w:p>
    <w:p w14:paraId="70AB2B69">
      <w:pPr>
        <w:pageBreakBefore w:val="0"/>
        <w:kinsoku/>
        <w:topLinePunct w:val="0"/>
        <w:bidi w:val="0"/>
        <w:jc w:val="center"/>
        <w:outlineLvl w:val="9"/>
        <w:rPr>
          <w:rFonts w:hint="eastAsia" w:ascii="仿宋" w:hAnsi="仿宋" w:eastAsia="仿宋" w:cs="仿宋"/>
          <w:b/>
          <w:color w:val="auto"/>
          <w:sz w:val="74"/>
          <w:szCs w:val="96"/>
          <w:highlight w:val="none"/>
        </w:rPr>
      </w:pPr>
      <w:r>
        <w:rPr>
          <w:rFonts w:hint="eastAsia" w:ascii="仿宋" w:hAnsi="仿宋" w:eastAsia="仿宋" w:cs="仿宋"/>
          <w:b/>
          <w:color w:val="auto"/>
          <w:sz w:val="74"/>
          <w:szCs w:val="96"/>
          <w:highlight w:val="none"/>
        </w:rPr>
        <w:t>件</w:t>
      </w:r>
    </w:p>
    <w:p w14:paraId="1E7B78E1">
      <w:pPr>
        <w:pStyle w:val="4"/>
        <w:rPr>
          <w:rFonts w:hint="eastAsia"/>
          <w:color w:val="auto"/>
          <w:highlight w:val="none"/>
        </w:rPr>
      </w:pPr>
    </w:p>
    <w:p w14:paraId="2FE92768">
      <w:pPr>
        <w:pStyle w:val="26"/>
        <w:adjustRightInd w:val="0"/>
        <w:snapToGrid w:val="0"/>
        <w:spacing w:line="360" w:lineRule="auto"/>
        <w:jc w:val="both"/>
        <w:rPr>
          <w:rFonts w:hint="eastAsia" w:ascii="仿宋" w:hAnsi="仿宋" w:eastAsia="仿宋" w:cs="仿宋"/>
          <w:b/>
          <w:color w:val="auto"/>
          <w:sz w:val="32"/>
          <w:szCs w:val="32"/>
          <w:highlight w:val="none"/>
        </w:rPr>
      </w:pPr>
    </w:p>
    <w:p w14:paraId="552349E4">
      <w:pPr>
        <w:pStyle w:val="26"/>
        <w:adjustRightInd w:val="0"/>
        <w:snapToGrid w:val="0"/>
        <w:spacing w:line="360" w:lineRule="auto"/>
        <w:jc w:val="both"/>
        <w:rPr>
          <w:rFonts w:hint="eastAsia" w:ascii="仿宋" w:hAnsi="仿宋" w:eastAsia="仿宋" w:cs="仿宋"/>
          <w:b/>
          <w:color w:val="auto"/>
          <w:sz w:val="32"/>
          <w:szCs w:val="32"/>
          <w:highlight w:val="none"/>
        </w:rPr>
      </w:pPr>
    </w:p>
    <w:p w14:paraId="2E1D6C65">
      <w:pPr>
        <w:pStyle w:val="26"/>
        <w:adjustRightInd w:val="0"/>
        <w:snapToGrid w:val="0"/>
        <w:spacing w:line="360" w:lineRule="auto"/>
        <w:jc w:val="both"/>
        <w:rPr>
          <w:rFonts w:hint="eastAsia" w:ascii="仿宋" w:hAnsi="仿宋" w:eastAsia="仿宋" w:cs="仿宋"/>
          <w:b/>
          <w:color w:val="auto"/>
          <w:sz w:val="32"/>
          <w:szCs w:val="32"/>
          <w:highlight w:val="none"/>
        </w:rPr>
      </w:pPr>
    </w:p>
    <w:p w14:paraId="039BE822">
      <w:pPr>
        <w:pStyle w:val="26"/>
        <w:adjustRightInd w:val="0"/>
        <w:snapToGrid w:val="0"/>
        <w:spacing w:line="60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阿勒泰禾淼工程咨询有限公司</w:t>
      </w:r>
    </w:p>
    <w:p w14:paraId="58454CD2">
      <w:pPr>
        <w:pStyle w:val="26"/>
        <w:adjustRightInd w:val="0"/>
        <w:snapToGrid w:val="0"/>
        <w:spacing w:line="60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二〇</w:t>
      </w:r>
      <w:r>
        <w:rPr>
          <w:rFonts w:hint="eastAsia" w:ascii="仿宋" w:hAnsi="仿宋" w:eastAsia="仿宋" w:cs="仿宋"/>
          <w:b/>
          <w:color w:val="auto"/>
          <w:sz w:val="36"/>
          <w:szCs w:val="36"/>
          <w:highlight w:val="none"/>
          <w:lang w:val="en-US" w:eastAsia="zh-CN"/>
        </w:rPr>
        <w:t>二五</w:t>
      </w:r>
      <w:r>
        <w:rPr>
          <w:rFonts w:hint="eastAsia" w:ascii="仿宋" w:hAnsi="仿宋" w:eastAsia="仿宋" w:cs="仿宋"/>
          <w:b/>
          <w:color w:val="auto"/>
          <w:sz w:val="36"/>
          <w:szCs w:val="36"/>
          <w:highlight w:val="none"/>
          <w:lang w:eastAsia="zh-CN"/>
        </w:rPr>
        <w:t>年</w:t>
      </w:r>
      <w:r>
        <w:rPr>
          <w:rFonts w:hint="eastAsia" w:ascii="仿宋" w:hAnsi="仿宋" w:eastAsia="仿宋" w:cs="仿宋"/>
          <w:b/>
          <w:color w:val="auto"/>
          <w:sz w:val="36"/>
          <w:szCs w:val="36"/>
          <w:highlight w:val="none"/>
          <w:lang w:val="en-US" w:eastAsia="zh-CN"/>
        </w:rPr>
        <w:t>六</w:t>
      </w:r>
      <w:r>
        <w:rPr>
          <w:rFonts w:hint="eastAsia" w:ascii="仿宋" w:hAnsi="仿宋" w:eastAsia="仿宋" w:cs="仿宋"/>
          <w:b/>
          <w:color w:val="auto"/>
          <w:sz w:val="36"/>
          <w:szCs w:val="36"/>
          <w:highlight w:val="none"/>
          <w:lang w:eastAsia="zh-CN"/>
        </w:rPr>
        <w:t>月</w:t>
      </w:r>
    </w:p>
    <w:p w14:paraId="514E6F04">
      <w:pPr>
        <w:pStyle w:val="27"/>
        <w:rPr>
          <w:rFonts w:hint="eastAsia" w:ascii="仿宋" w:hAnsi="仿宋" w:eastAsia="仿宋" w:cs="仿宋"/>
          <w:b/>
          <w:color w:val="auto"/>
          <w:sz w:val="36"/>
          <w:szCs w:val="36"/>
          <w:highlight w:val="none"/>
          <w:lang w:eastAsia="zh-CN"/>
        </w:rPr>
      </w:pPr>
    </w:p>
    <w:p w14:paraId="55D0E07B">
      <w:pPr>
        <w:rPr>
          <w:rFonts w:hint="eastAsia"/>
          <w:color w:val="auto"/>
          <w:highlight w:val="none"/>
          <w:lang w:eastAsia="zh-CN"/>
        </w:rPr>
      </w:pPr>
    </w:p>
    <w:p w14:paraId="66D81119">
      <w:pPr>
        <w:autoSpaceDE w:val="0"/>
        <w:autoSpaceDN w:val="0"/>
        <w:adjustRightInd w:val="0"/>
        <w:jc w:val="center"/>
        <w:rPr>
          <w:rFonts w:hint="eastAsia" w:ascii="仿宋" w:hAnsi="仿宋" w:eastAsia="仿宋" w:cs="仿宋"/>
          <w:b/>
          <w:bCs w:val="0"/>
          <w:color w:val="auto"/>
          <w:kern w:val="0"/>
          <w:sz w:val="36"/>
          <w:szCs w:val="36"/>
          <w:highlight w:val="none"/>
          <w:lang w:eastAsia="zh-CN"/>
        </w:rPr>
      </w:pPr>
      <w:r>
        <w:rPr>
          <w:rFonts w:hint="eastAsia" w:ascii="仿宋" w:hAnsi="仿宋" w:eastAsia="仿宋" w:cs="仿宋"/>
          <w:b/>
          <w:bCs w:val="0"/>
          <w:color w:val="auto"/>
          <w:kern w:val="0"/>
          <w:sz w:val="36"/>
          <w:szCs w:val="36"/>
          <w:highlight w:val="none"/>
        </w:rPr>
        <w:t>招标文件</w:t>
      </w:r>
      <w:r>
        <w:rPr>
          <w:rFonts w:hint="eastAsia" w:ascii="仿宋" w:hAnsi="仿宋" w:eastAsia="仿宋" w:cs="仿宋"/>
          <w:b/>
          <w:bCs w:val="0"/>
          <w:color w:val="auto"/>
          <w:kern w:val="0"/>
          <w:sz w:val="36"/>
          <w:szCs w:val="36"/>
          <w:highlight w:val="none"/>
          <w:lang w:eastAsia="zh-CN"/>
        </w:rPr>
        <w:t>（公开招标）</w:t>
      </w:r>
    </w:p>
    <w:p w14:paraId="5DD9208A">
      <w:pPr>
        <w:ind w:firstLine="420" w:firstLineChars="150"/>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zh-CN"/>
        </w:rPr>
        <w:t xml:space="preserve">  </w:t>
      </w:r>
    </w:p>
    <w:p w14:paraId="5A6423E3">
      <w:pPr>
        <w:autoSpaceDE w:val="0"/>
        <w:autoSpaceDN w:val="0"/>
        <w:adjustRightInd w:val="0"/>
        <w:spacing w:line="680" w:lineRule="exact"/>
        <w:ind w:firstLine="480" w:firstLineChars="200"/>
        <w:jc w:val="both"/>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项目名称：</w:t>
      </w:r>
      <w:r>
        <w:rPr>
          <w:rFonts w:hint="eastAsia" w:ascii="仿宋" w:hAnsi="仿宋" w:eastAsia="仿宋" w:cs="仿宋"/>
          <w:bCs/>
          <w:color w:val="auto"/>
          <w:sz w:val="24"/>
          <w:szCs w:val="24"/>
          <w:highlight w:val="none"/>
          <w:lang w:val="zh-CN" w:eastAsia="zh-CN"/>
        </w:rPr>
        <w:t>吉木乃县2025年义务教育薄弱环节与能力提升项目 -录播设备</w:t>
      </w:r>
    </w:p>
    <w:p w14:paraId="19D78889">
      <w:pPr>
        <w:autoSpaceDE w:val="0"/>
        <w:autoSpaceDN w:val="0"/>
        <w:adjustRightInd w:val="0"/>
        <w:spacing w:line="680" w:lineRule="exact"/>
        <w:ind w:firstLine="480" w:firstLineChars="200"/>
        <w:jc w:val="both"/>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采购单位：</w:t>
      </w:r>
      <w:r>
        <w:rPr>
          <w:rFonts w:hint="eastAsia" w:ascii="仿宋" w:hAnsi="仿宋" w:eastAsia="仿宋" w:cs="仿宋"/>
          <w:bCs/>
          <w:color w:val="auto"/>
          <w:sz w:val="24"/>
          <w:szCs w:val="24"/>
          <w:highlight w:val="none"/>
          <w:lang w:val="zh-CN" w:eastAsia="zh-CN"/>
        </w:rPr>
        <w:t>吉木乃县教育局</w:t>
      </w:r>
    </w:p>
    <w:p w14:paraId="290518BE">
      <w:pPr>
        <w:autoSpaceDE w:val="0"/>
        <w:autoSpaceDN w:val="0"/>
        <w:adjustRightInd w:val="0"/>
        <w:spacing w:line="680" w:lineRule="exact"/>
        <w:ind w:firstLine="480" w:firstLineChars="200"/>
        <w:jc w:val="both"/>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联 系 人：</w:t>
      </w:r>
      <w:r>
        <w:rPr>
          <w:rFonts w:hint="eastAsia" w:ascii="仿宋" w:hAnsi="仿宋" w:eastAsia="仿宋" w:cs="仿宋"/>
          <w:bCs/>
          <w:color w:val="auto"/>
          <w:sz w:val="24"/>
          <w:szCs w:val="24"/>
          <w:highlight w:val="none"/>
          <w:lang w:val="en-US" w:eastAsia="zh-CN"/>
        </w:rPr>
        <w:t>王工</w:t>
      </w:r>
    </w:p>
    <w:p w14:paraId="4A83C6B5">
      <w:pPr>
        <w:autoSpaceDE w:val="0"/>
        <w:autoSpaceDN w:val="0"/>
        <w:adjustRightInd w:val="0"/>
        <w:spacing w:line="680" w:lineRule="exact"/>
        <w:ind w:firstLine="480" w:firstLineChars="200"/>
        <w:jc w:val="both"/>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rPr>
        <w:t>电    话：0906-</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val="zh-CN"/>
        </w:rPr>
        <w:t>181290</w:t>
      </w:r>
    </w:p>
    <w:p w14:paraId="60AE1E66">
      <w:pPr>
        <w:autoSpaceDE w:val="0"/>
        <w:autoSpaceDN w:val="0"/>
        <w:adjustRightInd w:val="0"/>
        <w:spacing w:line="680" w:lineRule="exact"/>
        <w:rPr>
          <w:rFonts w:hint="eastAsia" w:ascii="仿宋" w:hAnsi="仿宋" w:eastAsia="仿宋" w:cs="仿宋"/>
          <w:bCs/>
          <w:color w:val="auto"/>
          <w:sz w:val="22"/>
          <w:szCs w:val="22"/>
          <w:highlight w:val="none"/>
          <w:lang w:val="zh-CN"/>
        </w:rPr>
      </w:pPr>
    </w:p>
    <w:p w14:paraId="54E918C6">
      <w:pPr>
        <w:autoSpaceDE w:val="0"/>
        <w:autoSpaceDN w:val="0"/>
        <w:adjustRightInd w:val="0"/>
        <w:spacing w:line="6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zh-CN"/>
        </w:rPr>
        <w:t xml:space="preserve"> </w:t>
      </w:r>
      <w:r>
        <w:rPr>
          <w:rFonts w:hint="eastAsia" w:ascii="仿宋" w:hAnsi="仿宋" w:eastAsia="仿宋" w:cs="仿宋"/>
          <w:bCs/>
          <w:color w:val="auto"/>
          <w:sz w:val="22"/>
          <w:szCs w:val="22"/>
          <w:highlight w:val="none"/>
        </w:rPr>
        <w:t xml:space="preserve">   </w:t>
      </w:r>
    </w:p>
    <w:p w14:paraId="6009E04E">
      <w:pPr>
        <w:pStyle w:val="23"/>
        <w:rPr>
          <w:rFonts w:hint="eastAsia" w:ascii="仿宋" w:hAnsi="仿宋" w:eastAsia="仿宋" w:cs="仿宋"/>
          <w:bCs/>
          <w:color w:val="auto"/>
          <w:sz w:val="22"/>
          <w:szCs w:val="22"/>
          <w:highlight w:val="none"/>
        </w:rPr>
      </w:pPr>
    </w:p>
    <w:p w14:paraId="35E46946">
      <w:pPr>
        <w:pStyle w:val="4"/>
        <w:rPr>
          <w:rFonts w:hint="eastAsia" w:ascii="仿宋" w:hAnsi="仿宋" w:eastAsia="仿宋" w:cs="仿宋"/>
          <w:color w:val="auto"/>
          <w:highlight w:val="none"/>
          <w:lang w:val="zh-CN"/>
        </w:rPr>
      </w:pPr>
    </w:p>
    <w:p w14:paraId="5D7EFC9F">
      <w:pPr>
        <w:autoSpaceDE w:val="0"/>
        <w:autoSpaceDN w:val="0"/>
        <w:adjustRightInd w:val="0"/>
        <w:spacing w:line="680" w:lineRule="exact"/>
        <w:rPr>
          <w:rFonts w:hint="eastAsia"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 xml:space="preserve">     ----------------------------------------------------------- </w:t>
      </w:r>
    </w:p>
    <w:p w14:paraId="2A39FFE9">
      <w:pPr>
        <w:autoSpaceDE w:val="0"/>
        <w:autoSpaceDN w:val="0"/>
        <w:adjustRightInd w:val="0"/>
        <w:spacing w:line="680" w:lineRule="exact"/>
        <w:ind w:left="1077" w:leftChars="513"/>
        <w:rPr>
          <w:rFonts w:hint="eastAsia" w:ascii="仿宋" w:hAnsi="仿宋" w:eastAsia="仿宋" w:cs="仿宋"/>
          <w:bCs/>
          <w:color w:val="auto"/>
          <w:sz w:val="24"/>
          <w:szCs w:val="28"/>
          <w:highlight w:val="none"/>
          <w:lang w:val="zh-CN"/>
        </w:rPr>
      </w:pPr>
    </w:p>
    <w:p w14:paraId="4B3BE077">
      <w:pPr>
        <w:pStyle w:val="44"/>
        <w:ind w:left="0" w:leftChars="0" w:firstLine="0" w:firstLineChars="0"/>
        <w:rPr>
          <w:rFonts w:hint="eastAsia" w:ascii="仿宋" w:hAnsi="仿宋" w:eastAsia="仿宋" w:cs="仿宋"/>
          <w:color w:val="auto"/>
          <w:sz w:val="22"/>
          <w:szCs w:val="22"/>
          <w:highlight w:val="none"/>
          <w:lang w:val="zh-CN"/>
        </w:rPr>
      </w:pPr>
    </w:p>
    <w:p w14:paraId="130619A7">
      <w:pPr>
        <w:pStyle w:val="44"/>
        <w:rPr>
          <w:rFonts w:hint="eastAsia" w:ascii="仿宋" w:hAnsi="仿宋" w:eastAsia="仿宋" w:cs="仿宋"/>
          <w:color w:val="auto"/>
          <w:sz w:val="22"/>
          <w:szCs w:val="22"/>
          <w:highlight w:val="none"/>
          <w:lang w:val="zh-CN"/>
        </w:rPr>
      </w:pPr>
    </w:p>
    <w:p w14:paraId="577EFFD5">
      <w:pPr>
        <w:pStyle w:val="44"/>
        <w:rPr>
          <w:rFonts w:hint="eastAsia" w:ascii="仿宋" w:hAnsi="仿宋" w:eastAsia="仿宋" w:cs="仿宋"/>
          <w:color w:val="auto"/>
          <w:sz w:val="22"/>
          <w:szCs w:val="22"/>
          <w:highlight w:val="none"/>
          <w:lang w:val="zh-CN"/>
        </w:rPr>
      </w:pPr>
    </w:p>
    <w:p w14:paraId="75DDA638">
      <w:pPr>
        <w:rPr>
          <w:rFonts w:hint="eastAsia"/>
          <w:color w:val="auto"/>
          <w:highlight w:val="none"/>
          <w:lang w:val="zh-CN"/>
        </w:rPr>
      </w:pPr>
    </w:p>
    <w:p w14:paraId="5ED6C5B1">
      <w:pPr>
        <w:autoSpaceDE w:val="0"/>
        <w:autoSpaceDN w:val="0"/>
        <w:adjustRightInd w:val="0"/>
        <w:spacing w:line="680" w:lineRule="exact"/>
        <w:ind w:firstLine="480" w:firstLineChars="200"/>
        <w:jc w:val="lef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招标代理机构：</w:t>
      </w:r>
      <w:r>
        <w:rPr>
          <w:rFonts w:hint="eastAsia" w:ascii="仿宋" w:hAnsi="仿宋" w:eastAsia="仿宋" w:cs="仿宋"/>
          <w:bCs/>
          <w:color w:val="auto"/>
          <w:sz w:val="24"/>
          <w:szCs w:val="24"/>
          <w:highlight w:val="none"/>
          <w:lang w:val="en-US" w:eastAsia="zh-CN"/>
        </w:rPr>
        <w:t>阿勒泰禾淼工程咨询有限公司</w:t>
      </w:r>
      <w:r>
        <w:rPr>
          <w:rFonts w:hint="eastAsia" w:ascii="仿宋" w:hAnsi="仿宋" w:eastAsia="仿宋" w:cs="仿宋"/>
          <w:bCs/>
          <w:color w:val="auto"/>
          <w:sz w:val="24"/>
          <w:szCs w:val="24"/>
          <w:highlight w:val="none"/>
          <w:lang w:val="zh-CN"/>
        </w:rPr>
        <w:t xml:space="preserve"> </w:t>
      </w:r>
    </w:p>
    <w:p w14:paraId="5BFC64E0">
      <w:pPr>
        <w:autoSpaceDE w:val="0"/>
        <w:autoSpaceDN w:val="0"/>
        <w:adjustRightInd w:val="0"/>
        <w:spacing w:line="680" w:lineRule="exact"/>
        <w:ind w:firstLine="480" w:firstLineChars="200"/>
        <w:jc w:val="left"/>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rPr>
        <w:t>联 系 人：</w:t>
      </w:r>
      <w:r>
        <w:rPr>
          <w:rFonts w:hint="eastAsia" w:ascii="仿宋" w:hAnsi="仿宋" w:eastAsia="仿宋" w:cs="仿宋"/>
          <w:bCs/>
          <w:color w:val="auto"/>
          <w:sz w:val="24"/>
          <w:szCs w:val="24"/>
          <w:highlight w:val="none"/>
          <w:lang w:val="en-US" w:eastAsia="zh-CN"/>
        </w:rPr>
        <w:t>王子恒</w:t>
      </w:r>
    </w:p>
    <w:p w14:paraId="1D656DED">
      <w:pPr>
        <w:autoSpaceDE w:val="0"/>
        <w:autoSpaceDN w:val="0"/>
        <w:adjustRightInd w:val="0"/>
        <w:spacing w:line="680" w:lineRule="exact"/>
        <w:ind w:firstLine="480" w:firstLineChars="200"/>
        <w:jc w:val="left"/>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rPr>
        <w:t>电    话：13809945728</w:t>
      </w:r>
    </w:p>
    <w:p w14:paraId="370C33A1">
      <w:pPr>
        <w:autoSpaceDE w:val="0"/>
        <w:autoSpaceDN w:val="0"/>
        <w:adjustRightInd w:val="0"/>
        <w:spacing w:line="680" w:lineRule="exact"/>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rPr>
        <w:t>详细地址：新疆阿勒泰地区阿勒泰市迎宾路克兰区99号万弛广场1栋十五层</w:t>
      </w:r>
      <w:r>
        <w:rPr>
          <w:rFonts w:hint="eastAsia" w:ascii="仿宋" w:hAnsi="仿宋" w:eastAsia="仿宋" w:cs="仿宋"/>
          <w:bCs/>
          <w:color w:val="auto"/>
          <w:sz w:val="24"/>
          <w:szCs w:val="24"/>
          <w:highlight w:val="none"/>
          <w:lang w:val="en-US" w:eastAsia="zh-CN"/>
        </w:rPr>
        <w:t xml:space="preserve"> </w:t>
      </w:r>
    </w:p>
    <w:p w14:paraId="147FEAB1">
      <w:pPr>
        <w:autoSpaceDE w:val="0"/>
        <w:autoSpaceDN w:val="0"/>
        <w:adjustRightInd w:val="0"/>
        <w:spacing w:line="240" w:lineRule="auto"/>
        <w:jc w:val="both"/>
        <w:rPr>
          <w:rFonts w:hint="eastAsia" w:ascii="仿宋" w:hAnsi="仿宋" w:eastAsia="仿宋" w:cs="仿宋"/>
          <w:color w:val="auto"/>
          <w:kern w:val="0"/>
          <w:sz w:val="36"/>
          <w:szCs w:val="36"/>
          <w:highlight w:val="none"/>
        </w:rPr>
      </w:pPr>
    </w:p>
    <w:p w14:paraId="481A81AA">
      <w:pPr>
        <w:autoSpaceDE w:val="0"/>
        <w:autoSpaceDN w:val="0"/>
        <w:adjustRightInd w:val="0"/>
        <w:spacing w:line="600" w:lineRule="auto"/>
        <w:jc w:val="center"/>
        <w:rPr>
          <w:rFonts w:hint="eastAsia" w:ascii="仿宋" w:hAnsi="仿宋" w:eastAsia="仿宋" w:cs="仿宋"/>
          <w:color w:val="auto"/>
          <w:kern w:val="0"/>
          <w:sz w:val="36"/>
          <w:szCs w:val="36"/>
          <w:highlight w:val="none"/>
        </w:rPr>
      </w:pPr>
    </w:p>
    <w:p w14:paraId="4F49E281">
      <w:pPr>
        <w:autoSpaceDE w:val="0"/>
        <w:autoSpaceDN w:val="0"/>
        <w:adjustRightInd w:val="0"/>
        <w:spacing w:line="600" w:lineRule="auto"/>
        <w:jc w:val="center"/>
        <w:rPr>
          <w:rFonts w:hint="eastAsia" w:ascii="仿宋" w:hAnsi="仿宋" w:eastAsia="仿宋" w:cs="仿宋"/>
          <w:color w:val="auto"/>
          <w:kern w:val="0"/>
          <w:sz w:val="36"/>
          <w:szCs w:val="36"/>
          <w:highlight w:val="none"/>
        </w:rPr>
      </w:pPr>
      <w:r>
        <w:rPr>
          <w:rFonts w:hint="eastAsia" w:ascii="仿宋" w:hAnsi="仿宋" w:eastAsia="仿宋" w:cs="仿宋"/>
          <w:color w:val="auto"/>
          <w:kern w:val="0"/>
          <w:sz w:val="36"/>
          <w:szCs w:val="36"/>
          <w:highlight w:val="none"/>
        </w:rPr>
        <w:t>目  录</w:t>
      </w:r>
    </w:p>
    <w:p w14:paraId="5F42E405">
      <w:pPr>
        <w:pStyle w:val="33"/>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"1-9" \f \h \u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_Toc31121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eastAsia="zh-CN"/>
        </w:rPr>
        <w:t>第一部分</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eastAsia="zh-CN"/>
        </w:rPr>
        <w:t>采购公告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14:paraId="38D551C8">
      <w:pPr>
        <w:pStyle w:val="33"/>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_Toc25035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第二部分</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14:paraId="1111D1C3">
      <w:pPr>
        <w:pStyle w:val="33"/>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_Toc10179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投标人须知前附表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14:paraId="649DD87E">
      <w:pPr>
        <w:pStyle w:val="38"/>
        <w:keepNext w:val="0"/>
        <w:keepLines w:val="0"/>
        <w:pageBreakBefore w:val="0"/>
        <w:widowControl w:val="0"/>
        <w:tabs>
          <w:tab w:val="right" w:leader="dot" w:pos="9240"/>
        </w:tabs>
        <w:kinsoku/>
        <w:wordWrap/>
        <w:overflowPunct/>
        <w:topLinePunct w:val="0"/>
        <w:autoSpaceDE/>
        <w:autoSpaceDN/>
        <w:bidi w:val="0"/>
        <w:adjustRightInd/>
        <w:snapToGrid/>
        <w:spacing w:line="7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_Toc27167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xml:space="preserve">第一章 </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14:paraId="787A5644">
      <w:pPr>
        <w:pStyle w:val="38"/>
        <w:keepNext w:val="0"/>
        <w:keepLines w:val="0"/>
        <w:pageBreakBefore w:val="0"/>
        <w:widowControl w:val="0"/>
        <w:tabs>
          <w:tab w:val="right" w:leader="dot" w:pos="9240"/>
        </w:tabs>
        <w:kinsoku/>
        <w:wordWrap/>
        <w:overflowPunct/>
        <w:topLinePunct w:val="0"/>
        <w:autoSpaceDE/>
        <w:autoSpaceDN/>
        <w:bidi w:val="0"/>
        <w:adjustRightInd/>
        <w:snapToGrid/>
        <w:spacing w:line="7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_Toc26927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xml:space="preserve">第二章 </w:t>
      </w:r>
      <w:r>
        <w:rPr>
          <w:rFonts w:hint="eastAsia" w:ascii="仿宋" w:hAnsi="仿宋" w:eastAsia="仿宋" w:cs="仿宋"/>
          <w:color w:val="auto"/>
          <w:sz w:val="24"/>
          <w:szCs w:val="24"/>
          <w:highlight w:val="none"/>
          <w:lang w:val="en-US" w:eastAsia="zh-CN"/>
        </w:rPr>
        <w:t>评标办法及标准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14:paraId="330DE769">
      <w:pPr>
        <w:pStyle w:val="38"/>
        <w:keepNext w:val="0"/>
        <w:keepLines w:val="0"/>
        <w:pageBreakBefore w:val="0"/>
        <w:widowControl w:val="0"/>
        <w:tabs>
          <w:tab w:val="right" w:leader="dot" w:pos="9240"/>
        </w:tabs>
        <w:kinsoku/>
        <w:wordWrap/>
        <w:overflowPunct/>
        <w:topLinePunct w:val="0"/>
        <w:autoSpaceDE/>
        <w:autoSpaceDN/>
        <w:bidi w:val="0"/>
        <w:adjustRightInd/>
        <w:snapToGrid/>
        <w:spacing w:line="7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_Toc29633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第三章</w:t>
      </w:r>
      <w:r>
        <w:rPr>
          <w:rFonts w:hint="eastAsia" w:ascii="仿宋" w:hAnsi="仿宋" w:eastAsia="仿宋" w:cs="仿宋"/>
          <w:color w:val="auto"/>
          <w:sz w:val="24"/>
          <w:szCs w:val="24"/>
          <w:highlight w:val="none"/>
          <w:lang w:val="en-US" w:eastAsia="zh-CN"/>
        </w:rPr>
        <w:t xml:space="preserve"> 采购需求、技术参数、规格</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14:paraId="70A77D59">
      <w:pPr>
        <w:pStyle w:val="33"/>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_Toc13536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 xml:space="preserve">第四章 </w:t>
      </w:r>
      <w:r>
        <w:rPr>
          <w:rFonts w:hint="eastAsia" w:ascii="仿宋" w:hAnsi="仿宋" w:eastAsia="仿宋" w:cs="仿宋"/>
          <w:bCs/>
          <w:color w:val="auto"/>
          <w:sz w:val="24"/>
          <w:szCs w:val="24"/>
          <w:highlight w:val="none"/>
          <w:lang w:eastAsia="zh-CN"/>
        </w:rPr>
        <w:t>采购合同范本</w:t>
      </w:r>
      <w:r>
        <w:rPr>
          <w:rFonts w:hint="eastAsia" w:ascii="仿宋" w:hAnsi="仿宋" w:eastAsia="仿宋" w:cs="仿宋"/>
          <w:bCs/>
          <w:color w:val="auto"/>
          <w:sz w:val="24"/>
          <w:szCs w:val="24"/>
          <w:highlight w:val="none"/>
        </w:rPr>
        <w:t>（仅供参考）</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14:paraId="78F2D1F2">
      <w:pPr>
        <w:pStyle w:val="33"/>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_Toc5124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第五章</w:t>
      </w:r>
      <w:r>
        <w:rPr>
          <w:rFonts w:hint="eastAsia" w:ascii="仿宋" w:hAnsi="仿宋" w:eastAsia="仿宋" w:cs="仿宋"/>
          <w:color w:val="auto"/>
          <w:sz w:val="24"/>
          <w:szCs w:val="24"/>
          <w:highlight w:val="none"/>
          <w:lang w:val="en-US" w:eastAsia="zh-CN"/>
        </w:rPr>
        <w:t xml:space="preserve"> 投标文件内容及格式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14:paraId="761DD8EF">
      <w:pPr>
        <w:pStyle w:val="2"/>
        <w:outlineLvl w:val="0"/>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14:paraId="68367954">
      <w:pPr>
        <w:autoSpaceDE w:val="0"/>
        <w:autoSpaceDN w:val="0"/>
        <w:adjustRightInd w:val="0"/>
        <w:spacing w:line="600" w:lineRule="auto"/>
        <w:ind w:left="2"/>
        <w:rPr>
          <w:rFonts w:hint="eastAsia" w:ascii="仿宋" w:hAnsi="仿宋" w:eastAsia="仿宋" w:cs="仿宋"/>
          <w:color w:val="auto"/>
          <w:kern w:val="0"/>
          <w:sz w:val="28"/>
          <w:szCs w:val="28"/>
          <w:highlight w:val="none"/>
        </w:rPr>
      </w:pPr>
    </w:p>
    <w:p w14:paraId="1ED7AC20">
      <w:pPr>
        <w:pStyle w:val="4"/>
        <w:rPr>
          <w:rFonts w:hint="eastAsia" w:ascii="仿宋" w:hAnsi="仿宋" w:eastAsia="仿宋" w:cs="仿宋"/>
          <w:color w:val="auto"/>
          <w:kern w:val="0"/>
          <w:sz w:val="28"/>
          <w:szCs w:val="28"/>
          <w:highlight w:val="none"/>
        </w:rPr>
      </w:pPr>
    </w:p>
    <w:p w14:paraId="2C450A7A">
      <w:pPr>
        <w:rPr>
          <w:rFonts w:hint="eastAsia" w:ascii="仿宋" w:hAnsi="仿宋" w:eastAsia="仿宋" w:cs="仿宋"/>
          <w:color w:val="auto"/>
          <w:kern w:val="0"/>
          <w:sz w:val="28"/>
          <w:szCs w:val="28"/>
          <w:highlight w:val="none"/>
        </w:rPr>
      </w:pPr>
    </w:p>
    <w:p w14:paraId="3A963AD0">
      <w:pPr>
        <w:pStyle w:val="4"/>
        <w:rPr>
          <w:rFonts w:hint="eastAsia" w:ascii="仿宋" w:hAnsi="仿宋" w:eastAsia="仿宋" w:cs="仿宋"/>
          <w:color w:val="auto"/>
          <w:kern w:val="0"/>
          <w:sz w:val="28"/>
          <w:szCs w:val="28"/>
          <w:highlight w:val="none"/>
        </w:rPr>
      </w:pPr>
    </w:p>
    <w:p w14:paraId="1EA4BB48">
      <w:pPr>
        <w:rPr>
          <w:rFonts w:hint="eastAsia"/>
          <w:color w:val="auto"/>
          <w:highlight w:val="none"/>
        </w:rPr>
      </w:pPr>
    </w:p>
    <w:p w14:paraId="37E35C27">
      <w:pPr>
        <w:rPr>
          <w:rFonts w:hint="eastAsia" w:ascii="仿宋" w:hAnsi="仿宋" w:eastAsia="仿宋" w:cs="仿宋"/>
          <w:color w:val="auto"/>
          <w:kern w:val="0"/>
          <w:sz w:val="28"/>
          <w:szCs w:val="28"/>
          <w:highlight w:val="none"/>
        </w:rPr>
      </w:pPr>
    </w:p>
    <w:p w14:paraId="41538BB1">
      <w:pPr>
        <w:pStyle w:val="13"/>
        <w:rPr>
          <w:rFonts w:hint="eastAsia" w:ascii="仿宋" w:hAnsi="仿宋" w:eastAsia="仿宋" w:cs="仿宋"/>
          <w:color w:val="auto"/>
          <w:kern w:val="0"/>
          <w:sz w:val="28"/>
          <w:szCs w:val="28"/>
          <w:highlight w:val="none"/>
        </w:rPr>
      </w:pPr>
    </w:p>
    <w:p w14:paraId="3097A3EA">
      <w:pPr>
        <w:rPr>
          <w:rFonts w:hint="eastAsia" w:ascii="仿宋" w:hAnsi="仿宋" w:eastAsia="仿宋" w:cs="仿宋"/>
          <w:color w:val="auto"/>
          <w:kern w:val="0"/>
          <w:sz w:val="28"/>
          <w:szCs w:val="28"/>
          <w:highlight w:val="none"/>
        </w:rPr>
      </w:pPr>
    </w:p>
    <w:p w14:paraId="5F5B149A">
      <w:pPr>
        <w:pStyle w:val="13"/>
        <w:rPr>
          <w:rFonts w:hint="eastAsia"/>
        </w:rPr>
      </w:pPr>
    </w:p>
    <w:p w14:paraId="5F527021">
      <w:pPr>
        <w:pStyle w:val="13"/>
        <w:rPr>
          <w:rFonts w:hint="eastAsia"/>
          <w:color w:val="auto"/>
          <w:highlight w:val="none"/>
        </w:rPr>
      </w:pPr>
    </w:p>
    <w:p w14:paraId="65E63987">
      <w:pPr>
        <w:pStyle w:val="36"/>
        <w:rPr>
          <w:rFonts w:hint="eastAsia"/>
          <w:color w:val="auto"/>
          <w:highlight w:val="none"/>
        </w:rPr>
      </w:pPr>
    </w:p>
    <w:p w14:paraId="71034A05">
      <w:pPr>
        <w:spacing w:line="360" w:lineRule="auto"/>
        <w:jc w:val="center"/>
        <w:outlineLvl w:val="0"/>
        <w:rPr>
          <w:rFonts w:hint="eastAsia" w:ascii="仿宋" w:hAnsi="仿宋" w:eastAsia="仿宋" w:cs="仿宋"/>
          <w:b/>
          <w:color w:val="auto"/>
          <w:sz w:val="36"/>
          <w:szCs w:val="36"/>
          <w:highlight w:val="none"/>
          <w:lang w:eastAsia="zh-CN"/>
        </w:rPr>
      </w:pPr>
      <w:bookmarkStart w:id="0" w:name="_Toc14876"/>
      <w:bookmarkStart w:id="1" w:name="_Toc25035"/>
      <w:bookmarkStart w:id="2" w:name="_Toc15770"/>
      <w:bookmarkStart w:id="3" w:name="_Toc19282"/>
      <w:bookmarkStart w:id="4" w:name="_Toc15231"/>
      <w:bookmarkStart w:id="5" w:name="_Toc27002"/>
      <w:bookmarkStart w:id="6" w:name="_Toc30559"/>
      <w:bookmarkStart w:id="7" w:name="_Toc30491"/>
      <w:bookmarkStart w:id="8" w:name="_Toc5064"/>
      <w:bookmarkStart w:id="9" w:name="_Toc1277"/>
      <w:r>
        <w:rPr>
          <w:rFonts w:hint="eastAsia" w:ascii="仿宋" w:hAnsi="仿宋" w:eastAsia="仿宋" w:cs="仿宋"/>
          <w:b/>
          <w:color w:val="auto"/>
          <w:sz w:val="36"/>
          <w:szCs w:val="36"/>
          <w:highlight w:val="none"/>
          <w:lang w:val="en-US" w:eastAsia="zh-CN"/>
        </w:rPr>
        <w:t xml:space="preserve">第一部分  </w:t>
      </w:r>
      <w:r>
        <w:rPr>
          <w:rFonts w:hint="eastAsia" w:ascii="仿宋" w:hAnsi="仿宋" w:eastAsia="仿宋" w:cs="仿宋"/>
          <w:b/>
          <w:color w:val="auto"/>
          <w:sz w:val="36"/>
          <w:szCs w:val="36"/>
          <w:highlight w:val="none"/>
          <w:lang w:eastAsia="zh-CN"/>
        </w:rPr>
        <w:t>采购公告</w:t>
      </w:r>
    </w:p>
    <w:bookmarkEnd w:id="0"/>
    <w:p w14:paraId="01B6AC4A">
      <w:pPr>
        <w:pStyle w:val="2"/>
        <w:keepNext/>
        <w:keepLines/>
        <w:pageBreakBefore w:val="0"/>
        <w:widowControl w:val="0"/>
        <w:numPr>
          <w:ilvl w:val="0"/>
          <w:numId w:val="0"/>
        </w:numPr>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Times New Roman" w:hAnsi="Times New Roman" w:eastAsia="宋体" w:cs="Times New Roman"/>
          <w:sz w:val="32"/>
          <w:szCs w:val="32"/>
          <w:highlight w:val="none"/>
          <w:lang w:val="en-US" w:eastAsia="zh-CN"/>
        </w:rPr>
      </w:pPr>
      <w:r>
        <w:rPr>
          <w:rFonts w:hint="eastAsia" w:cs="Times New Roman"/>
          <w:sz w:val="32"/>
          <w:szCs w:val="32"/>
          <w:highlight w:val="none"/>
          <w:lang w:val="en-US" w:eastAsia="zh-CN"/>
        </w:rPr>
        <w:t>吉木乃县2025年义务教育薄弱环节与能力提升项目 -录播设备</w:t>
      </w:r>
    </w:p>
    <w:p w14:paraId="546ECD33">
      <w:pPr>
        <w:pStyle w:val="2"/>
        <w:keepNext/>
        <w:keepLines/>
        <w:pageBreakBefore w:val="0"/>
        <w:widowControl w:val="0"/>
        <w:numPr>
          <w:ilvl w:val="0"/>
          <w:numId w:val="0"/>
        </w:numPr>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rPr>
      </w:pPr>
      <w:r>
        <w:rPr>
          <w:rFonts w:hint="eastAsia" w:ascii="Times New Roman" w:hAnsi="Times New Roman" w:cs="Times New Roman"/>
          <w:sz w:val="32"/>
          <w:szCs w:val="32"/>
          <w:highlight w:val="none"/>
          <w:lang w:val="en-US" w:eastAsia="zh-CN"/>
        </w:rPr>
        <w:t>公开</w:t>
      </w:r>
      <w:r>
        <w:rPr>
          <w:rFonts w:hint="eastAsia" w:ascii="Times New Roman" w:hAnsi="Times New Roman" w:eastAsia="宋体" w:cs="Times New Roman"/>
          <w:sz w:val="32"/>
          <w:szCs w:val="32"/>
          <w:highlight w:val="none"/>
          <w:lang w:val="en-US" w:eastAsia="zh-CN"/>
        </w:rPr>
        <w:t>招标</w:t>
      </w:r>
      <w:r>
        <w:rPr>
          <w:rFonts w:hint="default" w:ascii="Times New Roman" w:hAnsi="Times New Roman" w:eastAsia="宋体" w:cs="Times New Roman"/>
          <w:sz w:val="32"/>
          <w:szCs w:val="32"/>
          <w:highlight w:val="none"/>
          <w:lang w:val="en-US" w:eastAsia="zh-CN"/>
        </w:rPr>
        <w:t>公告</w:t>
      </w:r>
    </w:p>
    <w:p w14:paraId="1885AA53">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项目概况</w:t>
      </w:r>
    </w:p>
    <w:p w14:paraId="7B19A6C0">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u w:val="single"/>
          <w:lang w:eastAsia="zh-CN"/>
        </w:rPr>
        <w:t>吉木乃县2025年义务教育薄弱环节与能力提升项目 -录播设备</w:t>
      </w:r>
      <w:r>
        <w:rPr>
          <w:rFonts w:hint="eastAsia" w:ascii="仿宋" w:hAnsi="仿宋" w:eastAsia="仿宋"/>
          <w:sz w:val="28"/>
          <w:szCs w:val="28"/>
        </w:rPr>
        <w:t>招标项目的潜在投标人应在</w:t>
      </w:r>
      <w:r>
        <w:rPr>
          <w:rFonts w:hint="eastAsia" w:ascii="仿宋" w:hAnsi="仿宋" w:eastAsia="仿宋"/>
          <w:sz w:val="28"/>
          <w:szCs w:val="28"/>
          <w:u w:val="single"/>
        </w:rPr>
        <w:t>在政采云平台线上获取（https://www.zcygov.cn/）</w:t>
      </w:r>
      <w:r>
        <w:rPr>
          <w:rFonts w:hint="eastAsia" w:ascii="仿宋" w:hAnsi="仿宋" w:eastAsia="仿宋"/>
          <w:sz w:val="28"/>
          <w:szCs w:val="28"/>
        </w:rPr>
        <w:t>获取招标文件，并于</w:t>
      </w:r>
      <w:r>
        <w:rPr>
          <w:rFonts w:ascii="仿宋" w:hAnsi="仿宋" w:eastAsia="仿宋"/>
          <w:sz w:val="28"/>
          <w:szCs w:val="28"/>
          <w:highlight w:val="none"/>
          <w:u w:val="single"/>
        </w:rPr>
        <w:t xml:space="preserve"> </w:t>
      </w:r>
      <w:r>
        <w:rPr>
          <w:rFonts w:hint="eastAsia" w:ascii="仿宋" w:hAnsi="仿宋" w:eastAsia="仿宋"/>
          <w:color w:val="auto"/>
          <w:sz w:val="28"/>
          <w:szCs w:val="28"/>
          <w:highlight w:val="none"/>
          <w:u w:val="single"/>
        </w:rPr>
        <w:t>202</w:t>
      </w:r>
      <w:r>
        <w:rPr>
          <w:rFonts w:hint="eastAsia" w:ascii="仿宋" w:hAnsi="仿宋" w:eastAsia="仿宋"/>
          <w:color w:val="auto"/>
          <w:sz w:val="28"/>
          <w:szCs w:val="28"/>
          <w:highlight w:val="none"/>
          <w:u w:val="single"/>
          <w:lang w:val="en-US" w:eastAsia="zh-CN"/>
        </w:rPr>
        <w:t>5</w:t>
      </w:r>
      <w:r>
        <w:rPr>
          <w:rFonts w:hint="eastAsia" w:ascii="仿宋" w:hAnsi="仿宋" w:eastAsia="仿宋"/>
          <w:bCs/>
          <w:color w:val="auto"/>
          <w:sz w:val="28"/>
          <w:szCs w:val="28"/>
          <w:highlight w:val="none"/>
          <w:u w:val="single"/>
        </w:rPr>
        <w:t>年0</w:t>
      </w:r>
      <w:r>
        <w:rPr>
          <w:rFonts w:hint="eastAsia" w:ascii="仿宋" w:hAnsi="仿宋" w:eastAsia="仿宋"/>
          <w:bCs/>
          <w:color w:val="auto"/>
          <w:sz w:val="28"/>
          <w:szCs w:val="28"/>
          <w:highlight w:val="none"/>
          <w:u w:val="single"/>
          <w:lang w:val="en-US" w:eastAsia="zh-CN"/>
        </w:rPr>
        <w:t>7</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16</w:t>
      </w:r>
      <w:r>
        <w:rPr>
          <w:rFonts w:hint="eastAsia" w:ascii="仿宋" w:hAnsi="仿宋" w:eastAsia="仿宋"/>
          <w:bCs/>
          <w:color w:val="auto"/>
          <w:sz w:val="28"/>
          <w:szCs w:val="28"/>
          <w:highlight w:val="none"/>
          <w:u w:val="single"/>
        </w:rPr>
        <w:t>日1</w:t>
      </w:r>
      <w:r>
        <w:rPr>
          <w:rFonts w:hint="eastAsia" w:ascii="仿宋" w:hAnsi="仿宋" w:eastAsia="仿宋"/>
          <w:bCs/>
          <w:color w:val="auto"/>
          <w:sz w:val="28"/>
          <w:szCs w:val="28"/>
          <w:highlight w:val="none"/>
          <w:u w:val="single"/>
          <w:lang w:val="en-US" w:eastAsia="zh-CN"/>
        </w:rPr>
        <w:t>1时0</w:t>
      </w:r>
      <w:r>
        <w:rPr>
          <w:rFonts w:hint="eastAsia" w:ascii="仿宋" w:hAnsi="仿宋" w:eastAsia="仿宋"/>
          <w:bCs/>
          <w:color w:val="auto"/>
          <w:sz w:val="28"/>
          <w:szCs w:val="28"/>
          <w:highlight w:val="none"/>
          <w:u w:val="single"/>
        </w:rPr>
        <w:t>0分</w:t>
      </w:r>
      <w:r>
        <w:rPr>
          <w:rFonts w:hint="eastAsia" w:ascii="仿宋" w:hAnsi="仿宋" w:eastAsia="仿宋"/>
          <w:bCs/>
          <w:sz w:val="28"/>
          <w:szCs w:val="28"/>
          <w:highlight w:val="none"/>
          <w:u w:val="single"/>
        </w:rPr>
        <w:t>（</w:t>
      </w:r>
      <w:r>
        <w:rPr>
          <w:rFonts w:hint="eastAsia" w:ascii="仿宋" w:hAnsi="仿宋" w:eastAsia="仿宋"/>
          <w:bCs/>
          <w:sz w:val="28"/>
          <w:szCs w:val="28"/>
          <w:highlight w:val="none"/>
        </w:rPr>
        <w:t>北京</w:t>
      </w:r>
      <w:r>
        <w:rPr>
          <w:rFonts w:hint="eastAsia" w:ascii="仿宋" w:hAnsi="仿宋" w:eastAsia="仿宋"/>
          <w:bCs/>
          <w:sz w:val="28"/>
          <w:szCs w:val="28"/>
        </w:rPr>
        <w:t>时间）前递交投标</w:t>
      </w:r>
      <w:r>
        <w:rPr>
          <w:rFonts w:ascii="仿宋" w:hAnsi="仿宋" w:eastAsia="仿宋"/>
          <w:bCs/>
          <w:sz w:val="28"/>
          <w:szCs w:val="28"/>
        </w:rPr>
        <w:t>文件</w:t>
      </w:r>
      <w:r>
        <w:rPr>
          <w:rFonts w:hint="eastAsia" w:ascii="仿宋" w:hAnsi="仿宋" w:eastAsia="仿宋"/>
          <w:sz w:val="28"/>
          <w:szCs w:val="28"/>
        </w:rPr>
        <w:t>。</w:t>
      </w:r>
    </w:p>
    <w:p w14:paraId="1FA4CFD2">
      <w:pPr>
        <w:pStyle w:val="3"/>
        <w:pageBreakBefore w:val="0"/>
        <w:kinsoku/>
        <w:wordWrap/>
        <w:overflowPunct/>
        <w:topLinePunct w:val="0"/>
        <w:autoSpaceDE/>
        <w:autoSpaceDN/>
        <w:bidi w:val="0"/>
        <w:adjustRightInd/>
        <w:spacing w:line="500" w:lineRule="exact"/>
        <w:jc w:val="both"/>
        <w:textAlignment w:val="auto"/>
        <w:rPr>
          <w:rFonts w:ascii="黑体" w:hAnsi="黑体" w:cs="宋体"/>
          <w:bCs/>
          <w:sz w:val="28"/>
          <w:szCs w:val="28"/>
        </w:rPr>
      </w:pPr>
      <w:bookmarkStart w:id="10" w:name="_Toc28359079"/>
      <w:bookmarkStart w:id="11" w:name="_Toc35393790"/>
      <w:bookmarkStart w:id="12" w:name="_Toc28359002"/>
      <w:bookmarkStart w:id="13" w:name="_Toc35393621"/>
      <w:bookmarkStart w:id="14" w:name="_Hlk24379207"/>
      <w:r>
        <w:rPr>
          <w:rFonts w:hint="eastAsia" w:ascii="黑体" w:hAnsi="黑体" w:cs="宋体"/>
          <w:bCs/>
          <w:sz w:val="28"/>
          <w:szCs w:val="28"/>
        </w:rPr>
        <w:t>一、项目基本情况</w:t>
      </w:r>
      <w:bookmarkEnd w:id="10"/>
      <w:bookmarkEnd w:id="11"/>
      <w:bookmarkEnd w:id="12"/>
      <w:bookmarkEnd w:id="13"/>
    </w:p>
    <w:p w14:paraId="73B1B1FB">
      <w:pPr>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eastAsia="zh-CN"/>
        </w:rPr>
        <w:t>HMZCFW-2025-04</w:t>
      </w:r>
    </w:p>
    <w:p w14:paraId="048E5F13">
      <w:pPr>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项目名称：</w:t>
      </w:r>
      <w:bookmarkEnd w:id="14"/>
      <w:r>
        <w:rPr>
          <w:rFonts w:hint="eastAsia" w:ascii="仿宋" w:hAnsi="仿宋" w:eastAsia="仿宋"/>
          <w:sz w:val="28"/>
          <w:szCs w:val="28"/>
          <w:lang w:eastAsia="zh-CN"/>
        </w:rPr>
        <w:t>吉木乃县2025年义务教育薄弱环节与能力提升项目 -录播设备</w:t>
      </w:r>
      <w:r>
        <w:rPr>
          <w:rFonts w:hint="eastAsia" w:ascii="仿宋" w:hAnsi="仿宋" w:eastAsia="仿宋"/>
          <w:sz w:val="28"/>
          <w:szCs w:val="28"/>
        </w:rPr>
        <w:t> </w:t>
      </w:r>
    </w:p>
    <w:p w14:paraId="43FED123">
      <w:pPr>
        <w:pageBreakBefore w:val="0"/>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155</w:t>
      </w:r>
      <w:r>
        <w:rPr>
          <w:rFonts w:hint="eastAsia" w:ascii="仿宋" w:hAnsi="仿宋" w:eastAsia="仿宋"/>
          <w:sz w:val="28"/>
          <w:szCs w:val="28"/>
        </w:rPr>
        <w:t>万元</w:t>
      </w:r>
    </w:p>
    <w:p w14:paraId="7FB04E03">
      <w:pPr>
        <w:pageBreakBefore w:val="0"/>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最高限价：</w:t>
      </w:r>
      <w:r>
        <w:rPr>
          <w:rFonts w:hint="eastAsia" w:ascii="仿宋" w:hAnsi="仿宋" w:eastAsia="仿宋"/>
          <w:sz w:val="28"/>
          <w:szCs w:val="28"/>
          <w:lang w:val="en-US" w:eastAsia="zh-CN"/>
        </w:rPr>
        <w:t>155</w:t>
      </w:r>
      <w:r>
        <w:rPr>
          <w:rFonts w:hint="eastAsia" w:ascii="仿宋" w:hAnsi="仿宋" w:eastAsia="仿宋"/>
          <w:sz w:val="28"/>
          <w:szCs w:val="28"/>
        </w:rPr>
        <w:t>万元</w:t>
      </w:r>
    </w:p>
    <w:p w14:paraId="3BFB3822">
      <w:pPr>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采购需求：</w:t>
      </w:r>
      <w:bookmarkStart w:id="15" w:name="OLE_LINK1"/>
      <w:r>
        <w:rPr>
          <w:rFonts w:hint="eastAsia" w:ascii="仿宋" w:hAnsi="仿宋" w:eastAsia="仿宋"/>
          <w:sz w:val="28"/>
          <w:szCs w:val="28"/>
          <w:lang w:val="en-US" w:eastAsia="zh-CN"/>
        </w:rPr>
        <w:t>设备采购及安装</w:t>
      </w:r>
      <w:bookmarkEnd w:id="15"/>
      <w:r>
        <w:rPr>
          <w:rFonts w:hint="eastAsia" w:ascii="仿宋" w:hAnsi="仿宋" w:eastAsia="仿宋"/>
          <w:sz w:val="28"/>
          <w:szCs w:val="28"/>
          <w:lang w:val="en-US" w:eastAsia="zh-CN"/>
        </w:rPr>
        <w:t>。</w:t>
      </w:r>
      <w:r>
        <w:rPr>
          <w:rFonts w:hint="eastAsia" w:ascii="仿宋" w:hAnsi="仿宋" w:eastAsia="仿宋"/>
          <w:color w:val="auto"/>
          <w:sz w:val="28"/>
          <w:szCs w:val="28"/>
          <w:lang w:val="en-US" w:eastAsia="zh-CN"/>
        </w:rPr>
        <w:t>具体参数详见招标文件</w:t>
      </w:r>
      <w:r>
        <w:rPr>
          <w:rFonts w:hint="eastAsia" w:ascii="仿宋" w:hAnsi="仿宋" w:eastAsia="仿宋"/>
          <w:color w:val="auto"/>
          <w:sz w:val="28"/>
          <w:szCs w:val="28"/>
        </w:rPr>
        <w:t>。</w:t>
      </w:r>
    </w:p>
    <w:p w14:paraId="3FE5F507">
      <w:pPr>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sz w:val="28"/>
          <w:szCs w:val="28"/>
        </w:rPr>
        <w:t>合同履行</w:t>
      </w:r>
      <w:r>
        <w:rPr>
          <w:rFonts w:hint="eastAsia" w:ascii="仿宋" w:hAnsi="仿宋" w:eastAsia="仿宋"/>
          <w:color w:val="auto"/>
          <w:sz w:val="28"/>
          <w:szCs w:val="28"/>
        </w:rPr>
        <w:t>期限</w:t>
      </w:r>
      <w:r>
        <w:rPr>
          <w:rFonts w:hint="eastAsia" w:ascii="仿宋" w:hAnsi="仿宋" w:eastAsia="仿宋"/>
          <w:color w:val="auto"/>
          <w:sz w:val="28"/>
          <w:szCs w:val="28"/>
          <w:lang w:eastAsia="zh-CN"/>
        </w:rPr>
        <w:t>：</w:t>
      </w:r>
      <w:r>
        <w:rPr>
          <w:rFonts w:hint="eastAsia" w:ascii="仿宋" w:hAnsi="仿宋" w:eastAsia="仿宋"/>
          <w:color w:val="auto"/>
          <w:sz w:val="28"/>
          <w:szCs w:val="28"/>
          <w:highlight w:val="none"/>
          <w:lang w:val="en-US" w:eastAsia="zh-CN"/>
        </w:rPr>
        <w:t>签订合同后20日内完成供货、安装、调试、验收</w:t>
      </w:r>
    </w:p>
    <w:p w14:paraId="3B1141C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）接受联合体投标。</w:t>
      </w:r>
      <w:bookmarkStart w:id="16" w:name="_Toc35393622"/>
      <w:bookmarkStart w:id="17" w:name="_Toc28359080"/>
      <w:bookmarkStart w:id="18" w:name="_Toc35393791"/>
      <w:bookmarkStart w:id="19" w:name="_Toc28359003"/>
    </w:p>
    <w:p w14:paraId="60F9D419">
      <w:pPr>
        <w:pStyle w:val="3"/>
        <w:pageBreakBefore w:val="0"/>
        <w:kinsoku/>
        <w:wordWrap/>
        <w:overflowPunct/>
        <w:topLinePunct w:val="0"/>
        <w:autoSpaceDE/>
        <w:autoSpaceDN/>
        <w:bidi w:val="0"/>
        <w:adjustRightInd/>
        <w:spacing w:line="500" w:lineRule="exact"/>
        <w:jc w:val="both"/>
        <w:textAlignment w:val="auto"/>
        <w:rPr>
          <w:rFonts w:hint="eastAsia" w:ascii="黑体" w:hAnsi="黑体" w:cs="宋体"/>
          <w:bCs/>
          <w:sz w:val="28"/>
          <w:szCs w:val="28"/>
        </w:rPr>
      </w:pPr>
      <w:r>
        <w:rPr>
          <w:rFonts w:hint="eastAsia" w:ascii="黑体" w:hAnsi="黑体" w:cs="宋体"/>
          <w:bCs/>
          <w:sz w:val="28"/>
          <w:szCs w:val="28"/>
        </w:rPr>
        <w:t>二、申请人的资格要求：</w:t>
      </w:r>
      <w:bookmarkEnd w:id="16"/>
      <w:bookmarkEnd w:id="17"/>
      <w:bookmarkEnd w:id="18"/>
      <w:bookmarkEnd w:id="19"/>
    </w:p>
    <w:p w14:paraId="5D9A11F6">
      <w:pPr>
        <w:pageBreakBefore w:val="0"/>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1.满足《中华人民共和国政府采购法》第二十二条规定；</w:t>
      </w:r>
    </w:p>
    <w:p w14:paraId="43407C1E">
      <w:pPr>
        <w:pageBreakBefore w:val="0"/>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rPr>
      </w:pPr>
      <w:bookmarkStart w:id="20" w:name="_Toc28359004"/>
      <w:bookmarkStart w:id="21" w:name="_Toc28359081"/>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color w:val="auto"/>
          <w:sz w:val="28"/>
          <w:szCs w:val="28"/>
          <w:u w:val="single"/>
        </w:rPr>
        <w:t>供应商为中小企业</w:t>
      </w:r>
      <w:r>
        <w:rPr>
          <w:rFonts w:hint="eastAsia" w:ascii="仿宋" w:hAnsi="仿宋" w:eastAsia="仿宋"/>
          <w:color w:val="auto"/>
          <w:sz w:val="28"/>
          <w:szCs w:val="28"/>
          <w:u w:val="single"/>
          <w:lang w:eastAsia="zh-CN"/>
        </w:rPr>
        <w:t>；</w:t>
      </w:r>
      <w:r>
        <w:rPr>
          <w:rFonts w:ascii="仿宋" w:hAnsi="仿宋" w:eastAsia="仿宋" w:cs="仿宋"/>
          <w:color w:val="auto"/>
          <w:spacing w:val="-8"/>
          <w:sz w:val="26"/>
          <w:szCs w:val="26"/>
        </w:rPr>
        <w:t>《政府采购促进中小企业发展管理办法》</w:t>
      </w:r>
      <w:r>
        <w:rPr>
          <w:rFonts w:hint="eastAsia" w:ascii="仿宋" w:hAnsi="仿宋" w:eastAsia="仿宋" w:cs="仿宋"/>
          <w:color w:val="auto"/>
          <w:spacing w:val="-8"/>
          <w:sz w:val="26"/>
          <w:szCs w:val="26"/>
          <w:lang w:eastAsia="zh-CN"/>
        </w:rPr>
        <w:t>；</w:t>
      </w:r>
      <w:r>
        <w:rPr>
          <w:rFonts w:ascii="仿宋" w:hAnsi="仿宋" w:eastAsia="仿宋" w:cs="仿宋"/>
          <w:color w:val="auto"/>
          <w:spacing w:val="-8"/>
          <w:sz w:val="26"/>
          <w:szCs w:val="26"/>
        </w:rPr>
        <w:t xml:space="preserve"> </w:t>
      </w:r>
    </w:p>
    <w:p w14:paraId="740BBEE9">
      <w:pPr>
        <w:pStyle w:val="18"/>
        <w:pageBreakBefore w:val="0"/>
        <w:kinsoku/>
        <w:wordWrap/>
        <w:overflowPunct/>
        <w:topLinePunct w:val="0"/>
        <w:autoSpaceDE/>
        <w:autoSpaceDN/>
        <w:bidi w:val="0"/>
        <w:adjustRightInd/>
        <w:spacing w:line="500" w:lineRule="exact"/>
        <w:ind w:firstLine="560" w:firstLineChars="200"/>
        <w:textAlignment w:val="auto"/>
        <w:rPr>
          <w:rFonts w:ascii="仿宋" w:hAnsi="仿宋" w:eastAsia="仿宋"/>
          <w:i/>
          <w:iCs/>
          <w:sz w:val="28"/>
          <w:szCs w:val="28"/>
          <w:u w:val="single"/>
        </w:rPr>
      </w:pPr>
      <w:r>
        <w:rPr>
          <w:rFonts w:hint="eastAsia" w:ascii="仿宋" w:hAnsi="仿宋" w:eastAsia="仿宋"/>
          <w:sz w:val="28"/>
          <w:szCs w:val="28"/>
        </w:rPr>
        <w:t>3.本项目的特定资格要求：</w:t>
      </w:r>
      <w:r>
        <w:rPr>
          <w:rFonts w:ascii="仿宋" w:hAnsi="仿宋" w:eastAsia="仿宋" w:cs="宋体"/>
          <w:bCs/>
          <w:sz w:val="28"/>
          <w:szCs w:val="28"/>
        </w:rPr>
        <w:t>3.1投标人须提供有效的营业执照，具有独立承担民事责任的能力；财务状况和商业信誉良好，在经营活动中没有违法记录</w:t>
      </w:r>
      <w:r>
        <w:rPr>
          <w:rFonts w:hint="eastAsia" w:ascii="仿宋" w:hAnsi="仿宋" w:eastAsia="仿宋"/>
          <w:b w:val="0"/>
          <w:sz w:val="28"/>
          <w:szCs w:val="28"/>
        </w:rPr>
        <w:t>；3.2投标人必须具有独立完成本项目的能力</w:t>
      </w:r>
      <w:r>
        <w:rPr>
          <w:rFonts w:ascii="仿宋" w:hAnsi="仿宋" w:eastAsia="仿宋" w:cs="宋体"/>
          <w:bCs/>
          <w:sz w:val="28"/>
          <w:szCs w:val="28"/>
        </w:rPr>
        <w:t>；3.3本招标项目招标人对供应商的资格审查拟采用的方式为：资格后审；</w:t>
      </w:r>
      <w:r>
        <w:rPr>
          <w:rFonts w:hint="eastAsia" w:ascii="仿宋" w:hAnsi="仿宋" w:eastAsia="仿宋"/>
          <w:sz w:val="28"/>
          <w:szCs w:val="28"/>
          <w:lang w:val="en-US" w:eastAsia="zh-CN"/>
        </w:rPr>
        <w:t>3.4</w:t>
      </w:r>
      <w:r>
        <w:rPr>
          <w:rFonts w:ascii="仿宋" w:hAnsi="仿宋" w:eastAsia="仿宋" w:cs="宋体"/>
          <w:bCs/>
          <w:sz w:val="28"/>
          <w:szCs w:val="28"/>
        </w:rPr>
        <w:t>本次招标不接受(接受或不接受)联合体投标； 3.</w:t>
      </w:r>
      <w:r>
        <w:rPr>
          <w:rFonts w:hint="eastAsia" w:ascii="仿宋" w:hAnsi="仿宋" w:eastAsia="仿宋" w:cs="宋体"/>
          <w:bCs/>
          <w:sz w:val="28"/>
          <w:szCs w:val="28"/>
          <w:lang w:val="en-US" w:eastAsia="zh-CN"/>
        </w:rPr>
        <w:t>5</w:t>
      </w:r>
      <w:r>
        <w:rPr>
          <w:rFonts w:ascii="仿宋" w:hAnsi="仿宋" w:eastAsia="仿宋" w:cs="宋体"/>
          <w:bCs/>
          <w:sz w:val="28"/>
          <w:szCs w:val="28"/>
        </w:rPr>
        <w:t>根据《关于在招标投标活动中对失信被执行人实施联合惩戒的通知》之规定，供应商应通过“信用中国”网站（www.creditchina.gov.cn）和“中国政府采购网”（ www.ccgp.gov.cn）查询未被列为失信被执行人；3.</w:t>
      </w:r>
      <w:r>
        <w:rPr>
          <w:rFonts w:hint="eastAsia" w:ascii="仿宋" w:hAnsi="仿宋" w:eastAsia="仿宋" w:cs="宋体"/>
          <w:bCs/>
          <w:sz w:val="28"/>
          <w:szCs w:val="28"/>
          <w:lang w:val="en-US" w:eastAsia="zh-CN"/>
        </w:rPr>
        <w:t>6</w:t>
      </w:r>
      <w:r>
        <w:rPr>
          <w:rFonts w:ascii="仿宋" w:hAnsi="仿宋" w:eastAsia="仿宋" w:cs="宋体"/>
          <w:bCs/>
          <w:sz w:val="28"/>
          <w:szCs w:val="28"/>
        </w:rPr>
        <w:t>与招标人存在利害关系可能影响招标公正性的法人、其他组织或者个人，不得参加投标</w:t>
      </w:r>
      <w:r>
        <w:rPr>
          <w:rFonts w:ascii="仿宋" w:hAnsi="仿宋" w:eastAsia="仿宋"/>
          <w:sz w:val="28"/>
          <w:szCs w:val="28"/>
        </w:rPr>
        <w:t>。</w:t>
      </w:r>
    </w:p>
    <w:p w14:paraId="2BBA7893">
      <w:pPr>
        <w:pStyle w:val="3"/>
        <w:pageBreakBefore w:val="0"/>
        <w:kinsoku/>
        <w:wordWrap/>
        <w:overflowPunct/>
        <w:topLinePunct w:val="0"/>
        <w:autoSpaceDE/>
        <w:autoSpaceDN/>
        <w:bidi w:val="0"/>
        <w:adjustRightInd/>
        <w:spacing w:line="500" w:lineRule="exact"/>
        <w:jc w:val="both"/>
        <w:textAlignment w:val="auto"/>
        <w:rPr>
          <w:rFonts w:ascii="黑体" w:hAnsi="黑体" w:cs="宋体"/>
          <w:bCs/>
          <w:sz w:val="28"/>
          <w:szCs w:val="28"/>
        </w:rPr>
      </w:pPr>
      <w:bookmarkStart w:id="22" w:name="_Toc35393623"/>
      <w:bookmarkStart w:id="23" w:name="_Toc35393792"/>
      <w:r>
        <w:rPr>
          <w:rFonts w:hint="eastAsia" w:ascii="黑体" w:hAnsi="黑体" w:cs="宋体"/>
          <w:bCs/>
          <w:sz w:val="28"/>
          <w:szCs w:val="28"/>
        </w:rPr>
        <w:t>三、获取招标文件</w:t>
      </w:r>
      <w:bookmarkEnd w:id="20"/>
      <w:bookmarkEnd w:id="21"/>
      <w:bookmarkEnd w:id="22"/>
      <w:bookmarkEnd w:id="23"/>
    </w:p>
    <w:p w14:paraId="263FCB12">
      <w:pPr>
        <w:pageBreakBefore w:val="0"/>
        <w:kinsoku/>
        <w:wordWrap/>
        <w:overflowPunct/>
        <w:topLinePunct w:val="0"/>
        <w:autoSpaceDE/>
        <w:autoSpaceDN/>
        <w:bidi w:val="0"/>
        <w:adjustRightInd/>
        <w:spacing w:line="500" w:lineRule="exact"/>
        <w:ind w:firstLine="540"/>
        <w:textAlignment w:val="auto"/>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06</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26</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07</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03</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10：</w:t>
      </w:r>
      <w:r>
        <w:rPr>
          <w:rFonts w:hint="eastAsia" w:ascii="仿宋" w:hAnsi="仿宋" w:eastAsia="仿宋" w:cs="宋体"/>
          <w:sz w:val="28"/>
          <w:szCs w:val="28"/>
          <w:u w:val="single"/>
          <w:lang w:val="en-US" w:eastAsia="zh-CN"/>
        </w:rPr>
        <w:t>0</w:t>
      </w:r>
      <w:r>
        <w:rPr>
          <w:rFonts w:hint="eastAsia" w:ascii="仿宋" w:hAnsi="仿宋" w:eastAsia="仿宋" w:cs="宋体"/>
          <w:sz w:val="28"/>
          <w:szCs w:val="28"/>
          <w:u w:val="single"/>
        </w:rPr>
        <w:t>0　</w:t>
      </w:r>
      <w:r>
        <w:rPr>
          <w:rFonts w:hint="eastAsia" w:ascii="仿宋" w:hAnsi="仿宋" w:eastAsia="仿宋" w:cs="宋体"/>
          <w:sz w:val="28"/>
          <w:szCs w:val="28"/>
        </w:rPr>
        <w:t>至</w:t>
      </w:r>
      <w:r>
        <w:rPr>
          <w:rFonts w:hint="eastAsia" w:ascii="仿宋" w:hAnsi="仿宋" w:eastAsia="仿宋" w:cs="宋体"/>
          <w:sz w:val="28"/>
          <w:szCs w:val="28"/>
          <w:u w:val="single"/>
        </w:rPr>
        <w:t>1</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：00</w:t>
      </w:r>
      <w:r>
        <w:rPr>
          <w:rFonts w:hint="eastAsia" w:ascii="仿宋" w:hAnsi="仿宋" w:eastAsia="仿宋" w:cs="宋体"/>
          <w:sz w:val="28"/>
          <w:szCs w:val="28"/>
        </w:rPr>
        <w:t>，下午</w:t>
      </w:r>
      <w:r>
        <w:rPr>
          <w:rFonts w:hint="eastAsia" w:ascii="仿宋" w:hAnsi="仿宋" w:eastAsia="仿宋" w:cs="宋体"/>
          <w:sz w:val="28"/>
          <w:szCs w:val="28"/>
          <w:u w:val="single"/>
        </w:rPr>
        <w:t>1</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23</w:t>
      </w:r>
      <w:r>
        <w:rPr>
          <w:rFonts w:hint="eastAsia" w:ascii="仿宋" w:hAnsi="仿宋" w:eastAsia="仿宋" w:cs="宋体"/>
          <w:sz w:val="28"/>
          <w:szCs w:val="28"/>
          <w:u w:val="single"/>
        </w:rPr>
        <w:t>:</w:t>
      </w:r>
      <w:r>
        <w:rPr>
          <w:rFonts w:hint="eastAsia" w:ascii="仿宋" w:hAnsi="仿宋" w:eastAsia="仿宋" w:cs="宋体"/>
          <w:sz w:val="28"/>
          <w:szCs w:val="28"/>
          <w:u w:val="single"/>
          <w:lang w:val="en-US" w:eastAsia="zh-CN"/>
        </w:rPr>
        <w:t>59</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14:paraId="68302117">
      <w:pPr>
        <w:pageBreakBefore w:val="0"/>
        <w:kinsoku/>
        <w:wordWrap/>
        <w:overflowPunct/>
        <w:topLinePunct w:val="0"/>
        <w:autoSpaceDE/>
        <w:autoSpaceDN/>
        <w:bidi w:val="0"/>
        <w:adjustRightInd/>
        <w:spacing w:line="500" w:lineRule="exact"/>
        <w:ind w:firstLine="540"/>
        <w:textAlignment w:val="auto"/>
        <w:rPr>
          <w:rFonts w:hint="eastAsia" w:ascii="仿宋" w:hAnsi="仿宋" w:eastAsia="仿宋" w:cs="宋体"/>
          <w:sz w:val="28"/>
          <w:szCs w:val="28"/>
          <w:lang w:val="en-US" w:eastAsia="zh-CN"/>
        </w:rPr>
      </w:pPr>
      <w:r>
        <w:rPr>
          <w:rFonts w:hint="eastAsia" w:ascii="仿宋" w:hAnsi="仿宋" w:eastAsia="仿宋" w:cs="宋体"/>
          <w:sz w:val="28"/>
          <w:szCs w:val="28"/>
        </w:rPr>
        <w:t>地点：</w:t>
      </w:r>
      <w:r>
        <w:rPr>
          <w:rFonts w:hint="eastAsia" w:ascii="仿宋" w:hAnsi="仿宋" w:eastAsia="仿宋" w:cs="宋体"/>
          <w:sz w:val="28"/>
          <w:szCs w:val="28"/>
          <w:lang w:val="en-US" w:eastAsia="zh-CN"/>
        </w:rPr>
        <w:t>供应商登陆政采云平台https://www.zcygov.cn/在线申请获取采购文件；</w:t>
      </w:r>
    </w:p>
    <w:p w14:paraId="1974E3A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仿宋" w:hAnsi="仿宋" w:eastAsia="仿宋" w:cs="宋体"/>
          <w:sz w:val="28"/>
          <w:szCs w:val="28"/>
          <w:u w:val="single"/>
          <w:lang w:val="en-US" w:eastAsia="zh-CN"/>
        </w:rPr>
      </w:pPr>
      <w:r>
        <w:rPr>
          <w:rFonts w:hint="eastAsia" w:ascii="仿宋" w:hAnsi="仿宋" w:eastAsia="仿宋" w:cs="宋体"/>
          <w:sz w:val="28"/>
          <w:szCs w:val="28"/>
        </w:rPr>
        <w:t>方式：</w:t>
      </w:r>
      <w:r>
        <w:rPr>
          <w:rFonts w:hint="eastAsia" w:ascii="仿宋" w:hAnsi="仿宋" w:eastAsia="仿宋" w:cs="仿宋"/>
          <w:color w:val="auto"/>
          <w:sz w:val="28"/>
          <w:szCs w:val="28"/>
          <w:highlight w:val="none"/>
          <w:lang w:val="en-US" w:eastAsia="zh-CN"/>
        </w:rPr>
        <w:t>供应商登录政采云平台https://www.zcygov.cn/在线申请获取采购文件（进入“项目采购”应用，在获取采购文件菜单中选择项目，申请获取采购文件）；</w:t>
      </w:r>
    </w:p>
    <w:p w14:paraId="6D9B279C">
      <w:pPr>
        <w:pageBreakBefore w:val="0"/>
        <w:kinsoku/>
        <w:wordWrap/>
        <w:overflowPunct/>
        <w:topLinePunct w:val="0"/>
        <w:autoSpaceDE/>
        <w:autoSpaceDN/>
        <w:bidi w:val="0"/>
        <w:adjustRightInd/>
        <w:spacing w:line="500" w:lineRule="exact"/>
        <w:ind w:firstLine="540"/>
        <w:textAlignment w:val="auto"/>
        <w:rPr>
          <w:rFonts w:ascii="仿宋" w:hAnsi="仿宋" w:eastAsia="仿宋" w:cs="宋体"/>
          <w:sz w:val="28"/>
          <w:szCs w:val="28"/>
        </w:rPr>
      </w:pPr>
      <w:r>
        <w:rPr>
          <w:rFonts w:hint="eastAsia" w:ascii="仿宋" w:hAnsi="仿宋" w:eastAsia="仿宋" w:cs="宋体"/>
          <w:sz w:val="28"/>
          <w:szCs w:val="28"/>
        </w:rPr>
        <w:t>售价：</w:t>
      </w:r>
      <w:r>
        <w:rPr>
          <w:rFonts w:hint="eastAsia" w:ascii="仿宋" w:hAnsi="仿宋" w:eastAsia="仿宋" w:cs="宋体"/>
          <w:sz w:val="28"/>
          <w:szCs w:val="28"/>
          <w:lang w:val="en-US" w:eastAsia="zh-CN"/>
        </w:rPr>
        <w:t>0</w:t>
      </w:r>
    </w:p>
    <w:p w14:paraId="2E2093B5">
      <w:pPr>
        <w:pStyle w:val="3"/>
        <w:pageBreakBefore w:val="0"/>
        <w:kinsoku/>
        <w:wordWrap/>
        <w:overflowPunct/>
        <w:topLinePunct w:val="0"/>
        <w:autoSpaceDE/>
        <w:autoSpaceDN/>
        <w:bidi w:val="0"/>
        <w:adjustRightInd/>
        <w:spacing w:line="500" w:lineRule="exact"/>
        <w:jc w:val="both"/>
        <w:textAlignment w:val="auto"/>
        <w:rPr>
          <w:rFonts w:ascii="黑体" w:hAnsi="黑体" w:cs="宋体"/>
          <w:bCs/>
          <w:sz w:val="28"/>
          <w:szCs w:val="28"/>
        </w:rPr>
      </w:pPr>
      <w:bookmarkStart w:id="24" w:name="_Toc28359005"/>
      <w:bookmarkStart w:id="25" w:name="_Toc28359082"/>
      <w:bookmarkStart w:id="26" w:name="_Toc35393793"/>
      <w:bookmarkStart w:id="27" w:name="_Toc35393624"/>
      <w:r>
        <w:rPr>
          <w:rFonts w:hint="eastAsia" w:ascii="黑体" w:hAnsi="黑体" w:cs="宋体"/>
          <w:bCs/>
          <w:sz w:val="28"/>
          <w:szCs w:val="28"/>
        </w:rPr>
        <w:t>四、提交投标文件</w:t>
      </w:r>
      <w:bookmarkEnd w:id="24"/>
      <w:bookmarkEnd w:id="25"/>
      <w:r>
        <w:rPr>
          <w:rFonts w:hint="eastAsia" w:ascii="黑体" w:hAnsi="黑体" w:cs="宋体"/>
          <w:bCs/>
          <w:sz w:val="28"/>
          <w:szCs w:val="28"/>
        </w:rPr>
        <w:t>截止时间、开标时间和地点</w:t>
      </w:r>
      <w:bookmarkEnd w:id="26"/>
      <w:bookmarkEnd w:id="27"/>
    </w:p>
    <w:p w14:paraId="3D7ADCFA">
      <w:pPr>
        <w:pageBreakBefore w:val="0"/>
        <w:kinsoku/>
        <w:wordWrap/>
        <w:overflowPunct/>
        <w:topLinePunct w:val="0"/>
        <w:autoSpaceDE/>
        <w:autoSpaceDN/>
        <w:bidi w:val="0"/>
        <w:adjustRightInd/>
        <w:spacing w:line="500" w:lineRule="exact"/>
        <w:ind w:firstLine="560" w:firstLineChars="200"/>
        <w:textAlignment w:val="auto"/>
        <w:rPr>
          <w:rFonts w:ascii="仿宋" w:hAnsi="仿宋" w:eastAsia="仿宋"/>
          <w:bCs/>
          <w:sz w:val="28"/>
          <w:szCs w:val="28"/>
          <w:u w:val="single"/>
        </w:rPr>
      </w:pPr>
      <w:r>
        <w:rPr>
          <w:rFonts w:hint="eastAsia" w:ascii="仿宋" w:hAnsi="仿宋" w:eastAsia="仿宋"/>
          <w:bCs/>
          <w:sz w:val="28"/>
          <w:szCs w:val="28"/>
          <w:u w:val="none"/>
          <w:lang w:val="en-US" w:eastAsia="zh-CN"/>
        </w:rPr>
        <w:t>提交投标文件截止时间：</w:t>
      </w:r>
      <w:r>
        <w:rPr>
          <w:rFonts w:hint="eastAsia" w:ascii="仿宋" w:hAnsi="仿宋" w:eastAsia="仿宋"/>
          <w:bCs/>
          <w:sz w:val="28"/>
          <w:szCs w:val="28"/>
          <w:u w:val="single"/>
        </w:rPr>
        <w:t>202</w:t>
      </w:r>
      <w:r>
        <w:rPr>
          <w:rFonts w:hint="eastAsia" w:ascii="仿宋" w:hAnsi="仿宋" w:eastAsia="仿宋"/>
          <w:bCs/>
          <w:sz w:val="28"/>
          <w:szCs w:val="28"/>
          <w:u w:val="single"/>
          <w:lang w:val="en-US" w:eastAsia="zh-CN"/>
        </w:rPr>
        <w:t>5</w:t>
      </w:r>
      <w:r>
        <w:rPr>
          <w:rFonts w:hint="eastAsia" w:ascii="仿宋" w:hAnsi="仿宋" w:eastAsia="仿宋"/>
          <w:bCs/>
          <w:sz w:val="28"/>
          <w:szCs w:val="28"/>
          <w:u w:val="single"/>
        </w:rPr>
        <w:t>年0</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16</w:t>
      </w:r>
      <w:r>
        <w:rPr>
          <w:rFonts w:hint="eastAsia" w:ascii="仿宋" w:hAnsi="仿宋" w:eastAsia="仿宋"/>
          <w:bCs/>
          <w:sz w:val="28"/>
          <w:szCs w:val="28"/>
          <w:u w:val="single"/>
        </w:rPr>
        <w:t>日1</w:t>
      </w:r>
      <w:r>
        <w:rPr>
          <w:rFonts w:hint="eastAsia" w:ascii="仿宋" w:hAnsi="仿宋" w:eastAsia="仿宋"/>
          <w:bCs/>
          <w:sz w:val="28"/>
          <w:szCs w:val="28"/>
          <w:u w:val="single"/>
          <w:lang w:val="en-US" w:eastAsia="zh-CN"/>
        </w:rPr>
        <w:t>1时0</w:t>
      </w:r>
      <w:r>
        <w:rPr>
          <w:rFonts w:hint="eastAsia" w:ascii="仿宋" w:hAnsi="仿宋" w:eastAsia="仿宋"/>
          <w:bCs/>
          <w:sz w:val="28"/>
          <w:szCs w:val="28"/>
          <w:u w:val="single"/>
        </w:rPr>
        <w:t>0分</w:t>
      </w:r>
      <w:r>
        <w:rPr>
          <w:rFonts w:hint="eastAsia" w:ascii="仿宋" w:hAnsi="仿宋" w:eastAsia="仿宋"/>
          <w:bCs/>
          <w:sz w:val="28"/>
          <w:szCs w:val="28"/>
        </w:rPr>
        <w:t>（北京时间）</w:t>
      </w:r>
    </w:p>
    <w:p w14:paraId="751C6F64">
      <w:pPr>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投标地点：新疆政府采购网政采云平台（www.zcygov.cn）</w:t>
      </w:r>
    </w:p>
    <w:p w14:paraId="01ACB978">
      <w:pPr>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开标时间：2025年07月16日11时00分（北京时间）</w:t>
      </w:r>
    </w:p>
    <w:p w14:paraId="46F4A75B">
      <w:pPr>
        <w:pStyle w:val="13"/>
        <w:pageBreakBefore w:val="0"/>
        <w:kinsoku/>
        <w:wordWrap/>
        <w:overflowPunct/>
        <w:topLinePunct w:val="0"/>
        <w:autoSpaceDE/>
        <w:autoSpaceDN/>
        <w:bidi w:val="0"/>
        <w:adjustRightInd/>
        <w:spacing w:line="500" w:lineRule="exac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开标地点：阿勒泰禾淼工程咨询有限公司会议室</w:t>
      </w:r>
    </w:p>
    <w:p w14:paraId="46AE53C5">
      <w:pPr>
        <w:pStyle w:val="3"/>
        <w:pageBreakBefore w:val="0"/>
        <w:kinsoku/>
        <w:wordWrap/>
        <w:overflowPunct/>
        <w:topLinePunct w:val="0"/>
        <w:autoSpaceDE/>
        <w:autoSpaceDN/>
        <w:bidi w:val="0"/>
        <w:adjustRightInd/>
        <w:spacing w:line="500" w:lineRule="exact"/>
        <w:jc w:val="both"/>
        <w:textAlignment w:val="auto"/>
        <w:rPr>
          <w:rFonts w:ascii="黑体" w:hAnsi="黑体" w:cs="宋体"/>
          <w:bCs/>
          <w:sz w:val="28"/>
          <w:szCs w:val="28"/>
        </w:rPr>
      </w:pPr>
      <w:bookmarkStart w:id="28" w:name="_Toc35393794"/>
      <w:bookmarkStart w:id="29" w:name="_Toc28359007"/>
      <w:bookmarkStart w:id="30" w:name="_Toc28359084"/>
      <w:bookmarkStart w:id="31" w:name="_Toc35393625"/>
      <w:r>
        <w:rPr>
          <w:rFonts w:hint="eastAsia" w:ascii="黑体" w:hAnsi="黑体" w:cs="宋体"/>
          <w:bCs/>
          <w:sz w:val="28"/>
          <w:szCs w:val="28"/>
        </w:rPr>
        <w:t>五、公告期限</w:t>
      </w:r>
      <w:bookmarkEnd w:id="28"/>
      <w:bookmarkEnd w:id="29"/>
      <w:bookmarkEnd w:id="30"/>
      <w:bookmarkEnd w:id="31"/>
    </w:p>
    <w:p w14:paraId="3139C707">
      <w:pPr>
        <w:pageBreakBefore w:val="0"/>
        <w:kinsoku/>
        <w:wordWrap/>
        <w:overflowPunct/>
        <w:topLinePunct w:val="0"/>
        <w:autoSpaceDE/>
        <w:autoSpaceDN/>
        <w:bidi w:val="0"/>
        <w:adjustRightInd/>
        <w:spacing w:line="50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14:paraId="58B7F13E">
      <w:pPr>
        <w:pStyle w:val="3"/>
        <w:pageBreakBefore w:val="0"/>
        <w:kinsoku/>
        <w:wordWrap/>
        <w:overflowPunct/>
        <w:topLinePunct w:val="0"/>
        <w:autoSpaceDE/>
        <w:autoSpaceDN/>
        <w:bidi w:val="0"/>
        <w:adjustRightInd/>
        <w:spacing w:line="500" w:lineRule="exact"/>
        <w:jc w:val="both"/>
        <w:textAlignment w:val="auto"/>
        <w:rPr>
          <w:rFonts w:ascii="黑体" w:hAnsi="黑体" w:cs="宋体"/>
          <w:bCs/>
          <w:sz w:val="28"/>
          <w:szCs w:val="28"/>
        </w:rPr>
      </w:pPr>
      <w:bookmarkStart w:id="32" w:name="_Toc35393795"/>
      <w:bookmarkStart w:id="33" w:name="_Toc35393626"/>
      <w:r>
        <w:rPr>
          <w:rFonts w:hint="eastAsia" w:ascii="黑体" w:hAnsi="黑体" w:cs="宋体"/>
          <w:bCs/>
          <w:sz w:val="28"/>
          <w:szCs w:val="28"/>
        </w:rPr>
        <w:t>六、其他补充事宜</w:t>
      </w:r>
      <w:bookmarkEnd w:id="32"/>
      <w:bookmarkEnd w:id="33"/>
    </w:p>
    <w:p w14:paraId="65415658">
      <w:pPr>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sz w:val="28"/>
          <w:szCs w:val="28"/>
          <w:lang w:val="en-US" w:eastAsia="zh-CN"/>
        </w:rPr>
      </w:pPr>
      <w:bookmarkStart w:id="34" w:name="_Toc28359008"/>
      <w:bookmarkStart w:id="35" w:name="_Toc35393627"/>
      <w:bookmarkStart w:id="36" w:name="_Toc35393796"/>
      <w:bookmarkStart w:id="37" w:name="_Toc28359085"/>
      <w:r>
        <w:rPr>
          <w:rFonts w:hint="eastAsia" w:ascii="仿宋" w:hAnsi="仿宋" w:eastAsia="仿宋"/>
          <w:sz w:val="28"/>
          <w:szCs w:val="28"/>
          <w:lang w:val="en-US" w:eastAsia="zh-CN"/>
        </w:rPr>
        <w:t>1.本项目实行网上投标，采用电子投标文件。若供应商参与投标，自行承担投标一切费用；</w:t>
      </w:r>
    </w:p>
    <w:p w14:paraId="3C55754B">
      <w:pPr>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各供应商应在开标前应确保成为政采云平台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3E1DA706">
      <w:pPr>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供应商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3E502C10">
      <w:pPr>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4.供应商在开标时须使用制作加密电子投标文件所使用的CA锁及电脑，电脑须提前配置好浏览器（使用谷歌浏览器），并确保开标期间电脑网络环境畅通，以便开标时解锁；</w:t>
      </w:r>
    </w:p>
    <w:p w14:paraId="2EE40116">
      <w:pPr>
        <w:pageBreakBefore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5.为了保证开评标顺利进行，政采云线上开标功能完全实现，供应商开标所使用的电脑设施须具有视频及语音功能。</w:t>
      </w:r>
    </w:p>
    <w:p w14:paraId="5BB5044C">
      <w:pPr>
        <w:pStyle w:val="3"/>
        <w:pageBreakBefore w:val="0"/>
        <w:kinsoku/>
        <w:wordWrap/>
        <w:overflowPunct/>
        <w:topLinePunct w:val="0"/>
        <w:autoSpaceDE/>
        <w:autoSpaceDN/>
        <w:bidi w:val="0"/>
        <w:adjustRightInd/>
        <w:spacing w:line="500" w:lineRule="exact"/>
        <w:jc w:val="both"/>
        <w:textAlignment w:val="auto"/>
        <w:rPr>
          <w:rFonts w:ascii="黑体" w:hAnsi="黑体" w:cs="宋体"/>
          <w:bCs/>
          <w:sz w:val="28"/>
          <w:szCs w:val="28"/>
        </w:rPr>
      </w:pPr>
      <w:r>
        <w:rPr>
          <w:rFonts w:hint="eastAsia" w:ascii="黑体" w:hAnsi="黑体" w:cs="宋体"/>
          <w:bCs/>
          <w:sz w:val="28"/>
          <w:szCs w:val="28"/>
        </w:rPr>
        <w:t>七、对本次招标提出询问，请按</w:t>
      </w:r>
      <w:r>
        <w:rPr>
          <w:rFonts w:ascii="黑体" w:hAnsi="黑体" w:cs="宋体"/>
          <w:bCs/>
          <w:sz w:val="28"/>
          <w:szCs w:val="28"/>
        </w:rPr>
        <w:t>以下方式</w:t>
      </w:r>
      <w:r>
        <w:rPr>
          <w:rFonts w:hint="eastAsia" w:ascii="黑体" w:hAnsi="黑体" w:cs="宋体"/>
          <w:bCs/>
          <w:sz w:val="28"/>
          <w:szCs w:val="28"/>
        </w:rPr>
        <w:t>联系。</w:t>
      </w:r>
      <w:bookmarkEnd w:id="34"/>
      <w:bookmarkEnd w:id="35"/>
      <w:bookmarkEnd w:id="36"/>
      <w:bookmarkEnd w:id="37"/>
    </w:p>
    <w:p w14:paraId="33F258C2">
      <w:pPr>
        <w:pageBreakBefore w:val="0"/>
        <w:widowControl/>
        <w:kinsoku/>
        <w:wordWrap/>
        <w:overflowPunct/>
        <w:topLinePunct w:val="0"/>
        <w:autoSpaceDE/>
        <w:autoSpaceDN/>
        <w:bidi w:val="0"/>
        <w:adjustRightInd/>
        <w:spacing w:line="500" w:lineRule="exact"/>
        <w:jc w:val="left"/>
        <w:textAlignment w:val="auto"/>
        <w:rPr>
          <w:rFonts w:ascii="仿宋_GB2312" w:eastAsia="仿宋_GB2312"/>
          <w:sz w:val="28"/>
          <w:szCs w:val="28"/>
        </w:rPr>
      </w:pPr>
      <w:r>
        <w:rPr>
          <w:rFonts w:hint="eastAsia" w:ascii="仿宋" w:hAnsi="仿宋" w:eastAsia="仿宋" w:cs="宋体"/>
          <w:sz w:val="28"/>
          <w:szCs w:val="28"/>
        </w:rPr>
        <w:t>　　　1.采购人信息</w:t>
      </w:r>
    </w:p>
    <w:p w14:paraId="6DD6BAA6">
      <w:pPr>
        <w:pageBreakBefore w:val="0"/>
        <w:kinsoku/>
        <w:wordWrap/>
        <w:overflowPunct/>
        <w:topLinePunct w:val="0"/>
        <w:autoSpaceDE/>
        <w:autoSpaceDN/>
        <w:bidi w:val="0"/>
        <w:adjustRightInd/>
        <w:spacing w:line="500" w:lineRule="exact"/>
        <w:ind w:left="1129" w:leftChars="371" w:hanging="350" w:hangingChars="125"/>
        <w:jc w:val="left"/>
        <w:textAlignment w:val="auto"/>
        <w:rPr>
          <w:rFonts w:hint="eastAsia" w:ascii="仿宋" w:hAnsi="仿宋" w:eastAsia="仿宋"/>
          <w:sz w:val="28"/>
          <w:szCs w:val="28"/>
          <w:lang w:eastAsia="zh-CN"/>
        </w:rPr>
      </w:pPr>
      <w:bookmarkStart w:id="38" w:name="_Toc28359009"/>
      <w:bookmarkStart w:id="39" w:name="_Toc28359086"/>
      <w:r>
        <w:rPr>
          <w:rFonts w:ascii="仿宋" w:hAnsi="仿宋" w:eastAsia="仿宋"/>
          <w:sz w:val="28"/>
          <w:szCs w:val="28"/>
        </w:rPr>
        <w:t>名    称：</w:t>
      </w:r>
      <w:r>
        <w:rPr>
          <w:rFonts w:hint="eastAsia" w:ascii="仿宋" w:hAnsi="仿宋" w:eastAsia="仿宋"/>
          <w:sz w:val="28"/>
          <w:szCs w:val="28"/>
          <w:u w:val="single"/>
          <w:lang w:eastAsia="zh-CN"/>
        </w:rPr>
        <w:t>吉木乃县教育局</w:t>
      </w:r>
    </w:p>
    <w:p w14:paraId="43CE9FF7">
      <w:pPr>
        <w:pageBreakBefore w:val="0"/>
        <w:kinsoku/>
        <w:wordWrap/>
        <w:overflowPunct/>
        <w:topLinePunct w:val="0"/>
        <w:autoSpaceDE/>
        <w:autoSpaceDN/>
        <w:bidi w:val="0"/>
        <w:adjustRightInd/>
        <w:spacing w:line="500" w:lineRule="exact"/>
        <w:ind w:left="1129" w:leftChars="371" w:hanging="350" w:hangingChars="125"/>
        <w:jc w:val="left"/>
        <w:textAlignment w:val="auto"/>
        <w:rPr>
          <w:rFonts w:ascii="仿宋" w:hAnsi="仿宋" w:eastAsia="仿宋"/>
          <w:sz w:val="28"/>
          <w:szCs w:val="28"/>
        </w:rPr>
      </w:pPr>
      <w:r>
        <w:rPr>
          <w:rFonts w:ascii="仿宋" w:hAnsi="仿宋" w:eastAsia="仿宋"/>
          <w:sz w:val="28"/>
          <w:szCs w:val="28"/>
        </w:rPr>
        <w:t>地    址：</w:t>
      </w:r>
      <w:r>
        <w:rPr>
          <w:rFonts w:hint="eastAsia" w:ascii="仿宋" w:hAnsi="仿宋" w:eastAsia="仿宋"/>
          <w:sz w:val="28"/>
          <w:szCs w:val="28"/>
          <w:u w:val="single"/>
          <w:lang w:val="en-US" w:eastAsia="zh-CN"/>
        </w:rPr>
        <w:t>吉木乃县</w:t>
      </w:r>
    </w:p>
    <w:p w14:paraId="448E704B">
      <w:pPr>
        <w:pageBreakBefore w:val="0"/>
        <w:kinsoku/>
        <w:wordWrap/>
        <w:overflowPunct/>
        <w:topLinePunct w:val="0"/>
        <w:autoSpaceDE/>
        <w:autoSpaceDN/>
        <w:bidi w:val="0"/>
        <w:adjustRightInd/>
        <w:spacing w:line="500" w:lineRule="exact"/>
        <w:ind w:left="1129" w:leftChars="371" w:hanging="350" w:hangingChars="125"/>
        <w:jc w:val="left"/>
        <w:textAlignment w:val="auto"/>
        <w:rPr>
          <w:rFonts w:ascii="仿宋" w:hAnsi="仿宋" w:eastAsia="仿宋"/>
          <w:sz w:val="28"/>
          <w:szCs w:val="28"/>
        </w:rPr>
      </w:pPr>
      <w:r>
        <w:rPr>
          <w:rFonts w:ascii="仿宋" w:hAnsi="仿宋" w:eastAsia="仿宋"/>
          <w:sz w:val="28"/>
          <w:szCs w:val="28"/>
        </w:rPr>
        <w:t>联系方式：</w:t>
      </w:r>
      <w:r>
        <w:rPr>
          <w:rFonts w:hint="eastAsia" w:ascii="仿宋" w:hAnsi="仿宋" w:eastAsia="仿宋"/>
          <w:sz w:val="28"/>
          <w:szCs w:val="28"/>
          <w:lang w:val="en-US" w:eastAsia="zh-CN"/>
        </w:rPr>
        <w:t>0906-6181290</w:t>
      </w:r>
    </w:p>
    <w:p w14:paraId="208EB5C8">
      <w:pPr>
        <w:pageBreakBefore w:val="0"/>
        <w:kinsoku/>
        <w:wordWrap/>
        <w:overflowPunct/>
        <w:topLinePunct w:val="0"/>
        <w:autoSpaceDE/>
        <w:autoSpaceDN/>
        <w:bidi w:val="0"/>
        <w:adjustRightInd/>
        <w:spacing w:line="500" w:lineRule="exact"/>
        <w:ind w:left="1129" w:leftChars="371" w:hanging="350" w:hangingChars="125"/>
        <w:jc w:val="left"/>
        <w:textAlignment w:val="auto"/>
        <w:rPr>
          <w:rFonts w:ascii="仿宋" w:hAnsi="仿宋" w:eastAsia="仿宋"/>
          <w:sz w:val="28"/>
          <w:szCs w:val="28"/>
        </w:rPr>
      </w:pPr>
      <w:r>
        <w:rPr>
          <w:rFonts w:hint="eastAsia" w:ascii="仿宋" w:hAnsi="仿宋" w:eastAsia="仿宋" w:cs="宋体"/>
          <w:sz w:val="28"/>
          <w:szCs w:val="28"/>
        </w:rPr>
        <w:t>2.采购代理机构信息（如有）</w:t>
      </w:r>
      <w:bookmarkEnd w:id="38"/>
      <w:bookmarkEnd w:id="39"/>
    </w:p>
    <w:p w14:paraId="56DDF42A">
      <w:pPr>
        <w:pageBreakBefore w:val="0"/>
        <w:kinsoku/>
        <w:wordWrap/>
        <w:overflowPunct/>
        <w:topLinePunct w:val="0"/>
        <w:autoSpaceDE/>
        <w:autoSpaceDN/>
        <w:bidi w:val="0"/>
        <w:adjustRightInd/>
        <w:spacing w:line="500" w:lineRule="exact"/>
        <w:ind w:firstLine="840" w:firstLineChars="300"/>
        <w:textAlignment w:val="auto"/>
        <w:rPr>
          <w:rFonts w:hint="eastAsia" w:ascii="仿宋" w:hAnsi="仿宋" w:eastAsia="仿宋"/>
          <w:sz w:val="28"/>
          <w:szCs w:val="28"/>
          <w:lang w:eastAsia="zh-CN"/>
        </w:rPr>
      </w:pPr>
      <w:r>
        <w:rPr>
          <w:rFonts w:hint="eastAsia" w:ascii="仿宋" w:hAnsi="仿宋" w:eastAsia="仿宋"/>
          <w:sz w:val="28"/>
          <w:szCs w:val="28"/>
        </w:rPr>
        <w:t xml:space="preserve">名 </w:t>
      </w:r>
      <w:r>
        <w:rPr>
          <w:rFonts w:hint="eastAsia" w:ascii="仿宋" w:hAnsi="仿宋" w:eastAsia="仿宋"/>
          <w:sz w:val="28"/>
          <w:szCs w:val="28"/>
          <w:lang w:val="en-US" w:eastAsia="zh-CN"/>
        </w:rPr>
        <w:t xml:space="preserve"> </w:t>
      </w:r>
      <w:r>
        <w:rPr>
          <w:rFonts w:hint="eastAsia" w:ascii="仿宋" w:hAnsi="仿宋" w:eastAsia="仿宋"/>
          <w:sz w:val="28"/>
          <w:szCs w:val="28"/>
        </w:rPr>
        <w:t>称：</w:t>
      </w:r>
      <w:r>
        <w:rPr>
          <w:rFonts w:hint="eastAsia" w:ascii="仿宋" w:hAnsi="仿宋" w:eastAsia="仿宋"/>
          <w:sz w:val="28"/>
          <w:szCs w:val="28"/>
          <w:u w:val="single"/>
          <w:lang w:eastAsia="zh-CN"/>
        </w:rPr>
        <w:t>阿勒泰禾淼工程咨询有限公司</w:t>
      </w:r>
    </w:p>
    <w:p w14:paraId="61687B24">
      <w:pPr>
        <w:pageBreakBefore w:val="0"/>
        <w:kinsoku/>
        <w:wordWrap/>
        <w:overflowPunct/>
        <w:topLinePunct w:val="0"/>
        <w:autoSpaceDE/>
        <w:autoSpaceDN/>
        <w:bidi w:val="0"/>
        <w:adjustRightInd/>
        <w:spacing w:line="500" w:lineRule="exact"/>
        <w:ind w:firstLine="840" w:firstLineChars="300"/>
        <w:textAlignment w:val="auto"/>
        <w:rPr>
          <w:rFonts w:hint="eastAsia" w:ascii="仿宋" w:hAnsi="仿宋" w:eastAsia="仿宋"/>
          <w:sz w:val="28"/>
          <w:szCs w:val="28"/>
          <w:lang w:eastAsia="zh-CN"/>
        </w:rPr>
      </w:pPr>
      <w:r>
        <w:rPr>
          <w:rFonts w:hint="eastAsia" w:ascii="仿宋" w:hAnsi="仿宋" w:eastAsia="仿宋"/>
          <w:sz w:val="28"/>
          <w:szCs w:val="28"/>
        </w:rPr>
        <w:t>地　址：</w:t>
      </w:r>
      <w:r>
        <w:rPr>
          <w:rFonts w:hint="eastAsia" w:ascii="仿宋" w:hAnsi="仿宋" w:eastAsia="仿宋"/>
          <w:sz w:val="28"/>
          <w:szCs w:val="28"/>
          <w:u w:val="single"/>
          <w:lang w:eastAsia="zh-CN"/>
        </w:rPr>
        <w:t>新疆阿勒泰地区阿勒泰市迎宾路克兰区99号万弛广场1栋十五层</w:t>
      </w:r>
    </w:p>
    <w:p w14:paraId="75FCD699">
      <w:pPr>
        <w:pageBreakBefore w:val="0"/>
        <w:kinsoku/>
        <w:wordWrap/>
        <w:overflowPunct/>
        <w:topLinePunct w:val="0"/>
        <w:autoSpaceDE/>
        <w:autoSpaceDN/>
        <w:bidi w:val="0"/>
        <w:adjustRightInd/>
        <w:spacing w:line="500" w:lineRule="exact"/>
        <w:ind w:firstLine="840" w:firstLineChars="300"/>
        <w:textAlignment w:val="auto"/>
        <w:rPr>
          <w:rFonts w:ascii="仿宋" w:hAnsi="仿宋" w:eastAsia="仿宋"/>
          <w:sz w:val="28"/>
          <w:szCs w:val="28"/>
          <w:u w:val="single"/>
        </w:rPr>
      </w:pPr>
      <w:bookmarkStart w:id="40" w:name="_Toc28359010"/>
      <w:bookmarkStart w:id="41" w:name="_Toc28359087"/>
      <w:r>
        <w:rPr>
          <w:rFonts w:hint="eastAsia" w:ascii="仿宋" w:hAnsi="仿宋" w:eastAsia="仿宋" w:cs="宋体"/>
          <w:sz w:val="28"/>
          <w:szCs w:val="28"/>
        </w:rPr>
        <w:t>3.项目</w:t>
      </w:r>
      <w:r>
        <w:rPr>
          <w:rFonts w:ascii="仿宋" w:hAnsi="仿宋" w:eastAsia="仿宋" w:cs="宋体"/>
          <w:sz w:val="28"/>
          <w:szCs w:val="28"/>
        </w:rPr>
        <w:t>联系方式</w:t>
      </w:r>
      <w:bookmarkEnd w:id="40"/>
      <w:bookmarkEnd w:id="41"/>
    </w:p>
    <w:p w14:paraId="7079B3F1">
      <w:pPr>
        <w:pageBreakBefore w:val="0"/>
        <w:kinsoku/>
        <w:wordWrap/>
        <w:overflowPunct/>
        <w:topLinePunct w:val="0"/>
        <w:autoSpaceDE/>
        <w:autoSpaceDN/>
        <w:bidi w:val="0"/>
        <w:adjustRightInd/>
        <w:spacing w:line="500" w:lineRule="exact"/>
        <w:ind w:firstLine="840" w:firstLineChars="300"/>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rPr>
        <w:t>项目联系人：</w:t>
      </w:r>
      <w:r>
        <w:rPr>
          <w:rFonts w:hint="eastAsia" w:ascii="仿宋" w:hAnsi="仿宋" w:eastAsia="仿宋" w:cs="Times New Roman"/>
          <w:sz w:val="28"/>
          <w:szCs w:val="28"/>
          <w:lang w:val="en-US" w:eastAsia="zh-CN"/>
        </w:rPr>
        <w:t>王子恒</w:t>
      </w:r>
    </w:p>
    <w:p w14:paraId="43CB0EF3">
      <w:pPr>
        <w:pageBreakBefore w:val="0"/>
        <w:kinsoku/>
        <w:wordWrap/>
        <w:overflowPunct/>
        <w:topLinePunct w:val="0"/>
        <w:autoSpaceDE/>
        <w:autoSpaceDN/>
        <w:bidi w:val="0"/>
        <w:adjustRightInd/>
        <w:spacing w:line="500" w:lineRule="exact"/>
        <w:ind w:firstLine="840" w:firstLineChars="300"/>
        <w:textAlignment w:val="auto"/>
        <w:rPr>
          <w:rFonts w:hint="eastAsia" w:ascii="仿宋" w:hAnsi="仿宋" w:eastAsia="仿宋"/>
          <w:sz w:val="28"/>
          <w:szCs w:val="28"/>
          <w:u w:val="single"/>
          <w:lang w:val="en-US" w:eastAsia="zh-CN"/>
        </w:rPr>
      </w:pPr>
      <w:r>
        <w:rPr>
          <w:rFonts w:ascii="仿宋" w:hAnsi="仿宋" w:eastAsia="仿宋"/>
          <w:sz w:val="28"/>
          <w:szCs w:val="28"/>
        </w:rPr>
        <w:t>电　话：</w:t>
      </w:r>
      <w:r>
        <w:rPr>
          <w:rFonts w:hint="eastAsia" w:ascii="仿宋" w:hAnsi="仿宋" w:eastAsia="仿宋"/>
          <w:sz w:val="28"/>
          <w:szCs w:val="28"/>
          <w:u w:val="single"/>
          <w:lang w:eastAsia="zh-CN"/>
        </w:rPr>
        <w:t>13809945728</w:t>
      </w:r>
    </w:p>
    <w:p w14:paraId="09257162">
      <w:pPr>
        <w:keepNext w:val="0"/>
        <w:keepLines w:val="0"/>
        <w:pageBreakBefore w:val="0"/>
        <w:widowControl w:val="0"/>
        <w:kinsoku/>
        <w:wordWrap/>
        <w:overflowPunct/>
        <w:topLinePunct w:val="0"/>
        <w:autoSpaceDE/>
        <w:autoSpaceDN/>
        <w:bidi w:val="0"/>
        <w:adjustRightInd/>
        <w:snapToGrid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p>
    <w:p w14:paraId="5E83883B">
      <w:pPr>
        <w:keepNext w:val="0"/>
        <w:keepLines w:val="0"/>
        <w:pageBreakBefore w:val="0"/>
        <w:widowControl w:val="0"/>
        <w:kinsoku/>
        <w:wordWrap/>
        <w:overflowPunct/>
        <w:topLinePunct w:val="0"/>
        <w:autoSpaceDE/>
        <w:autoSpaceDN/>
        <w:bidi w:val="0"/>
        <w:adjustRightInd/>
        <w:snapToGrid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p>
    <w:p w14:paraId="538F1E79">
      <w:pPr>
        <w:keepNext w:val="0"/>
        <w:keepLines w:val="0"/>
        <w:pageBreakBefore w:val="0"/>
        <w:widowControl w:val="0"/>
        <w:kinsoku/>
        <w:wordWrap/>
        <w:overflowPunct/>
        <w:topLinePunct w:val="0"/>
        <w:autoSpaceDE/>
        <w:autoSpaceDN/>
        <w:bidi w:val="0"/>
        <w:adjustRightInd/>
        <w:snapToGrid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p>
    <w:p w14:paraId="476C9349">
      <w:pPr>
        <w:keepNext w:val="0"/>
        <w:keepLines w:val="0"/>
        <w:pageBreakBefore w:val="0"/>
        <w:widowControl w:val="0"/>
        <w:kinsoku/>
        <w:wordWrap/>
        <w:overflowPunct/>
        <w:topLinePunct w:val="0"/>
        <w:autoSpaceDE/>
        <w:autoSpaceDN/>
        <w:bidi w:val="0"/>
        <w:adjustRightInd/>
        <w:snapToGrid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p>
    <w:p w14:paraId="5E75FAAE">
      <w:pPr>
        <w:keepNext w:val="0"/>
        <w:keepLines w:val="0"/>
        <w:pageBreakBefore w:val="0"/>
        <w:widowControl w:val="0"/>
        <w:kinsoku/>
        <w:wordWrap/>
        <w:overflowPunct/>
        <w:topLinePunct w:val="0"/>
        <w:autoSpaceDE/>
        <w:autoSpaceDN/>
        <w:bidi w:val="0"/>
        <w:adjustRightInd/>
        <w:snapToGrid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p>
    <w:p w14:paraId="60D5391C">
      <w:pPr>
        <w:keepNext w:val="0"/>
        <w:keepLines w:val="0"/>
        <w:pageBreakBefore w:val="0"/>
        <w:widowControl w:val="0"/>
        <w:kinsoku/>
        <w:wordWrap/>
        <w:overflowPunct/>
        <w:topLinePunct w:val="0"/>
        <w:autoSpaceDE/>
        <w:autoSpaceDN/>
        <w:bidi w:val="0"/>
        <w:adjustRightInd/>
        <w:snapToGrid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p>
    <w:p w14:paraId="7A334D5A">
      <w:pPr>
        <w:keepNext w:val="0"/>
        <w:keepLines w:val="0"/>
        <w:pageBreakBefore w:val="0"/>
        <w:widowControl w:val="0"/>
        <w:kinsoku/>
        <w:wordWrap/>
        <w:overflowPunct/>
        <w:topLinePunct w:val="0"/>
        <w:autoSpaceDE/>
        <w:autoSpaceDN/>
        <w:bidi w:val="0"/>
        <w:adjustRightInd/>
        <w:snapToGrid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p>
    <w:p w14:paraId="292CE616">
      <w:pPr>
        <w:keepNext w:val="0"/>
        <w:keepLines w:val="0"/>
        <w:pageBreakBefore w:val="0"/>
        <w:widowControl w:val="0"/>
        <w:kinsoku/>
        <w:wordWrap/>
        <w:overflowPunct/>
        <w:topLinePunct w:val="0"/>
        <w:autoSpaceDE/>
        <w:autoSpaceDN/>
        <w:bidi w:val="0"/>
        <w:adjustRightInd/>
        <w:snapToGrid w:val="0"/>
        <w:spacing w:line="33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w:t>
      </w:r>
    </w:p>
    <w:p w14:paraId="61B117D1">
      <w:pPr>
        <w:pStyle w:val="36"/>
        <w:rPr>
          <w:rFonts w:hint="eastAsia" w:ascii="仿宋" w:hAnsi="仿宋" w:eastAsia="仿宋" w:cs="仿宋"/>
          <w:color w:val="auto"/>
          <w:sz w:val="24"/>
          <w:szCs w:val="24"/>
          <w:highlight w:val="none"/>
          <w:lang w:val="en-US" w:eastAsia="zh-CN"/>
        </w:rPr>
      </w:pPr>
    </w:p>
    <w:p w14:paraId="3BBA1A04">
      <w:pPr>
        <w:pStyle w:val="36"/>
        <w:rPr>
          <w:rFonts w:hint="eastAsia" w:ascii="仿宋" w:hAnsi="仿宋" w:eastAsia="仿宋" w:cs="仿宋"/>
          <w:color w:val="auto"/>
          <w:sz w:val="24"/>
          <w:szCs w:val="24"/>
          <w:highlight w:val="none"/>
          <w:lang w:val="en-US" w:eastAsia="zh-CN"/>
        </w:rPr>
      </w:pPr>
    </w:p>
    <w:p w14:paraId="423731A3">
      <w:pPr>
        <w:pStyle w:val="36"/>
        <w:rPr>
          <w:rFonts w:hint="eastAsia" w:ascii="仿宋" w:hAnsi="仿宋" w:eastAsia="仿宋" w:cs="仿宋"/>
          <w:color w:val="auto"/>
          <w:sz w:val="24"/>
          <w:szCs w:val="24"/>
          <w:highlight w:val="none"/>
          <w:lang w:val="en-US" w:eastAsia="zh-CN"/>
        </w:rPr>
      </w:pPr>
    </w:p>
    <w:p w14:paraId="18425F6E">
      <w:pPr>
        <w:pStyle w:val="36"/>
        <w:rPr>
          <w:rFonts w:hint="eastAsia" w:ascii="仿宋" w:hAnsi="仿宋" w:eastAsia="仿宋" w:cs="仿宋"/>
          <w:color w:val="auto"/>
          <w:sz w:val="24"/>
          <w:szCs w:val="24"/>
          <w:highlight w:val="none"/>
          <w:lang w:val="en-US" w:eastAsia="zh-CN"/>
        </w:rPr>
      </w:pPr>
    </w:p>
    <w:p w14:paraId="5B604EEA">
      <w:pPr>
        <w:pStyle w:val="36"/>
        <w:rPr>
          <w:rFonts w:hint="eastAsia" w:ascii="仿宋" w:hAnsi="仿宋" w:eastAsia="仿宋" w:cs="仿宋"/>
          <w:color w:val="auto"/>
          <w:sz w:val="24"/>
          <w:szCs w:val="24"/>
          <w:highlight w:val="none"/>
          <w:lang w:val="en-US" w:eastAsia="zh-CN"/>
        </w:rPr>
      </w:pPr>
    </w:p>
    <w:p w14:paraId="71EEB5AB">
      <w:pPr>
        <w:pStyle w:val="36"/>
        <w:rPr>
          <w:rFonts w:hint="eastAsia" w:ascii="仿宋" w:hAnsi="仿宋" w:eastAsia="仿宋" w:cs="仿宋"/>
          <w:color w:val="auto"/>
          <w:sz w:val="24"/>
          <w:szCs w:val="24"/>
          <w:highlight w:val="none"/>
          <w:lang w:val="en-US" w:eastAsia="zh-CN"/>
        </w:rPr>
      </w:pPr>
    </w:p>
    <w:p w14:paraId="2636C00E">
      <w:pPr>
        <w:pStyle w:val="36"/>
        <w:rPr>
          <w:rFonts w:hint="eastAsia" w:ascii="仿宋" w:hAnsi="仿宋" w:eastAsia="仿宋" w:cs="仿宋"/>
          <w:color w:val="auto"/>
          <w:sz w:val="24"/>
          <w:szCs w:val="24"/>
          <w:highlight w:val="none"/>
          <w:lang w:val="en-US" w:eastAsia="zh-CN"/>
        </w:rPr>
      </w:pPr>
    </w:p>
    <w:p w14:paraId="1B687FF4">
      <w:pPr>
        <w:pStyle w:val="36"/>
        <w:rPr>
          <w:rFonts w:hint="eastAsia" w:ascii="仿宋" w:hAnsi="仿宋" w:eastAsia="仿宋" w:cs="仿宋"/>
          <w:color w:val="auto"/>
          <w:sz w:val="24"/>
          <w:szCs w:val="24"/>
          <w:highlight w:val="none"/>
          <w:lang w:val="en-US" w:eastAsia="zh-CN"/>
        </w:rPr>
      </w:pPr>
    </w:p>
    <w:p w14:paraId="7172ABAD">
      <w:pPr>
        <w:pStyle w:val="36"/>
        <w:rPr>
          <w:rFonts w:hint="eastAsia" w:ascii="仿宋" w:hAnsi="仿宋" w:eastAsia="仿宋" w:cs="仿宋"/>
          <w:color w:val="auto"/>
          <w:sz w:val="24"/>
          <w:szCs w:val="24"/>
          <w:highlight w:val="none"/>
          <w:lang w:val="en-US" w:eastAsia="zh-CN"/>
        </w:rPr>
      </w:pPr>
    </w:p>
    <w:p w14:paraId="66B23235">
      <w:pPr>
        <w:pStyle w:val="36"/>
        <w:rPr>
          <w:rFonts w:hint="eastAsia" w:ascii="仿宋" w:hAnsi="仿宋" w:eastAsia="仿宋" w:cs="仿宋"/>
          <w:color w:val="auto"/>
          <w:sz w:val="24"/>
          <w:szCs w:val="24"/>
          <w:highlight w:val="none"/>
          <w:lang w:val="en-US" w:eastAsia="zh-CN"/>
        </w:rPr>
      </w:pPr>
    </w:p>
    <w:p w14:paraId="227A1927">
      <w:pPr>
        <w:pStyle w:val="36"/>
        <w:rPr>
          <w:rFonts w:hint="eastAsia" w:ascii="仿宋" w:hAnsi="仿宋" w:eastAsia="仿宋" w:cs="仿宋"/>
          <w:color w:val="auto"/>
          <w:sz w:val="24"/>
          <w:szCs w:val="24"/>
          <w:highlight w:val="none"/>
          <w:lang w:val="en-US" w:eastAsia="zh-CN"/>
        </w:rPr>
      </w:pPr>
    </w:p>
    <w:p w14:paraId="193111EB">
      <w:pPr>
        <w:pStyle w:val="36"/>
        <w:rPr>
          <w:rFonts w:hint="eastAsia" w:ascii="仿宋" w:hAnsi="仿宋" w:eastAsia="仿宋" w:cs="仿宋"/>
          <w:color w:val="auto"/>
          <w:sz w:val="24"/>
          <w:szCs w:val="24"/>
          <w:highlight w:val="none"/>
          <w:lang w:val="en-US" w:eastAsia="zh-CN"/>
        </w:rPr>
      </w:pPr>
    </w:p>
    <w:p w14:paraId="7778ACBF">
      <w:pPr>
        <w:spacing w:line="240" w:lineRule="auto"/>
        <w:jc w:val="both"/>
        <w:outlineLvl w:val="0"/>
        <w:rPr>
          <w:rFonts w:hint="eastAsia" w:ascii="仿宋" w:hAnsi="仿宋" w:eastAsia="仿宋" w:cs="仿宋"/>
          <w:b/>
          <w:color w:val="auto"/>
          <w:sz w:val="36"/>
          <w:szCs w:val="36"/>
          <w:highlight w:val="none"/>
          <w:lang w:eastAsia="zh-CN"/>
        </w:rPr>
      </w:pPr>
    </w:p>
    <w:p w14:paraId="7BD82AE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第二部分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lang w:eastAsia="zh-CN"/>
        </w:rPr>
        <w:t>投标人须知</w:t>
      </w:r>
      <w:bookmarkEnd w:id="1"/>
      <w:bookmarkEnd w:id="2"/>
      <w:bookmarkEnd w:id="3"/>
      <w:bookmarkEnd w:id="4"/>
      <w:bookmarkEnd w:id="5"/>
      <w:bookmarkEnd w:id="6"/>
      <w:bookmarkEnd w:id="7"/>
      <w:bookmarkEnd w:id="8"/>
      <w:bookmarkEnd w:id="9"/>
    </w:p>
    <w:p w14:paraId="1C3B5AA8">
      <w:pPr>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outlineLvl w:val="0"/>
        <w:rPr>
          <w:rFonts w:hint="eastAsia" w:ascii="仿宋" w:hAnsi="仿宋" w:eastAsia="仿宋" w:cs="仿宋"/>
          <w:b/>
          <w:color w:val="auto"/>
          <w:sz w:val="28"/>
          <w:szCs w:val="28"/>
          <w:highlight w:val="none"/>
        </w:rPr>
      </w:pPr>
      <w:bookmarkStart w:id="42" w:name="_Toc14053"/>
      <w:bookmarkStart w:id="43" w:name="_Toc7237"/>
      <w:bookmarkStart w:id="44" w:name="_Toc21348_WPSOffice_Level1"/>
      <w:bookmarkStart w:id="45" w:name="_Toc8971"/>
      <w:bookmarkStart w:id="46" w:name="_Toc18219"/>
      <w:bookmarkStart w:id="47" w:name="_Toc10040"/>
      <w:bookmarkStart w:id="48" w:name="_Toc17655"/>
      <w:bookmarkStart w:id="49" w:name="_Toc24832"/>
      <w:bookmarkStart w:id="50" w:name="_Toc12827"/>
      <w:bookmarkStart w:id="51" w:name="_Toc9144"/>
      <w:bookmarkStart w:id="52" w:name="_Toc10179"/>
      <w:bookmarkStart w:id="53" w:name="_Toc29111"/>
      <w:r>
        <w:rPr>
          <w:rFonts w:hint="eastAsia" w:ascii="仿宋" w:hAnsi="仿宋" w:eastAsia="仿宋" w:cs="仿宋"/>
          <w:b/>
          <w:color w:val="auto"/>
          <w:sz w:val="28"/>
          <w:szCs w:val="28"/>
          <w:highlight w:val="none"/>
        </w:rPr>
        <w:t>投标人须知前附表</w:t>
      </w:r>
      <w:bookmarkEnd w:id="42"/>
      <w:bookmarkEnd w:id="43"/>
      <w:bookmarkEnd w:id="44"/>
      <w:bookmarkEnd w:id="45"/>
      <w:bookmarkEnd w:id="46"/>
      <w:bookmarkEnd w:id="47"/>
      <w:bookmarkEnd w:id="48"/>
      <w:bookmarkEnd w:id="49"/>
      <w:bookmarkEnd w:id="50"/>
      <w:bookmarkEnd w:id="51"/>
      <w:bookmarkEnd w:id="52"/>
      <w:bookmarkEnd w:id="53"/>
    </w:p>
    <w:tbl>
      <w:tblPr>
        <w:tblStyle w:val="45"/>
        <w:tblW w:w="9745"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47"/>
        <w:gridCol w:w="6960"/>
      </w:tblGrid>
      <w:tr w14:paraId="0005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38" w:type="dxa"/>
            <w:vAlign w:val="center"/>
          </w:tcPr>
          <w:p w14:paraId="621382E5">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47" w:type="dxa"/>
            <w:vAlign w:val="center"/>
          </w:tcPr>
          <w:p w14:paraId="4F3A77E2">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款</w:t>
            </w:r>
          </w:p>
        </w:tc>
        <w:tc>
          <w:tcPr>
            <w:tcW w:w="6960" w:type="dxa"/>
            <w:vAlign w:val="center"/>
          </w:tcPr>
          <w:p w14:paraId="491B061F">
            <w:pPr>
              <w:keepNext w:val="0"/>
              <w:keepLines w:val="0"/>
              <w:pageBreakBefore w:val="0"/>
              <w:kinsoku/>
              <w:wordWrap/>
              <w:overflowPunct/>
              <w:topLinePunct w:val="0"/>
              <w:autoSpaceDE/>
              <w:autoSpaceDN/>
              <w:bidi w:val="0"/>
              <w:adjustRightInd/>
              <w:snapToGrid/>
              <w:spacing w:line="34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4E72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38" w:type="dxa"/>
            <w:vAlign w:val="center"/>
          </w:tcPr>
          <w:p w14:paraId="513B96CC">
            <w:pP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47" w:type="dxa"/>
            <w:vAlign w:val="center"/>
          </w:tcPr>
          <w:p w14:paraId="7DAE3F39">
            <w:pPr>
              <w:spacing w:before="24" w:beforeLines="10" w:after="24" w:afterLines="1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6960" w:type="dxa"/>
            <w:vAlign w:val="center"/>
          </w:tcPr>
          <w:p w14:paraId="20B71C3C">
            <w:pPr>
              <w:spacing w:before="24" w:beforeLines="10" w:after="24" w:afterLines="10" w:line="24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名  称：</w:t>
            </w:r>
            <w:r>
              <w:rPr>
                <w:rFonts w:hint="eastAsia" w:ascii="仿宋" w:hAnsi="仿宋" w:eastAsia="仿宋" w:cs="仿宋"/>
                <w:color w:val="auto"/>
                <w:sz w:val="24"/>
                <w:szCs w:val="24"/>
                <w:highlight w:val="none"/>
                <w:lang w:val="en-US" w:eastAsia="zh-CN"/>
              </w:rPr>
              <w:t>吉木乃县教育局</w:t>
            </w:r>
          </w:p>
          <w:p w14:paraId="30B07DBC">
            <w:pPr>
              <w:spacing w:before="24" w:beforeLines="10" w:after="24" w:afterLines="1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联系人：</w:t>
            </w:r>
            <w:r>
              <w:rPr>
                <w:rFonts w:hint="eastAsia" w:ascii="仿宋" w:hAnsi="仿宋" w:eastAsia="仿宋" w:cs="仿宋"/>
                <w:color w:val="auto"/>
                <w:sz w:val="24"/>
                <w:szCs w:val="24"/>
                <w:highlight w:val="none"/>
                <w:lang w:val="en-US" w:eastAsia="zh-CN"/>
              </w:rPr>
              <w:t>王工</w:t>
            </w:r>
          </w:p>
          <w:p w14:paraId="37703B48">
            <w:pPr>
              <w:spacing w:before="24" w:beforeLines="10" w:after="24" w:afterLines="1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  话：</w:t>
            </w:r>
            <w:r>
              <w:rPr>
                <w:rFonts w:hint="eastAsia" w:ascii="仿宋" w:hAnsi="仿宋" w:eastAsia="仿宋" w:cs="仿宋"/>
                <w:color w:val="auto"/>
                <w:sz w:val="24"/>
                <w:szCs w:val="24"/>
                <w:highlight w:val="none"/>
                <w:lang w:val="en-US" w:eastAsia="zh-CN"/>
              </w:rPr>
              <w:t>0906-6181290</w:t>
            </w:r>
          </w:p>
          <w:p w14:paraId="29F1B9C2">
            <w:pPr>
              <w:spacing w:before="24" w:beforeLines="10" w:after="24" w:afterLines="1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地  址：吉木乃县</w:t>
            </w:r>
          </w:p>
        </w:tc>
      </w:tr>
      <w:tr w14:paraId="73B9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38" w:type="dxa"/>
            <w:vAlign w:val="center"/>
          </w:tcPr>
          <w:p w14:paraId="0982A793">
            <w:pP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47" w:type="dxa"/>
            <w:vAlign w:val="center"/>
          </w:tcPr>
          <w:p w14:paraId="638E0A26">
            <w:pPr>
              <w:spacing w:before="24" w:beforeLines="10" w:after="24" w:afterLines="1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6960" w:type="dxa"/>
            <w:vAlign w:val="center"/>
          </w:tcPr>
          <w:p w14:paraId="5E0475BD">
            <w:pPr>
              <w:spacing w:before="24" w:beforeLines="10" w:after="24" w:afterLines="1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 xml:space="preserve">名  称: </w:t>
            </w:r>
            <w:r>
              <w:rPr>
                <w:rFonts w:hint="eastAsia" w:ascii="仿宋" w:hAnsi="仿宋" w:eastAsia="仿宋" w:cs="仿宋"/>
                <w:color w:val="auto"/>
                <w:sz w:val="24"/>
                <w:szCs w:val="24"/>
                <w:highlight w:val="none"/>
                <w:lang w:val="en-US" w:eastAsia="zh-CN"/>
              </w:rPr>
              <w:t>阿勒泰禾淼工程咨询有限公司</w:t>
            </w:r>
          </w:p>
          <w:p w14:paraId="7D07289F">
            <w:pPr>
              <w:spacing w:before="24" w:beforeLines="10" w:after="24" w:afterLines="1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地  址:</w:t>
            </w:r>
            <w:r>
              <w:rPr>
                <w:rFonts w:hint="eastAsia" w:ascii="仿宋" w:hAnsi="仿宋" w:eastAsia="仿宋" w:cs="仿宋"/>
                <w:color w:val="auto"/>
                <w:sz w:val="24"/>
                <w:szCs w:val="24"/>
                <w:highlight w:val="none"/>
                <w:lang w:val="en-US" w:eastAsia="zh-CN"/>
              </w:rPr>
              <w:t>新疆阿勒泰地区阿勒泰市迎宾路克兰区99号万弛广场1栋十五层</w:t>
            </w:r>
          </w:p>
          <w:p w14:paraId="7DC28D15">
            <w:pPr>
              <w:spacing w:before="24" w:beforeLines="10" w:after="24" w:afterLines="1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联系</w:t>
            </w:r>
            <w:r>
              <w:rPr>
                <w:rFonts w:hint="eastAsia" w:ascii="仿宋" w:hAnsi="仿宋" w:eastAsia="仿宋" w:cs="仿宋"/>
                <w:color w:val="auto"/>
                <w:sz w:val="24"/>
                <w:szCs w:val="24"/>
                <w:highlight w:val="none"/>
                <w:lang w:val="en-US" w:eastAsia="zh-CN"/>
              </w:rPr>
              <w:t>人: 王子恒</w:t>
            </w:r>
          </w:p>
          <w:p w14:paraId="1BE72FFC">
            <w:pPr>
              <w:spacing w:before="24" w:beforeLines="10" w:after="24" w:afterLines="10" w:line="240" w:lineRule="auto"/>
              <w:ind w:firstLine="0" w:firstLineChars="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电  话:</w:t>
            </w:r>
            <w:r>
              <w:rPr>
                <w:rFonts w:hint="eastAsia" w:ascii="仿宋" w:hAnsi="仿宋" w:eastAsia="仿宋" w:cs="仿宋"/>
                <w:color w:val="auto"/>
                <w:sz w:val="24"/>
                <w:szCs w:val="24"/>
                <w:highlight w:val="none"/>
                <w:lang w:val="en-US" w:eastAsia="zh-CN"/>
              </w:rPr>
              <w:t xml:space="preserve"> 13809945728</w:t>
            </w:r>
          </w:p>
        </w:tc>
      </w:tr>
      <w:tr w14:paraId="37C8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38" w:type="dxa"/>
            <w:vAlign w:val="center"/>
          </w:tcPr>
          <w:p w14:paraId="600FBA89">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947" w:type="dxa"/>
            <w:vAlign w:val="center"/>
          </w:tcPr>
          <w:p w14:paraId="3E3311C5">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项目编号及</w:t>
            </w:r>
          </w:p>
          <w:p w14:paraId="71A43262">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p>
        </w:tc>
        <w:tc>
          <w:tcPr>
            <w:tcW w:w="6960" w:type="dxa"/>
            <w:vAlign w:val="center"/>
          </w:tcPr>
          <w:p w14:paraId="56B04679">
            <w:pPr>
              <w:keepNext w:val="0"/>
              <w:keepLines w:val="0"/>
              <w:pageBreakBefore w:val="0"/>
              <w:kinsoku/>
              <w:wordWrap/>
              <w:overflowPunct/>
              <w:topLinePunct w:val="0"/>
              <w:autoSpaceDE/>
              <w:autoSpaceDN/>
              <w:bidi w:val="0"/>
              <w:adjustRightInd/>
              <w:snapToGrid/>
              <w:spacing w:line="240" w:lineRule="auto"/>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项目编号：</w:t>
            </w:r>
            <w:r>
              <w:rPr>
                <w:rFonts w:hint="eastAsia" w:ascii="仿宋" w:hAnsi="仿宋" w:eastAsia="仿宋" w:cs="仿宋"/>
                <w:color w:val="auto"/>
                <w:sz w:val="24"/>
                <w:szCs w:val="24"/>
                <w:highlight w:val="none"/>
                <w:lang w:val="en-US" w:eastAsia="zh-CN"/>
              </w:rPr>
              <w:t>HMZCFW-2025-04</w:t>
            </w:r>
          </w:p>
          <w:p w14:paraId="684AAE18">
            <w:pPr>
              <w:keepNext w:val="0"/>
              <w:keepLines w:val="0"/>
              <w:pageBreakBefore w:val="0"/>
              <w:kinsoku/>
              <w:wordWrap/>
              <w:overflowPunct/>
              <w:topLinePunct w:val="0"/>
              <w:autoSpaceDE/>
              <w:autoSpaceDN/>
              <w:bidi w:val="0"/>
              <w:adjustRightInd/>
              <w:snapToGrid/>
              <w:spacing w:line="240" w:lineRule="auto"/>
              <w:ind w:lef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项目名称：吉木乃县2025年义务教育薄弱环节与能力提升项目 -录播设备</w:t>
            </w:r>
          </w:p>
        </w:tc>
      </w:tr>
      <w:tr w14:paraId="70CD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8" w:type="dxa"/>
            <w:vAlign w:val="center"/>
          </w:tcPr>
          <w:p w14:paraId="0154C6C3">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947" w:type="dxa"/>
            <w:vAlign w:val="center"/>
          </w:tcPr>
          <w:p w14:paraId="00C5D3F7">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采购方式</w:t>
            </w:r>
          </w:p>
        </w:tc>
        <w:tc>
          <w:tcPr>
            <w:tcW w:w="6960" w:type="dxa"/>
            <w:vAlign w:val="center"/>
          </w:tcPr>
          <w:p w14:paraId="6D6057B3">
            <w:pPr>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公开招标</w:t>
            </w:r>
          </w:p>
        </w:tc>
      </w:tr>
      <w:tr w14:paraId="12F4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14:paraId="18891988">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1947" w:type="dxa"/>
            <w:vAlign w:val="center"/>
          </w:tcPr>
          <w:p w14:paraId="70349C90">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6960" w:type="dxa"/>
            <w:vAlign w:val="center"/>
          </w:tcPr>
          <w:p w14:paraId="764EDAF7">
            <w:pPr>
              <w:pageBreakBefore w:val="0"/>
              <w:kinsoku/>
              <w:wordWrap/>
              <w:overflowPunct/>
              <w:topLinePunct w:val="0"/>
              <w:autoSpaceDE/>
              <w:autoSpaceDN/>
              <w:bidi w:val="0"/>
              <w:adjustRightIn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设备采购及安装。</w:t>
            </w:r>
          </w:p>
        </w:tc>
      </w:tr>
      <w:tr w14:paraId="7684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38" w:type="dxa"/>
            <w:vAlign w:val="center"/>
          </w:tcPr>
          <w:p w14:paraId="544ADEDC">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947" w:type="dxa"/>
            <w:vAlign w:val="center"/>
          </w:tcPr>
          <w:p w14:paraId="6B3CDCE0">
            <w:pPr>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供货</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lang w:eastAsia="zh-CN"/>
              </w:rPr>
              <w:t>及保质期</w:t>
            </w:r>
          </w:p>
        </w:tc>
        <w:tc>
          <w:tcPr>
            <w:tcW w:w="6960" w:type="dxa"/>
            <w:vAlign w:val="center"/>
          </w:tcPr>
          <w:p w14:paraId="5A7E685D">
            <w:pPr>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供货期：</w:t>
            </w:r>
            <w:r>
              <w:rPr>
                <w:rFonts w:hint="eastAsia" w:ascii="仿宋" w:hAnsi="仿宋" w:eastAsia="仿宋" w:cs="仿宋"/>
                <w:color w:val="auto"/>
                <w:sz w:val="24"/>
                <w:szCs w:val="24"/>
                <w:highlight w:val="none"/>
                <w:lang w:val="en-US" w:eastAsia="zh-CN"/>
              </w:rPr>
              <w:t>签订合同后20日内完成供货、安装、调试、验收</w:t>
            </w:r>
          </w:p>
          <w:p w14:paraId="09F06984">
            <w:pPr>
              <w:pStyle w:val="23"/>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bidi="ar-SA"/>
              </w:rPr>
              <w:t>质保期：质保期3年</w:t>
            </w:r>
          </w:p>
        </w:tc>
      </w:tr>
      <w:tr w14:paraId="2263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14:paraId="3B7E3CEB">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947" w:type="dxa"/>
            <w:vAlign w:val="center"/>
          </w:tcPr>
          <w:p w14:paraId="74DCC76E">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采购预算</w:t>
            </w:r>
            <w:r>
              <w:rPr>
                <w:rFonts w:hint="eastAsia" w:ascii="仿宋" w:hAnsi="仿宋" w:eastAsia="仿宋" w:cs="仿宋"/>
                <w:color w:val="auto"/>
                <w:sz w:val="24"/>
                <w:szCs w:val="24"/>
                <w:highlight w:val="none"/>
                <w:lang w:val="en-US" w:eastAsia="zh-CN"/>
              </w:rPr>
              <w:t>及最高限价</w:t>
            </w:r>
          </w:p>
        </w:tc>
        <w:tc>
          <w:tcPr>
            <w:tcW w:w="6960" w:type="dxa"/>
            <w:vAlign w:val="center"/>
          </w:tcPr>
          <w:p w14:paraId="1BB5770C">
            <w:pPr>
              <w:keepNext w:val="0"/>
              <w:keepLines w:val="0"/>
              <w:pageBreakBefore w:val="0"/>
              <w:kinsoku/>
              <w:wordWrap/>
              <w:overflowPunct/>
              <w:topLinePunct w:val="0"/>
              <w:autoSpaceDE/>
              <w:autoSpaceDN/>
              <w:bidi w:val="0"/>
              <w:adjustRightInd/>
              <w:snapToGrid/>
              <w:spacing w:line="240" w:lineRule="auto"/>
              <w:ind w:left="0"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采购预算：155万元</w:t>
            </w:r>
          </w:p>
          <w:p w14:paraId="48265954">
            <w:pPr>
              <w:keepNext w:val="0"/>
              <w:keepLines w:val="0"/>
              <w:pageBreakBefore w:val="0"/>
              <w:kinsoku/>
              <w:wordWrap/>
              <w:overflowPunct/>
              <w:topLinePunct w:val="0"/>
              <w:autoSpaceDE/>
              <w:autoSpaceDN/>
              <w:bidi w:val="0"/>
              <w:adjustRightInd/>
              <w:snapToGrid/>
              <w:spacing w:line="240" w:lineRule="auto"/>
              <w:ind w:left="0"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最高限价：155万元；此采购预算价为最高限价，供应商投标报价超过最高限价的为无效报价，作无效投标处理。</w:t>
            </w:r>
          </w:p>
          <w:p w14:paraId="6E18FC97">
            <w:pPr>
              <w:pStyle w:val="2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特别说明：</w:t>
            </w:r>
          </w:p>
          <w:p w14:paraId="0EF9CC60">
            <w:pPr>
              <w:pStyle w:val="23"/>
              <w:numPr>
                <w:ilvl w:val="0"/>
                <w:numId w:val="4"/>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为保证货物供货质量及相关售后服务，设置每个货物的最高单价，供应商投标单价超过最高单价的为无效报价，作无效投标处理</w:t>
            </w:r>
          </w:p>
          <w:p w14:paraId="4E8F4E37">
            <w:pPr>
              <w:pStyle w:val="23"/>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在评标过程中，评标委员会认为供应商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敬请供应商注意！</w:t>
            </w:r>
          </w:p>
          <w:p w14:paraId="452AB570">
            <w:pPr>
              <w:pStyle w:val="23"/>
              <w:jc w:val="left"/>
              <w:rPr>
                <w:rFonts w:hint="eastAsia"/>
                <w:color w:val="auto"/>
                <w:highlight w:val="none"/>
                <w:lang w:val="en-US" w:eastAsia="zh-CN"/>
              </w:rPr>
            </w:pPr>
          </w:p>
        </w:tc>
      </w:tr>
      <w:tr w14:paraId="193E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838" w:type="dxa"/>
            <w:vAlign w:val="center"/>
          </w:tcPr>
          <w:p w14:paraId="7DD4D90D">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1947" w:type="dxa"/>
            <w:vAlign w:val="center"/>
          </w:tcPr>
          <w:p w14:paraId="08C59873">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投标保证金</w:t>
            </w:r>
          </w:p>
        </w:tc>
        <w:tc>
          <w:tcPr>
            <w:tcW w:w="6960" w:type="dxa"/>
            <w:vAlign w:val="center"/>
          </w:tcPr>
          <w:p w14:paraId="0E35D59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投标保证金金额：￥</w:t>
            </w:r>
            <w:r>
              <w:rPr>
                <w:rFonts w:hint="eastAsia" w:ascii="仿宋" w:hAnsi="仿宋" w:eastAsia="仿宋" w:cs="仿宋"/>
                <w:color w:val="auto"/>
                <w:sz w:val="24"/>
                <w:szCs w:val="24"/>
                <w:highlight w:val="none"/>
                <w:lang w:val="en-US" w:eastAsia="zh-CN"/>
              </w:rPr>
              <w:t>25000</w:t>
            </w:r>
            <w:r>
              <w:rPr>
                <w:rFonts w:hint="eastAsia" w:ascii="仿宋" w:hAnsi="仿宋" w:eastAsia="仿宋" w:cs="仿宋"/>
                <w:color w:val="auto"/>
                <w:sz w:val="24"/>
                <w:szCs w:val="24"/>
                <w:highlight w:val="none"/>
                <w:lang w:val="zh-CN" w:eastAsia="zh-CN"/>
              </w:rPr>
              <w:t>.00元 （大写：</w:t>
            </w:r>
            <w:r>
              <w:rPr>
                <w:rFonts w:hint="eastAsia" w:ascii="仿宋" w:hAnsi="仿宋" w:eastAsia="仿宋" w:cs="仿宋"/>
                <w:color w:val="auto"/>
                <w:sz w:val="24"/>
                <w:szCs w:val="24"/>
                <w:highlight w:val="none"/>
                <w:lang w:val="en-US" w:eastAsia="zh-CN"/>
              </w:rPr>
              <w:t>贰万伍仟元整</w:t>
            </w:r>
            <w:r>
              <w:rPr>
                <w:rFonts w:hint="eastAsia" w:ascii="仿宋" w:hAnsi="仿宋" w:eastAsia="仿宋" w:cs="仿宋"/>
                <w:color w:val="auto"/>
                <w:sz w:val="24"/>
                <w:szCs w:val="24"/>
                <w:highlight w:val="none"/>
                <w:lang w:val="zh-CN" w:eastAsia="zh-CN"/>
              </w:rPr>
              <w:t>）</w:t>
            </w:r>
          </w:p>
          <w:p w14:paraId="0A01ACA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缴纳方式：☑对公转账 ☑保函   ☑电汇</w:t>
            </w:r>
          </w:p>
          <w:p w14:paraId="5ECE566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账户名称：阿勒泰禾淼工程咨询有限公司</w:t>
            </w:r>
          </w:p>
          <w:p w14:paraId="3932E9F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账    户：107696323270 </w:t>
            </w:r>
          </w:p>
          <w:p w14:paraId="02AA457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开户银行：中国银行股份有限公司阿勒泰地区分行营业部</w:t>
            </w:r>
          </w:p>
          <w:p w14:paraId="6C4CDB1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行    号：J9020000766101</w:t>
            </w:r>
          </w:p>
          <w:p w14:paraId="1D6CD1A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备 注：投标保证金必须在投标截止日前到达指定账户。必须以投标单位的名义缴纳投标保证金,汇款时必须在备注栏写明所投采购项目名称，未注明项目名称视为无效投标保证金，做无效投标处理。</w:t>
            </w:r>
          </w:p>
          <w:p w14:paraId="6C0FBB7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电汇、银行转账形式：在投标截止时间前将投标保证金以银行电汇、银行转账的方式到指定账户，须公对公账户，不接受个人打款，以个人名义打款将视为无效。</w:t>
            </w:r>
          </w:p>
          <w:p w14:paraId="6D01E7B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在规定的投标保证金到账日期之后递交投标保证金的、投标保证金、未注明项目名称的、未将汇款凭据复印件装订在投标文件中的视同未交纳投标保证金。</w:t>
            </w:r>
          </w:p>
          <w:p w14:paraId="0E33124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投标人应充分考虑保证金在银行之间划转所需要的时间，以确保其在截止时间之前到达指定账户，否则后果自负。</w:t>
            </w:r>
          </w:p>
          <w:p w14:paraId="69B585C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4、投标保证收据原件应由投标单位委托人持授权委托书到招标代理机构领取。</w:t>
            </w:r>
          </w:p>
          <w:p w14:paraId="5E4632F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退投标保证金说明：开标结束后未中标企业5个工作日后退还，中标企业应在签订合同后5个工作日内联系工作人员办理保证金退款事宜。</w:t>
            </w:r>
          </w:p>
          <w:p w14:paraId="7A674AB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敬请注意！</w:t>
            </w:r>
          </w:p>
        </w:tc>
      </w:tr>
      <w:tr w14:paraId="1CBF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38" w:type="dxa"/>
            <w:vAlign w:val="center"/>
          </w:tcPr>
          <w:p w14:paraId="31D76EA7">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1947" w:type="dxa"/>
            <w:vAlign w:val="center"/>
          </w:tcPr>
          <w:p w14:paraId="1CA55D49">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资格要求</w:t>
            </w:r>
          </w:p>
          <w:p w14:paraId="7A561949">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p>
        </w:tc>
        <w:tc>
          <w:tcPr>
            <w:tcW w:w="6960" w:type="dxa"/>
            <w:vAlign w:val="center"/>
          </w:tcPr>
          <w:p w14:paraId="3284C61B">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1.满足《中华人民共和国政府采购法》第二十二条规定；</w:t>
            </w:r>
          </w:p>
          <w:p w14:paraId="531008A3">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w:t>
            </w:r>
          </w:p>
          <w:p w14:paraId="1BD2B891">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3.经年审合格（三证合一）的营业执照或（统一社会信用代码证书）；</w:t>
            </w:r>
          </w:p>
          <w:p w14:paraId="39B90D02">
            <w:pPr>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 xml:space="preserve">    4.</w:t>
            </w:r>
            <w:r>
              <w:rPr>
                <w:rFonts w:hint="eastAsia" w:ascii="仿宋" w:hAnsi="仿宋" w:eastAsia="仿宋" w:cs="仿宋"/>
                <w:i w:val="0"/>
                <w:caps w:val="0"/>
                <w:color w:val="auto"/>
                <w:spacing w:val="0"/>
                <w:kern w:val="2"/>
                <w:sz w:val="24"/>
                <w:szCs w:val="24"/>
                <w:highlight w:val="none"/>
                <w:lang w:val="en-US" w:eastAsia="zh-CN" w:bidi="ar-SA"/>
              </w:rPr>
              <w:t>法定代表人开标应附《法定代表人身份证明书》及身份证复印件，委托代理人开标应附《法定代表人授权委托书》及身份证复印件</w:t>
            </w:r>
          </w:p>
          <w:p w14:paraId="7A8E648F">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5.提供2024年度由第三方财务审计机构出具的财务审计报告（2025年新成立的公司可不提供但需提供银行出具的近三个月的资信证明）；</w:t>
            </w:r>
          </w:p>
          <w:p w14:paraId="7710593C">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6.提供本单位2025年2月至2025年6月社保缴费凭证，成立不足五个月的按实际提供，提供税务机关出具近五个月（2025年2月至2025年6月）的完税证明（新成立不足五个月的，按实际情况发生提供）；</w:t>
            </w:r>
          </w:p>
          <w:p w14:paraId="4013EC4D">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7.凡拟参加本次招标项目的投标人，如在①“信用中国”网站（www.creditchina.gov.cn）；②中国政府采购网（www.ccgp.gov.cn）中被列入失信被执行人、重大税收违法案件当事人名单、政府采购严重违法失信行为记录名单的（尚在处罚期内的）、经营异常名录的，将拒绝其参加本次政府采购活动； </w:t>
            </w:r>
          </w:p>
          <w:p w14:paraId="3FA0555A">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8.企业负责人为同一人或者存在直接控股、管理关系的不同投标人，不得参加同一合同项下的政府采购活动。否则，皆取消投标资格；</w:t>
            </w:r>
          </w:p>
          <w:p w14:paraId="7B4C403F">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i w:val="0"/>
                <w:caps w:val="0"/>
                <w:color w:val="auto"/>
                <w:spacing w:val="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9.提供参加政府采购活动前三年内，在经营活动中没有重大违法记录的书面声明；</w:t>
            </w:r>
          </w:p>
        </w:tc>
      </w:tr>
      <w:tr w14:paraId="7798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38" w:type="dxa"/>
            <w:vAlign w:val="center"/>
          </w:tcPr>
          <w:p w14:paraId="4BC2C065">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947" w:type="dxa"/>
            <w:vAlign w:val="center"/>
          </w:tcPr>
          <w:p w14:paraId="7D49A07E">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rPr>
              <w:t>信用情况</w:t>
            </w:r>
          </w:p>
        </w:tc>
        <w:tc>
          <w:tcPr>
            <w:tcW w:w="6960" w:type="dxa"/>
            <w:vAlign w:val="center"/>
          </w:tcPr>
          <w:p w14:paraId="295A577F">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1、信用记录查询时间及方式：</w:t>
            </w:r>
          </w:p>
          <w:p w14:paraId="60E92517">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（1）查询时间：自招标公告发布日期起至开标日期止，超出此时间范围将被视为无效投标。</w:t>
            </w:r>
          </w:p>
          <w:p w14:paraId="2D1E23F5">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（2）查询方式：投标人自行通过①“信用中国”网站（www.creditchina.gov.cn）；②中国政府采购网（www.ccgp.gov.cn）查询，并按招标文件要求提供网页</w:t>
            </w:r>
            <w:r>
              <w:rPr>
                <w:rFonts w:hint="eastAsia" w:ascii="仿宋" w:hAnsi="仿宋" w:eastAsia="仿宋" w:cs="仿宋"/>
                <w:color w:val="auto"/>
                <w:sz w:val="24"/>
                <w:szCs w:val="24"/>
                <w:highlight w:val="none"/>
                <w:lang w:eastAsia="zh-CN"/>
              </w:rPr>
              <w:t>查询</w:t>
            </w:r>
            <w:r>
              <w:rPr>
                <w:rFonts w:hint="eastAsia" w:ascii="仿宋" w:hAnsi="仿宋" w:eastAsia="仿宋" w:cs="仿宋"/>
                <w:color w:val="auto"/>
                <w:sz w:val="24"/>
                <w:szCs w:val="24"/>
                <w:highlight w:val="none"/>
              </w:rPr>
              <w:t>材料。</w:t>
            </w:r>
            <w:r>
              <w:rPr>
                <w:rFonts w:hint="eastAsia" w:ascii="仿宋" w:hAnsi="仿宋" w:eastAsia="仿宋" w:cs="仿宋"/>
                <w:color w:val="auto"/>
                <w:sz w:val="24"/>
                <w:szCs w:val="24"/>
                <w:highlight w:val="none"/>
                <w:lang w:val="en-US" w:eastAsia="zh-CN"/>
              </w:rPr>
              <w:t>被列入失信被执行人、重大税收违法案件当事人名单、政府采购严重违法失信行为记录名单的（尚在处罚期内的）、经营异常名录的，将拒绝其参加本次政府采购活动</w:t>
            </w:r>
            <w:r>
              <w:rPr>
                <w:rFonts w:hint="eastAsia" w:ascii="仿宋" w:hAnsi="仿宋" w:eastAsia="仿宋" w:cs="仿宋"/>
                <w:color w:val="auto"/>
                <w:sz w:val="24"/>
                <w:szCs w:val="24"/>
                <w:highlight w:val="none"/>
              </w:rPr>
              <w:t>。未提供证明材料的视为不响应招标文件。</w:t>
            </w:r>
          </w:p>
          <w:p w14:paraId="451EC352">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（3）供应商参加政府采购活动时，应当就自己的诚信情况在响应性文件中进行承诺。</w:t>
            </w:r>
          </w:p>
          <w:p w14:paraId="01F5B307">
            <w:pPr>
              <w:keepNext w:val="0"/>
              <w:keepLines w:val="0"/>
              <w:pageBreakBefore w:val="0"/>
              <w:kinsoku/>
              <w:wordWrap/>
              <w:overflowPunct/>
              <w:topLinePunct w:val="0"/>
              <w:autoSpaceDE/>
              <w:autoSpaceDN/>
              <w:bidi w:val="0"/>
              <w:adjustRightInd/>
              <w:snapToGrid/>
              <w:spacing w:line="240" w:lineRule="auto"/>
              <w:ind w:left="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color w:val="auto"/>
                <w:sz w:val="24"/>
                <w:szCs w:val="24"/>
                <w:highlight w:val="none"/>
              </w:rPr>
              <w:t>本项目不接受失信企业投标。</w:t>
            </w:r>
          </w:p>
        </w:tc>
      </w:tr>
      <w:tr w14:paraId="2A93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14:paraId="5AE9AFB2">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1947" w:type="dxa"/>
            <w:vAlign w:val="center"/>
          </w:tcPr>
          <w:p w14:paraId="4693C6E1">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2"/>
                <w:sz w:val="24"/>
                <w:szCs w:val="24"/>
                <w:highlight w:val="none"/>
              </w:rPr>
              <w:t>标前准备</w:t>
            </w:r>
          </w:p>
        </w:tc>
        <w:tc>
          <w:tcPr>
            <w:tcW w:w="6960" w:type="dxa"/>
            <w:vAlign w:val="center"/>
          </w:tcPr>
          <w:p w14:paraId="42423C7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w:t>
            </w:r>
            <w:r>
              <w:rPr>
                <w:rFonts w:hint="eastAsia" w:ascii="仿宋" w:hAnsi="仿宋" w:eastAsia="仿宋" w:cs="仿宋"/>
                <w:b/>
                <w:bCs w:val="0"/>
                <w:color w:val="auto"/>
                <w:sz w:val="24"/>
                <w:szCs w:val="24"/>
                <w:highlight w:val="none"/>
              </w:rPr>
              <w:t>本项目实行网上投标，采用电子投标文件。若供应商参与投标，自行承担投标一切费用。</w:t>
            </w:r>
          </w:p>
          <w:p w14:paraId="52FE3F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各供应商应在开标前应确保成为新疆维吾尔自治区政府采购网正式注册入库供应商，并完成 CA 数字证书申领。因未注册入库、未办理 CA 数字证书等原因造成无法投标或投标失败等后果由供应商自行承担。</w:t>
            </w:r>
          </w:p>
          <w:p w14:paraId="5224CD8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3、本项目为电子招投标，投标人需要使用 CA 加 密</w:t>
            </w:r>
            <w:r>
              <w:rPr>
                <w:rFonts w:hint="eastAsia" w:ascii="仿宋" w:hAnsi="仿宋" w:eastAsia="仿宋" w:cs="仿宋"/>
                <w:b/>
                <w:bCs w:val="0"/>
                <w:color w:val="auto"/>
                <w:sz w:val="24"/>
                <w:szCs w:val="24"/>
                <w:highlight w:val="none"/>
                <w:lang w:val="en-US" w:eastAsia="zh-CN"/>
              </w:rPr>
              <w:t>设备</w:t>
            </w:r>
            <w:r>
              <w:rPr>
                <w:rFonts w:hint="eastAsia" w:ascii="仿宋" w:hAnsi="仿宋" w:eastAsia="仿宋" w:cs="仿宋"/>
                <w:b/>
                <w:bCs w:val="0"/>
                <w:color w:val="auto"/>
                <w:sz w:val="24"/>
                <w:szCs w:val="24"/>
                <w:highlight w:val="none"/>
              </w:rPr>
              <w:t>，有意向参与新疆区域电子开评标的供应商，请访问新疆数字证书认证中心官方网站（https://www.xjca.com.cn/）或下载 新疆政务 通 ;APP 自 行 进 行 申 领 。 如 需 咨 询 ， 请 联 系 新 疆 CA 服 务 热 线 0991-2819290</w:t>
            </w:r>
            <w:r>
              <w:rPr>
                <w:rFonts w:hint="eastAsia" w:ascii="仿宋" w:hAnsi="仿宋" w:eastAsia="仿宋" w:cs="仿宋"/>
                <w:b/>
                <w:bCs w:val="0"/>
                <w:color w:val="auto"/>
                <w:sz w:val="24"/>
                <w:szCs w:val="24"/>
                <w:highlight w:val="none"/>
                <w:lang w:eastAsia="zh-CN"/>
              </w:rPr>
              <w:t>。</w:t>
            </w:r>
          </w:p>
          <w:p w14:paraId="68B713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val="0"/>
                <w:color w:val="auto"/>
                <w:sz w:val="24"/>
                <w:szCs w:val="24"/>
                <w:highlight w:val="none"/>
              </w:rPr>
              <w:t xml:space="preserve">4、供应商将政采云电子交易客户端下载、安装完成后， 可通过账号密码或 CA 登录客户端进行投标文件制作。在使用政采云投标客户端时，建议使用 WIN7 及以上操作系统。客户端请至新疆政府采购网（https://www.zcygov.cn/）下载专区查看，如有问题可拨打政采 云客户服务热线 </w:t>
            </w:r>
            <w:r>
              <w:rPr>
                <w:rFonts w:hint="eastAsia" w:ascii="仿宋" w:hAnsi="仿宋" w:eastAsia="仿宋" w:cs="仿宋"/>
                <w:b/>
                <w:bCs w:val="0"/>
                <w:color w:val="auto"/>
                <w:sz w:val="24"/>
                <w:szCs w:val="24"/>
                <w:highlight w:val="none"/>
                <w:lang w:eastAsia="zh-CN"/>
              </w:rPr>
              <w:t>95763</w:t>
            </w:r>
            <w:r>
              <w:rPr>
                <w:rFonts w:hint="eastAsia" w:ascii="仿宋" w:hAnsi="仿宋" w:eastAsia="仿宋" w:cs="仿宋"/>
                <w:b/>
                <w:bCs w:val="0"/>
                <w:color w:val="auto"/>
                <w:sz w:val="24"/>
                <w:szCs w:val="24"/>
                <w:highlight w:val="none"/>
              </w:rPr>
              <w:t xml:space="preserve"> 进行咨询。</w:t>
            </w:r>
          </w:p>
        </w:tc>
      </w:tr>
      <w:tr w14:paraId="544E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8" w:type="dxa"/>
            <w:vAlign w:val="center"/>
          </w:tcPr>
          <w:p w14:paraId="70661F36">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1947" w:type="dxa"/>
            <w:vAlign w:val="center"/>
          </w:tcPr>
          <w:p w14:paraId="4EA0CFB8">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合同履行期限</w:t>
            </w:r>
          </w:p>
        </w:tc>
        <w:tc>
          <w:tcPr>
            <w:tcW w:w="6960" w:type="dxa"/>
            <w:vAlign w:val="center"/>
          </w:tcPr>
          <w:p w14:paraId="27BD3E01">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签订合同后20日内完成供货、安装、调试、验收</w:t>
            </w:r>
          </w:p>
        </w:tc>
      </w:tr>
      <w:tr w14:paraId="2719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8" w:type="dxa"/>
            <w:vAlign w:val="center"/>
          </w:tcPr>
          <w:p w14:paraId="1CBBA85B">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1947" w:type="dxa"/>
            <w:vAlign w:val="center"/>
          </w:tcPr>
          <w:p w14:paraId="3AC1A4DA">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交货地点</w:t>
            </w:r>
          </w:p>
        </w:tc>
        <w:tc>
          <w:tcPr>
            <w:tcW w:w="6960" w:type="dxa"/>
            <w:vAlign w:val="center"/>
          </w:tcPr>
          <w:p w14:paraId="395D22C9">
            <w:pPr>
              <w:spacing w:line="240" w:lineRule="auto"/>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采购人</w:t>
            </w:r>
            <w:r>
              <w:rPr>
                <w:rFonts w:hint="eastAsia" w:ascii="仿宋" w:hAnsi="仿宋" w:eastAsia="仿宋" w:cs="仿宋"/>
                <w:b w:val="0"/>
                <w:bCs/>
                <w:color w:val="auto"/>
                <w:sz w:val="24"/>
                <w:szCs w:val="24"/>
                <w:highlight w:val="none"/>
              </w:rPr>
              <w:t>指定地点</w:t>
            </w:r>
          </w:p>
        </w:tc>
      </w:tr>
      <w:tr w14:paraId="0F07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38" w:type="dxa"/>
            <w:vAlign w:val="center"/>
          </w:tcPr>
          <w:p w14:paraId="4A6159D8">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1947" w:type="dxa"/>
            <w:vAlign w:val="center"/>
          </w:tcPr>
          <w:p w14:paraId="688C61FA">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质量要求</w:t>
            </w:r>
            <w:r>
              <w:rPr>
                <w:rFonts w:hint="eastAsia" w:ascii="仿宋" w:hAnsi="仿宋" w:eastAsia="仿宋" w:cs="仿宋"/>
                <w:color w:val="auto"/>
                <w:sz w:val="24"/>
                <w:szCs w:val="24"/>
                <w:highlight w:val="none"/>
                <w:lang w:val="en-US" w:eastAsia="zh-CN"/>
              </w:rPr>
              <w:t>及售后服务要求</w:t>
            </w:r>
          </w:p>
        </w:tc>
        <w:tc>
          <w:tcPr>
            <w:tcW w:w="6960" w:type="dxa"/>
            <w:vAlign w:val="center"/>
          </w:tcPr>
          <w:p w14:paraId="6F158F32">
            <w:pPr>
              <w:pStyle w:val="88"/>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必须达到国家和行业规定标准及招标文件中规定的要求标准，并通过验收。</w:t>
            </w:r>
          </w:p>
          <w:p w14:paraId="41518DD2">
            <w:pPr>
              <w:pStyle w:val="88"/>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1、售后服务要求：</w:t>
            </w:r>
          </w:p>
          <w:p w14:paraId="7FFE5795">
            <w:pPr>
              <w:pStyle w:val="88"/>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⑴、质保期：按国家有关产品“三包”规定执行“三包”，质保期除特别注明外，最短不得少于2年。质保期内负责上门服务、维修、更换配件，不得收取任何费用。（自提交成果并验收合格之日起计）</w:t>
            </w:r>
          </w:p>
          <w:p w14:paraId="0F427ABD">
            <w:pPr>
              <w:pStyle w:val="88"/>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⑵、故障响应时间：接到采购人处理问题通知后2小时内到达采购人指定现场</w:t>
            </w:r>
          </w:p>
          <w:p w14:paraId="10280AD4">
            <w:pPr>
              <w:pStyle w:val="88"/>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⑶、售后服务技术人员要求：驻点专职人员</w:t>
            </w:r>
          </w:p>
          <w:p w14:paraId="34B8B0FB">
            <w:pPr>
              <w:pStyle w:val="88"/>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 xml:space="preserve">⑷、售后服务费用包含在报价中，售后服务内容如下： </w:t>
            </w:r>
          </w:p>
          <w:p w14:paraId="78B01B5B">
            <w:pPr>
              <w:pStyle w:val="88"/>
              <w:spacing w:line="240" w:lineRule="auto"/>
              <w:ind w:firstLine="240" w:firstLineChars="1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①负责送货上门，安装调试，培训操作人员。</w:t>
            </w:r>
          </w:p>
          <w:p w14:paraId="3927D2FF">
            <w:pPr>
              <w:pStyle w:val="88"/>
              <w:spacing w:line="240" w:lineRule="auto"/>
              <w:ind w:firstLine="240" w:firstLineChars="1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②不能正常使用的必须提供备用机。</w:t>
            </w:r>
          </w:p>
          <w:p w14:paraId="70EA4A48">
            <w:pPr>
              <w:pStyle w:val="88"/>
              <w:spacing w:line="240" w:lineRule="auto"/>
              <w:ind w:firstLine="240" w:firstLineChars="1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③定期回访以及对设施维修。</w:t>
            </w:r>
          </w:p>
          <w:p w14:paraId="7547C98A">
            <w:pPr>
              <w:pStyle w:val="88"/>
              <w:spacing w:line="240" w:lineRule="auto"/>
              <w:ind w:firstLine="240" w:firstLineChars="1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④其余按厂家承诺。</w:t>
            </w:r>
          </w:p>
          <w:p w14:paraId="01F127B1">
            <w:pPr>
              <w:pStyle w:val="88"/>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⑸、备品备件要求：</w:t>
            </w:r>
          </w:p>
          <w:p w14:paraId="00B00EFD">
            <w:pPr>
              <w:pStyle w:val="88"/>
              <w:spacing w:line="240" w:lineRule="auto"/>
              <w:ind w:firstLine="240" w:firstLineChars="1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①本项目要求供应商具有完备的备品备件库，确保紧急情况时能够第一时间保障系统运行。</w:t>
            </w:r>
          </w:p>
          <w:p w14:paraId="54F25857">
            <w:pPr>
              <w:pStyle w:val="88"/>
              <w:spacing w:line="240" w:lineRule="auto"/>
              <w:ind w:firstLine="240" w:firstLineChars="1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②在经维修后两次仍不能正常使用时需将备品备件用于设施替换工作，待维修完成后还原原有设施。</w:t>
            </w:r>
          </w:p>
          <w:p w14:paraId="258E185A">
            <w:pPr>
              <w:pStyle w:val="88"/>
              <w:spacing w:line="240" w:lineRule="auto"/>
              <w:ind w:firstLine="240" w:firstLineChars="1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③备品备件规格参数满足或优于采购参数要求。</w:t>
            </w:r>
          </w:p>
          <w:p w14:paraId="53E13166">
            <w:pPr>
              <w:pStyle w:val="88"/>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⑹、其他：</w:t>
            </w:r>
          </w:p>
          <w:p w14:paraId="6CCF43FB">
            <w:pPr>
              <w:pStyle w:val="88"/>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(1)每半年至少进行一次定期回访以及对设施保养。</w:t>
            </w:r>
          </w:p>
        </w:tc>
      </w:tr>
      <w:tr w14:paraId="113F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8" w:type="dxa"/>
            <w:vAlign w:val="center"/>
          </w:tcPr>
          <w:p w14:paraId="01E0C0B6">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1947" w:type="dxa"/>
            <w:vAlign w:val="center"/>
          </w:tcPr>
          <w:p w14:paraId="5D90FF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付款方式</w:t>
            </w:r>
          </w:p>
        </w:tc>
        <w:tc>
          <w:tcPr>
            <w:tcW w:w="6960" w:type="dxa"/>
            <w:vAlign w:val="center"/>
          </w:tcPr>
          <w:p w14:paraId="4E8E5E8A">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签订合同后，支付预付款30%，货物到场后支付合同的80%，安装调试完成后，支付剩余全部货款。</w:t>
            </w:r>
          </w:p>
        </w:tc>
      </w:tr>
      <w:tr w14:paraId="6FCD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8" w:type="dxa"/>
            <w:vAlign w:val="center"/>
          </w:tcPr>
          <w:p w14:paraId="22E2A753">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1947" w:type="dxa"/>
            <w:vAlign w:val="center"/>
          </w:tcPr>
          <w:p w14:paraId="33BD851F">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资金来源</w:t>
            </w:r>
          </w:p>
        </w:tc>
        <w:tc>
          <w:tcPr>
            <w:tcW w:w="6960" w:type="dxa"/>
            <w:vAlign w:val="center"/>
          </w:tcPr>
          <w:p w14:paraId="3E69546F">
            <w:pPr>
              <w:keepNext w:val="0"/>
              <w:keepLines w:val="0"/>
              <w:pageBreakBefore w:val="0"/>
              <w:kinsoku/>
              <w:wordWrap/>
              <w:overflowPunct/>
              <w:topLinePunct w:val="0"/>
              <w:autoSpaceDE/>
              <w:autoSpaceDN/>
              <w:bidi w:val="0"/>
              <w:adjustRightInd/>
              <w:snapToGrid/>
              <w:spacing w:line="240" w:lineRule="auto"/>
              <w:ind w:left="0"/>
              <w:textAlignment w:val="auto"/>
              <w:rPr>
                <w:rFonts w:hint="eastAsia"/>
                <w:color w:val="auto"/>
                <w:highlight w:val="none"/>
                <w:lang w:val="en-US" w:eastAsia="zh-CN"/>
              </w:rPr>
            </w:pPr>
            <w:r>
              <w:rPr>
                <w:rFonts w:hint="eastAsia"/>
                <w:color w:val="auto"/>
                <w:highlight w:val="none"/>
                <w:lang w:val="en-US" w:eastAsia="zh-CN"/>
              </w:rPr>
              <w:t xml:space="preserve">  </w:t>
            </w:r>
          </w:p>
          <w:p w14:paraId="351C8715">
            <w:pPr>
              <w:pStyle w:val="23"/>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专项资金</w:t>
            </w:r>
          </w:p>
        </w:tc>
      </w:tr>
      <w:tr w14:paraId="67DB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14:paraId="7D870E7A">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1947" w:type="dxa"/>
            <w:vAlign w:val="center"/>
          </w:tcPr>
          <w:p w14:paraId="4EDB240D">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6960" w:type="dxa"/>
            <w:vAlign w:val="center"/>
          </w:tcPr>
          <w:p w14:paraId="1C226719">
            <w:pPr>
              <w:keepNext w:val="0"/>
              <w:keepLines w:val="0"/>
              <w:pageBreakBefore w:val="0"/>
              <w:kinsoku/>
              <w:wordWrap/>
              <w:overflowPunct/>
              <w:topLinePunct w:val="0"/>
              <w:autoSpaceDE/>
              <w:autoSpaceDN/>
              <w:bidi w:val="0"/>
              <w:adjustRightInd/>
              <w:snapToGrid/>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90天</w:t>
            </w:r>
            <w:r>
              <w:rPr>
                <w:rFonts w:hint="eastAsia" w:ascii="仿宋" w:hAnsi="仿宋" w:eastAsia="仿宋" w:cs="仿宋"/>
                <w:bCs/>
                <w:color w:val="auto"/>
                <w:sz w:val="24"/>
                <w:szCs w:val="24"/>
                <w:highlight w:val="none"/>
              </w:rPr>
              <w:t>（从投标截止之日算起）</w:t>
            </w:r>
          </w:p>
        </w:tc>
      </w:tr>
      <w:tr w14:paraId="4D93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838" w:type="dxa"/>
            <w:vAlign w:val="center"/>
          </w:tcPr>
          <w:p w14:paraId="363EBE66">
            <w:pPr>
              <w:keepNext w:val="0"/>
              <w:keepLines w:val="0"/>
              <w:pageBreakBefore w:val="0"/>
              <w:kinsoku/>
              <w:wordWrap/>
              <w:overflowPunct/>
              <w:topLinePunct w:val="0"/>
              <w:autoSpaceDE/>
              <w:autoSpaceDN/>
              <w:bidi w:val="0"/>
              <w:adjustRightInd/>
              <w:snapToGrid/>
              <w:spacing w:line="240"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1947" w:type="dxa"/>
            <w:vAlign w:val="center"/>
          </w:tcPr>
          <w:p w14:paraId="5A22B869">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投标人对招标文件提出质疑的时间</w:t>
            </w:r>
          </w:p>
        </w:tc>
        <w:tc>
          <w:tcPr>
            <w:tcW w:w="6960" w:type="dxa"/>
            <w:vAlign w:val="center"/>
          </w:tcPr>
          <w:p w14:paraId="339A785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提出质疑函的时限：对采购文件提出质疑的，应当在投标截止时间10日前提出。</w:t>
            </w:r>
          </w:p>
          <w:p w14:paraId="3293499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接收质疑函的方式：将PDF格式电子版质疑文件加盖公章扫描发送至850123152@qq.com邮箱。</w:t>
            </w:r>
          </w:p>
          <w:p w14:paraId="0065A38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接受质疑的单位：阿勒泰禾淼工程咨询有限公司</w:t>
            </w:r>
          </w:p>
          <w:p w14:paraId="7EEAAE5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联系电话：13809945728  </w:t>
            </w:r>
          </w:p>
          <w:p w14:paraId="5C2EED0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地址：新疆阿勒泰地区阿勒泰市迎宾路克兰区99号万弛广场1栋十五层</w:t>
            </w:r>
          </w:p>
          <w:p w14:paraId="53B7C122">
            <w:pPr>
              <w:pStyle w:val="54"/>
              <w:numPr>
                <w:ilvl w:val="0"/>
                <w:numId w:val="0"/>
              </w:num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注：供应商认为采购文件、采购过程、中标或者成交结果使自己的权益受到损害的，可以根据中华人民共和国财政部令第94号中第十条，以书面形式向采购人、采购代理机构一次性针对同一采购程序环节提出质疑。</w:t>
            </w:r>
          </w:p>
        </w:tc>
      </w:tr>
      <w:tr w14:paraId="6AFA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38" w:type="dxa"/>
            <w:vAlign w:val="center"/>
          </w:tcPr>
          <w:p w14:paraId="68BC191E">
            <w:pPr>
              <w:keepNext w:val="0"/>
              <w:keepLines w:val="0"/>
              <w:pageBreakBefore w:val="0"/>
              <w:kinsoku/>
              <w:wordWrap/>
              <w:overflowPunct/>
              <w:topLinePunct w:val="0"/>
              <w:autoSpaceDE/>
              <w:autoSpaceDN/>
              <w:bidi w:val="0"/>
              <w:adjustRightInd/>
              <w:snapToGrid/>
              <w:spacing w:line="240"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1947" w:type="dxa"/>
            <w:vAlign w:val="center"/>
          </w:tcPr>
          <w:p w14:paraId="5EC6AC2E">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招标</w:t>
            </w:r>
            <w:r>
              <w:rPr>
                <w:rFonts w:hint="eastAsia" w:ascii="仿宋" w:hAnsi="仿宋" w:eastAsia="仿宋" w:cs="仿宋"/>
                <w:b w:val="0"/>
                <w:bCs w:val="0"/>
                <w:color w:val="auto"/>
                <w:sz w:val="24"/>
                <w:szCs w:val="24"/>
                <w:highlight w:val="none"/>
              </w:rPr>
              <w:t>文件</w:t>
            </w:r>
            <w:r>
              <w:rPr>
                <w:rFonts w:hint="eastAsia" w:ascii="仿宋" w:hAnsi="仿宋" w:eastAsia="仿宋" w:cs="仿宋"/>
                <w:b w:val="0"/>
                <w:bCs w:val="0"/>
                <w:color w:val="auto"/>
                <w:sz w:val="24"/>
                <w:szCs w:val="24"/>
                <w:highlight w:val="none"/>
                <w:lang w:eastAsia="zh-CN"/>
              </w:rPr>
              <w:t>发放</w:t>
            </w:r>
          </w:p>
        </w:tc>
        <w:tc>
          <w:tcPr>
            <w:tcW w:w="6960" w:type="dxa"/>
            <w:vAlign w:val="center"/>
          </w:tcPr>
          <w:p w14:paraId="3D4AF076">
            <w:pPr>
              <w:keepNext w:val="0"/>
              <w:keepLines w:val="0"/>
              <w:pageBreakBefore w:val="0"/>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供应商登录政采云平台https://www.zcygov.cn/在线申请获取采购文件（进入“项目采购”应用，在获取采购文件菜单中选择项目，申请获取采购文件）</w:t>
            </w:r>
            <w:r>
              <w:rPr>
                <w:rFonts w:hint="eastAsia" w:ascii="仿宋" w:hAnsi="仿宋" w:eastAsia="仿宋" w:cs="仿宋"/>
                <w:b w:val="0"/>
                <w:bCs w:val="0"/>
                <w:color w:val="auto"/>
                <w:sz w:val="24"/>
                <w:szCs w:val="24"/>
                <w:highlight w:val="none"/>
              </w:rPr>
              <w:t>。</w:t>
            </w:r>
          </w:p>
        </w:tc>
      </w:tr>
      <w:tr w14:paraId="78E1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38" w:type="dxa"/>
            <w:vAlign w:val="center"/>
          </w:tcPr>
          <w:p w14:paraId="511FDFE6">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20</w:t>
            </w:r>
          </w:p>
        </w:tc>
        <w:tc>
          <w:tcPr>
            <w:tcW w:w="1947" w:type="dxa"/>
            <w:vAlign w:val="center"/>
          </w:tcPr>
          <w:p w14:paraId="6AD08A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构成招标文件</w:t>
            </w:r>
          </w:p>
          <w:p w14:paraId="721084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的其他文件</w:t>
            </w:r>
          </w:p>
        </w:tc>
        <w:tc>
          <w:tcPr>
            <w:tcW w:w="6960" w:type="dxa"/>
            <w:vAlign w:val="center"/>
          </w:tcPr>
          <w:p w14:paraId="3A784A6E">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
                <w:bCs w:val="0"/>
                <w:color w:val="auto"/>
                <w:sz w:val="24"/>
                <w:szCs w:val="24"/>
                <w:highlight w:val="none"/>
                <w:u w:val="none"/>
                <w:lang w:val="en-US" w:eastAsia="zh-CN"/>
              </w:rPr>
            </w:pPr>
            <w:r>
              <w:rPr>
                <w:rFonts w:hint="eastAsia" w:ascii="仿宋" w:hAnsi="仿宋" w:eastAsia="仿宋" w:cs="仿宋"/>
                <w:bCs/>
                <w:color w:val="auto"/>
                <w:sz w:val="24"/>
                <w:szCs w:val="24"/>
                <w:highlight w:val="none"/>
              </w:rPr>
              <w:t>招标文件的澄清、修改书及有关补充通知为招标文件的有效组成部分</w:t>
            </w:r>
            <w:r>
              <w:rPr>
                <w:rFonts w:hint="eastAsia" w:ascii="仿宋" w:hAnsi="仿宋" w:eastAsia="仿宋" w:cs="仿宋"/>
                <w:bCs/>
                <w:color w:val="auto"/>
                <w:sz w:val="24"/>
                <w:szCs w:val="24"/>
                <w:highlight w:val="none"/>
                <w:lang w:eastAsia="zh-CN"/>
              </w:rPr>
              <w:t>。</w:t>
            </w:r>
          </w:p>
        </w:tc>
      </w:tr>
      <w:tr w14:paraId="53BF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8" w:type="dxa"/>
            <w:vAlign w:val="center"/>
          </w:tcPr>
          <w:p w14:paraId="53A10405">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w:t>
            </w:r>
          </w:p>
        </w:tc>
        <w:tc>
          <w:tcPr>
            <w:tcW w:w="1947" w:type="dxa"/>
            <w:vAlign w:val="center"/>
          </w:tcPr>
          <w:p w14:paraId="53DFC2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投标截止时间</w:t>
            </w:r>
          </w:p>
        </w:tc>
        <w:tc>
          <w:tcPr>
            <w:tcW w:w="6960" w:type="dxa"/>
            <w:vAlign w:val="center"/>
          </w:tcPr>
          <w:p w14:paraId="5655CF00">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2025年07月16日11:00（北京时间）</w:t>
            </w:r>
          </w:p>
        </w:tc>
      </w:tr>
      <w:tr w14:paraId="7BB4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38" w:type="dxa"/>
            <w:vAlign w:val="center"/>
          </w:tcPr>
          <w:p w14:paraId="3C0F33C4">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22</w:t>
            </w:r>
          </w:p>
        </w:tc>
        <w:tc>
          <w:tcPr>
            <w:tcW w:w="1947" w:type="dxa"/>
            <w:vAlign w:val="center"/>
          </w:tcPr>
          <w:p w14:paraId="26B9AD5A">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递交投标文件</w:t>
            </w:r>
          </w:p>
          <w:p w14:paraId="20E5AE62">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的地点</w:t>
            </w:r>
            <w:r>
              <w:rPr>
                <w:rFonts w:hint="eastAsia" w:ascii="仿宋" w:hAnsi="仿宋" w:eastAsia="仿宋" w:cs="仿宋"/>
                <w:color w:val="auto"/>
                <w:sz w:val="24"/>
                <w:szCs w:val="24"/>
                <w:highlight w:val="none"/>
                <w:lang w:eastAsia="zh-CN"/>
              </w:rPr>
              <w:t>及方式</w:t>
            </w:r>
          </w:p>
        </w:tc>
        <w:tc>
          <w:tcPr>
            <w:tcW w:w="6960" w:type="dxa"/>
            <w:vAlign w:val="center"/>
          </w:tcPr>
          <w:p w14:paraId="238228D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i w:val="0"/>
                <w:caps w:val="0"/>
                <w:color w:val="auto"/>
                <w:spacing w:val="0"/>
                <w:kern w:val="2"/>
                <w:sz w:val="24"/>
                <w:szCs w:val="24"/>
                <w:highlight w:val="none"/>
                <w:lang w:val="en-US" w:eastAsia="zh-CN" w:bidi="ar-SA"/>
              </w:rPr>
            </w:pPr>
            <w:r>
              <w:rPr>
                <w:rFonts w:hint="eastAsia" w:ascii="仿宋" w:hAnsi="仿宋" w:eastAsia="仿宋" w:cs="仿宋"/>
                <w:bCs/>
                <w:color w:val="auto"/>
                <w:sz w:val="24"/>
                <w:szCs w:val="24"/>
                <w:highlight w:val="none"/>
              </w:rPr>
              <w:t>投标人应于</w:t>
            </w:r>
            <w:r>
              <w:rPr>
                <w:rFonts w:hint="eastAsia" w:ascii="仿宋" w:hAnsi="仿宋" w:eastAsia="仿宋" w:cs="仿宋"/>
                <w:bCs/>
                <w:color w:val="auto"/>
                <w:sz w:val="24"/>
                <w:szCs w:val="24"/>
                <w:highlight w:val="none"/>
                <w:u w:val="single"/>
                <w:lang w:val="en-US" w:eastAsia="zh-CN"/>
              </w:rPr>
              <w:t>2025</w:t>
            </w:r>
            <w:r>
              <w:rPr>
                <w:rFonts w:hint="eastAsia" w:ascii="仿宋" w:hAnsi="仿宋" w:eastAsia="仿宋" w:cs="仿宋"/>
                <w:bCs/>
                <w:color w:val="auto"/>
                <w:sz w:val="24"/>
                <w:szCs w:val="24"/>
                <w:highlight w:val="none"/>
                <w:lang w:val="en-US" w:eastAsia="zh-CN"/>
              </w:rPr>
              <w:t>年</w:t>
            </w:r>
            <w:r>
              <w:rPr>
                <w:rFonts w:hint="eastAsia" w:ascii="仿宋" w:hAnsi="仿宋" w:eastAsia="仿宋" w:cs="仿宋"/>
                <w:bCs/>
                <w:color w:val="auto"/>
                <w:sz w:val="24"/>
                <w:szCs w:val="24"/>
                <w:highlight w:val="none"/>
                <w:u w:val="single"/>
                <w:lang w:val="en-US" w:eastAsia="zh-CN"/>
              </w:rPr>
              <w:t xml:space="preserve">  07 </w:t>
            </w:r>
            <w:r>
              <w:rPr>
                <w:rFonts w:hint="eastAsia" w:ascii="仿宋" w:hAnsi="仿宋" w:eastAsia="仿宋" w:cs="仿宋"/>
                <w:bCs/>
                <w:color w:val="auto"/>
                <w:sz w:val="24"/>
                <w:szCs w:val="24"/>
                <w:highlight w:val="none"/>
                <w:lang w:val="en-US" w:eastAsia="zh-CN"/>
              </w:rPr>
              <w:t>月</w:t>
            </w:r>
            <w:r>
              <w:rPr>
                <w:rFonts w:hint="eastAsia" w:ascii="仿宋" w:hAnsi="仿宋" w:eastAsia="仿宋" w:cs="仿宋"/>
                <w:bCs/>
                <w:color w:val="auto"/>
                <w:sz w:val="24"/>
                <w:szCs w:val="24"/>
                <w:highlight w:val="none"/>
                <w:u w:val="single"/>
                <w:lang w:val="en-US" w:eastAsia="zh-CN"/>
              </w:rPr>
              <w:t xml:space="preserve"> 06  </w:t>
            </w:r>
            <w:r>
              <w:rPr>
                <w:rFonts w:hint="eastAsia" w:ascii="仿宋" w:hAnsi="仿宋" w:eastAsia="仿宋" w:cs="仿宋"/>
                <w:bCs/>
                <w:color w:val="auto"/>
                <w:sz w:val="24"/>
                <w:szCs w:val="24"/>
                <w:highlight w:val="none"/>
                <w:lang w:val="en-US" w:eastAsia="zh-CN"/>
              </w:rPr>
              <w:t>日</w:t>
            </w:r>
            <w:r>
              <w:rPr>
                <w:rFonts w:hint="eastAsia" w:ascii="仿宋" w:hAnsi="仿宋" w:eastAsia="仿宋" w:cs="仿宋"/>
                <w:bCs/>
                <w:color w:val="auto"/>
                <w:sz w:val="24"/>
                <w:szCs w:val="24"/>
                <w:highlight w:val="none"/>
                <w:u w:val="single"/>
                <w:lang w:val="en-US" w:eastAsia="zh-CN"/>
              </w:rPr>
              <w:t xml:space="preserve"> 11:00</w:t>
            </w:r>
            <w:r>
              <w:rPr>
                <w:rFonts w:hint="eastAsia" w:ascii="仿宋" w:hAnsi="仿宋" w:eastAsia="仿宋" w:cs="仿宋"/>
                <w:b w:val="0"/>
                <w:bCs/>
                <w:color w:val="auto"/>
                <w:sz w:val="24"/>
                <w:szCs w:val="24"/>
                <w:highlight w:val="none"/>
                <w:u w:val="none"/>
                <w:lang w:eastAsia="zh-CN"/>
              </w:rPr>
              <w:t>时整之前</w:t>
            </w:r>
            <w:r>
              <w:rPr>
                <w:rFonts w:hint="eastAsia" w:ascii="仿宋" w:hAnsi="仿宋" w:eastAsia="仿宋" w:cs="仿宋"/>
                <w:b w:val="0"/>
                <w:bCs/>
                <w:color w:val="auto"/>
                <w:sz w:val="24"/>
                <w:szCs w:val="24"/>
                <w:highlight w:val="none"/>
              </w:rPr>
              <w:t>将</w:t>
            </w:r>
            <w:r>
              <w:rPr>
                <w:rFonts w:hint="eastAsia" w:ascii="仿宋" w:hAnsi="仿宋" w:eastAsia="仿宋" w:cs="仿宋"/>
                <w:bCs/>
                <w:color w:val="auto"/>
                <w:sz w:val="24"/>
                <w:szCs w:val="24"/>
                <w:highlight w:val="none"/>
              </w:rPr>
              <w:t>电子投标文件上传到“政采云”平台。应按照本项目招标文件和政采云平台的要求编制、加密传输投标文件。供应商在使用系统进行投标的过程中遇到涉及平台使用的任何问题，可致电政采云平台技术支持热线咨询，联系方式：</w:t>
            </w:r>
            <w:r>
              <w:rPr>
                <w:rFonts w:hint="eastAsia" w:ascii="仿宋" w:hAnsi="仿宋" w:eastAsia="仿宋" w:cs="仿宋"/>
                <w:bCs/>
                <w:color w:val="auto"/>
                <w:sz w:val="24"/>
                <w:szCs w:val="24"/>
                <w:highlight w:val="none"/>
                <w:lang w:val="en-US" w:eastAsia="zh-CN"/>
              </w:rPr>
              <w:t>95763</w:t>
            </w:r>
            <w:r>
              <w:rPr>
                <w:rFonts w:hint="eastAsia" w:ascii="仿宋" w:hAnsi="仿宋" w:eastAsia="仿宋" w:cs="仿宋"/>
                <w:bCs/>
                <w:color w:val="auto"/>
                <w:sz w:val="24"/>
                <w:szCs w:val="24"/>
                <w:highlight w:val="none"/>
              </w:rPr>
              <w:t>。</w:t>
            </w:r>
          </w:p>
        </w:tc>
      </w:tr>
      <w:tr w14:paraId="4C4C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838" w:type="dxa"/>
            <w:vAlign w:val="center"/>
          </w:tcPr>
          <w:p w14:paraId="535F51D1">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23</w:t>
            </w:r>
          </w:p>
        </w:tc>
        <w:tc>
          <w:tcPr>
            <w:tcW w:w="1947" w:type="dxa"/>
            <w:vAlign w:val="center"/>
          </w:tcPr>
          <w:p w14:paraId="1212333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投标</w:t>
            </w:r>
            <w:r>
              <w:rPr>
                <w:rFonts w:hint="eastAsia" w:ascii="仿宋" w:hAnsi="仿宋" w:eastAsia="仿宋" w:cs="仿宋"/>
                <w:b/>
                <w:bCs w:val="0"/>
                <w:color w:val="auto"/>
                <w:sz w:val="24"/>
                <w:szCs w:val="24"/>
                <w:highlight w:val="none"/>
              </w:rPr>
              <w:t>文件</w:t>
            </w:r>
          </w:p>
          <w:p w14:paraId="519A296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解密时间</w:t>
            </w:r>
          </w:p>
        </w:tc>
        <w:tc>
          <w:tcPr>
            <w:tcW w:w="6960" w:type="dxa"/>
            <w:vAlign w:val="center"/>
          </w:tcPr>
          <w:p w14:paraId="5E3BCDF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开标时间后</w:t>
            </w:r>
            <w:r>
              <w:rPr>
                <w:rFonts w:hint="eastAsia" w:ascii="仿宋" w:hAnsi="仿宋" w:eastAsia="仿宋" w:cs="仿宋"/>
                <w:b/>
                <w:bCs w:val="0"/>
                <w:color w:val="auto"/>
                <w:sz w:val="24"/>
                <w:szCs w:val="24"/>
                <w:highlight w:val="none"/>
                <w:lang w:val="en-US" w:eastAsia="zh-CN"/>
              </w:rPr>
              <w:t>30分钟</w:t>
            </w:r>
            <w:r>
              <w:rPr>
                <w:rFonts w:hint="eastAsia" w:ascii="仿宋" w:hAnsi="仿宋" w:eastAsia="仿宋" w:cs="仿宋"/>
                <w:b/>
                <w:bCs w:val="0"/>
                <w:color w:val="auto"/>
                <w:sz w:val="24"/>
                <w:szCs w:val="24"/>
                <w:highlight w:val="none"/>
              </w:rPr>
              <w:t>内（</w:t>
            </w:r>
            <w:r>
              <w:rPr>
                <w:rFonts w:hint="eastAsia" w:ascii="仿宋" w:hAnsi="仿宋" w:eastAsia="仿宋" w:cs="仿宋"/>
                <w:b/>
                <w:bCs w:val="0"/>
                <w:color w:val="auto"/>
                <w:sz w:val="24"/>
                <w:szCs w:val="24"/>
                <w:highlight w:val="none"/>
                <w:lang w:val="en-US" w:eastAsia="zh-CN"/>
              </w:rPr>
              <w:t>2025年07月16日</w:t>
            </w:r>
            <w:r>
              <w:rPr>
                <w:rFonts w:hint="eastAsia" w:ascii="仿宋" w:hAnsi="仿宋" w:eastAsia="仿宋" w:cs="仿宋"/>
                <w:b/>
                <w:bCs w:val="0"/>
                <w:color w:val="auto"/>
                <w:sz w:val="24"/>
                <w:szCs w:val="24"/>
                <w:highlight w:val="none"/>
                <w:lang w:eastAsia="zh-CN"/>
              </w:rPr>
              <w:t>上</w:t>
            </w:r>
            <w:r>
              <w:rPr>
                <w:rFonts w:hint="eastAsia" w:ascii="仿宋" w:hAnsi="仿宋" w:eastAsia="仿宋" w:cs="仿宋"/>
                <w:b/>
                <w:bCs w:val="0"/>
                <w:color w:val="auto"/>
                <w:sz w:val="24"/>
                <w:szCs w:val="24"/>
                <w:highlight w:val="none"/>
              </w:rPr>
              <w:t>午</w:t>
            </w:r>
            <w:r>
              <w:rPr>
                <w:rFonts w:hint="eastAsia" w:ascii="仿宋" w:hAnsi="仿宋" w:eastAsia="仿宋" w:cs="仿宋"/>
                <w:b/>
                <w:bCs w:val="0"/>
                <w:color w:val="auto"/>
                <w:sz w:val="24"/>
                <w:szCs w:val="24"/>
                <w:highlight w:val="none"/>
                <w:lang w:val="en-US" w:eastAsia="zh-CN"/>
              </w:rPr>
              <w:t>11</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00-11：30</w:t>
            </w:r>
            <w:r>
              <w:rPr>
                <w:rFonts w:hint="eastAsia" w:ascii="仿宋" w:hAnsi="仿宋" w:eastAsia="仿宋" w:cs="仿宋"/>
                <w:b/>
                <w:bCs w:val="0"/>
                <w:color w:val="auto"/>
                <w:sz w:val="24"/>
                <w:szCs w:val="24"/>
                <w:highlight w:val="none"/>
              </w:rPr>
              <w:t>前）供应商可以登录“政采云”平台，用“项目采购-开标评标”功能进行解密投标文件。若供应商在规定时间内（</w:t>
            </w:r>
            <w:r>
              <w:rPr>
                <w:rFonts w:hint="eastAsia" w:ascii="仿宋" w:hAnsi="仿宋" w:eastAsia="仿宋" w:cs="仿宋"/>
                <w:b/>
                <w:bCs w:val="0"/>
                <w:color w:val="auto"/>
                <w:sz w:val="24"/>
                <w:szCs w:val="24"/>
                <w:highlight w:val="none"/>
                <w:lang w:val="en-US" w:eastAsia="zh-CN"/>
              </w:rPr>
              <w:t>2025年07月16日</w:t>
            </w:r>
            <w:r>
              <w:rPr>
                <w:rFonts w:hint="eastAsia" w:ascii="仿宋" w:hAnsi="仿宋" w:eastAsia="仿宋" w:cs="仿宋"/>
                <w:b/>
                <w:bCs w:val="0"/>
                <w:color w:val="auto"/>
                <w:sz w:val="24"/>
                <w:szCs w:val="24"/>
                <w:highlight w:val="none"/>
                <w:lang w:eastAsia="zh-CN"/>
              </w:rPr>
              <w:t>上</w:t>
            </w:r>
            <w:r>
              <w:rPr>
                <w:rFonts w:hint="eastAsia" w:ascii="仿宋" w:hAnsi="仿宋" w:eastAsia="仿宋" w:cs="仿宋"/>
                <w:b/>
                <w:bCs w:val="0"/>
                <w:color w:val="auto"/>
                <w:sz w:val="24"/>
                <w:szCs w:val="24"/>
                <w:highlight w:val="none"/>
              </w:rPr>
              <w:t>午</w:t>
            </w:r>
            <w:r>
              <w:rPr>
                <w:rFonts w:hint="eastAsia" w:ascii="仿宋" w:hAnsi="仿宋" w:eastAsia="仿宋" w:cs="仿宋"/>
                <w:b/>
                <w:bCs w:val="0"/>
                <w:color w:val="auto"/>
                <w:sz w:val="24"/>
                <w:szCs w:val="24"/>
                <w:highlight w:val="none"/>
                <w:lang w:val="en-US" w:eastAsia="zh-CN"/>
              </w:rPr>
              <w:t>11</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30</w:t>
            </w:r>
            <w:r>
              <w:rPr>
                <w:rFonts w:hint="eastAsia" w:ascii="仿宋" w:hAnsi="仿宋" w:eastAsia="仿宋" w:cs="仿宋"/>
                <w:b/>
                <w:bCs w:val="0"/>
                <w:color w:val="auto"/>
                <w:sz w:val="24"/>
                <w:szCs w:val="24"/>
                <w:highlight w:val="none"/>
              </w:rPr>
              <w:t>前）未按时解密的，视为投标文件撤回</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所有相应后果由供应商自行承担</w:t>
            </w:r>
            <w:r>
              <w:rPr>
                <w:rFonts w:hint="eastAsia" w:ascii="仿宋" w:hAnsi="仿宋" w:eastAsia="仿宋" w:cs="仿宋"/>
                <w:b/>
                <w:bCs w:val="0"/>
                <w:color w:val="auto"/>
                <w:sz w:val="24"/>
                <w:szCs w:val="24"/>
                <w:highlight w:val="none"/>
              </w:rPr>
              <w:t>。</w:t>
            </w:r>
          </w:p>
        </w:tc>
      </w:tr>
      <w:tr w14:paraId="66CB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38" w:type="dxa"/>
            <w:vAlign w:val="center"/>
          </w:tcPr>
          <w:p w14:paraId="325667F9">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w:t>
            </w:r>
          </w:p>
        </w:tc>
        <w:tc>
          <w:tcPr>
            <w:tcW w:w="1947" w:type="dxa"/>
            <w:vAlign w:val="center"/>
          </w:tcPr>
          <w:p w14:paraId="25869A49">
            <w:pPr>
              <w:keepNext w:val="0"/>
              <w:keepLines w:val="0"/>
              <w:widowControl/>
              <w:suppressLineNumbers w:val="0"/>
              <w:spacing w:line="240" w:lineRule="auto"/>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评标委员</w:t>
            </w:r>
          </w:p>
          <w:p w14:paraId="5926A531">
            <w:pPr>
              <w:keepNext w:val="0"/>
              <w:keepLines w:val="0"/>
              <w:widowControl/>
              <w:suppressLineNumbers w:val="0"/>
              <w:spacing w:line="240" w:lineRule="auto"/>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val="0"/>
                <w:bCs w:val="0"/>
                <w:color w:val="auto"/>
                <w:kern w:val="0"/>
                <w:sz w:val="24"/>
                <w:szCs w:val="24"/>
                <w:highlight w:val="none"/>
                <w:lang w:val="en-US" w:eastAsia="zh-CN" w:bidi="ar"/>
              </w:rPr>
              <w:t>会的组成</w:t>
            </w:r>
          </w:p>
        </w:tc>
        <w:tc>
          <w:tcPr>
            <w:tcW w:w="6960" w:type="dxa"/>
            <w:vAlign w:val="center"/>
          </w:tcPr>
          <w:p w14:paraId="402EDF10">
            <w:pPr>
              <w:keepNext w:val="0"/>
              <w:keepLines w:val="0"/>
              <w:widowControl/>
              <w:suppressLineNumbers w:val="0"/>
              <w:spacing w:line="24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评标委员会构成：5人</w:t>
            </w:r>
          </w:p>
          <w:p w14:paraId="61C4B227">
            <w:pPr>
              <w:keepNext w:val="0"/>
              <w:keepLines w:val="0"/>
              <w:widowControl/>
              <w:suppressLineNumbers w:val="0"/>
              <w:spacing w:line="240" w:lineRule="auto"/>
              <w:jc w:val="left"/>
              <w:rPr>
                <w:rFonts w:hint="eastAsia" w:ascii="仿宋" w:hAnsi="仿宋" w:eastAsia="仿宋" w:cs="仿宋"/>
                <w:b/>
                <w:bCs w:val="0"/>
                <w:color w:val="auto"/>
                <w:sz w:val="24"/>
                <w:szCs w:val="24"/>
                <w:highlight w:val="none"/>
              </w:rPr>
            </w:pPr>
            <w:r>
              <w:rPr>
                <w:rFonts w:hint="eastAsia" w:ascii="仿宋" w:hAnsi="仿宋" w:eastAsia="仿宋" w:cs="仿宋"/>
                <w:color w:val="auto"/>
                <w:kern w:val="0"/>
                <w:sz w:val="24"/>
                <w:szCs w:val="24"/>
                <w:highlight w:val="none"/>
                <w:lang w:val="en-US" w:eastAsia="zh-CN" w:bidi="ar"/>
              </w:rPr>
              <w:t>评标专家确定方式：由招标代理在开标前 48 小时在政采云专家库中随机抽取此次评标专家。</w:t>
            </w:r>
          </w:p>
        </w:tc>
      </w:tr>
      <w:tr w14:paraId="0D5B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38" w:type="dxa"/>
            <w:vAlign w:val="center"/>
          </w:tcPr>
          <w:p w14:paraId="7B65F7E4">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25</w:t>
            </w:r>
          </w:p>
        </w:tc>
        <w:tc>
          <w:tcPr>
            <w:tcW w:w="1947" w:type="dxa"/>
            <w:vAlign w:val="center"/>
          </w:tcPr>
          <w:p w14:paraId="6A5432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报价</w:t>
            </w:r>
          </w:p>
        </w:tc>
        <w:tc>
          <w:tcPr>
            <w:tcW w:w="6960" w:type="dxa"/>
            <w:vAlign w:val="center"/>
          </w:tcPr>
          <w:p w14:paraId="4B300060">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应当包括货物的采购、供应、安装、运输</w:t>
            </w:r>
            <w:r>
              <w:rPr>
                <w:rFonts w:hint="eastAsia" w:ascii="仿宋" w:hAnsi="仿宋" w:eastAsia="仿宋" w:cs="仿宋"/>
                <w:color w:val="auto"/>
                <w:sz w:val="24"/>
                <w:szCs w:val="24"/>
                <w:highlight w:val="none"/>
                <w:lang w:val="en-US" w:eastAsia="zh-CN"/>
              </w:rPr>
              <w:t>装卸费</w:t>
            </w:r>
            <w:r>
              <w:rPr>
                <w:rFonts w:hint="eastAsia" w:ascii="仿宋" w:hAnsi="仿宋" w:eastAsia="仿宋" w:cs="仿宋"/>
                <w:color w:val="auto"/>
                <w:sz w:val="24"/>
                <w:szCs w:val="24"/>
                <w:highlight w:val="none"/>
                <w:lang w:eastAsia="zh-CN"/>
              </w:rPr>
              <w:t>、保险费、税费和相关售后服务等费用，采购人不再另行支付任何费用。</w:t>
            </w:r>
          </w:p>
        </w:tc>
      </w:tr>
      <w:tr w14:paraId="6CDF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38" w:type="dxa"/>
            <w:vAlign w:val="center"/>
          </w:tcPr>
          <w:p w14:paraId="0E6C6355">
            <w:pPr>
              <w:keepNext w:val="0"/>
              <w:keepLines w:val="0"/>
              <w:pageBreakBefore w:val="0"/>
              <w:kinsoku/>
              <w:wordWrap/>
              <w:overflowPunct/>
              <w:topLinePunct w:val="0"/>
              <w:autoSpaceDE/>
              <w:autoSpaceDN/>
              <w:bidi w:val="0"/>
              <w:adjustRightInd/>
              <w:snapToGrid/>
              <w:spacing w:line="240"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26</w:t>
            </w:r>
          </w:p>
        </w:tc>
        <w:tc>
          <w:tcPr>
            <w:tcW w:w="1947" w:type="dxa"/>
            <w:vAlign w:val="center"/>
          </w:tcPr>
          <w:p w14:paraId="35B640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招标代理费</w:t>
            </w:r>
          </w:p>
        </w:tc>
        <w:tc>
          <w:tcPr>
            <w:tcW w:w="6960" w:type="dxa"/>
            <w:vAlign w:val="center"/>
          </w:tcPr>
          <w:p w14:paraId="62BFF039">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本次招标代理服务费由中标</w:t>
            </w:r>
            <w:r>
              <w:rPr>
                <w:rFonts w:hint="eastAsia" w:ascii="仿宋" w:hAnsi="仿宋" w:eastAsia="仿宋" w:cs="仿宋"/>
                <w:bCs/>
                <w:color w:val="auto"/>
                <w:sz w:val="24"/>
                <w:szCs w:val="24"/>
                <w:highlight w:val="none"/>
                <w:lang w:eastAsia="zh-CN"/>
              </w:rPr>
              <w:t>企业</w:t>
            </w:r>
            <w:r>
              <w:rPr>
                <w:rFonts w:hint="eastAsia" w:ascii="仿宋" w:hAnsi="仿宋" w:eastAsia="仿宋" w:cs="仿宋"/>
                <w:bCs/>
                <w:color w:val="auto"/>
                <w:sz w:val="24"/>
                <w:szCs w:val="24"/>
                <w:highlight w:val="none"/>
              </w:rPr>
              <w:t>支付，</w:t>
            </w:r>
            <w:r>
              <w:rPr>
                <w:rFonts w:hint="eastAsia" w:ascii="仿宋" w:hAnsi="仿宋" w:eastAsia="仿宋" w:cs="仿宋"/>
                <w:bCs/>
                <w:color w:val="auto"/>
                <w:sz w:val="24"/>
                <w:szCs w:val="24"/>
                <w:highlight w:val="none"/>
                <w:lang w:eastAsia="zh-CN"/>
              </w:rPr>
              <w:t>按中标价：（100万以下按1.5</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lang w:eastAsia="zh-CN"/>
              </w:rPr>
              <w:t>%计取、100-500万按1.1</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%计取、500-1000万按0.</w:t>
            </w:r>
            <w:r>
              <w:rPr>
                <w:rFonts w:hint="eastAsia" w:ascii="仿宋" w:hAnsi="仿宋" w:eastAsia="仿宋" w:cs="仿宋"/>
                <w:bCs/>
                <w:color w:val="auto"/>
                <w:sz w:val="24"/>
                <w:szCs w:val="24"/>
                <w:highlight w:val="none"/>
                <w:lang w:val="en-US" w:eastAsia="zh-CN"/>
              </w:rPr>
              <w:t>93</w:t>
            </w:r>
            <w:r>
              <w:rPr>
                <w:rFonts w:hint="eastAsia" w:ascii="仿宋" w:hAnsi="仿宋" w:eastAsia="仿宋" w:cs="仿宋"/>
                <w:bCs/>
                <w:color w:val="auto"/>
                <w:sz w:val="24"/>
                <w:szCs w:val="24"/>
                <w:highlight w:val="none"/>
                <w:lang w:eastAsia="zh-CN"/>
              </w:rPr>
              <w:t>%计取、1000-5000万按0.</w:t>
            </w:r>
            <w:r>
              <w:rPr>
                <w:rFonts w:hint="eastAsia" w:ascii="仿宋" w:hAnsi="仿宋" w:eastAsia="仿宋" w:cs="仿宋"/>
                <w:bCs/>
                <w:color w:val="auto"/>
                <w:sz w:val="24"/>
                <w:szCs w:val="24"/>
                <w:highlight w:val="none"/>
                <w:lang w:val="en-US" w:eastAsia="zh-CN"/>
              </w:rPr>
              <w:t>61</w:t>
            </w:r>
            <w:r>
              <w:rPr>
                <w:rFonts w:hint="eastAsia" w:ascii="仿宋" w:hAnsi="仿宋" w:eastAsia="仿宋" w:cs="仿宋"/>
                <w:bCs/>
                <w:color w:val="auto"/>
                <w:sz w:val="24"/>
                <w:szCs w:val="24"/>
                <w:highlight w:val="none"/>
                <w:lang w:eastAsia="zh-CN"/>
              </w:rPr>
              <w:t>%计取，按差额定率累进法计算）。</w:t>
            </w:r>
          </w:p>
          <w:p w14:paraId="287BABF1">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中标企业在领取中标通知书时一次性足额支付。</w:t>
            </w:r>
          </w:p>
        </w:tc>
      </w:tr>
      <w:tr w14:paraId="4433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38" w:type="dxa"/>
            <w:vAlign w:val="center"/>
          </w:tcPr>
          <w:p w14:paraId="7C1A8041">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27</w:t>
            </w:r>
          </w:p>
        </w:tc>
        <w:tc>
          <w:tcPr>
            <w:tcW w:w="1947" w:type="dxa"/>
            <w:vAlign w:val="center"/>
          </w:tcPr>
          <w:p w14:paraId="5E8AE990">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本项目评标办法</w:t>
            </w:r>
          </w:p>
        </w:tc>
        <w:tc>
          <w:tcPr>
            <w:tcW w:w="6960" w:type="dxa"/>
            <w:vAlign w:val="center"/>
          </w:tcPr>
          <w:p w14:paraId="330840D9">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综合评分法</w:t>
            </w:r>
          </w:p>
        </w:tc>
      </w:tr>
      <w:tr w14:paraId="406F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8" w:type="dxa"/>
            <w:vAlign w:val="center"/>
          </w:tcPr>
          <w:p w14:paraId="38BB63D5">
            <w:pPr>
              <w:keepNext w:val="0"/>
              <w:keepLines w:val="0"/>
              <w:pageBreakBefore w:val="0"/>
              <w:kinsoku/>
              <w:wordWrap/>
              <w:overflowPunct/>
              <w:topLinePunct w:val="0"/>
              <w:autoSpaceDE/>
              <w:autoSpaceDN/>
              <w:bidi w:val="0"/>
              <w:adjustRightInd/>
              <w:snapToGrid/>
              <w:spacing w:line="240"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28</w:t>
            </w:r>
          </w:p>
        </w:tc>
        <w:tc>
          <w:tcPr>
            <w:tcW w:w="1947" w:type="dxa"/>
            <w:vAlign w:val="center"/>
          </w:tcPr>
          <w:p w14:paraId="7AB82B62">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不予退还保证金的情形</w:t>
            </w:r>
          </w:p>
        </w:tc>
        <w:tc>
          <w:tcPr>
            <w:tcW w:w="6960" w:type="dxa"/>
            <w:vAlign w:val="center"/>
          </w:tcPr>
          <w:p w14:paraId="6334434A">
            <w:pPr>
              <w:keepNext w:val="0"/>
              <w:keepLines w:val="0"/>
              <w:pageBreakBefore w:val="0"/>
              <w:kinsoku/>
              <w:wordWrap/>
              <w:overflowPunct/>
              <w:topLinePunct w:val="0"/>
              <w:autoSpaceDE/>
              <w:autoSpaceDN/>
              <w:bidi w:val="0"/>
              <w:adjustRightInd/>
              <w:snapToGrid/>
              <w:spacing w:line="240"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有下列情形之一的，保证金不予退还：</w:t>
            </w:r>
          </w:p>
          <w:p w14:paraId="66A8814B">
            <w:pPr>
              <w:keepNext w:val="0"/>
              <w:keepLines w:val="0"/>
              <w:pageBreakBefore w:val="0"/>
              <w:kinsoku/>
              <w:wordWrap/>
              <w:overflowPunct/>
              <w:topLinePunct w:val="0"/>
              <w:autoSpaceDE/>
              <w:autoSpaceDN/>
              <w:bidi w:val="0"/>
              <w:adjustRightInd/>
              <w:snapToGrid/>
              <w:spacing w:line="240"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（1）供应商在提交投标文件截止时间后撤回投标文件的；</w:t>
            </w:r>
          </w:p>
          <w:p w14:paraId="5C785EF0">
            <w:pPr>
              <w:keepNext w:val="0"/>
              <w:keepLines w:val="0"/>
              <w:pageBreakBefore w:val="0"/>
              <w:kinsoku/>
              <w:wordWrap/>
              <w:overflowPunct/>
              <w:topLinePunct w:val="0"/>
              <w:autoSpaceDE/>
              <w:autoSpaceDN/>
              <w:bidi w:val="0"/>
              <w:adjustRightInd/>
              <w:snapToGrid/>
              <w:spacing w:line="240"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（2）供应商在投标文件中提供虚假材料的；</w:t>
            </w:r>
          </w:p>
          <w:p w14:paraId="4A1ED69F">
            <w:pPr>
              <w:keepNext w:val="0"/>
              <w:keepLines w:val="0"/>
              <w:pageBreakBefore w:val="0"/>
              <w:kinsoku/>
              <w:wordWrap/>
              <w:overflowPunct/>
              <w:topLinePunct w:val="0"/>
              <w:autoSpaceDE/>
              <w:autoSpaceDN/>
              <w:bidi w:val="0"/>
              <w:adjustRightInd/>
              <w:snapToGrid/>
              <w:spacing w:line="240"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（3）除因不可抗力或招标文件认可的情形以外，成交供应商不与采购人签订合同的；</w:t>
            </w:r>
          </w:p>
          <w:p w14:paraId="403A3674">
            <w:pPr>
              <w:keepNext w:val="0"/>
              <w:keepLines w:val="0"/>
              <w:pageBreakBefore w:val="0"/>
              <w:kinsoku/>
              <w:wordWrap/>
              <w:overflowPunct/>
              <w:topLinePunct w:val="0"/>
              <w:autoSpaceDE/>
              <w:autoSpaceDN/>
              <w:bidi w:val="0"/>
              <w:adjustRightInd/>
              <w:snapToGrid/>
              <w:spacing w:line="240"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（4）供应商与采购人、其他供应商或者采购代理机构恶意串通的；</w:t>
            </w:r>
          </w:p>
          <w:p w14:paraId="51A4032D">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（5）招标文件规定的其他情形。</w:t>
            </w:r>
          </w:p>
        </w:tc>
      </w:tr>
      <w:tr w14:paraId="65B6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38" w:type="dxa"/>
            <w:vAlign w:val="center"/>
          </w:tcPr>
          <w:p w14:paraId="357179A8">
            <w:pPr>
              <w:keepNext w:val="0"/>
              <w:keepLines w:val="0"/>
              <w:pageBreakBefore w:val="0"/>
              <w:kinsoku/>
              <w:wordWrap/>
              <w:overflowPunct/>
              <w:topLinePunct w:val="0"/>
              <w:autoSpaceDE/>
              <w:autoSpaceDN/>
              <w:bidi w:val="0"/>
              <w:adjustRightInd/>
              <w:snapToGrid/>
              <w:spacing w:line="240"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29</w:t>
            </w:r>
          </w:p>
        </w:tc>
        <w:tc>
          <w:tcPr>
            <w:tcW w:w="1947" w:type="dxa"/>
            <w:vAlign w:val="center"/>
          </w:tcPr>
          <w:p w14:paraId="348D1DC6">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履约保证金</w:t>
            </w:r>
          </w:p>
        </w:tc>
        <w:tc>
          <w:tcPr>
            <w:tcW w:w="6960" w:type="dxa"/>
            <w:vAlign w:val="center"/>
          </w:tcPr>
          <w:p w14:paraId="5962B108">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default"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甲乙双方签订合同时约定缴纳金额及方式</w:t>
            </w:r>
          </w:p>
        </w:tc>
      </w:tr>
      <w:tr w14:paraId="5FC6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38" w:type="dxa"/>
            <w:vAlign w:val="center"/>
          </w:tcPr>
          <w:p w14:paraId="392C85D6">
            <w:pPr>
              <w:keepNext w:val="0"/>
              <w:keepLines w:val="0"/>
              <w:pageBreakBefore w:val="0"/>
              <w:kinsoku/>
              <w:wordWrap/>
              <w:overflowPunct/>
              <w:topLinePunct w:val="0"/>
              <w:autoSpaceDE/>
              <w:autoSpaceDN/>
              <w:bidi w:val="0"/>
              <w:adjustRightInd/>
              <w:snapToGrid/>
              <w:spacing w:line="240"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30</w:t>
            </w:r>
          </w:p>
        </w:tc>
        <w:tc>
          <w:tcPr>
            <w:tcW w:w="1947" w:type="dxa"/>
            <w:vAlign w:val="center"/>
          </w:tcPr>
          <w:p w14:paraId="3A70D6F9">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w:t>
            </w:r>
          </w:p>
          <w:p w14:paraId="346FB6BC">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政策支持</w:t>
            </w:r>
          </w:p>
        </w:tc>
        <w:tc>
          <w:tcPr>
            <w:tcW w:w="6960" w:type="dxa"/>
            <w:vAlign w:val="top"/>
          </w:tcPr>
          <w:p w14:paraId="23D84DEB">
            <w:pPr>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根据财政部、工业和信息化部印发的《政府采购促进中小企业发展管理办法》的规定，对于未预留份额专门面向中小企业的采购项目，以及预留份额项目中的非预留部分采购包，采购人、采购代理机构应当对符合规定的小微企业报价给予</w:t>
            </w:r>
            <w:r>
              <w:rPr>
                <w:rFonts w:hint="eastAsia" w:ascii="仿宋" w:hAnsi="仿宋" w:eastAsia="仿宋" w:cs="仿宋"/>
                <w:b/>
                <w:bCs w:val="0"/>
                <w:color w:val="auto"/>
                <w:kern w:val="2"/>
                <w:sz w:val="24"/>
                <w:szCs w:val="24"/>
                <w:highlight w:val="none"/>
                <w:lang w:val="en-US" w:eastAsia="zh-CN" w:bidi="ar-SA"/>
              </w:rPr>
              <w:t xml:space="preserve">10% </w:t>
            </w:r>
            <w:r>
              <w:rPr>
                <w:rFonts w:hint="eastAsia" w:ascii="仿宋" w:hAnsi="仿宋" w:eastAsia="仿宋" w:cs="仿宋"/>
                <w:b w:val="0"/>
                <w:bCs/>
                <w:color w:val="auto"/>
                <w:kern w:val="2"/>
                <w:sz w:val="24"/>
                <w:szCs w:val="24"/>
                <w:highlight w:val="none"/>
                <w:lang w:val="en-US" w:eastAsia="zh-CN" w:bidi="ar-SA"/>
              </w:rPr>
              <w:t xml:space="preserve">的扣除，用扣除后的价格参加评审。  </w:t>
            </w:r>
          </w:p>
          <w:p w14:paraId="0C02B7AC">
            <w:pPr>
              <w:spacing w:line="24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2、在政府采购活动中，监狱企业视同小型、微型企业，享受预留份额、评审中价格扣除等政府采购促进中小企业发展的政府采购政策。向监狱企业采购的金额，计入面向中小企业采购的统计数据。</w:t>
            </w:r>
          </w:p>
          <w:p w14:paraId="59CBC2D3">
            <w:pPr>
              <w:spacing w:line="24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tc>
      </w:tr>
      <w:tr w14:paraId="69E5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8" w:hRule="atLeast"/>
        </w:trPr>
        <w:tc>
          <w:tcPr>
            <w:tcW w:w="838" w:type="dxa"/>
            <w:vAlign w:val="center"/>
          </w:tcPr>
          <w:p w14:paraId="6C047EDA">
            <w:pPr>
              <w:keepNext w:val="0"/>
              <w:keepLines w:val="0"/>
              <w:pageBreakBefore w:val="0"/>
              <w:kinsoku/>
              <w:wordWrap/>
              <w:overflowPunct/>
              <w:topLinePunct w:val="0"/>
              <w:autoSpaceDE/>
              <w:autoSpaceDN/>
              <w:bidi w:val="0"/>
              <w:adjustRightInd/>
              <w:snapToGrid/>
              <w:spacing w:line="340" w:lineRule="exact"/>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w:t>
            </w:r>
          </w:p>
        </w:tc>
        <w:tc>
          <w:tcPr>
            <w:tcW w:w="1947" w:type="dxa"/>
            <w:vAlign w:val="center"/>
          </w:tcPr>
          <w:p w14:paraId="6DBBAE3D">
            <w:pPr>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补充说明</w:t>
            </w:r>
          </w:p>
        </w:tc>
        <w:tc>
          <w:tcPr>
            <w:tcW w:w="6960" w:type="dxa"/>
            <w:vAlign w:val="center"/>
          </w:tcPr>
          <w:p w14:paraId="5D802B31">
            <w:pPr>
              <w:keepNext w:val="0"/>
              <w:keepLines w:val="0"/>
              <w:pageBreakBefore w:val="0"/>
              <w:numPr>
                <w:ilvl w:val="0"/>
                <w:numId w:val="5"/>
              </w:numPr>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中小企业划型标准规定》(工信部联企业[2011]300号)，其他未列明行业。从业人员300人以下的为中小微型企业。其中，从业人员100人及以上的为中型企业;从业人员10人及以上的为小型企业;从业人员10人以下的为微型企业。中小企业以供应商填写的《中小企业声明函》（见投标文件格式）为判定标准，否则不予认定。</w:t>
            </w:r>
          </w:p>
          <w:p w14:paraId="28FDA944">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二、（1）所有投标人的报价高于采购预算额度视为无效报价（即作否决投标处理）。</w:t>
            </w:r>
          </w:p>
          <w:p w14:paraId="6B7C67F1">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14:paraId="30759B0F">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（3）更正补充公告请自行登录新疆政府采购网查看下载。</w:t>
            </w:r>
          </w:p>
          <w:p w14:paraId="7C54B97A">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（4）投标供应商制作投标文件的CA锁必须和开标解密的CA锁为同一把锁，在解密过程中因为CA锁不同而导致解密失败的，由投标供应商自行承担。</w:t>
            </w:r>
          </w:p>
          <w:p w14:paraId="5DA71A5D">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三、（1）招标文件中部分加“★”“</w:t>
            </w:r>
            <w:r>
              <w:rPr>
                <w:rFonts w:hint="eastAsia"/>
                <w:highlight w:val="none"/>
                <w:lang w:val="zh-CN" w:eastAsia="zh-CN"/>
              </w:rPr>
              <w:t>▲</w:t>
            </w:r>
            <w:r>
              <w:rPr>
                <w:rFonts w:hint="eastAsia" w:ascii="仿宋" w:hAnsi="仿宋" w:eastAsia="仿宋" w:cs="仿宋"/>
                <w:color w:val="auto"/>
                <w:sz w:val="24"/>
                <w:szCs w:val="24"/>
                <w:highlight w:val="none"/>
                <w:lang w:val="en-US" w:eastAsia="zh-CN"/>
              </w:rPr>
              <w:t>”、加粗、加下划线、废标、无效标、投标被拒绝字样的条款，为招标的实质性要求和条件，着重提醒各投标人注意，并认真查看招标文件中的每一个条款及要求，因误读招标文件而造成的后果，招标人概不负责。</w:t>
            </w:r>
          </w:p>
          <w:p w14:paraId="1623AC18">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文件中如有弄虚作假的内容，其投标文件作废（如假证书、假业绩、隐瞒不良行为记录、夸大荣誉、使用非本单位在职员工的相关证明材料及不符合招标文件规定的条款等）。在签订合同之前，招标人如发现投标人的投标文件有弄虚作假内容，招标人可拒绝与其签订合同。并将其列入政府采购黑名单库。</w:t>
            </w:r>
          </w:p>
          <w:p w14:paraId="2C332BF5">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应保证在本项目使用的任何产品和服务（包括部分使用）时，不会产生因第三方提出侵犯其专利权、商标权、著作权或其它知识产权而引起的法律和经济纠纷，如因专利权、商标权、著作权或其它知识产权而引起法律和经济纠纷，由投标人承担所有相关责任的同时不得耽误本项目供货。</w:t>
            </w:r>
          </w:p>
          <w:p w14:paraId="63471C45">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仿宋" w:hAnsi="仿宋" w:eastAsia="仿宋" w:cs="仿宋"/>
                <w:color w:val="auto"/>
                <w:sz w:val="24"/>
                <w:szCs w:val="24"/>
                <w:highlight w:val="none"/>
                <w:lang w:val="en-US" w:eastAsia="zh-CN"/>
              </w:rPr>
            </w:pPr>
          </w:p>
          <w:p w14:paraId="04A9FF03">
            <w:pPr>
              <w:pStyle w:val="23"/>
              <w:rPr>
                <w:rFonts w:hint="eastAsia"/>
                <w:color w:val="auto"/>
                <w:highlight w:val="none"/>
                <w:lang w:val="en-US" w:eastAsia="zh-CN"/>
              </w:rPr>
            </w:pPr>
          </w:p>
        </w:tc>
      </w:tr>
    </w:tbl>
    <w:p w14:paraId="513A15C5">
      <w:pPr>
        <w:spacing w:line="360" w:lineRule="auto"/>
        <w:jc w:val="center"/>
        <w:outlineLvl w:val="9"/>
        <w:rPr>
          <w:rFonts w:hint="eastAsia" w:ascii="仿宋" w:hAnsi="仿宋" w:eastAsia="仿宋" w:cs="仿宋"/>
          <w:b/>
          <w:color w:val="auto"/>
          <w:sz w:val="28"/>
          <w:szCs w:val="28"/>
          <w:highlight w:val="none"/>
        </w:rPr>
      </w:pPr>
      <w:bookmarkStart w:id="54" w:name="_Toc3877"/>
    </w:p>
    <w:bookmarkEnd w:id="54"/>
    <w:p w14:paraId="3DF8915B">
      <w:pPr>
        <w:spacing w:line="360" w:lineRule="auto"/>
        <w:jc w:val="center"/>
        <w:outlineLvl w:val="1"/>
        <w:rPr>
          <w:rFonts w:hint="eastAsia" w:ascii="仿宋" w:hAnsi="仿宋" w:eastAsia="仿宋" w:cs="仿宋"/>
          <w:b/>
          <w:color w:val="auto"/>
          <w:sz w:val="28"/>
          <w:szCs w:val="28"/>
          <w:highlight w:val="none"/>
          <w:lang w:val="en-US" w:eastAsia="zh-CN"/>
        </w:rPr>
      </w:pPr>
      <w:bookmarkStart w:id="55" w:name="_Toc13351"/>
      <w:bookmarkStart w:id="56" w:name="_Toc2805"/>
    </w:p>
    <w:p w14:paraId="226F43C1">
      <w:pPr>
        <w:spacing w:line="360" w:lineRule="auto"/>
        <w:jc w:val="center"/>
        <w:outlineLvl w:val="1"/>
        <w:rPr>
          <w:rFonts w:hint="eastAsia" w:ascii="仿宋" w:hAnsi="仿宋" w:eastAsia="仿宋" w:cs="仿宋"/>
          <w:b/>
          <w:color w:val="auto"/>
          <w:sz w:val="28"/>
          <w:szCs w:val="28"/>
          <w:highlight w:val="none"/>
          <w:lang w:val="en-US" w:eastAsia="zh-CN"/>
        </w:rPr>
      </w:pPr>
    </w:p>
    <w:p w14:paraId="7B336DBE">
      <w:pPr>
        <w:spacing w:line="360" w:lineRule="auto"/>
        <w:jc w:val="center"/>
        <w:outlineLvl w:val="1"/>
        <w:rPr>
          <w:rFonts w:hint="eastAsia" w:ascii="仿宋" w:hAnsi="仿宋" w:eastAsia="仿宋" w:cs="仿宋"/>
          <w:b/>
          <w:color w:val="auto"/>
          <w:sz w:val="28"/>
          <w:szCs w:val="28"/>
          <w:highlight w:val="none"/>
          <w:lang w:val="en-US" w:eastAsia="zh-CN"/>
        </w:rPr>
      </w:pPr>
    </w:p>
    <w:p w14:paraId="50695246">
      <w:pPr>
        <w:spacing w:line="360" w:lineRule="auto"/>
        <w:jc w:val="center"/>
        <w:outlineLvl w:val="1"/>
        <w:rPr>
          <w:rFonts w:hint="eastAsia" w:ascii="仿宋" w:hAnsi="仿宋" w:eastAsia="仿宋" w:cs="仿宋"/>
          <w:b/>
          <w:color w:val="auto"/>
          <w:sz w:val="28"/>
          <w:szCs w:val="28"/>
          <w:highlight w:val="none"/>
          <w:lang w:val="en-US" w:eastAsia="zh-CN"/>
        </w:rPr>
      </w:pPr>
    </w:p>
    <w:p w14:paraId="5C3F5392">
      <w:pPr>
        <w:spacing w:line="360" w:lineRule="auto"/>
        <w:jc w:val="center"/>
        <w:outlineLvl w:val="1"/>
        <w:rPr>
          <w:rFonts w:hint="eastAsia" w:ascii="仿宋" w:hAnsi="仿宋" w:eastAsia="仿宋" w:cs="仿宋"/>
          <w:b/>
          <w:color w:val="auto"/>
          <w:sz w:val="28"/>
          <w:szCs w:val="28"/>
          <w:highlight w:val="none"/>
          <w:lang w:val="en-US" w:eastAsia="zh-CN"/>
        </w:rPr>
      </w:pPr>
    </w:p>
    <w:p w14:paraId="2A4811F1">
      <w:pPr>
        <w:numPr>
          <w:ilvl w:val="0"/>
          <w:numId w:val="0"/>
        </w:numPr>
        <w:spacing w:line="360" w:lineRule="auto"/>
        <w:jc w:val="center"/>
        <w:outlineLvl w:val="1"/>
        <w:rPr>
          <w:rFonts w:hint="eastAsia" w:ascii="仿宋" w:hAnsi="仿宋" w:eastAsia="仿宋" w:cs="仿宋"/>
          <w:b/>
          <w:bCs w:val="0"/>
          <w:color w:val="auto"/>
          <w:sz w:val="36"/>
          <w:szCs w:val="36"/>
          <w:highlight w:val="none"/>
          <w:lang w:val="en-US" w:eastAsia="zh-CN"/>
        </w:rPr>
      </w:pPr>
      <w:r>
        <w:rPr>
          <w:rFonts w:hint="eastAsia" w:ascii="仿宋" w:hAnsi="仿宋" w:eastAsia="仿宋" w:cs="仿宋"/>
          <w:b/>
          <w:bCs w:val="0"/>
          <w:color w:val="auto"/>
          <w:sz w:val="36"/>
          <w:szCs w:val="36"/>
          <w:highlight w:val="none"/>
          <w:lang w:val="en-US" w:eastAsia="zh-CN"/>
        </w:rPr>
        <w:t>第一章   投标人</w:t>
      </w:r>
      <w:r>
        <w:rPr>
          <w:rFonts w:hint="eastAsia" w:ascii="仿宋" w:hAnsi="仿宋" w:eastAsia="仿宋" w:cs="仿宋"/>
          <w:b/>
          <w:bCs w:val="0"/>
          <w:color w:val="auto"/>
          <w:sz w:val="36"/>
          <w:szCs w:val="36"/>
          <w:highlight w:val="none"/>
        </w:rPr>
        <w:t>须知</w:t>
      </w:r>
    </w:p>
    <w:p w14:paraId="1FBC944B">
      <w:pPr>
        <w:numPr>
          <w:ilvl w:val="0"/>
          <w:numId w:val="0"/>
        </w:numPr>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 xml:space="preserve">  </w:t>
      </w:r>
      <w:bookmarkStart w:id="57" w:name="_Toc3855"/>
      <w:bookmarkStart w:id="58" w:name="_Toc20677"/>
      <w:r>
        <w:rPr>
          <w:rFonts w:hint="eastAsia" w:ascii="仿宋" w:hAnsi="仿宋" w:eastAsia="仿宋" w:cs="仿宋"/>
          <w:b/>
          <w:color w:val="auto"/>
          <w:sz w:val="28"/>
          <w:szCs w:val="28"/>
          <w:highlight w:val="none"/>
        </w:rPr>
        <w:t>总  则</w:t>
      </w:r>
      <w:bookmarkEnd w:id="57"/>
      <w:bookmarkEnd w:id="58"/>
    </w:p>
    <w:p w14:paraId="12526C7B">
      <w:pPr>
        <w:spacing w:line="360" w:lineRule="auto"/>
        <w:ind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1、适用范围</w:t>
      </w:r>
    </w:p>
    <w:p w14:paraId="173BD82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1.1本招标文件仅适用于本次招标采购中所叙述项目的货物及服务采购。</w:t>
      </w:r>
    </w:p>
    <w:p w14:paraId="49D37196">
      <w:pPr>
        <w:pStyle w:val="13"/>
        <w:rPr>
          <w:rFonts w:hint="eastAsia"/>
        </w:rPr>
      </w:pPr>
    </w:p>
    <w:p w14:paraId="302C57BB">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2、投标人资格要求：</w:t>
      </w:r>
    </w:p>
    <w:p w14:paraId="64E3DACF">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1.满足《中华人民共和国政府采购法》第二十二条规定；</w:t>
      </w:r>
    </w:p>
    <w:p w14:paraId="36F4ED5D">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w:t>
      </w:r>
    </w:p>
    <w:p w14:paraId="0843D4B8">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3.经年审合格（三证合一）的营业执照或（统一社会信用代码证书）；</w:t>
      </w:r>
    </w:p>
    <w:p w14:paraId="72447C89">
      <w:pPr>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 xml:space="preserve">    4.</w:t>
      </w:r>
      <w:r>
        <w:rPr>
          <w:rFonts w:hint="eastAsia" w:ascii="仿宋" w:hAnsi="仿宋" w:eastAsia="仿宋" w:cs="仿宋"/>
          <w:i w:val="0"/>
          <w:caps w:val="0"/>
          <w:color w:val="auto"/>
          <w:spacing w:val="0"/>
          <w:kern w:val="2"/>
          <w:sz w:val="24"/>
          <w:szCs w:val="24"/>
          <w:highlight w:val="none"/>
          <w:lang w:val="en-US" w:eastAsia="zh-CN" w:bidi="ar-SA"/>
        </w:rPr>
        <w:t>法定代表人开标应附《法定代表人身份证明书》及身份证复印件，委托代理人开标应附《法定代表人授权委托书》及身份证复印件</w:t>
      </w:r>
    </w:p>
    <w:p w14:paraId="20592CA4">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5.提供2024年度由第三方财务审计机构出具的财务审计报告（2025年新成立的公司可不提供但需提供银行出具的近三个月的资信证明）；</w:t>
      </w:r>
    </w:p>
    <w:p w14:paraId="3135B5BD">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6.提供本单位2025年2月至2025年6月社保缴费凭证，成立不足五个月的按实际提供，提供税务机关出具近五个月（2025年2月至2025年6月）的完税证明（新成立不足三个月的，按实际情况发生提供）；</w:t>
      </w:r>
    </w:p>
    <w:p w14:paraId="5953A802">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7.凡拟参加本次招标项目的投标人，如在①“信用中国”网站（www.creditchina.gov.cn）；②中国政府采购网（www.ccgp.gov.cn）；中被列入失信被执行人、重大税收违法案件当事人名单、政府采购严重违法失信行为记录名单的（尚在处罚期内的）、经营异常名录的，将拒绝其参加本次政府采购活动；（以开标现场将通过现场查询为准）； </w:t>
      </w:r>
    </w:p>
    <w:p w14:paraId="7AD0FE40">
      <w:pPr>
        <w:pStyle w:val="21"/>
        <w:pageBreakBefore w:val="0"/>
        <w:kinsoku/>
        <w:wordWrap/>
        <w:overflowPunct/>
        <w:topLinePunct w:val="0"/>
        <w:bidi w:val="0"/>
        <w:spacing w:line="33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8.企业负责人为同一人或者存在直接控股、管理关系的不同投标人，不得参加同一合同项下的政府采购活动。否则，皆取消投标资格；</w:t>
      </w:r>
    </w:p>
    <w:p w14:paraId="407875A7">
      <w:pPr>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9.提供参加政府采购活动前三年内，在经营活动中没有重大违法记录的书面声明；</w:t>
      </w:r>
    </w:p>
    <w:p w14:paraId="1F3823B3">
      <w:pPr>
        <w:spacing w:line="360" w:lineRule="auto"/>
        <w:ind w:firstLine="482" w:firstLineChars="20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3、定义</w:t>
      </w:r>
    </w:p>
    <w:p w14:paraId="4D7A6185">
      <w:pPr>
        <w:autoSpaceDE w:val="0"/>
        <w:autoSpaceDN w:val="0"/>
        <w:adjustRightInd w:val="0"/>
        <w:spacing w:line="360" w:lineRule="auto"/>
        <w:ind w:left="1092" w:leftChars="257" w:hanging="552"/>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3.1 “采购人</w:t>
      </w:r>
      <w:r>
        <w:rPr>
          <w:rFonts w:hint="eastAsia" w:ascii="仿宋" w:hAnsi="仿宋" w:eastAsia="仿宋" w:cs="仿宋"/>
          <w:color w:val="auto"/>
          <w:kern w:val="0"/>
          <w:sz w:val="24"/>
          <w:szCs w:val="24"/>
          <w:highlight w:val="none"/>
        </w:rPr>
        <w:t>”为</w:t>
      </w:r>
      <w:r>
        <w:rPr>
          <w:rFonts w:hint="eastAsia" w:ascii="仿宋" w:hAnsi="仿宋" w:eastAsia="仿宋" w:cs="仿宋"/>
          <w:color w:val="auto"/>
          <w:kern w:val="0"/>
          <w:sz w:val="24"/>
          <w:szCs w:val="24"/>
          <w:highlight w:val="none"/>
          <w:lang w:val="en-US" w:eastAsia="zh-CN"/>
        </w:rPr>
        <w:t xml:space="preserve"> 吉木乃县教育局</w:t>
      </w:r>
    </w:p>
    <w:p w14:paraId="1161F0A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“合格投标人”系指报名合格、购买了招标文件、提交了投标文件的投标人，中标后即为中标人，签订合同后即为卖方。</w:t>
      </w:r>
    </w:p>
    <w:p w14:paraId="59D5AF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“招标机构”为</w:t>
      </w:r>
      <w:r>
        <w:rPr>
          <w:rFonts w:hint="eastAsia" w:ascii="仿宋" w:hAnsi="仿宋" w:eastAsia="仿宋" w:cs="仿宋"/>
          <w:color w:val="auto"/>
          <w:sz w:val="24"/>
          <w:szCs w:val="24"/>
          <w:highlight w:val="none"/>
          <w:lang w:val="en-US" w:eastAsia="zh-CN"/>
        </w:rPr>
        <w:t xml:space="preserve"> 阿勒泰禾淼工程咨询有限公司</w:t>
      </w:r>
    </w:p>
    <w:p w14:paraId="4BE315A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“货物”系指卖方按合同要求，须向买方提供的一切产品及其它技术资料和材料。</w:t>
      </w:r>
    </w:p>
    <w:p w14:paraId="3A45079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“服务”系指合同规定卖方须承担的技术协助、本地化开发、安装、调试和交付使用后免费维护期内应履行的义务及</w:t>
      </w:r>
      <w:r>
        <w:rPr>
          <w:rFonts w:hint="eastAsia" w:ascii="仿宋" w:hAnsi="仿宋" w:eastAsia="仿宋" w:cs="仿宋"/>
          <w:color w:val="auto"/>
          <w:sz w:val="24"/>
          <w:szCs w:val="24"/>
          <w:highlight w:val="none"/>
          <w:lang w:val="en-US" w:eastAsia="zh-CN"/>
        </w:rPr>
        <w:t>质量保证</w:t>
      </w:r>
      <w:r>
        <w:rPr>
          <w:rFonts w:hint="eastAsia" w:ascii="仿宋" w:hAnsi="仿宋" w:eastAsia="仿宋" w:cs="仿宋"/>
          <w:color w:val="auto"/>
          <w:sz w:val="24"/>
          <w:szCs w:val="24"/>
          <w:highlight w:val="none"/>
        </w:rPr>
        <w:t>服务等其他类似的义务。</w:t>
      </w:r>
    </w:p>
    <w:p w14:paraId="7E4DBFF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“卖方”系指提供合同货物和服务的法人。</w:t>
      </w:r>
    </w:p>
    <w:p w14:paraId="78F4A45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 “买方”系指购买货物的单位。</w:t>
      </w:r>
    </w:p>
    <w:p w14:paraId="46E015AA">
      <w:pPr>
        <w:pStyle w:val="13"/>
        <w:rPr>
          <w:rFonts w:hint="eastAsia"/>
          <w:highlight w:val="yellow"/>
        </w:rPr>
      </w:pPr>
    </w:p>
    <w:p w14:paraId="75A80B22">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4、投标费用</w:t>
      </w:r>
    </w:p>
    <w:p w14:paraId="011E3B5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无论投标结果如何，投标人须自行承担所有与参加投标有关的全部费用。</w:t>
      </w:r>
    </w:p>
    <w:p w14:paraId="0AFD97AF">
      <w:pPr>
        <w:numPr>
          <w:ilvl w:val="0"/>
          <w:numId w:val="0"/>
        </w:numPr>
        <w:spacing w:line="360" w:lineRule="auto"/>
        <w:jc w:val="center"/>
        <w:outlineLvl w:val="2"/>
        <w:rPr>
          <w:rFonts w:hint="eastAsia" w:ascii="仿宋" w:hAnsi="仿宋" w:eastAsia="仿宋" w:cs="仿宋"/>
          <w:b/>
          <w:color w:val="auto"/>
          <w:sz w:val="28"/>
          <w:szCs w:val="28"/>
          <w:highlight w:val="none"/>
        </w:rPr>
      </w:pPr>
      <w:bookmarkStart w:id="59" w:name="_Toc29853"/>
      <w:bookmarkStart w:id="60" w:name="_Toc1575"/>
      <w:r>
        <w:rPr>
          <w:rFonts w:hint="eastAsia" w:ascii="仿宋" w:hAnsi="仿宋" w:eastAsia="仿宋" w:cs="仿宋"/>
          <w:b/>
          <w:color w:val="auto"/>
          <w:sz w:val="28"/>
          <w:szCs w:val="28"/>
          <w:highlight w:val="none"/>
          <w:lang w:eastAsia="zh-CN"/>
        </w:rPr>
        <w:t>二、</w:t>
      </w:r>
      <w:r>
        <w:rPr>
          <w:rFonts w:hint="eastAsia" w:ascii="仿宋" w:hAnsi="仿宋" w:eastAsia="仿宋" w:cs="仿宋"/>
          <w:b/>
          <w:color w:val="auto"/>
          <w:sz w:val="28"/>
          <w:szCs w:val="28"/>
          <w:highlight w:val="none"/>
        </w:rPr>
        <w:t>招标文件</w:t>
      </w:r>
      <w:bookmarkEnd w:id="59"/>
      <w:bookmarkEnd w:id="60"/>
    </w:p>
    <w:p w14:paraId="6BA5619E">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w:t>
      </w:r>
    </w:p>
    <w:p w14:paraId="253BFA1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招标文件用以阐明所招标的内容，招标投标程序及合同条款，包括：</w:t>
      </w:r>
    </w:p>
    <w:p w14:paraId="2D217C3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5.1.1  </w:t>
      </w:r>
      <w:r>
        <w:rPr>
          <w:rFonts w:hint="eastAsia" w:ascii="仿宋" w:hAnsi="仿宋" w:eastAsia="仿宋" w:cs="仿宋"/>
          <w:color w:val="auto"/>
          <w:sz w:val="24"/>
          <w:szCs w:val="24"/>
          <w:highlight w:val="none"/>
          <w:lang w:eastAsia="zh-CN"/>
        </w:rPr>
        <w:t>采购公</w:t>
      </w:r>
      <w:r>
        <w:rPr>
          <w:rFonts w:hint="eastAsia" w:ascii="仿宋" w:hAnsi="仿宋" w:eastAsia="仿宋" w:cs="仿宋"/>
          <w:color w:val="auto"/>
          <w:sz w:val="24"/>
          <w:szCs w:val="24"/>
          <w:highlight w:val="none"/>
        </w:rPr>
        <w:t>告</w:t>
      </w:r>
    </w:p>
    <w:p w14:paraId="3F73AC3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  投标人须知前附表</w:t>
      </w:r>
    </w:p>
    <w:p w14:paraId="1942C4C9">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5.1.3  </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须知</w:t>
      </w:r>
    </w:p>
    <w:p w14:paraId="6DD88BF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5.1.4  </w:t>
      </w:r>
      <w:r>
        <w:rPr>
          <w:rFonts w:hint="eastAsia" w:ascii="仿宋" w:hAnsi="仿宋" w:eastAsia="仿宋" w:cs="仿宋"/>
          <w:color w:val="auto"/>
          <w:sz w:val="24"/>
          <w:szCs w:val="24"/>
          <w:highlight w:val="none"/>
          <w:lang w:val="en-US" w:eastAsia="zh-CN"/>
        </w:rPr>
        <w:t>评标办法及标准</w:t>
      </w:r>
    </w:p>
    <w:p w14:paraId="28854B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5.1.5  </w:t>
      </w:r>
      <w:r>
        <w:rPr>
          <w:rFonts w:hint="eastAsia" w:ascii="仿宋" w:hAnsi="仿宋" w:eastAsia="仿宋" w:cs="仿宋"/>
          <w:color w:val="auto"/>
          <w:sz w:val="24"/>
          <w:szCs w:val="24"/>
          <w:highlight w:val="none"/>
          <w:lang w:val="en-US" w:eastAsia="zh-CN"/>
        </w:rPr>
        <w:t>采购需求、技术参数、规格</w:t>
      </w:r>
    </w:p>
    <w:p w14:paraId="4CB43FE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5.1.6  </w:t>
      </w:r>
      <w:r>
        <w:rPr>
          <w:rFonts w:hint="eastAsia" w:ascii="仿宋" w:hAnsi="仿宋" w:eastAsia="仿宋" w:cs="仿宋"/>
          <w:color w:val="auto"/>
          <w:sz w:val="24"/>
          <w:szCs w:val="24"/>
          <w:highlight w:val="none"/>
          <w:lang w:eastAsia="zh-CN"/>
        </w:rPr>
        <w:t>采购合同范本</w:t>
      </w:r>
    </w:p>
    <w:p w14:paraId="27303E6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5.1.7  </w:t>
      </w:r>
      <w:r>
        <w:rPr>
          <w:rFonts w:hint="eastAsia" w:ascii="仿宋" w:hAnsi="仿宋" w:eastAsia="仿宋" w:cs="仿宋"/>
          <w:color w:val="auto"/>
          <w:sz w:val="24"/>
          <w:szCs w:val="24"/>
          <w:highlight w:val="none"/>
          <w:lang w:val="en-US" w:eastAsia="zh-CN"/>
        </w:rPr>
        <w:t>投标文件内容及格式</w:t>
      </w:r>
    </w:p>
    <w:p w14:paraId="0E96B0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供应商应认真阅读招标文件中所有的事项、格式、条款和规范等要求，从而对招标文件作出实质性响应。如果没有按照招标文件要求提交全部招标响应文件或资料，没有对招标文件作出实质性响应，其风险应由供应商自行承担。</w:t>
      </w:r>
    </w:p>
    <w:p w14:paraId="3CC76A2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5.3招标文件以中文编写。</w:t>
      </w:r>
    </w:p>
    <w:p w14:paraId="5A13DE48">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w:t>
      </w:r>
    </w:p>
    <w:p w14:paraId="4D74D43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供应商对招标文件有疑问的，可以向招标代理机构提出询问，招标代理机构将及时做出答复；</w:t>
      </w:r>
    </w:p>
    <w:p w14:paraId="00EB67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6.2供应商对招标文件有质疑，须在招标响应文件递交截止时间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日以前，以书面形式向招标机构提出质疑；招标机构在收到书面质疑后尽快做出答复，并以书面形式通知质疑供应商。</w:t>
      </w:r>
    </w:p>
    <w:p w14:paraId="7C3334EA">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7、招标文件的修改</w:t>
      </w:r>
    </w:p>
    <w:p w14:paraId="5835262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对招标文件进行必要的修改，招标代理机构将在投标截止时间</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日前以书面形式通知所有购买招标文件的供应商。该修改的内容为招标文件的组成部分；</w:t>
      </w:r>
    </w:p>
    <w:p w14:paraId="1DA667A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供应商在规定的时间内未对招标文件提出澄清要求的，招标代理机构将视其为同意。</w:t>
      </w:r>
    </w:p>
    <w:p w14:paraId="622A399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在投标截止时间前，招标机构可视具体情况延长招标截止时间，并将变更时间书面通知所有购买招标文件的供应商。</w:t>
      </w:r>
    </w:p>
    <w:p w14:paraId="0D246686">
      <w:pPr>
        <w:pStyle w:val="88"/>
        <w:spacing w:line="360" w:lineRule="auto"/>
        <w:rPr>
          <w:rFonts w:hint="eastAsia" w:ascii="仿宋" w:hAnsi="仿宋" w:eastAsia="仿宋" w:cs="仿宋"/>
          <w:color w:val="auto"/>
          <w:sz w:val="28"/>
          <w:szCs w:val="28"/>
          <w:highlight w:val="none"/>
        </w:rPr>
      </w:pPr>
    </w:p>
    <w:p w14:paraId="458DE0B7">
      <w:pPr>
        <w:spacing w:line="360" w:lineRule="auto"/>
        <w:ind w:firstLine="562" w:firstLineChars="200"/>
        <w:jc w:val="center"/>
        <w:outlineLvl w:val="2"/>
        <w:rPr>
          <w:rFonts w:hint="eastAsia" w:ascii="仿宋" w:hAnsi="仿宋" w:eastAsia="仿宋" w:cs="仿宋"/>
          <w:b/>
          <w:bCs/>
          <w:color w:val="auto"/>
          <w:sz w:val="28"/>
          <w:szCs w:val="28"/>
          <w:highlight w:val="none"/>
        </w:rPr>
      </w:pPr>
      <w:bookmarkStart w:id="61" w:name="_Toc24935"/>
      <w:bookmarkStart w:id="62" w:name="_Toc4675"/>
      <w:r>
        <w:rPr>
          <w:rFonts w:hint="eastAsia" w:ascii="仿宋" w:hAnsi="仿宋" w:eastAsia="仿宋" w:cs="仿宋"/>
          <w:b/>
          <w:bCs/>
          <w:color w:val="auto"/>
          <w:sz w:val="28"/>
          <w:szCs w:val="28"/>
          <w:highlight w:val="none"/>
        </w:rPr>
        <w:t>三、投标文件的编写</w:t>
      </w:r>
      <w:bookmarkEnd w:id="61"/>
      <w:bookmarkEnd w:id="62"/>
    </w:p>
    <w:p w14:paraId="225524D9">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8．要求</w:t>
      </w:r>
    </w:p>
    <w:p w14:paraId="1DD7D56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8.1 供应商应仔细阅读招标文件的所有内容，按招标文件的要求提供招标响应文件，并保证所提供的全部资料的真实性，以使其招标响应对招标文件作出实质性响应，否则，其招标可能被拒绝。</w:t>
      </w:r>
    </w:p>
    <w:p w14:paraId="7B4D8DAB">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9．招标语言</w:t>
      </w:r>
    </w:p>
    <w:p w14:paraId="245033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投标人的投标文件以及投标人与招标机构就有关招标活动的所有来往函电均应使用中文。如果投标文件或与投标有关的其它文件、信件及来往函电以其他语言书写，投标人应将其译成中文。</w:t>
      </w:r>
    </w:p>
    <w:p w14:paraId="5BAC47ED">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9.2投标文件中使用的计量单位除招标文件中有特殊规定外，一律使用法定计量单位。</w:t>
      </w:r>
    </w:p>
    <w:p w14:paraId="2CA210DC">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10、投标文件的格式 </w:t>
      </w:r>
    </w:p>
    <w:p w14:paraId="0B2B5AB1">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10.1投标人应按招标文件提供的格式及投标报价说明完整地填写所提供的产品、服务、数量及价格。</w:t>
      </w:r>
    </w:p>
    <w:p w14:paraId="79D0931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10.2如投标人认为需要对招标文件的有关内容做详细的阐述而招标文件中提供的投标文件格式又不能满足，投标人可以在投标文件相关格式后另行添加表格或文字，对招标文件的有关内容做详细的阐述。但阐述的内容不能偏离招标文件的实质性内容，且应完整、表达清晰、准确。如果阐述的内容偏离了招标文件的实质性内容，投标文件按废标处理。</w:t>
      </w:r>
    </w:p>
    <w:p w14:paraId="2ABB5901">
      <w:pPr>
        <w:numPr>
          <w:ilvl w:val="0"/>
          <w:numId w:val="6"/>
        </w:numPr>
        <w:spacing w:line="360" w:lineRule="auto"/>
        <w:ind w:left="481" w:leftChars="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投标文件由以下部分构成</w:t>
      </w:r>
    </w:p>
    <w:p w14:paraId="37BC1C0B">
      <w:pPr>
        <w:spacing w:line="360" w:lineRule="auto"/>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本项目所涉投标文件格式请详见第</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章，未给出的格式请自拟。</w:t>
      </w:r>
    </w:p>
    <w:p w14:paraId="62C74638">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投标文件由</w:t>
      </w:r>
      <w:r>
        <w:rPr>
          <w:rFonts w:hint="eastAsia" w:ascii="仿宋" w:hAnsi="仿宋" w:eastAsia="仿宋" w:cs="仿宋"/>
          <w:b/>
          <w:bCs/>
          <w:color w:val="auto"/>
          <w:sz w:val="24"/>
          <w:szCs w:val="24"/>
          <w:highlight w:val="none"/>
          <w:lang w:val="en-US" w:eastAsia="zh-CN"/>
        </w:rPr>
        <w:t>经济报价部分、</w:t>
      </w:r>
      <w:r>
        <w:rPr>
          <w:rFonts w:hint="eastAsia" w:ascii="仿宋" w:hAnsi="仿宋" w:eastAsia="仿宋" w:cs="仿宋"/>
          <w:b/>
          <w:bCs/>
          <w:color w:val="auto"/>
          <w:sz w:val="24"/>
          <w:szCs w:val="24"/>
          <w:highlight w:val="none"/>
        </w:rPr>
        <w:t>商务部分、技术部分其他部分组成主要包括</w:t>
      </w:r>
      <w:r>
        <w:rPr>
          <w:rFonts w:hint="eastAsia" w:ascii="仿宋" w:hAnsi="仿宋" w:eastAsia="仿宋" w:cs="仿宋"/>
          <w:b/>
          <w:bCs/>
          <w:color w:val="auto"/>
          <w:sz w:val="24"/>
          <w:szCs w:val="24"/>
          <w:highlight w:val="none"/>
          <w:lang w:val="en-US" w:eastAsia="zh-CN"/>
        </w:rPr>
        <w:t>：</w:t>
      </w:r>
    </w:p>
    <w:p w14:paraId="3D4FADD5">
      <w:pPr>
        <w:numPr>
          <w:ilvl w:val="0"/>
          <w:numId w:val="0"/>
        </w:numPr>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一、</w:t>
      </w:r>
      <w:r>
        <w:rPr>
          <w:rFonts w:hint="eastAsia" w:ascii="仿宋" w:hAnsi="仿宋" w:eastAsia="仿宋" w:cs="仿宋"/>
          <w:b w:val="0"/>
          <w:bCs w:val="0"/>
          <w:color w:val="auto"/>
          <w:sz w:val="24"/>
          <w:szCs w:val="24"/>
          <w:highlight w:val="none"/>
        </w:rPr>
        <w:t xml:space="preserve">投 标 </w:t>
      </w:r>
      <w:r>
        <w:rPr>
          <w:rFonts w:hint="eastAsia" w:ascii="仿宋" w:hAnsi="仿宋" w:eastAsia="仿宋" w:cs="仿宋"/>
          <w:b w:val="0"/>
          <w:bCs w:val="0"/>
          <w:color w:val="auto"/>
          <w:sz w:val="24"/>
          <w:szCs w:val="24"/>
          <w:highlight w:val="none"/>
          <w:lang w:val="en-US" w:eastAsia="zh-CN"/>
        </w:rPr>
        <w:t>函</w:t>
      </w:r>
    </w:p>
    <w:p w14:paraId="25D95877">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二、</w:t>
      </w:r>
      <w:r>
        <w:rPr>
          <w:rFonts w:hint="eastAsia" w:ascii="仿宋" w:hAnsi="仿宋" w:eastAsia="仿宋" w:cs="仿宋"/>
          <w:b w:val="0"/>
          <w:bCs w:val="0"/>
          <w:color w:val="auto"/>
          <w:sz w:val="24"/>
          <w:szCs w:val="24"/>
          <w:highlight w:val="none"/>
        </w:rPr>
        <w:t>投标文件真实性和不存在限制投标情形的声明</w:t>
      </w:r>
    </w:p>
    <w:p w14:paraId="2C89C826">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三、开标</w:t>
      </w:r>
      <w:r>
        <w:rPr>
          <w:rFonts w:hint="eastAsia" w:ascii="仿宋" w:hAnsi="仿宋" w:eastAsia="仿宋" w:cs="仿宋"/>
          <w:b w:val="0"/>
          <w:bCs w:val="0"/>
          <w:color w:val="auto"/>
          <w:sz w:val="24"/>
          <w:szCs w:val="24"/>
          <w:highlight w:val="none"/>
        </w:rPr>
        <w:t>一览表</w:t>
      </w:r>
    </w:p>
    <w:p w14:paraId="5F8DFA3E">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四</w:t>
      </w:r>
      <w:r>
        <w:rPr>
          <w:rFonts w:hint="eastAsia" w:ascii="仿宋" w:hAnsi="仿宋" w:eastAsia="仿宋" w:cs="仿宋"/>
          <w:b w:val="0"/>
          <w:bCs w:val="0"/>
          <w:color w:val="auto"/>
          <w:sz w:val="24"/>
          <w:szCs w:val="24"/>
          <w:highlight w:val="none"/>
        </w:rPr>
        <w:t>、经年审合格（三证合一）的营业执照或（统一社会信用代码证书）；</w:t>
      </w:r>
    </w:p>
    <w:p w14:paraId="2EA9302E">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五</w:t>
      </w:r>
      <w:r>
        <w:rPr>
          <w:rFonts w:hint="eastAsia" w:ascii="仿宋" w:hAnsi="仿宋" w:eastAsia="仿宋" w:cs="仿宋"/>
          <w:b w:val="0"/>
          <w:bCs w:val="0"/>
          <w:color w:val="auto"/>
          <w:sz w:val="24"/>
          <w:szCs w:val="24"/>
          <w:highlight w:val="none"/>
        </w:rPr>
        <w:t>、法定代表人身份证明、法定代表人授权委托书</w:t>
      </w:r>
    </w:p>
    <w:p w14:paraId="4BC86471">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六、2024年度由第三方财务审计机构出具的财务审计报告（2025年新成立的公司可不提供但需提供银行出具的近三个月的资信证明）；</w:t>
      </w:r>
    </w:p>
    <w:p w14:paraId="0D6A5914">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七、本单位2025年2月至2025年6月社保缴费凭证，成立不足五个月的按实际提供，提供税务机关出具近五个月（2025年2月至2025年6月）的完税证明（新成立不足五个月的，按实际情况发生提供）</w:t>
      </w:r>
    </w:p>
    <w:p w14:paraId="0A8F5283">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八、①“信用中国”网站（www.creditchina.gov.cn）；②中国政府采购网（www.ccgp.gov.cn）网站查询截图；</w:t>
      </w:r>
    </w:p>
    <w:p w14:paraId="175D4E9F">
      <w:pPr>
        <w:numPr>
          <w:ilvl w:val="0"/>
          <w:numId w:val="0"/>
        </w:numPr>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九、</w:t>
      </w:r>
      <w:r>
        <w:rPr>
          <w:rFonts w:hint="default" w:ascii="仿宋" w:hAnsi="仿宋" w:eastAsia="仿宋" w:cs="仿宋"/>
          <w:b w:val="0"/>
          <w:bCs w:val="0"/>
          <w:color w:val="auto"/>
          <w:sz w:val="24"/>
          <w:szCs w:val="24"/>
          <w:highlight w:val="none"/>
          <w:lang w:val="en-US" w:eastAsia="zh-CN"/>
        </w:rPr>
        <w:t>提供参加政府采购活动前三年内，在经营活动中没有重大违法记录的书面声明；</w:t>
      </w:r>
    </w:p>
    <w:p w14:paraId="76F3B6A9">
      <w:pPr>
        <w:numPr>
          <w:ilvl w:val="0"/>
          <w:numId w:val="0"/>
        </w:numPr>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十、投标保证金汇款凭证及保证金收据</w:t>
      </w:r>
    </w:p>
    <w:p w14:paraId="39EA981D">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十一、</w:t>
      </w:r>
      <w:r>
        <w:rPr>
          <w:rFonts w:hint="eastAsia" w:ascii="仿宋" w:hAnsi="仿宋" w:eastAsia="仿宋" w:cs="仿宋"/>
          <w:b w:val="0"/>
          <w:bCs w:val="0"/>
          <w:color w:val="auto"/>
          <w:sz w:val="24"/>
          <w:szCs w:val="24"/>
          <w:highlight w:val="none"/>
        </w:rPr>
        <w:t>商务条款偏离表</w:t>
      </w:r>
    </w:p>
    <w:p w14:paraId="3AC81D00">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十二、</w:t>
      </w:r>
      <w:r>
        <w:rPr>
          <w:rFonts w:hint="eastAsia" w:ascii="仿宋" w:hAnsi="仿宋" w:eastAsia="仿宋" w:cs="仿宋"/>
          <w:b w:val="0"/>
          <w:bCs w:val="0"/>
          <w:color w:val="auto"/>
          <w:sz w:val="24"/>
          <w:szCs w:val="24"/>
          <w:highlight w:val="none"/>
        </w:rPr>
        <w:t>投标单位（供应商）承诺书</w:t>
      </w:r>
    </w:p>
    <w:p w14:paraId="0FFCD8A9">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十三、中小企业声明函</w:t>
      </w:r>
    </w:p>
    <w:p w14:paraId="2888A5F7">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十四、商务评分证明材料（本项目核心产品成熟度）</w:t>
      </w:r>
    </w:p>
    <w:p w14:paraId="26673B37">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十五、</w:t>
      </w:r>
      <w:r>
        <w:rPr>
          <w:rFonts w:hint="eastAsia" w:ascii="仿宋" w:hAnsi="仿宋" w:eastAsia="仿宋" w:cs="仿宋"/>
          <w:b w:val="0"/>
          <w:bCs w:val="0"/>
          <w:color w:val="auto"/>
          <w:sz w:val="24"/>
          <w:szCs w:val="24"/>
          <w:highlight w:val="none"/>
        </w:rPr>
        <w:t>技术参数、功能偏离表</w:t>
      </w:r>
    </w:p>
    <w:p w14:paraId="10D1D0C6">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十六、</w:t>
      </w:r>
      <w:r>
        <w:rPr>
          <w:rFonts w:hint="eastAsia" w:ascii="仿宋" w:hAnsi="仿宋" w:eastAsia="仿宋" w:cs="仿宋"/>
          <w:b w:val="0"/>
          <w:bCs w:val="0"/>
          <w:color w:val="auto"/>
          <w:sz w:val="24"/>
          <w:szCs w:val="24"/>
          <w:highlight w:val="none"/>
        </w:rPr>
        <w:t>项目需求理解程度</w:t>
      </w:r>
    </w:p>
    <w:p w14:paraId="71F86D83">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十七、</w:t>
      </w:r>
      <w:r>
        <w:rPr>
          <w:rFonts w:hint="eastAsia" w:ascii="仿宋" w:hAnsi="仿宋" w:eastAsia="仿宋" w:cs="仿宋"/>
          <w:b w:val="0"/>
          <w:bCs w:val="0"/>
          <w:color w:val="auto"/>
          <w:sz w:val="24"/>
          <w:szCs w:val="24"/>
          <w:highlight w:val="none"/>
        </w:rPr>
        <w:t>售后服务方案及应急预案</w:t>
      </w:r>
    </w:p>
    <w:p w14:paraId="2DC2E874">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十八、培训方案</w:t>
      </w:r>
    </w:p>
    <w:p w14:paraId="1D28B9AD">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十九、节能、环保产品证明（如有）</w:t>
      </w:r>
    </w:p>
    <w:p w14:paraId="0721B719">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二十、投标人认为需要提供的其他资料</w:t>
      </w:r>
    </w:p>
    <w:p w14:paraId="384E9196">
      <w:pPr>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rPr>
        <w:t>注：电子投标文件按政采云平台供应商电子招投标操作指南。建议根据招标文件合格供应商的资格要求、投标文件的编制及</w:t>
      </w:r>
      <w:r>
        <w:rPr>
          <w:rFonts w:hint="eastAsia" w:ascii="仿宋" w:hAnsi="仿宋" w:eastAsia="仿宋" w:cs="仿宋"/>
          <w:b/>
          <w:bCs/>
          <w:color w:val="auto"/>
          <w:sz w:val="24"/>
          <w:szCs w:val="24"/>
          <w:highlight w:val="none"/>
          <w:lang w:val="en-US" w:eastAsia="zh-CN"/>
        </w:rPr>
        <w:t>资格评审、响应性评审</w:t>
      </w:r>
      <w:r>
        <w:rPr>
          <w:rFonts w:hint="eastAsia" w:ascii="仿宋" w:hAnsi="仿宋" w:eastAsia="仿宋" w:cs="仿宋"/>
          <w:b/>
          <w:bCs/>
          <w:color w:val="auto"/>
          <w:sz w:val="24"/>
          <w:szCs w:val="24"/>
          <w:highlight w:val="none"/>
        </w:rPr>
        <w:t>等内容一一关联投标文件按统一格式、顺序编写。</w:t>
      </w:r>
    </w:p>
    <w:p w14:paraId="22AF082F">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12、投标报价</w:t>
      </w:r>
    </w:p>
    <w:p w14:paraId="2126397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报价方应在招标报价表上标明单价和总价。单价和总价要相符。价格不一致时，根据《中华人民共和国财政部令第87号--政府采购货物和服务招标投标管理办法》第五十九条投标文件报价出现前后不一致的，除招标文件另有规定外，按照下列规定修正：</w:t>
      </w:r>
    </w:p>
    <w:p w14:paraId="21CD9A3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14:paraId="0E42711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（二）大写金额和小写金额不一致的，以大写金额为准；</w:t>
      </w:r>
    </w:p>
    <w:p w14:paraId="04699E8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（三）单价金额小数点或者百分比有明显错位的，以开标一览表的总价为准，并修改单价；</w:t>
      </w:r>
    </w:p>
    <w:p w14:paraId="0BCB3CB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（四）总价金额与单价汇总金额不一致的，以单价金额计算结果为准。</w:t>
      </w:r>
    </w:p>
    <w:p w14:paraId="68CB11F1">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12.2 供应商应在投标报价表中标明其提供的所有货物及其相关工作范围内所在费用的总价，不接受有任何选择性招标报价。</w:t>
      </w:r>
    </w:p>
    <w:p w14:paraId="2D96555E">
      <w:pPr>
        <w:pStyle w:val="21"/>
        <w:tabs>
          <w:tab w:val="left" w:pos="9214"/>
        </w:tabs>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12.3</w:t>
      </w:r>
      <w:r>
        <w:rPr>
          <w:rFonts w:hint="eastAsia" w:ascii="仿宋" w:hAnsi="仿宋" w:eastAsia="仿宋" w:cs="仿宋"/>
          <w:color w:val="auto"/>
          <w:sz w:val="24"/>
          <w:szCs w:val="24"/>
          <w:highlight w:val="none"/>
        </w:rPr>
        <w:t>报价时应对下列几点特别注明：</w:t>
      </w:r>
    </w:p>
    <w:p w14:paraId="63FD3F48">
      <w:pPr>
        <w:pStyle w:val="21"/>
        <w:tabs>
          <w:tab w:val="left" w:pos="9214"/>
        </w:tabs>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12.3.1招标文件中特别要求的备品备件、易损件和专用工具的费用；</w:t>
      </w:r>
    </w:p>
    <w:p w14:paraId="13D8D65A">
      <w:pPr>
        <w:pStyle w:val="21"/>
        <w:tabs>
          <w:tab w:val="left" w:pos="9214"/>
        </w:tabs>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12.3.2招标文件中特别要求的</w:t>
      </w:r>
      <w:r>
        <w:rPr>
          <w:rFonts w:hint="eastAsia" w:ascii="仿宋" w:hAnsi="仿宋" w:eastAsia="仿宋" w:cs="仿宋"/>
          <w:color w:val="auto"/>
          <w:sz w:val="24"/>
          <w:szCs w:val="24"/>
          <w:highlight w:val="none"/>
          <w:lang w:eastAsia="zh-CN"/>
        </w:rPr>
        <w:t>货物的采购、供应、安装、运输</w:t>
      </w:r>
      <w:r>
        <w:rPr>
          <w:rFonts w:hint="eastAsia" w:ascii="仿宋" w:hAnsi="仿宋" w:eastAsia="仿宋" w:cs="仿宋"/>
          <w:color w:val="auto"/>
          <w:sz w:val="24"/>
          <w:szCs w:val="24"/>
          <w:highlight w:val="none"/>
          <w:lang w:val="en-US" w:eastAsia="zh-CN"/>
        </w:rPr>
        <w:t>装卸费</w:t>
      </w:r>
      <w:r>
        <w:rPr>
          <w:rFonts w:hint="eastAsia" w:ascii="仿宋" w:hAnsi="仿宋" w:eastAsia="仿宋" w:cs="仿宋"/>
          <w:color w:val="auto"/>
          <w:sz w:val="24"/>
          <w:szCs w:val="24"/>
          <w:highlight w:val="none"/>
          <w:lang w:eastAsia="zh-CN"/>
        </w:rPr>
        <w:t>、保险费、税费和相关售后服务</w:t>
      </w:r>
      <w:r>
        <w:rPr>
          <w:rFonts w:hint="eastAsia" w:ascii="仿宋" w:hAnsi="仿宋" w:eastAsia="仿宋" w:cs="仿宋"/>
          <w:color w:val="auto"/>
          <w:sz w:val="24"/>
          <w:szCs w:val="24"/>
          <w:highlight w:val="none"/>
        </w:rPr>
        <w:t>等费用及其它附带服务的全部费用；</w:t>
      </w:r>
    </w:p>
    <w:p w14:paraId="50EB0D7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12.3.3国内供货人提供在中华人民共和国制造的，或已在中华人民共和国境内的国外产地的已经</w:t>
      </w:r>
      <w:r>
        <w:rPr>
          <w:rStyle w:val="121"/>
          <w:rFonts w:hint="eastAsia" w:ascii="仿宋" w:hAnsi="仿宋" w:eastAsia="仿宋" w:cs="仿宋"/>
          <w:color w:val="auto"/>
          <w:sz w:val="24"/>
          <w:szCs w:val="24"/>
          <w:highlight w:val="none"/>
        </w:rPr>
        <w:t>进口的货物的国内投标，其货物的交货价，包括制造、组装该货物所使用的零部件及原材料已付的全部关税、销售税和其他税（其关税和其他税不分别填写，计入货价内即可）。</w:t>
      </w:r>
    </w:p>
    <w:p w14:paraId="635C402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算术性修正。算术性修正是指对招标响应文件的报价明细进行校核，并对其算术上和运算上的差错给予修正。修正的原则如下：</w:t>
      </w:r>
    </w:p>
    <w:p w14:paraId="67AE415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当以数字表示的金额与文字表示的金额有差异时，以文字表示的金额为准；</w:t>
      </w:r>
    </w:p>
    <w:p w14:paraId="4C79819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当单价与数量相乘不等于合价时，以单价计算为准。如果单价有明显的小数点位置差错，应以标出的合价为准，同时对单价予以修正；</w:t>
      </w:r>
    </w:p>
    <w:p w14:paraId="749FC85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12.4.3 当各明细部分的价格累计不等于合价时，应以各明细的累计计数为准，修正合价。</w:t>
      </w:r>
    </w:p>
    <w:p w14:paraId="32D5B3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12.4.4 按以上原则对算术性差错修正，应取得供应商的同意，并确认修正后最终招标报价。如果供应商拒绝确认，则其招标响应文件将不予以评审并按废标处理，没收其投标担保。</w:t>
      </w:r>
    </w:p>
    <w:p w14:paraId="585B6CAF">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13、投标人应逐条详细阅读招标文件有关要求，表明所提供的服务是否对招标文件做出实质性响应。</w:t>
      </w:r>
    </w:p>
    <w:p w14:paraId="03318BEC">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14、投标有效期</w:t>
      </w:r>
    </w:p>
    <w:p w14:paraId="395221C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投标</w:t>
      </w:r>
      <w:r>
        <w:rPr>
          <w:rFonts w:hint="eastAsia" w:ascii="仿宋" w:hAnsi="仿宋" w:eastAsia="仿宋" w:cs="仿宋"/>
          <w:color w:val="auto"/>
          <w:sz w:val="24"/>
          <w:szCs w:val="24"/>
          <w:highlight w:val="none"/>
          <w:lang w:eastAsia="zh-CN"/>
        </w:rPr>
        <w:t>有效期</w:t>
      </w:r>
      <w:r>
        <w:rPr>
          <w:rFonts w:hint="eastAsia" w:ascii="仿宋" w:hAnsi="仿宋" w:eastAsia="仿宋" w:cs="仿宋"/>
          <w:color w:val="auto"/>
          <w:sz w:val="24"/>
          <w:szCs w:val="24"/>
          <w:highlight w:val="none"/>
        </w:rPr>
        <w:t xml:space="preserve">从实际开标之日起 </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天内有效。有效期不足的投标文件将被拒绝。</w:t>
      </w:r>
    </w:p>
    <w:p w14:paraId="0DEDB16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如遇特殊情况，在原投标有效期届满之前，招标人可与投标人协商延长投标有效期，并经投标人确认。</w:t>
      </w:r>
    </w:p>
    <w:p w14:paraId="6646787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14.3投标人可拒绝接受延期要求而不会导致投标保证金被没收。同意延长有效期的投标人需要相应延长投标保证金的有效期，但不能修改投标文件。 </w:t>
      </w:r>
    </w:p>
    <w:p w14:paraId="6CE6240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14.4中标人的投标文件自开标之日起至合同履行完毕止均应保持有效。</w:t>
      </w:r>
    </w:p>
    <w:p w14:paraId="71700594">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15、投标文件的签署、递交、准备和解密时间要求</w:t>
      </w:r>
    </w:p>
    <w:p w14:paraId="0A548A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15.1投标人应按本招标文件规定的格式和顺序编制、装订投标文件并标注页码，投标文件内容不完整、编排混乱导致投标文件被误读、漏读或者查找不到相关内容的，是投标人的责任。</w:t>
      </w:r>
    </w:p>
    <w:p w14:paraId="35B7DE54">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15.2投标人应于</w:t>
      </w:r>
      <w:r>
        <w:rPr>
          <w:rFonts w:hint="eastAsia" w:ascii="仿宋" w:hAnsi="仿宋" w:eastAsia="仿宋" w:cs="仿宋"/>
          <w:b/>
          <w:bCs/>
          <w:color w:val="auto"/>
          <w:sz w:val="24"/>
          <w:szCs w:val="24"/>
          <w:highlight w:val="none"/>
          <w:lang w:val="en-US" w:eastAsia="zh-CN"/>
        </w:rPr>
        <w:t>2025年07月16日</w:t>
      </w:r>
      <w:r>
        <w:rPr>
          <w:rFonts w:hint="eastAsia" w:ascii="仿宋" w:hAnsi="仿宋" w:eastAsia="仿宋" w:cs="仿宋"/>
          <w:b/>
          <w:bCs/>
          <w:color w:val="auto"/>
          <w:sz w:val="24"/>
          <w:szCs w:val="24"/>
          <w:highlight w:val="none"/>
          <w:lang w:eastAsia="zh-CN"/>
        </w:rPr>
        <w:t>11:00时整</w:t>
      </w:r>
      <w:r>
        <w:rPr>
          <w:rFonts w:hint="eastAsia" w:ascii="仿宋" w:hAnsi="仿宋" w:eastAsia="仿宋" w:cs="仿宋"/>
          <w:b/>
          <w:bCs/>
          <w:color w:val="auto"/>
          <w:sz w:val="24"/>
          <w:szCs w:val="24"/>
          <w:highlight w:val="none"/>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w:t>
      </w:r>
      <w:r>
        <w:rPr>
          <w:rFonts w:hint="eastAsia" w:ascii="仿宋" w:hAnsi="仿宋" w:eastAsia="仿宋" w:cs="仿宋"/>
          <w:b/>
          <w:bCs/>
          <w:color w:val="auto"/>
          <w:sz w:val="24"/>
          <w:szCs w:val="24"/>
          <w:highlight w:val="none"/>
          <w:lang w:eastAsia="zh-CN"/>
        </w:rPr>
        <w:t>95763</w:t>
      </w:r>
      <w:r>
        <w:rPr>
          <w:rFonts w:hint="eastAsia" w:ascii="仿宋" w:hAnsi="仿宋" w:eastAsia="仿宋" w:cs="仿宋"/>
          <w:b/>
          <w:bCs/>
          <w:color w:val="auto"/>
          <w:sz w:val="24"/>
          <w:szCs w:val="24"/>
          <w:highlight w:val="none"/>
        </w:rPr>
        <w:t>。</w:t>
      </w:r>
    </w:p>
    <w:p w14:paraId="552758A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15.3投标文件须由投标人在规定位置盖章并由法定代表人或法定代表人的授权委托人签署，投标人应写全称。</w:t>
      </w:r>
    </w:p>
    <w:p w14:paraId="7E91B3F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15.4投标文件不得涂改，若有修改错漏处，须加盖单位公章或者法定代表人或授权委托人签字或盖章。投标文件因字迹潦草或表达不清所引起的后果由投标人负责。</w:t>
      </w:r>
    </w:p>
    <w:p w14:paraId="03C79FB5">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15.5</w:t>
      </w:r>
      <w:r>
        <w:rPr>
          <w:rFonts w:hint="eastAsia" w:ascii="仿宋" w:hAnsi="仿宋" w:eastAsia="仿宋" w:cs="仿宋"/>
          <w:b/>
          <w:bCs/>
          <w:color w:val="auto"/>
          <w:sz w:val="24"/>
          <w:szCs w:val="24"/>
          <w:highlight w:val="none"/>
        </w:rPr>
        <w:t xml:space="preserve">、本项目实行网上投标，采用电子投标文件。若供应商参与投标，自行承担投标一切费用。 </w:t>
      </w:r>
    </w:p>
    <w:p w14:paraId="6F5515FD">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15.6</w:t>
      </w:r>
      <w:r>
        <w:rPr>
          <w:rFonts w:hint="eastAsia" w:ascii="仿宋" w:hAnsi="仿宋" w:eastAsia="仿宋" w:cs="仿宋"/>
          <w:b/>
          <w:bCs/>
          <w:color w:val="auto"/>
          <w:sz w:val="24"/>
          <w:szCs w:val="24"/>
          <w:highlight w:val="none"/>
        </w:rPr>
        <w:t xml:space="preserve">、各供应商应在开标前应确保成为新疆维吾尔自治区政府采购网正式注册入库供应商，并完成CA数字证书申领。因未注册入库、未办理CA数字证书等原因造成无法投标或投标失败等后果由供应商自行承担。 </w:t>
      </w:r>
    </w:p>
    <w:p w14:paraId="4ED5744C">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15.7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5EB0199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15.8</w:t>
      </w:r>
      <w:r>
        <w:rPr>
          <w:rFonts w:hint="eastAsia" w:ascii="仿宋" w:hAnsi="仿宋" w:eastAsia="仿宋" w:cs="仿宋"/>
          <w:b/>
          <w:bCs/>
          <w:color w:val="auto"/>
          <w:sz w:val="24"/>
          <w:szCs w:val="24"/>
          <w:highlight w:val="none"/>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b/>
          <w:bCs/>
          <w:color w:val="auto"/>
          <w:sz w:val="24"/>
          <w:szCs w:val="24"/>
          <w:highlight w:val="none"/>
          <w:lang w:eastAsia="zh-CN"/>
        </w:rPr>
        <w:t>95763</w:t>
      </w:r>
      <w:r>
        <w:rPr>
          <w:rFonts w:hint="eastAsia" w:ascii="仿宋" w:hAnsi="仿宋" w:eastAsia="仿宋" w:cs="仿宋"/>
          <w:b/>
          <w:bCs/>
          <w:color w:val="auto"/>
          <w:sz w:val="24"/>
          <w:szCs w:val="24"/>
          <w:highlight w:val="none"/>
        </w:rPr>
        <w:t>进行咨询。</w:t>
      </w:r>
    </w:p>
    <w:p w14:paraId="0325AC5F">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15.9开标时间后</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分钟内（</w:t>
      </w:r>
      <w:r>
        <w:rPr>
          <w:rFonts w:hint="eastAsia" w:ascii="仿宋" w:hAnsi="仿宋" w:eastAsia="仿宋" w:cs="仿宋"/>
          <w:b/>
          <w:bCs/>
          <w:color w:val="auto"/>
          <w:sz w:val="24"/>
          <w:szCs w:val="24"/>
          <w:highlight w:val="none"/>
          <w:lang w:val="en-US" w:eastAsia="zh-CN"/>
        </w:rPr>
        <w:t>2025年07月16日</w:t>
      </w:r>
      <w:r>
        <w:rPr>
          <w:rFonts w:hint="eastAsia" w:ascii="仿宋" w:hAnsi="仿宋" w:eastAsia="仿宋" w:cs="仿宋"/>
          <w:b/>
          <w:bCs/>
          <w:color w:val="auto"/>
          <w:sz w:val="24"/>
          <w:szCs w:val="24"/>
          <w:highlight w:val="none"/>
          <w:lang w:eastAsia="zh-CN"/>
        </w:rPr>
        <w:t>上午</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前）供应商可以登录“政采云”平台，用“项目采购-开标评标”功能进行解密投标文件。若供应商在规定时间内（</w:t>
      </w:r>
      <w:r>
        <w:rPr>
          <w:rFonts w:hint="eastAsia" w:ascii="仿宋" w:hAnsi="仿宋" w:eastAsia="仿宋" w:cs="仿宋"/>
          <w:b/>
          <w:bCs/>
          <w:color w:val="auto"/>
          <w:sz w:val="24"/>
          <w:szCs w:val="24"/>
          <w:highlight w:val="none"/>
          <w:lang w:val="en-US" w:eastAsia="zh-CN"/>
        </w:rPr>
        <w:t>2025年07月16日上午11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前）未按时解密的，视为投标文件撤回。</w:t>
      </w:r>
    </w:p>
    <w:p w14:paraId="0F563563">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16、投标保证金</w:t>
      </w:r>
    </w:p>
    <w:p w14:paraId="7289FF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投标保证金数额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color w:val="auto"/>
          <w:sz w:val="24"/>
          <w:szCs w:val="24"/>
          <w:highlight w:val="none"/>
          <w:u w:val="single"/>
        </w:rPr>
        <w:t>详见投标人须知前附表第</w:t>
      </w:r>
      <w:r>
        <w:rPr>
          <w:rFonts w:hint="eastAsia" w:ascii="仿宋" w:hAnsi="仿宋" w:eastAsia="仿宋" w:cs="仿宋"/>
          <w:b/>
          <w:color w:val="auto"/>
          <w:sz w:val="24"/>
          <w:szCs w:val="24"/>
          <w:highlight w:val="none"/>
          <w:u w:val="single"/>
          <w:lang w:val="en-US" w:eastAsia="zh-CN"/>
        </w:rPr>
        <w:t>8</w:t>
      </w:r>
      <w:r>
        <w:rPr>
          <w:rFonts w:hint="eastAsia" w:ascii="仿宋" w:hAnsi="仿宋" w:eastAsia="仿宋" w:cs="仿宋"/>
          <w:b/>
          <w:color w:val="auto"/>
          <w:sz w:val="24"/>
          <w:szCs w:val="24"/>
          <w:highlight w:val="none"/>
          <w:u w:val="single"/>
        </w:rPr>
        <w:t>条。</w:t>
      </w:r>
    </w:p>
    <w:p w14:paraId="27809CF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投标保证金用于应对本次招标因投标人违规、违约而产生的风险。</w:t>
      </w:r>
    </w:p>
    <w:p w14:paraId="52C9AB9D">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16.3 投标人必须于投标截止时间之前（</w:t>
      </w:r>
      <w:r>
        <w:rPr>
          <w:rFonts w:hint="eastAsia" w:ascii="仿宋" w:hAnsi="仿宋" w:eastAsia="仿宋" w:cs="仿宋"/>
          <w:b/>
          <w:color w:val="auto"/>
          <w:sz w:val="24"/>
          <w:szCs w:val="24"/>
          <w:highlight w:val="none"/>
          <w:u w:val="single"/>
        </w:rPr>
        <w:t>详见投标人须知前附表第</w:t>
      </w:r>
      <w:r>
        <w:rPr>
          <w:rFonts w:hint="eastAsia" w:ascii="仿宋" w:hAnsi="仿宋" w:eastAsia="仿宋" w:cs="仿宋"/>
          <w:b/>
          <w:color w:val="auto"/>
          <w:sz w:val="24"/>
          <w:szCs w:val="24"/>
          <w:highlight w:val="none"/>
          <w:u w:val="single"/>
          <w:lang w:val="en-US" w:eastAsia="zh-CN"/>
        </w:rPr>
        <w:t>8</w:t>
      </w:r>
      <w:r>
        <w:rPr>
          <w:rFonts w:hint="eastAsia" w:ascii="仿宋" w:hAnsi="仿宋" w:eastAsia="仿宋" w:cs="仿宋"/>
          <w:b/>
          <w:color w:val="auto"/>
          <w:sz w:val="24"/>
          <w:szCs w:val="24"/>
          <w:highlight w:val="none"/>
          <w:u w:val="single"/>
        </w:rPr>
        <w:t>条规定）</w:t>
      </w:r>
      <w:r>
        <w:rPr>
          <w:rFonts w:hint="eastAsia" w:ascii="仿宋" w:hAnsi="仿宋" w:eastAsia="仿宋" w:cs="仿宋"/>
          <w:color w:val="auto"/>
          <w:sz w:val="24"/>
          <w:szCs w:val="24"/>
          <w:highlight w:val="none"/>
        </w:rPr>
        <w:t>按将投标保证金交纳至规定的帐号，对未按要求提交投标保证金的投标书，招标机构将视为不响应投标予以拒绝。</w:t>
      </w:r>
    </w:p>
    <w:p w14:paraId="2655334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16.4 投标保证金应以基本账户对公转账</w:t>
      </w:r>
      <w:r>
        <w:rPr>
          <w:rFonts w:hint="eastAsia" w:ascii="仿宋" w:hAnsi="仿宋" w:eastAsia="仿宋" w:cs="仿宋"/>
          <w:color w:val="auto"/>
          <w:sz w:val="24"/>
          <w:szCs w:val="24"/>
          <w:highlight w:val="none"/>
          <w:lang w:eastAsia="zh-CN"/>
        </w:rPr>
        <w:t>或保函形式</w:t>
      </w:r>
      <w:r>
        <w:rPr>
          <w:rFonts w:hint="eastAsia" w:ascii="仿宋" w:hAnsi="仿宋" w:eastAsia="仿宋" w:cs="仿宋"/>
          <w:color w:val="auto"/>
          <w:sz w:val="24"/>
          <w:szCs w:val="24"/>
          <w:highlight w:val="none"/>
        </w:rPr>
        <w:t>提交。</w:t>
      </w:r>
    </w:p>
    <w:p w14:paraId="351E7E04">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16.5在招标方规定的投标有效期满之前，招标方将以书面形式 发出《中标通知书》，《中标通知书》一经发出即发生法律效力。</w:t>
      </w:r>
    </w:p>
    <w:p w14:paraId="434CF20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16.6 发生以下情况投标保证金可能被没收：</w:t>
      </w:r>
    </w:p>
    <w:p w14:paraId="6CDF1E2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16.6.1 投标人在投标有效期内撤回投标的；</w:t>
      </w:r>
    </w:p>
    <w:p w14:paraId="699FE43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16.6.2 中标人未能做到：中标后，无正当理由放弃中标资格。</w:t>
      </w:r>
    </w:p>
    <w:p w14:paraId="25474B8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16.6.3 投标人在投标过程中有违反有关法律法规行为的。</w:t>
      </w:r>
    </w:p>
    <w:p w14:paraId="715C1B01">
      <w:pPr>
        <w:numPr>
          <w:ilvl w:val="0"/>
          <w:numId w:val="0"/>
        </w:numPr>
        <w:spacing w:line="360" w:lineRule="auto"/>
        <w:jc w:val="center"/>
        <w:outlineLvl w:val="2"/>
        <w:rPr>
          <w:rFonts w:hint="eastAsia" w:ascii="仿宋" w:hAnsi="仿宋" w:eastAsia="仿宋" w:cs="仿宋"/>
          <w:b/>
          <w:color w:val="auto"/>
          <w:sz w:val="28"/>
          <w:szCs w:val="28"/>
          <w:highlight w:val="none"/>
        </w:rPr>
      </w:pPr>
      <w:bookmarkStart w:id="63" w:name="_Toc22295"/>
      <w:bookmarkStart w:id="64" w:name="_Toc22171"/>
      <w:r>
        <w:rPr>
          <w:rFonts w:hint="eastAsia" w:ascii="仿宋" w:hAnsi="仿宋" w:eastAsia="仿宋" w:cs="仿宋"/>
          <w:b/>
          <w:color w:val="auto"/>
          <w:sz w:val="28"/>
          <w:szCs w:val="28"/>
          <w:highlight w:val="none"/>
          <w:lang w:eastAsia="zh-CN"/>
        </w:rPr>
        <w:t>四、</w:t>
      </w:r>
      <w:r>
        <w:rPr>
          <w:rFonts w:hint="eastAsia" w:ascii="仿宋" w:hAnsi="仿宋" w:eastAsia="仿宋" w:cs="仿宋"/>
          <w:b/>
          <w:color w:val="auto"/>
          <w:sz w:val="28"/>
          <w:szCs w:val="28"/>
          <w:highlight w:val="none"/>
        </w:rPr>
        <w:t>投标文件的递交</w:t>
      </w:r>
      <w:bookmarkEnd w:id="63"/>
      <w:bookmarkEnd w:id="64"/>
    </w:p>
    <w:p w14:paraId="48A49BBB">
      <w:pPr>
        <w:keepNext w:val="0"/>
        <w:keepLines w:val="0"/>
        <w:pageBreakBefore w:val="0"/>
        <w:widowControl/>
        <w:kinsoku/>
        <w:wordWrap/>
        <w:overflowPunct/>
        <w:topLinePunct w:val="0"/>
        <w:bidi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17.1.投标文件的准备和解密</w:t>
      </w:r>
    </w:p>
    <w:p w14:paraId="3964E406">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17.</w:t>
      </w:r>
      <w:r>
        <w:rPr>
          <w:rFonts w:hint="eastAsia" w:ascii="仿宋" w:hAnsi="仿宋" w:eastAsia="仿宋" w:cs="仿宋"/>
          <w:b/>
          <w:bCs/>
          <w:color w:val="auto"/>
          <w:kern w:val="0"/>
          <w:sz w:val="24"/>
          <w:szCs w:val="24"/>
          <w:highlight w:val="none"/>
        </w:rPr>
        <w:t xml:space="preserve">1、本项目实行网上投标，采用电子投标文件。若供应商参与投标，自行承担投标一切费用。 </w:t>
      </w:r>
    </w:p>
    <w:p w14:paraId="51FA895C">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17.</w:t>
      </w:r>
      <w:r>
        <w:rPr>
          <w:rFonts w:hint="eastAsia" w:ascii="仿宋" w:hAnsi="仿宋" w:eastAsia="仿宋" w:cs="仿宋"/>
          <w:b/>
          <w:bCs/>
          <w:color w:val="auto"/>
          <w:kern w:val="0"/>
          <w:sz w:val="24"/>
          <w:szCs w:val="24"/>
          <w:highlight w:val="none"/>
        </w:rPr>
        <w:t xml:space="preserve">2、各供应商应在开标前应确保成为新疆维吾尔自治区政府采购网正式注册入库供应商，并完成CA数字证书申领。因未注册入库、未办理CA数字证书等原因造成无法投标或投标失败等后果由供应商自行承担。 </w:t>
      </w:r>
    </w:p>
    <w:p w14:paraId="6B6C800B">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17.</w:t>
      </w:r>
      <w:r>
        <w:rPr>
          <w:rFonts w:hint="eastAsia" w:ascii="仿宋" w:hAnsi="仿宋" w:eastAsia="仿宋" w:cs="仿宋"/>
          <w:b/>
          <w:bCs/>
          <w:color w:val="auto"/>
          <w:kern w:val="0"/>
          <w:sz w:val="24"/>
          <w:szCs w:val="24"/>
          <w:highlight w:val="none"/>
        </w:rPr>
        <w:t>3、</w:t>
      </w:r>
      <w:r>
        <w:rPr>
          <w:rFonts w:hint="eastAsia" w:ascii="仿宋" w:hAnsi="仿宋" w:eastAsia="仿宋" w:cs="仿宋"/>
          <w:b/>
          <w:bCs/>
          <w:color w:val="auto"/>
          <w:kern w:val="0"/>
          <w:sz w:val="24"/>
          <w:szCs w:val="24"/>
          <w:highlight w:val="none"/>
          <w:lang w:val="en-US" w:eastAsia="zh-CN"/>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6EFA5511">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 </w:t>
      </w:r>
      <w:r>
        <w:rPr>
          <w:rFonts w:hint="eastAsia" w:ascii="仿宋" w:hAnsi="仿宋" w:eastAsia="仿宋" w:cs="仿宋"/>
          <w:b/>
          <w:bCs/>
          <w:color w:val="auto"/>
          <w:kern w:val="0"/>
          <w:sz w:val="24"/>
          <w:szCs w:val="24"/>
          <w:highlight w:val="none"/>
          <w:lang w:val="en-US" w:eastAsia="zh-CN"/>
        </w:rPr>
        <w:t xml:space="preserve">  17.</w:t>
      </w:r>
      <w:r>
        <w:rPr>
          <w:rFonts w:hint="eastAsia" w:ascii="仿宋" w:hAnsi="仿宋" w:eastAsia="仿宋" w:cs="仿宋"/>
          <w:b/>
          <w:bCs/>
          <w:color w:val="auto"/>
          <w:kern w:val="0"/>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b/>
          <w:bCs/>
          <w:color w:val="auto"/>
          <w:kern w:val="0"/>
          <w:sz w:val="24"/>
          <w:szCs w:val="24"/>
          <w:highlight w:val="none"/>
          <w:lang w:eastAsia="zh-CN"/>
        </w:rPr>
        <w:t>95763</w:t>
      </w:r>
      <w:r>
        <w:rPr>
          <w:rFonts w:hint="eastAsia" w:ascii="仿宋" w:hAnsi="仿宋" w:eastAsia="仿宋" w:cs="仿宋"/>
          <w:b/>
          <w:bCs/>
          <w:color w:val="auto"/>
          <w:kern w:val="0"/>
          <w:sz w:val="24"/>
          <w:szCs w:val="24"/>
          <w:highlight w:val="none"/>
        </w:rPr>
        <w:t>进行咨询。</w:t>
      </w:r>
    </w:p>
    <w:p w14:paraId="6CC081F9">
      <w:pPr>
        <w:keepNext w:val="0"/>
        <w:keepLines w:val="0"/>
        <w:pageBreakBefore w:val="0"/>
        <w:widowControl/>
        <w:kinsoku/>
        <w:wordWrap/>
        <w:overflowPunct/>
        <w:topLinePunct w:val="0"/>
        <w:bidi w:val="0"/>
        <w:spacing w:line="360" w:lineRule="auto"/>
        <w:ind w:firstLine="482" w:firstLineChars="20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17.1.</w:t>
      </w:r>
      <w:r>
        <w:rPr>
          <w:rFonts w:hint="eastAsia" w:ascii="仿宋" w:hAnsi="仿宋" w:eastAsia="仿宋" w:cs="仿宋"/>
          <w:b/>
          <w:bCs/>
          <w:color w:val="auto"/>
          <w:kern w:val="0"/>
          <w:sz w:val="24"/>
          <w:szCs w:val="24"/>
          <w:highlight w:val="none"/>
          <w:lang w:val="en-US" w:eastAsia="zh-CN"/>
        </w:rPr>
        <w:t>5开标时间后30分钟内（2025年07月16日上午11:00-11：30前）供应商可以登录“政采云”平台，用“项目采购-开标评标”功能进行解密投标文件。若供应商在规定时间内（2025年07月16日上午11:30前）未按时解密的，视为投标文件撤回。</w:t>
      </w:r>
    </w:p>
    <w:p w14:paraId="64FDDCDC">
      <w:pPr>
        <w:keepNext w:val="0"/>
        <w:keepLines w:val="0"/>
        <w:pageBreakBefore w:val="0"/>
        <w:widowControl/>
        <w:kinsoku/>
        <w:wordWrap/>
        <w:overflowPunct/>
        <w:topLinePunct w:val="0"/>
        <w:bidi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17.1.</w:t>
      </w: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rPr>
        <w:t>因系统（非投标供应商行为）的原因，造成投标供应商未能在规定的解密时限内解密的，请及时与招标代理机构或与新疆政府采购网投标客户端进行联系。</w:t>
      </w:r>
    </w:p>
    <w:p w14:paraId="7504BF63">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17.1.</w:t>
      </w: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rPr>
        <w:t>投标文件未按规定上传的，视为其自动放弃投标。</w:t>
      </w:r>
    </w:p>
    <w:p w14:paraId="622BA8EA">
      <w:pPr>
        <w:keepNext w:val="0"/>
        <w:keepLines w:val="0"/>
        <w:pageBreakBefore w:val="0"/>
        <w:widowControl/>
        <w:shd w:val="clear" w:color="auto" w:fill="FFFFFF"/>
        <w:kinsoku/>
        <w:wordWrap/>
        <w:overflowPunct/>
        <w:topLinePunct w:val="0"/>
        <w:bidi w:val="0"/>
        <w:snapToGrid w:val="0"/>
        <w:spacing w:line="360" w:lineRule="auto"/>
        <w:ind w:firstLine="482"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17.2</w:t>
      </w:r>
      <w:r>
        <w:rPr>
          <w:rFonts w:hint="eastAsia" w:ascii="仿宋" w:hAnsi="仿宋" w:eastAsia="仿宋" w:cs="仿宋"/>
          <w:b/>
          <w:bCs/>
          <w:color w:val="auto"/>
          <w:kern w:val="0"/>
          <w:sz w:val="24"/>
          <w:szCs w:val="24"/>
          <w:highlight w:val="none"/>
        </w:rPr>
        <w:t xml:space="preserve">. </w:t>
      </w:r>
      <w:r>
        <w:rPr>
          <w:rFonts w:hint="eastAsia" w:ascii="仿宋" w:hAnsi="仿宋" w:eastAsia="仿宋" w:cs="仿宋"/>
          <w:b/>
          <w:color w:val="auto"/>
          <w:kern w:val="0"/>
          <w:sz w:val="24"/>
          <w:szCs w:val="24"/>
          <w:highlight w:val="none"/>
        </w:rPr>
        <w:t>投标文件的修改与撤回</w:t>
      </w:r>
    </w:p>
    <w:p w14:paraId="3AB1CF5A">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17.2.1投标人在投标截止时间前，可以对所递交的投标文件进行补充、修改或者撤回，并书面通知采购人或者采购代理机构。补充、修改的内容应当按照招标文件要求签署、盖章</w:t>
      </w:r>
      <w:r>
        <w:rPr>
          <w:rFonts w:hint="eastAsia" w:ascii="仿宋" w:hAnsi="仿宋" w:eastAsia="仿宋" w:cs="仿宋"/>
          <w:color w:val="auto"/>
          <w:kern w:val="0"/>
          <w:sz w:val="24"/>
          <w:szCs w:val="24"/>
          <w:highlight w:val="none"/>
          <w:lang w:val="en-US" w:eastAsia="zh-CN"/>
        </w:rPr>
        <w:t>后</w:t>
      </w:r>
      <w:r>
        <w:rPr>
          <w:rFonts w:hint="eastAsia" w:ascii="仿宋" w:hAnsi="仿宋" w:eastAsia="仿宋" w:cs="仿宋"/>
          <w:color w:val="auto"/>
          <w:kern w:val="0"/>
          <w:sz w:val="24"/>
          <w:szCs w:val="24"/>
          <w:highlight w:val="none"/>
        </w:rPr>
        <w:t>，作为投标文件的组成部分。</w:t>
      </w:r>
    </w:p>
    <w:p w14:paraId="01347979">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17.2.2投标人在投标截止期后不得修改、撤回投标文件。</w:t>
      </w:r>
      <w:r>
        <w:rPr>
          <w:rFonts w:hint="eastAsia" w:ascii="仿宋" w:hAnsi="仿宋" w:eastAsia="仿宋" w:cs="仿宋"/>
          <w:b/>
          <w:color w:val="auto"/>
          <w:kern w:val="0"/>
          <w:sz w:val="24"/>
          <w:szCs w:val="24"/>
          <w:highlight w:val="none"/>
        </w:rPr>
        <w:t>投标人在投标截止期后修改投标文件的，其投标无效。</w:t>
      </w:r>
    </w:p>
    <w:p w14:paraId="752E5FF7">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17.2.3若供应商在规定的时间内（“投标人须知前附表”的中规定）未能解密的，也将被视为供应商对其投标文件的撤回。</w:t>
      </w:r>
    </w:p>
    <w:p w14:paraId="0F8EE614">
      <w:pPr>
        <w:numPr>
          <w:ilvl w:val="0"/>
          <w:numId w:val="0"/>
        </w:numPr>
        <w:spacing w:line="360" w:lineRule="auto"/>
        <w:jc w:val="center"/>
        <w:outlineLvl w:val="2"/>
        <w:rPr>
          <w:rFonts w:hint="eastAsia" w:ascii="仿宋" w:hAnsi="仿宋" w:eastAsia="仿宋" w:cs="仿宋"/>
          <w:b/>
          <w:color w:val="auto"/>
          <w:sz w:val="28"/>
          <w:szCs w:val="28"/>
          <w:highlight w:val="none"/>
        </w:rPr>
      </w:pPr>
      <w:bookmarkStart w:id="65" w:name="_Toc18548"/>
      <w:bookmarkStart w:id="66" w:name="_Toc17234"/>
      <w:r>
        <w:rPr>
          <w:rFonts w:hint="eastAsia" w:ascii="仿宋" w:hAnsi="仿宋" w:eastAsia="仿宋" w:cs="仿宋"/>
          <w:b/>
          <w:color w:val="auto"/>
          <w:sz w:val="28"/>
          <w:szCs w:val="28"/>
          <w:highlight w:val="none"/>
          <w:lang w:eastAsia="zh-CN"/>
        </w:rPr>
        <w:t>五、</w:t>
      </w:r>
      <w:r>
        <w:rPr>
          <w:rFonts w:hint="eastAsia" w:ascii="仿宋" w:hAnsi="仿宋" w:eastAsia="仿宋" w:cs="仿宋"/>
          <w:b/>
          <w:color w:val="auto"/>
          <w:sz w:val="28"/>
          <w:szCs w:val="28"/>
          <w:highlight w:val="none"/>
        </w:rPr>
        <w:t>开   标</w:t>
      </w:r>
      <w:bookmarkEnd w:id="65"/>
      <w:bookmarkEnd w:id="66"/>
    </w:p>
    <w:p w14:paraId="55D18CD1">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kern w:val="0"/>
          <w:sz w:val="24"/>
          <w:szCs w:val="24"/>
          <w:highlight w:val="none"/>
        </w:rPr>
        <w:t>8</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开标</w:t>
      </w:r>
    </w:p>
    <w:p w14:paraId="20EA5723">
      <w:pPr>
        <w:spacing w:line="360" w:lineRule="auto"/>
        <w:rPr>
          <w:rFonts w:hint="eastAsia" w:ascii="仿宋" w:hAnsi="仿宋" w:eastAsia="仿宋" w:cs="仿宋"/>
          <w:b/>
          <w:bCs/>
          <w:color w:val="auto"/>
          <w:kern w:val="0"/>
          <w:sz w:val="24"/>
          <w:szCs w:val="24"/>
          <w:highlight w:val="none"/>
        </w:rPr>
      </w:pPr>
      <w:bookmarkStart w:id="67" w:name="_Toc12791"/>
      <w:bookmarkStart w:id="68" w:name="_Toc11241"/>
      <w:r>
        <w:rPr>
          <w:rFonts w:hint="eastAsia" w:ascii="仿宋" w:hAnsi="仿宋" w:eastAsia="仿宋" w:cs="仿宋"/>
          <w:b/>
          <w:bCs/>
          <w:color w:val="auto"/>
          <w:kern w:val="0"/>
          <w:sz w:val="24"/>
          <w:szCs w:val="24"/>
          <w:highlight w:val="none"/>
        </w:rPr>
        <w:t>18.1. 开标</w:t>
      </w:r>
    </w:p>
    <w:p w14:paraId="1EDDB301">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18.1.1 本次采用不见面方式网上开标。</w:t>
      </w:r>
    </w:p>
    <w:p w14:paraId="0CE3FA9E">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18.1.2开标由招标代理机构主持，招标人、投标人和有关方面代表参加。</w:t>
      </w:r>
    </w:p>
    <w:p w14:paraId="4615AC46">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18.1.3开标时，由采购代理机构工作人员当众解密，宣布投标人名称、投标价格和招标文件规定的需要宣布的其他内容。投标人不足3家的，不得开标。</w:t>
      </w:r>
    </w:p>
    <w:p w14:paraId="0468CD14">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18.1.4开标时，投标报价以系统显示投标报价为准。 </w:t>
      </w:r>
    </w:p>
    <w:p w14:paraId="310DB465">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18.1.5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330E040">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18.1.6投标人代表在开标过程中未提出异议的，视为认可本次开标及开标过程的全部事宜。</w:t>
      </w:r>
    </w:p>
    <w:p w14:paraId="221D53E8">
      <w:pPr>
        <w:numPr>
          <w:ilvl w:val="0"/>
          <w:numId w:val="0"/>
        </w:numPr>
        <w:spacing w:line="360" w:lineRule="auto"/>
        <w:jc w:val="center"/>
        <w:outlineLvl w:val="2"/>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eastAsia="zh-CN"/>
        </w:rPr>
        <w:t>六、</w:t>
      </w:r>
      <w:r>
        <w:rPr>
          <w:rFonts w:hint="eastAsia" w:ascii="仿宋" w:hAnsi="仿宋" w:eastAsia="仿宋" w:cs="仿宋"/>
          <w:b/>
          <w:bCs/>
          <w:color w:val="auto"/>
          <w:kern w:val="0"/>
          <w:sz w:val="28"/>
          <w:szCs w:val="28"/>
          <w:highlight w:val="none"/>
        </w:rPr>
        <w:t>评标、定标</w:t>
      </w:r>
      <w:bookmarkEnd w:id="67"/>
      <w:bookmarkEnd w:id="68"/>
    </w:p>
    <w:p w14:paraId="75D79BB5">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19、评标</w:t>
      </w:r>
    </w:p>
    <w:p w14:paraId="1485FF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19.1  评标委员会  </w:t>
      </w:r>
    </w:p>
    <w:p w14:paraId="23E88A6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19.1.1 评标委员会或评标小组（以下简称评标委员会）的评标工作由招标单位负责组织，具体评标事务由评标委员会负责，并独立履行其法规规定的职责。</w:t>
      </w:r>
    </w:p>
    <w:p w14:paraId="608D063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19.1.2 评标委员会由招标人和专家库中熟悉相关技术的专家组成，成员人数为</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人以上（含</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的单数，其中熟悉相关技术方面的专家不得少于成员总数的三之二。评标委员会设负责人的，评标委员会负责人由评标委员会推举产生或者由招标人确定。评标委员会负责人与评标委员会的其他成员有同等的表决权。开标前随机抽取确定，并在招标结果确定前保密。</w:t>
      </w:r>
    </w:p>
    <w:p w14:paraId="527B2A5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  评标委员会或评标小组负责具体的评标事务，并独立履行以下职责：</w:t>
      </w:r>
    </w:p>
    <w:p w14:paraId="7A3366B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19.1.3.1 审查投标文件是否符合招标文件的要求，并作出评价；</w:t>
      </w:r>
    </w:p>
    <w:p w14:paraId="374DD61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19.1.3.2 可以要求投标供应商对投标文件有关事项作出解释或澄清；</w:t>
      </w:r>
    </w:p>
    <w:p w14:paraId="6845D8E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19.1.3.3 推荐中标候选供应商名单，或者受招标人委托按照事先确定的最低价的评标办法直接确定中标人；</w:t>
      </w:r>
    </w:p>
    <w:p w14:paraId="66E72190">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19.1.3.4 向招标单位或者有关部门报告非法干预评标工作的行为。</w:t>
      </w:r>
    </w:p>
    <w:p w14:paraId="0F2CF4C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评标委员会成员应当履行下列义务：</w:t>
      </w:r>
    </w:p>
    <w:p w14:paraId="7FF33CE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.1 遵纪守法，客观、公正、廉洁地履行职责；</w:t>
      </w:r>
    </w:p>
    <w:p w14:paraId="6213007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.2 按照招标文件规定的评标办法和评标标准进行评标，对评审意见承担个人责任；</w:t>
      </w:r>
    </w:p>
    <w:p w14:paraId="2295D61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.3 对评标过程和结果，以及投标人的商业秘密保密；</w:t>
      </w:r>
    </w:p>
    <w:p w14:paraId="2DC7677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.4 参与评标报告的起草；</w:t>
      </w:r>
    </w:p>
    <w:p w14:paraId="7120F4E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.5 配合财政部门的投诉处理工作；</w:t>
      </w:r>
    </w:p>
    <w:p w14:paraId="153E99C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.6 配合招标单位答复投标供应商提出的质疑。</w:t>
      </w:r>
    </w:p>
    <w:p w14:paraId="4AC7B1A9">
      <w:pPr>
        <w:spacing w:line="360" w:lineRule="auto"/>
        <w:ind w:firstLine="480" w:firstLineChars="200"/>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19.2按国家计委等七部委颁发的《评标委员会和评标方法暂行规定》，结合本</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特点，</w:t>
      </w:r>
      <w:r>
        <w:rPr>
          <w:rFonts w:hint="eastAsia" w:ascii="仿宋" w:hAnsi="仿宋" w:eastAsia="仿宋" w:cs="仿宋"/>
          <w:b/>
          <w:bCs/>
          <w:color w:val="auto"/>
          <w:kern w:val="0"/>
          <w:sz w:val="24"/>
          <w:szCs w:val="24"/>
          <w:highlight w:val="none"/>
        </w:rPr>
        <w:t>本项目采用综合评分法，综合评分因素的主要因素为价格、技术、</w:t>
      </w:r>
      <w:r>
        <w:rPr>
          <w:rFonts w:hint="eastAsia" w:ascii="仿宋" w:hAnsi="仿宋" w:eastAsia="仿宋" w:cs="仿宋"/>
          <w:b/>
          <w:bCs/>
          <w:color w:val="auto"/>
          <w:kern w:val="0"/>
          <w:sz w:val="24"/>
          <w:szCs w:val="24"/>
          <w:highlight w:val="none"/>
          <w:lang w:val="en-US" w:eastAsia="zh-CN"/>
        </w:rPr>
        <w:t>产品</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售后</w:t>
      </w:r>
      <w:r>
        <w:rPr>
          <w:rFonts w:hint="eastAsia" w:ascii="仿宋" w:hAnsi="仿宋" w:eastAsia="仿宋" w:cs="仿宋"/>
          <w:b/>
          <w:bCs/>
          <w:color w:val="auto"/>
          <w:kern w:val="0"/>
          <w:sz w:val="24"/>
          <w:szCs w:val="24"/>
          <w:highlight w:val="none"/>
        </w:rPr>
        <w:t>服务以及对招标文件的响应程度等。每一投标人的最终得分为所有评委评分的算数平均值。（总分100分：其中商务部分和技术部分占70分，投标报价占30分），最终合计得分最高的投标人作为第一中标候选人，以此类推确定第二、第三中标候选人。</w:t>
      </w:r>
    </w:p>
    <w:p w14:paraId="3C5E95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 评标的依据为招标文件和投标文件。</w:t>
      </w:r>
    </w:p>
    <w:p w14:paraId="60E720D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19.4 评标过程的保密性。开标后，直到授予投标人合同为止，凡是属于审查、澄清、评价和比较的有关资料以及授标建议等均不得向投标人或其他无关的人员透露。</w:t>
      </w:r>
    </w:p>
    <w:p w14:paraId="681B57D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19.5 投标人在评标过程中所进行的试图影响评标结果、有悖于招标规则的活动，可能导致取消其中标资格。</w:t>
      </w:r>
    </w:p>
    <w:p w14:paraId="28E04CB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19.6 与招标文件有重大偏离的投标文件将被拒绝。且此重大偏离在开标后不许修改。</w:t>
      </w:r>
    </w:p>
    <w:p w14:paraId="1AFCB1F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评标委员会应当审查每一投标文件是否对招标文件提出的所有实质性要求和条件作出响应。未能在实质上响应招标的投标，将作废标处理。</w:t>
      </w:r>
    </w:p>
    <w:p w14:paraId="3F23316D">
      <w:pPr>
        <w:pStyle w:val="148"/>
        <w:spacing w:line="360" w:lineRule="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20、</w:t>
      </w:r>
      <w:r>
        <w:rPr>
          <w:rFonts w:hint="eastAsia" w:ascii="仿宋" w:hAnsi="仿宋" w:eastAsia="仿宋" w:cs="仿宋"/>
          <w:b/>
          <w:bCs/>
          <w:color w:val="auto"/>
          <w:sz w:val="24"/>
          <w:szCs w:val="24"/>
          <w:highlight w:val="none"/>
        </w:rPr>
        <w:t>投标人资格审查和投标文件符合性审查</w:t>
      </w:r>
    </w:p>
    <w:p w14:paraId="6347ECF5">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1投标人资格审查指依据法律、法规和招标文件的规定，对投标文件中的资格、资信证明等进行审查，以确定投标人是否具备投标资格；投标文件符合性审查指依据招标文件的规定，从投标文件的有效性、完整性和对招标文件的响应程度进行审查，以确定是否对招标文件的实质性要求作出响应。</w:t>
      </w:r>
    </w:p>
    <w:p w14:paraId="6CD6D969">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.2投标人未通过资格审查的不得进入投标文件符合性审查；投标人未通过符合性审查的，不得进入投标文件的综合比较与评价。</w:t>
      </w:r>
    </w:p>
    <w:p w14:paraId="2FA08CD1">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3如本项目使用最低评标价法，提供相同品牌相同规格类型产品的不同投标人以其中通过资格审查、符合性审查且报价最低的参加评标；报价相同的，由采购人或者采购人委托评标委员会按照招标文件中评标办法规定的方式确定 一个参加评标的投标人；未规定的采取随机抽取方式确定，</w:t>
      </w:r>
      <w:r>
        <w:rPr>
          <w:rFonts w:hint="eastAsia" w:ascii="仿宋" w:hAnsi="仿宋" w:eastAsia="仿宋" w:cs="仿宋"/>
          <w:b w:val="0"/>
          <w:bCs w:val="0"/>
          <w:color w:val="auto"/>
          <w:sz w:val="24"/>
          <w:szCs w:val="24"/>
          <w:highlight w:val="none"/>
        </w:rPr>
        <w:t>其他投标无效。</w:t>
      </w:r>
    </w:p>
    <w:p w14:paraId="554D4B42">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4如本项目使用综合评分法，提供相同品牌相同规格类型产品且通过资格审查、符合性审查的不同投标人，按一家投标人计算，评审后得分最高的同品牌同规格类型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7ACBD924">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.5如一个分包内包含多种产品的，采购人或采购代理机构将在</w:t>
      </w:r>
      <w:r>
        <w:rPr>
          <w:rFonts w:hint="eastAsia" w:ascii="仿宋" w:hAnsi="仿宋" w:eastAsia="仿宋" w:cs="仿宋"/>
          <w:bCs/>
          <w:color w:val="auto"/>
          <w:sz w:val="24"/>
          <w:szCs w:val="24"/>
          <w:highlight w:val="none"/>
          <w:u w:val="single"/>
          <w:lang w:val="en-US" w:eastAsia="zh-CN"/>
        </w:rPr>
        <w:t xml:space="preserve">招标文件技术参数 </w:t>
      </w:r>
      <w:r>
        <w:rPr>
          <w:rFonts w:hint="eastAsia" w:ascii="仿宋" w:hAnsi="仿宋" w:eastAsia="仿宋" w:cs="仿宋"/>
          <w:bCs/>
          <w:color w:val="auto"/>
          <w:sz w:val="24"/>
          <w:szCs w:val="24"/>
          <w:highlight w:val="none"/>
        </w:rPr>
        <w:t>中载明核心产品，多家投标人提供的所有核心产品品牌均相同的， 按相关条规定处理。</w:t>
      </w:r>
    </w:p>
    <w:p w14:paraId="31887896">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6投标人所投产品如被列入财政部与国家主管部门颁发的节能产品目录或环境标志产品目录，应提供相关证明，在评标时予以优先采购，具体优先采购办法见第五章评标方法和标准。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color w:val="auto"/>
          <w:sz w:val="24"/>
          <w:szCs w:val="24"/>
          <w:highlight w:val="none"/>
        </w:rPr>
        <w:t>无效投标</w:t>
      </w:r>
      <w:r>
        <w:rPr>
          <w:rFonts w:hint="eastAsia" w:ascii="仿宋" w:hAnsi="仿宋" w:eastAsia="仿宋" w:cs="仿宋"/>
          <w:bCs/>
          <w:color w:val="auto"/>
          <w:sz w:val="24"/>
          <w:szCs w:val="24"/>
          <w:highlight w:val="none"/>
        </w:rPr>
        <w:t>被拒绝。</w:t>
      </w:r>
    </w:p>
    <w:p w14:paraId="788C3F78">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.7</w:t>
      </w:r>
      <w:r>
        <w:rPr>
          <w:rFonts w:hint="eastAsia" w:ascii="仿宋" w:hAnsi="仿宋" w:eastAsia="仿宋" w:cs="仿宋"/>
          <w:color w:val="auto"/>
          <w:sz w:val="24"/>
          <w:szCs w:val="24"/>
          <w:highlight w:val="none"/>
        </w:rPr>
        <w:t>投标人不良信用记录以采购人或采购代理机构查询结果为准。</w:t>
      </w:r>
    </w:p>
    <w:p w14:paraId="03FB84FA">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.8</w:t>
      </w:r>
      <w:r>
        <w:rPr>
          <w:rFonts w:hint="eastAsia" w:ascii="仿宋" w:hAnsi="仿宋" w:eastAsia="仿宋" w:cs="仿宋"/>
          <w:b/>
          <w:color w:val="auto"/>
          <w:sz w:val="24"/>
          <w:szCs w:val="24"/>
          <w:highlight w:val="none"/>
        </w:rPr>
        <w:t>资格审查详见投标人须知前附表载明的投标人资格证明文件、符合性审查标准详见第</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章</w:t>
      </w:r>
      <w:r>
        <w:rPr>
          <w:rFonts w:hint="eastAsia" w:ascii="仿宋" w:hAnsi="仿宋" w:eastAsia="仿宋" w:cs="仿宋"/>
          <w:b/>
          <w:color w:val="auto"/>
          <w:sz w:val="24"/>
          <w:szCs w:val="24"/>
          <w:highlight w:val="none"/>
          <w:lang w:val="en-US" w:eastAsia="zh-CN"/>
        </w:rPr>
        <w:t>评标办法及标准</w:t>
      </w:r>
      <w:r>
        <w:rPr>
          <w:rFonts w:hint="eastAsia" w:ascii="仿宋" w:hAnsi="仿宋" w:eastAsia="仿宋" w:cs="仿宋"/>
          <w:b/>
          <w:color w:val="auto"/>
          <w:sz w:val="24"/>
          <w:szCs w:val="24"/>
          <w:highlight w:val="none"/>
        </w:rPr>
        <w:t>。</w:t>
      </w:r>
    </w:p>
    <w:p w14:paraId="740B61E7">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21、投标文件的澄清</w:t>
      </w:r>
    </w:p>
    <w:p w14:paraId="2436CED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评标委员会在评标过程中有权随时请投标人就投标文件中含混之处加以澄清或答疑。</w:t>
      </w:r>
    </w:p>
    <w:p w14:paraId="3FE12BA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投标人对要求澄清的问题应以书面形式明确答复，并应有法人授权代表的签署。</w:t>
      </w:r>
    </w:p>
    <w:p w14:paraId="1E28F1A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投标人的澄清文件是投标文件的组成部分，并取代投标文件中被澄清的部分。</w:t>
      </w:r>
    </w:p>
    <w:p w14:paraId="5392C56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 投标文件的澄清不得改变投标的实质内容。</w:t>
      </w:r>
    </w:p>
    <w:p w14:paraId="28E0A7F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如果投标人在投标文件中未对招标文件中的条款或参数要求提出偏离意见或澄清将视同投标人同意招标文件的全部或部分要求。</w:t>
      </w:r>
    </w:p>
    <w:p w14:paraId="266BA531">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22、定标</w:t>
      </w:r>
    </w:p>
    <w:p w14:paraId="1A1A5D0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评标委员会有权选择和拒绝投标人中标，且无需向投标人进行任何有关评标的解释工作。在确定中标人之前，供应商试图在投标文件审查、澄清、比较和评标时对评标委员会、采购人和采购代理机构施加任何影响都可能导致其投标无效。</w:t>
      </w:r>
    </w:p>
    <w:p w14:paraId="6D0C8D2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招标人根据评标委员会的评标报告，应以排名第一的中标候选人为中标人。排名第一的中标候选人放弃中标或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338EEE86">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23、中标的标准</w:t>
      </w:r>
    </w:p>
    <w:p w14:paraId="0607E55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资格审查文件完整无缺；</w:t>
      </w:r>
    </w:p>
    <w:p w14:paraId="741BD6A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已交纳投标保证金；</w:t>
      </w:r>
    </w:p>
    <w:p w14:paraId="36D5962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 报价合理，承诺条件优惠；</w:t>
      </w:r>
    </w:p>
    <w:p w14:paraId="7978412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 投标文件与招标文件无重大偏离；</w:t>
      </w:r>
    </w:p>
    <w:p w14:paraId="78CE4DF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23.5 有较强的技术力量，能提供完善的技术服务；</w:t>
      </w:r>
    </w:p>
    <w:p w14:paraId="43EFD9B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23.6 其他；</w:t>
      </w:r>
    </w:p>
    <w:p w14:paraId="6248530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23.7 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14:paraId="0352928A">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24、中标通知</w:t>
      </w:r>
    </w:p>
    <w:p w14:paraId="0974FBF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评标结束后，招标人将当众宣布评标结果，并在“新疆政府采购网”（网址：http://www.ccgp-xinjiang.gov.cn/）上予以公告。公告有效期1个工作日；</w:t>
      </w:r>
    </w:p>
    <w:p w14:paraId="4C8F635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招标代理机构根据定标结果，在投标有效期届满前，以书面形式向中标单位发出中标通知书。</w:t>
      </w:r>
    </w:p>
    <w:p w14:paraId="1387390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 招标代理机构将定标结果及时通知未中标单位并退还投标保证金。无需解释落标原因。</w:t>
      </w:r>
    </w:p>
    <w:p w14:paraId="0C004D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招标人有权在定标之前拒绝任何有不正当行为或扰乱正常招标工作的投标人，由此对投标人造成的损失不负任何责任，同时对此无需做任何解释。</w:t>
      </w:r>
    </w:p>
    <w:p w14:paraId="2456C69A">
      <w:pPr>
        <w:widowControl/>
        <w:spacing w:line="360" w:lineRule="auto"/>
        <w:ind w:firstLine="236" w:firstLineChars="98"/>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 xml:space="preserve">  25、</w:t>
      </w:r>
      <w:r>
        <w:rPr>
          <w:rFonts w:hint="eastAsia" w:ascii="仿宋" w:hAnsi="仿宋" w:eastAsia="仿宋" w:cs="仿宋"/>
          <w:b/>
          <w:color w:val="auto"/>
          <w:sz w:val="24"/>
          <w:szCs w:val="24"/>
          <w:highlight w:val="none"/>
        </w:rPr>
        <w:t>付款方式</w:t>
      </w:r>
      <w:r>
        <w:rPr>
          <w:rFonts w:hint="eastAsia" w:ascii="仿宋" w:hAnsi="仿宋" w:eastAsia="仿宋" w:cs="仿宋"/>
          <w:b/>
          <w:color w:val="auto"/>
          <w:kern w:val="0"/>
          <w:sz w:val="24"/>
          <w:szCs w:val="24"/>
          <w:highlight w:val="none"/>
        </w:rPr>
        <w:t>：</w:t>
      </w:r>
      <w:bookmarkStart w:id="69" w:name="OLE_LINK8"/>
      <w:r>
        <w:rPr>
          <w:rFonts w:hint="eastAsia" w:ascii="仿宋" w:hAnsi="仿宋" w:eastAsia="仿宋" w:cs="仿宋"/>
          <w:b/>
          <w:color w:val="auto"/>
          <w:kern w:val="0"/>
          <w:sz w:val="24"/>
          <w:szCs w:val="24"/>
          <w:highlight w:val="none"/>
          <w:lang w:val="en-US" w:eastAsia="zh-CN"/>
        </w:rPr>
        <w:t>签订合同后，支付预付款30%，货物到场后支付合同的80%，安装调试完成后，支付剩余全部货款</w:t>
      </w:r>
      <w:bookmarkEnd w:id="69"/>
      <w:r>
        <w:rPr>
          <w:rFonts w:hint="eastAsia" w:ascii="仿宋" w:hAnsi="仿宋" w:eastAsia="仿宋" w:cs="仿宋"/>
          <w:b/>
          <w:color w:val="auto"/>
          <w:sz w:val="24"/>
          <w:szCs w:val="24"/>
          <w:highlight w:val="none"/>
        </w:rPr>
        <w:t>。</w:t>
      </w:r>
    </w:p>
    <w:p w14:paraId="72FF9AB0">
      <w:pPr>
        <w:numPr>
          <w:ilvl w:val="0"/>
          <w:numId w:val="0"/>
        </w:numPr>
        <w:spacing w:line="360" w:lineRule="auto"/>
        <w:jc w:val="center"/>
        <w:outlineLvl w:val="2"/>
        <w:rPr>
          <w:rFonts w:hint="eastAsia" w:ascii="仿宋" w:hAnsi="仿宋" w:eastAsia="仿宋" w:cs="仿宋"/>
          <w:b/>
          <w:color w:val="auto"/>
          <w:sz w:val="28"/>
          <w:szCs w:val="28"/>
          <w:highlight w:val="none"/>
        </w:rPr>
      </w:pPr>
      <w:bookmarkStart w:id="70" w:name="_Toc4609"/>
      <w:bookmarkStart w:id="71" w:name="_Toc24055"/>
      <w:r>
        <w:rPr>
          <w:rFonts w:hint="eastAsia" w:ascii="仿宋" w:hAnsi="仿宋" w:eastAsia="仿宋" w:cs="仿宋"/>
          <w:b/>
          <w:color w:val="auto"/>
          <w:sz w:val="28"/>
          <w:szCs w:val="28"/>
          <w:highlight w:val="none"/>
          <w:lang w:eastAsia="zh-CN"/>
        </w:rPr>
        <w:t>七、</w:t>
      </w:r>
      <w:r>
        <w:rPr>
          <w:rFonts w:hint="eastAsia" w:ascii="仿宋" w:hAnsi="仿宋" w:eastAsia="仿宋" w:cs="仿宋"/>
          <w:b/>
          <w:color w:val="auto"/>
          <w:sz w:val="28"/>
          <w:szCs w:val="28"/>
          <w:highlight w:val="none"/>
        </w:rPr>
        <w:t>签定合同</w:t>
      </w:r>
      <w:bookmarkEnd w:id="70"/>
      <w:bookmarkEnd w:id="71"/>
    </w:p>
    <w:p w14:paraId="3CEC1447">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26、签定合同</w:t>
      </w:r>
    </w:p>
    <w:p w14:paraId="62CFB76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 中标人依据《中标通知书》与采购人签订采购合同，签订时间为《中标通知书》发出之日起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日内；</w:t>
      </w:r>
    </w:p>
    <w:p w14:paraId="2B3F912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 中标合同不得转让。合同分包需在投标文件中予以说明，并需经招标人同意。否则，招标人有权取消中标人的中标资格。</w:t>
      </w:r>
    </w:p>
    <w:p w14:paraId="01ED82B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 招标人如遇中标人违约，可从侯选中标人中重新选定中标人，并签定经济合同。</w:t>
      </w:r>
    </w:p>
    <w:p w14:paraId="6B2DDE3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 合同的制订由招标人、中标人、招标代理机构三方参加，为确保合同双方的利益均等，由招标代理机构在合同制订过程中进行协调。</w:t>
      </w:r>
    </w:p>
    <w:p w14:paraId="144AF77A">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26.5 合同需经招标人、中标人双方签字盖章后即生效。招标人、中标人亦可自愿申请公证。</w:t>
      </w:r>
    </w:p>
    <w:p w14:paraId="6C000D57">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27、合同的组成</w:t>
      </w:r>
    </w:p>
    <w:p w14:paraId="1E39E0E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下列文件均为合同不可分割部分：</w:t>
      </w:r>
    </w:p>
    <w:p w14:paraId="18CEA4F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27.1.1 专用合同；</w:t>
      </w:r>
    </w:p>
    <w:p w14:paraId="7BF3959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27.1.2 合同条款；</w:t>
      </w:r>
    </w:p>
    <w:p w14:paraId="30280B3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27.1.3 中标通知书；</w:t>
      </w:r>
    </w:p>
    <w:p w14:paraId="2B9941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27.1.4 乙方中标的投标文件；</w:t>
      </w:r>
    </w:p>
    <w:p w14:paraId="38BBB31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27.1.5 招标文件；</w:t>
      </w:r>
    </w:p>
    <w:p w14:paraId="2550EB9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27.1.6 评标答疑记录。</w:t>
      </w:r>
    </w:p>
    <w:p w14:paraId="65165B9F">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28、履约保证金</w:t>
      </w:r>
    </w:p>
    <w:p w14:paraId="2CFBA024">
      <w:pPr>
        <w:pStyle w:val="13"/>
        <w:overflowPunct w:val="0"/>
        <w:spacing w:line="360" w:lineRule="auto"/>
        <w:ind w:firstLine="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28.1 《中华人民共和国政府采购法实施条例》第四十八条　履约保证金的数额不得超过政府采购合同金额的10%。中标人与招标人签订合同前提交履约保证金，如中标人未按招标文件规定的工期供货、安装和调试完毕，则扣除履约保证金</w:t>
      </w:r>
      <w:r>
        <w:rPr>
          <w:rFonts w:hint="eastAsia" w:ascii="仿宋" w:hAnsi="仿宋" w:eastAsia="仿宋" w:cs="仿宋"/>
          <w:b/>
          <w:bCs/>
          <w:color w:val="auto"/>
          <w:sz w:val="24"/>
          <w:szCs w:val="24"/>
          <w:highlight w:val="none"/>
        </w:rPr>
        <w:t>。</w:t>
      </w:r>
    </w:p>
    <w:p w14:paraId="3630EBC2">
      <w:pPr>
        <w:pStyle w:val="13"/>
        <w:overflowPunct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 履约保证金（无息）将在乙方履行完成合同所有义务后凭乙方的收款收据在五天内退返乙方。</w:t>
      </w:r>
    </w:p>
    <w:p w14:paraId="0E01C46B">
      <w:pPr>
        <w:numPr>
          <w:ilvl w:val="0"/>
          <w:numId w:val="0"/>
        </w:numPr>
        <w:spacing w:line="360" w:lineRule="auto"/>
        <w:jc w:val="center"/>
        <w:outlineLvl w:val="2"/>
        <w:rPr>
          <w:rFonts w:hint="eastAsia" w:ascii="仿宋" w:hAnsi="仿宋" w:eastAsia="仿宋" w:cs="仿宋"/>
          <w:b/>
          <w:bCs w:val="0"/>
          <w:color w:val="auto"/>
          <w:sz w:val="28"/>
          <w:szCs w:val="28"/>
          <w:highlight w:val="none"/>
        </w:rPr>
      </w:pPr>
      <w:bookmarkStart w:id="72" w:name="_Toc28496"/>
      <w:bookmarkStart w:id="73" w:name="_Toc18703"/>
      <w:r>
        <w:rPr>
          <w:rFonts w:hint="eastAsia" w:ascii="仿宋" w:hAnsi="仿宋" w:eastAsia="仿宋" w:cs="仿宋"/>
          <w:b/>
          <w:bCs w:val="0"/>
          <w:color w:val="auto"/>
          <w:sz w:val="28"/>
          <w:szCs w:val="28"/>
          <w:highlight w:val="none"/>
          <w:lang w:eastAsia="zh-CN"/>
        </w:rPr>
        <w:t>八、</w:t>
      </w:r>
      <w:r>
        <w:rPr>
          <w:rFonts w:hint="eastAsia" w:ascii="仿宋" w:hAnsi="仿宋" w:eastAsia="仿宋" w:cs="仿宋"/>
          <w:b/>
          <w:bCs w:val="0"/>
          <w:color w:val="auto"/>
          <w:sz w:val="28"/>
          <w:szCs w:val="28"/>
          <w:highlight w:val="none"/>
        </w:rPr>
        <w:t>法律责任</w:t>
      </w:r>
    </w:p>
    <w:p w14:paraId="50376DE1">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29．</w:t>
      </w:r>
      <w:r>
        <w:rPr>
          <w:rFonts w:hint="eastAsia" w:ascii="仿宋" w:hAnsi="仿宋" w:eastAsia="仿宋" w:cs="仿宋"/>
          <w:b/>
          <w:bCs w:val="0"/>
          <w:color w:val="auto"/>
          <w:sz w:val="24"/>
          <w:szCs w:val="24"/>
          <w:highlight w:val="none"/>
        </w:rPr>
        <w:tab/>
      </w:r>
      <w:r>
        <w:rPr>
          <w:rFonts w:hint="eastAsia" w:ascii="仿宋" w:hAnsi="仿宋" w:eastAsia="仿宋" w:cs="仿宋"/>
          <w:b/>
          <w:bCs w:val="0"/>
          <w:color w:val="auto"/>
          <w:sz w:val="24"/>
          <w:szCs w:val="24"/>
          <w:highlight w:val="none"/>
        </w:rPr>
        <w:t>法律责任</w:t>
      </w:r>
    </w:p>
    <w:p w14:paraId="35CA7313">
      <w:pPr>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29.1</w:t>
      </w:r>
      <w:r>
        <w:rPr>
          <w:rFonts w:hint="eastAsia" w:ascii="仿宋" w:hAnsi="仿宋" w:eastAsia="仿宋" w:cs="仿宋"/>
          <w:b/>
          <w:bCs w:val="0"/>
          <w:color w:val="auto"/>
          <w:sz w:val="24"/>
          <w:szCs w:val="24"/>
          <w:highlight w:val="none"/>
        </w:rPr>
        <w:tab/>
      </w:r>
      <w:r>
        <w:rPr>
          <w:rFonts w:hint="eastAsia" w:ascii="仿宋" w:hAnsi="仿宋" w:eastAsia="仿宋" w:cs="仿宋"/>
          <w:b/>
          <w:bCs w:val="0"/>
          <w:color w:val="auto"/>
          <w:sz w:val="24"/>
          <w:szCs w:val="24"/>
          <w:highlight w:val="none"/>
        </w:rPr>
        <w:t xml:space="preserve">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14:paraId="37E82BA3">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（一）提供虚假材料谋取中标的； </w:t>
      </w:r>
    </w:p>
    <w:p w14:paraId="4C447499">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（二）采取不正当手段诋毁、排挤其他投标人的；</w:t>
      </w:r>
    </w:p>
    <w:p w14:paraId="3922CE69">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（三）与招标人、采购人、其他投标人恶意串通的； </w:t>
      </w:r>
    </w:p>
    <w:p w14:paraId="570D2E71">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（四）向招标人、采购人行贿或者提供其他不正当利益的； </w:t>
      </w:r>
    </w:p>
    <w:p w14:paraId="53CF544D">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（五）在招标过程中与招标人、采购人进行协商谈判、不按照招标文件、投标文件订立合同，或者与采购人另行订立背离合同实质性内容的协议的； </w:t>
      </w:r>
    </w:p>
    <w:p w14:paraId="1840E267">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（六）拒绝有关部门监督检查或者提供虚假情况的。 </w:t>
      </w:r>
    </w:p>
    <w:p w14:paraId="5A719CFB">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投标人有前款第（一）至（五）项情形之一的，中标无效。 </w:t>
      </w:r>
    </w:p>
    <w:p w14:paraId="0D7C4027">
      <w:pPr>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29.2</w:t>
      </w:r>
      <w:r>
        <w:rPr>
          <w:rFonts w:hint="eastAsia" w:ascii="仿宋" w:hAnsi="仿宋" w:eastAsia="仿宋" w:cs="仿宋"/>
          <w:b/>
          <w:bCs w:val="0"/>
          <w:color w:val="auto"/>
          <w:sz w:val="24"/>
          <w:szCs w:val="24"/>
          <w:highlight w:val="none"/>
        </w:rPr>
        <w:tab/>
      </w:r>
      <w:r>
        <w:rPr>
          <w:rFonts w:hint="eastAsia" w:ascii="仿宋" w:hAnsi="仿宋" w:eastAsia="仿宋" w:cs="仿宋"/>
          <w:b/>
          <w:bCs w:val="0"/>
          <w:color w:val="auto"/>
          <w:sz w:val="24"/>
          <w:szCs w:val="24"/>
          <w:highlight w:val="none"/>
        </w:rPr>
        <w:t>中标人有下列情形之一的，招标人不予退还其交纳的投标保证金；情节严重的，由财政部门将其列入不良行为记录名单，在一至三年内禁止参加政府采购活动，并予以通报：</w:t>
      </w:r>
    </w:p>
    <w:p w14:paraId="359980CA">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（一）中标后无正当理由不与采购人签订合同的；</w:t>
      </w:r>
    </w:p>
    <w:p w14:paraId="20D9BCCB">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（二）将中标项目转让给他人，或者在投标文件中未说明，且未经招标人同意，将中标项目分包给他人的；</w:t>
      </w:r>
    </w:p>
    <w:p w14:paraId="17B6754F">
      <w:pPr>
        <w:pStyle w:val="21"/>
        <w:tabs>
          <w:tab w:val="left" w:pos="9214"/>
        </w:tabs>
        <w:spacing w:after="0"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（三）拒绝履行合同义务的。</w:t>
      </w:r>
    </w:p>
    <w:p w14:paraId="298358A6">
      <w:pPr>
        <w:numPr>
          <w:ilvl w:val="0"/>
          <w:numId w:val="0"/>
        </w:numPr>
        <w:spacing w:line="360" w:lineRule="auto"/>
        <w:jc w:val="center"/>
        <w:outlineLvl w:val="2"/>
        <w:rPr>
          <w:rFonts w:hint="eastAsia" w:ascii="仿宋" w:hAnsi="仿宋" w:eastAsia="仿宋" w:cs="仿宋"/>
          <w:b/>
          <w:color w:val="auto"/>
          <w:sz w:val="28"/>
          <w:szCs w:val="28"/>
          <w:highlight w:val="none"/>
          <w:lang w:eastAsia="zh-CN"/>
        </w:rPr>
      </w:pPr>
    </w:p>
    <w:p w14:paraId="07D1F3C9">
      <w:pPr>
        <w:numPr>
          <w:ilvl w:val="0"/>
          <w:numId w:val="0"/>
        </w:numPr>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九、</w:t>
      </w:r>
      <w:r>
        <w:rPr>
          <w:rFonts w:hint="eastAsia" w:ascii="仿宋" w:hAnsi="仿宋" w:eastAsia="仿宋" w:cs="仿宋"/>
          <w:b/>
          <w:color w:val="auto"/>
          <w:sz w:val="28"/>
          <w:szCs w:val="28"/>
          <w:highlight w:val="none"/>
        </w:rPr>
        <w:t>特别提示</w:t>
      </w:r>
      <w:bookmarkEnd w:id="72"/>
      <w:bookmarkEnd w:id="73"/>
    </w:p>
    <w:p w14:paraId="2564674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30、投标人应认真研读招标文件，充分考虑招标文件中的技术要求和合同条款后编制投标文件。</w:t>
      </w:r>
    </w:p>
    <w:p w14:paraId="6EEAC18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31、如招标文件中未提供的各类表格样式，投标人可另行设计表格样式，但力求内容完整，表达清晰、准确。</w:t>
      </w:r>
    </w:p>
    <w:p w14:paraId="6F3B4EA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 xml:space="preserve">、本项目实行网上投标，采用电子投标文件。若供应商参与投标，自行承担投标一切费用。 </w:t>
      </w:r>
    </w:p>
    <w:p w14:paraId="7677978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 xml:space="preserve">、各供应商应在开标前应确保成为新疆维吾尔自治区政府采购网正式注册入库供应商，并完成CA数字证书申领。因未注册入库、未办理CA数字证书等原因造成无法投标或投标失败等后果由供应商自行承担。 </w:t>
      </w:r>
    </w:p>
    <w:p w14:paraId="4C0C8DD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7697042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auto"/>
          <w:sz w:val="24"/>
          <w:szCs w:val="24"/>
          <w:highlight w:val="none"/>
          <w:lang w:eastAsia="zh-CN"/>
        </w:rPr>
        <w:t>95763</w:t>
      </w:r>
      <w:r>
        <w:rPr>
          <w:rFonts w:hint="eastAsia" w:ascii="仿宋" w:hAnsi="仿宋" w:eastAsia="仿宋" w:cs="仿宋"/>
          <w:color w:val="auto"/>
          <w:sz w:val="24"/>
          <w:szCs w:val="24"/>
          <w:highlight w:val="none"/>
        </w:rPr>
        <w:t>进行咨询。</w:t>
      </w:r>
    </w:p>
    <w:p w14:paraId="3C34B1A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、本招标文件是根据《中华人民共和国招标投标法》规定编制的，解释权属</w:t>
      </w:r>
      <w:r>
        <w:rPr>
          <w:rFonts w:hint="eastAsia" w:ascii="仿宋" w:hAnsi="仿宋" w:eastAsia="仿宋" w:cs="仿宋"/>
          <w:color w:val="auto"/>
          <w:sz w:val="24"/>
          <w:szCs w:val="24"/>
          <w:highlight w:val="none"/>
          <w:lang w:eastAsia="zh-CN"/>
        </w:rPr>
        <w:t>阿勒泰禾淼工程咨询有限公司</w:t>
      </w:r>
      <w:r>
        <w:rPr>
          <w:rFonts w:hint="eastAsia" w:ascii="仿宋" w:hAnsi="仿宋" w:eastAsia="仿宋" w:cs="仿宋"/>
          <w:color w:val="auto"/>
          <w:sz w:val="24"/>
          <w:szCs w:val="24"/>
          <w:highlight w:val="none"/>
        </w:rPr>
        <w:t>。</w:t>
      </w:r>
    </w:p>
    <w:p w14:paraId="4AF6B814">
      <w:pPr>
        <w:spacing w:line="600" w:lineRule="auto"/>
        <w:jc w:val="center"/>
        <w:outlineLvl w:val="2"/>
        <w:rPr>
          <w:rFonts w:hint="eastAsia" w:ascii="仿宋" w:hAnsi="仿宋" w:eastAsia="仿宋" w:cs="仿宋"/>
          <w:b/>
          <w:color w:val="auto"/>
          <w:sz w:val="28"/>
          <w:szCs w:val="28"/>
          <w:highlight w:val="none"/>
        </w:rPr>
      </w:pPr>
      <w:bookmarkStart w:id="74" w:name="_Toc22021"/>
      <w:bookmarkStart w:id="75" w:name="_Toc15933"/>
      <w:r>
        <w:rPr>
          <w:rFonts w:hint="eastAsia" w:ascii="仿宋" w:hAnsi="仿宋" w:eastAsia="仿宋" w:cs="仿宋"/>
          <w:b/>
          <w:color w:val="auto"/>
          <w:sz w:val="28"/>
          <w:szCs w:val="28"/>
          <w:highlight w:val="none"/>
        </w:rPr>
        <w:t>十、招标失败条件</w:t>
      </w:r>
      <w:bookmarkEnd w:id="74"/>
      <w:bookmarkEnd w:id="75"/>
    </w:p>
    <w:p w14:paraId="18F5040D">
      <w:pPr>
        <w:pStyle w:val="26"/>
        <w:tabs>
          <w:tab w:val="left" w:pos="720"/>
          <w:tab w:val="left" w:pos="900"/>
          <w:tab w:val="left" w:pos="1260"/>
        </w:tabs>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34.出现影响采购公正的违法、违规行为的；</w:t>
      </w:r>
    </w:p>
    <w:p w14:paraId="123489EF">
      <w:pPr>
        <w:pStyle w:val="26"/>
        <w:tabs>
          <w:tab w:val="left" w:pos="720"/>
          <w:tab w:val="left" w:pos="900"/>
          <w:tab w:val="left" w:pos="1260"/>
        </w:tabs>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35.因重大变故，采购任务取消的；</w:t>
      </w:r>
    </w:p>
    <w:p w14:paraId="64D1F313">
      <w:pPr>
        <w:pStyle w:val="26"/>
        <w:tabs>
          <w:tab w:val="left" w:pos="720"/>
          <w:tab w:val="left" w:pos="900"/>
          <w:tab w:val="left" w:pos="1260"/>
        </w:tabs>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36.招标响应文件截止时间后，实际参与的供应商不足法定家数的；</w:t>
      </w:r>
    </w:p>
    <w:p w14:paraId="0A369031">
      <w:pPr>
        <w:pStyle w:val="26"/>
        <w:tabs>
          <w:tab w:val="left" w:pos="720"/>
          <w:tab w:val="left" w:pos="900"/>
          <w:tab w:val="left" w:pos="1260"/>
        </w:tabs>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37.最终报价均超过采购预算的；</w:t>
      </w:r>
    </w:p>
    <w:p w14:paraId="0769DB46">
      <w:pPr>
        <w:pStyle w:val="13"/>
        <w:overflowPunct w:val="0"/>
        <w:spacing w:line="360" w:lineRule="auto"/>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38.对招标文件作出实质性响应的供应商不足法定家数的；</w:t>
      </w:r>
    </w:p>
    <w:p w14:paraId="2509EB0C">
      <w:pPr>
        <w:spacing w:line="360" w:lineRule="auto"/>
        <w:rPr>
          <w:rFonts w:hint="eastAsia" w:ascii="仿宋" w:hAnsi="仿宋" w:eastAsia="仿宋" w:cs="仿宋"/>
          <w:color w:val="auto"/>
          <w:highlight w:val="none"/>
        </w:rPr>
      </w:pPr>
    </w:p>
    <w:p w14:paraId="230A51E3">
      <w:pPr>
        <w:spacing w:line="360" w:lineRule="auto"/>
        <w:ind w:left="720"/>
        <w:jc w:val="center"/>
        <w:outlineLvl w:val="2"/>
        <w:rPr>
          <w:rFonts w:hint="eastAsia" w:ascii="仿宋" w:hAnsi="仿宋" w:eastAsia="仿宋" w:cs="仿宋"/>
          <w:b/>
          <w:color w:val="auto"/>
          <w:sz w:val="28"/>
          <w:szCs w:val="28"/>
          <w:highlight w:val="none"/>
        </w:rPr>
      </w:pPr>
    </w:p>
    <w:p w14:paraId="230E9AC8">
      <w:pPr>
        <w:numPr>
          <w:ilvl w:val="0"/>
          <w:numId w:val="7"/>
        </w:numPr>
        <w:spacing w:line="720" w:lineRule="auto"/>
        <w:ind w:left="720"/>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质疑及答复</w:t>
      </w:r>
    </w:p>
    <w:p w14:paraId="1F4CA0F0">
      <w:pPr>
        <w:pStyle w:val="21"/>
        <w:numPr>
          <w:ilvl w:val="0"/>
          <w:numId w:val="0"/>
        </w:numPr>
        <w:rPr>
          <w:rFonts w:hint="eastAsia"/>
          <w:color w:val="auto"/>
          <w:highlight w:val="none"/>
        </w:rPr>
      </w:pPr>
    </w:p>
    <w:p w14:paraId="1807E08F">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39、质疑的提出</w:t>
      </w:r>
      <w:r>
        <w:rPr>
          <w:rFonts w:hint="eastAsia" w:ascii="仿宋" w:hAnsi="仿宋" w:eastAsia="仿宋" w:cs="仿宋"/>
          <w:color w:val="auto"/>
          <w:sz w:val="24"/>
          <w:szCs w:val="24"/>
          <w:highlight w:val="none"/>
        </w:rPr>
        <w:tab/>
      </w:r>
    </w:p>
    <w:p w14:paraId="5D12A8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39.1 本采购文件中所称质疑及答复，是指参加本次采购活动的供应商对政府采购活动中的采购文件、采购过程和中标结果向采购方提出质疑，采购方答复质疑的行为。</w:t>
      </w:r>
    </w:p>
    <w:p w14:paraId="21DBCD1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39.2 供应商认为采购文件、采购过程和中标结果使自己的权益受到损害的，可以在知道或者应知其权益受到损害之日起 7 个工作日内，以书面形式向采购方提出质疑。</w:t>
      </w:r>
    </w:p>
    <w:p w14:paraId="2808F72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39.2.1供应商应知其权益受到损害之日，是指：</w:t>
      </w:r>
    </w:p>
    <w:p w14:paraId="0ED0C94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14:paraId="5FB76F8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14:paraId="15CB74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14:paraId="7AECB9B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39.3 对可以质疑的采购文件提出质疑的，质疑人为参与本项目的报价方或潜在报价方。可质疑的文件为采购公告以及采购文件（包括属于其组成部分的澄清、修改、补充文件和评审标准、合同文本等）。</w:t>
      </w:r>
    </w:p>
    <w:p w14:paraId="58D2722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39.4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7AEB265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39.5   提出质疑应当符合下列条件：</w:t>
      </w:r>
    </w:p>
    <w:p w14:paraId="7C4A62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14:paraId="1B4AD42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14:paraId="3CDD555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14:paraId="23C8E9A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14:paraId="7DCFE6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444753F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39.7 质疑人所提供的证明材料应当具有真实性、合法性以及与质疑事项的关联性和证明力，否则不能作为认定该质疑事项成立的依据。</w:t>
      </w:r>
    </w:p>
    <w:p w14:paraId="173745D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39.8 质疑人提出质疑时应当提交质疑函。质疑函包括下列内容：</w:t>
      </w:r>
    </w:p>
    <w:p w14:paraId="0D344C2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14:paraId="0CFA884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515C058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14:paraId="1D71CCB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14:paraId="348D452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14:paraId="3859377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14CC91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39.9  质疑函采用实名制。质疑人为自然人的应当由本人签字，并附有效身份证明文件；质疑人为法人或者非法人组织的应当由法定代表人或者负责人签字并加盖公章，并附有效身份证明文件。</w:t>
      </w:r>
    </w:p>
    <w:p w14:paraId="39F76D6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39.10 质疑人可以委托代理人进行质疑。代理人应当提交授权委托书。授权委托书应当载明委托代理的具体权限、期限和相关事项。</w:t>
      </w:r>
    </w:p>
    <w:p w14:paraId="3EA07635">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40、质疑的审查和受理</w:t>
      </w:r>
    </w:p>
    <w:p w14:paraId="3D5A8E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40.1 采购方在收到质疑函后应当及时审查是否符合质疑受理条件，对符合质疑受理条件的，及时予以受理。</w:t>
      </w:r>
    </w:p>
    <w:p w14:paraId="1BF7880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对不符合质疑受理条件的，分别按照下列不同情形予以处理：</w:t>
      </w:r>
    </w:p>
    <w:p w14:paraId="493E805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615AC32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14:paraId="475AB4E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14:paraId="5E4B6ED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14:paraId="75579FF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14:paraId="69547EF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14:paraId="634B33F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41、质疑的处理和答复</w:t>
      </w:r>
    </w:p>
    <w:p w14:paraId="08C2C89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 按照《政府采购质疑和投诉办法（财政部94号令）》处理及答复质疑。</w:t>
      </w:r>
    </w:p>
    <w:p w14:paraId="3B27F98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 采购方受理质疑后，将及时把质疑函发送给被质疑人，并要求其在一定限期人提交书面答复，同时提供有关证据、依据和相关材料。</w:t>
      </w:r>
    </w:p>
    <w:p w14:paraId="48F7CB8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 对于质疑事项中涉及的问题较多、情况比较复杂的，为了全面查清事实、取得充分的证据，采购方认为有必要时，可以进行调查取证或者组织质证。</w:t>
      </w:r>
    </w:p>
    <w:p w14:paraId="6D0CAE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41.4对评审过程、中标结果提出质疑的，采购方可以组织原评审委员会协助答复质疑。</w:t>
      </w:r>
    </w:p>
    <w:p w14:paraId="0ED68F7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41.5质疑处理过程中，质疑人书面申请撤回质疑的，将终止质疑处理程序。</w:t>
      </w:r>
    </w:p>
    <w:p w14:paraId="710C731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41.6质疑人拒绝配合采购方依法对质疑进行调查处理的，采购方将按质疑人自动撤回质疑处理；被质疑人拒绝配合采购方依法对质疑进行调查处理的，采购方将视同其认可质疑事项。</w:t>
      </w:r>
    </w:p>
    <w:p w14:paraId="623A439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41.7 采购方将在正式受理质疑后 7 个工作日内作出答复，但处理质疑需要进行调查取证、组织专家评审、质疑人及被质疑人提交或补正材料等所需时间，不计算在质疑处理期限内。</w:t>
      </w:r>
    </w:p>
    <w:p w14:paraId="430D854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41.8 采购方经调查、论证、核实，认定质疑不能成立的，继续开展采购活动；认定质疑成立的，按照以下情况处理：</w:t>
      </w:r>
    </w:p>
    <w:p w14:paraId="3115963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1585769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14:paraId="2B89FD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41.9 采购方将书面答复质疑，质疑答复包括下列内容：</w:t>
      </w:r>
    </w:p>
    <w:p w14:paraId="44A3B6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（一）质疑人名称；</w:t>
      </w:r>
    </w:p>
    <w:p w14:paraId="752AF1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14:paraId="20CFFD6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14:paraId="67FCEF5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（四）告知质疑人依法投诉的权利；</w:t>
      </w:r>
    </w:p>
    <w:p w14:paraId="1C1FFC5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（五）质疑答复日期。</w:t>
      </w:r>
    </w:p>
    <w:p w14:paraId="0C4F052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41.10 质疑人有下列行为之一的，属于虚假、恶意质疑，将由采购方建议财政部门将其列入不良行为记录名单，禁止其 1 至 3 年内参加政府采购活动：</w:t>
      </w:r>
    </w:p>
    <w:p w14:paraId="694750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（一）受理后发现投诉不符合法定受理条件；</w:t>
      </w:r>
    </w:p>
    <w:p w14:paraId="290CEF4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（二）投诉事项缺乏事实依据，投诉事项不成立；</w:t>
      </w:r>
    </w:p>
    <w:p w14:paraId="79C137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（三）投诉人捏造事实或者提供虚假材料；</w:t>
      </w:r>
    </w:p>
    <w:p w14:paraId="411F9B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（四）投诉人以非法手段取得证明材料。证据来源的合法性存在明显疑问，投诉人无法证明其取得方式合法的，视为以非法手段取得证明材料。</w:t>
      </w:r>
    </w:p>
    <w:p w14:paraId="00A908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（五）法律法规规定的其他违法情形。</w:t>
      </w:r>
    </w:p>
    <w:p w14:paraId="57E5C10B">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11882933">
      <w:pPr>
        <w:pStyle w:val="79"/>
        <w:spacing w:line="450" w:lineRule="exact"/>
        <w:jc w:val="center"/>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质疑函</w:t>
      </w:r>
    </w:p>
    <w:p w14:paraId="5EA96280">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p>
    <w:p w14:paraId="73299CE1">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依据政府采购相关法规，我公司对</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的项目（项目编号：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）评审活动存在疑问，特提出质疑（详见下表）。</w:t>
      </w:r>
    </w:p>
    <w:p w14:paraId="21B2C590">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我公司和本人对此质疑函内容的真实性负责，并愿意承担由此引起的相应处理和法律责任。</w:t>
      </w:r>
    </w:p>
    <w:p w14:paraId="02B86FED">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法定代表人（签字并盖名章）：</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身份证号码：</w:t>
      </w:r>
    </w:p>
    <w:p w14:paraId="18CB87A4">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固话：</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传真：</w:t>
      </w:r>
      <w:r>
        <w:rPr>
          <w:rFonts w:hint="eastAsia" w:ascii="仿宋" w:hAnsi="仿宋" w:eastAsia="仿宋" w:cs="仿宋"/>
          <w:color w:val="auto"/>
          <w:kern w:val="0"/>
          <w:sz w:val="24"/>
          <w:szCs w:val="24"/>
          <w:highlight w:val="none"/>
        </w:rPr>
        <w:tab/>
      </w:r>
    </w:p>
    <w:p w14:paraId="3CB5B215">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手机：</w:t>
      </w:r>
    </w:p>
    <w:p w14:paraId="3B8A7C23">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本项目授权委托人（签字并盖名章）：</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身份证号码：</w:t>
      </w:r>
    </w:p>
    <w:p w14:paraId="7E8F0BFA">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固话：</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传真：</w:t>
      </w:r>
    </w:p>
    <w:p w14:paraId="1B824007">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手机：</w:t>
      </w:r>
    </w:p>
    <w:p w14:paraId="42C1A9A3">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公司地址：</w:t>
      </w:r>
      <w:r>
        <w:rPr>
          <w:rFonts w:hint="eastAsia" w:ascii="仿宋" w:hAnsi="仿宋" w:eastAsia="仿宋" w:cs="仿宋"/>
          <w:color w:val="auto"/>
          <w:kern w:val="0"/>
          <w:sz w:val="24"/>
          <w:szCs w:val="24"/>
          <w:highlight w:val="none"/>
        </w:rPr>
        <w:tab/>
      </w:r>
    </w:p>
    <w:p w14:paraId="0DE8A5BD">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邮编：</w:t>
      </w:r>
    </w:p>
    <w:p w14:paraId="7F20DD7F">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质疑人（公章）</w:t>
      </w:r>
    </w:p>
    <w:p w14:paraId="6FECCFA2">
      <w:pPr>
        <w:spacing w:line="360" w:lineRule="auto"/>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月 </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日</w:t>
      </w:r>
    </w:p>
    <w:p w14:paraId="6F328432">
      <w:pPr>
        <w:spacing w:line="360" w:lineRule="auto"/>
        <w:jc w:val="center"/>
        <w:rPr>
          <w:rFonts w:hint="eastAsia" w:ascii="仿宋" w:hAnsi="仿宋" w:eastAsia="仿宋" w:cs="仿宋"/>
          <w:color w:val="auto"/>
          <w:kern w:val="0"/>
          <w:sz w:val="24"/>
          <w:szCs w:val="24"/>
          <w:highlight w:val="none"/>
        </w:rPr>
      </w:pPr>
    </w:p>
    <w:p w14:paraId="7FF7997B">
      <w:pP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14:paraId="4E449FB1">
      <w:pPr>
        <w:spacing w:line="360" w:lineRule="auto"/>
        <w:jc w:val="center"/>
        <w:outlineLvl w:val="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质疑内容</w:t>
      </w:r>
    </w:p>
    <w:p w14:paraId="6B55DDC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AE97759">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项目编号：</w:t>
      </w:r>
      <w:r>
        <w:rPr>
          <w:rFonts w:hint="eastAsia" w:ascii="仿宋" w:hAnsi="仿宋" w:eastAsia="仿宋" w:cs="仿宋"/>
          <w:color w:val="auto"/>
          <w:sz w:val="24"/>
          <w:szCs w:val="24"/>
          <w:highlight w:val="none"/>
          <w:u w:val="single"/>
        </w:rPr>
        <w:t xml:space="preserve">                        </w:t>
      </w:r>
    </w:p>
    <w:tbl>
      <w:tblPr>
        <w:tblStyle w:val="45"/>
        <w:tblW w:w="8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7409"/>
      </w:tblGrid>
      <w:tr w14:paraId="2559A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823" w:type="dxa"/>
            <w:vMerge w:val="restart"/>
            <w:noWrap w:val="0"/>
            <w:vAlign w:val="center"/>
          </w:tcPr>
          <w:p w14:paraId="393CD047">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具体内容</w:t>
            </w:r>
          </w:p>
        </w:tc>
        <w:tc>
          <w:tcPr>
            <w:tcW w:w="7409" w:type="dxa"/>
            <w:noWrap w:val="0"/>
            <w:vAlign w:val="center"/>
          </w:tcPr>
          <w:p w14:paraId="0A9ABCB8">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质疑事项：</w:t>
            </w:r>
          </w:p>
        </w:tc>
      </w:tr>
      <w:tr w14:paraId="453A5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823" w:type="dxa"/>
            <w:vMerge w:val="continue"/>
            <w:noWrap w:val="0"/>
            <w:vAlign w:val="center"/>
          </w:tcPr>
          <w:p w14:paraId="75D40CE0">
            <w:pPr>
              <w:spacing w:line="360" w:lineRule="auto"/>
              <w:jc w:val="center"/>
              <w:rPr>
                <w:rFonts w:hint="eastAsia" w:ascii="仿宋" w:hAnsi="仿宋" w:eastAsia="仿宋" w:cs="仿宋"/>
                <w:color w:val="auto"/>
                <w:kern w:val="0"/>
                <w:sz w:val="24"/>
                <w:szCs w:val="24"/>
                <w:highlight w:val="none"/>
              </w:rPr>
            </w:pPr>
          </w:p>
        </w:tc>
        <w:tc>
          <w:tcPr>
            <w:tcW w:w="7409" w:type="dxa"/>
            <w:noWrap w:val="0"/>
            <w:vAlign w:val="center"/>
          </w:tcPr>
          <w:p w14:paraId="17ABC12C">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主要内容：</w:t>
            </w:r>
          </w:p>
        </w:tc>
      </w:tr>
      <w:tr w14:paraId="60A28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823" w:type="dxa"/>
            <w:vMerge w:val="continue"/>
            <w:noWrap w:val="0"/>
            <w:vAlign w:val="center"/>
          </w:tcPr>
          <w:p w14:paraId="502D1565">
            <w:pPr>
              <w:spacing w:line="360" w:lineRule="auto"/>
              <w:jc w:val="center"/>
              <w:rPr>
                <w:rFonts w:hint="eastAsia" w:ascii="仿宋" w:hAnsi="仿宋" w:eastAsia="仿宋" w:cs="仿宋"/>
                <w:color w:val="auto"/>
                <w:kern w:val="0"/>
                <w:sz w:val="24"/>
                <w:szCs w:val="24"/>
                <w:highlight w:val="none"/>
              </w:rPr>
            </w:pPr>
          </w:p>
        </w:tc>
        <w:tc>
          <w:tcPr>
            <w:tcW w:w="7409" w:type="dxa"/>
            <w:noWrap w:val="0"/>
            <w:vAlign w:val="center"/>
          </w:tcPr>
          <w:p w14:paraId="154E5F61">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事实依据：</w:t>
            </w:r>
          </w:p>
        </w:tc>
      </w:tr>
      <w:tr w14:paraId="58A92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823" w:type="dxa"/>
            <w:vMerge w:val="continue"/>
            <w:noWrap w:val="0"/>
            <w:vAlign w:val="center"/>
          </w:tcPr>
          <w:p w14:paraId="5FE59EC9">
            <w:pPr>
              <w:spacing w:line="360" w:lineRule="auto"/>
              <w:jc w:val="center"/>
              <w:rPr>
                <w:rFonts w:hint="eastAsia" w:ascii="仿宋" w:hAnsi="仿宋" w:eastAsia="仿宋" w:cs="仿宋"/>
                <w:color w:val="auto"/>
                <w:kern w:val="0"/>
                <w:sz w:val="24"/>
                <w:szCs w:val="24"/>
                <w:highlight w:val="none"/>
              </w:rPr>
            </w:pPr>
          </w:p>
        </w:tc>
        <w:tc>
          <w:tcPr>
            <w:tcW w:w="7409" w:type="dxa"/>
            <w:noWrap w:val="0"/>
            <w:vAlign w:val="center"/>
          </w:tcPr>
          <w:p w14:paraId="29DFFD13">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适应法规条款：</w:t>
            </w:r>
          </w:p>
        </w:tc>
      </w:tr>
      <w:tr w14:paraId="3555D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3" w:type="dxa"/>
            <w:vMerge w:val="continue"/>
            <w:noWrap w:val="0"/>
            <w:vAlign w:val="center"/>
          </w:tcPr>
          <w:p w14:paraId="03E07C00">
            <w:pPr>
              <w:spacing w:line="360" w:lineRule="auto"/>
              <w:jc w:val="center"/>
              <w:rPr>
                <w:rFonts w:hint="eastAsia" w:ascii="仿宋" w:hAnsi="仿宋" w:eastAsia="仿宋" w:cs="仿宋"/>
                <w:color w:val="auto"/>
                <w:kern w:val="0"/>
                <w:sz w:val="24"/>
                <w:szCs w:val="24"/>
                <w:highlight w:val="none"/>
              </w:rPr>
            </w:pPr>
          </w:p>
        </w:tc>
        <w:tc>
          <w:tcPr>
            <w:tcW w:w="7409" w:type="dxa"/>
            <w:noWrap w:val="0"/>
            <w:vAlign w:val="top"/>
          </w:tcPr>
          <w:p w14:paraId="69E9379F">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佐证材料：</w:t>
            </w:r>
          </w:p>
        </w:tc>
      </w:tr>
    </w:tbl>
    <w:p w14:paraId="76C8ACC6">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p w14:paraId="343A373D">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664A687C">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授权本项目评审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34E7DF1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3、“具体的质疑事项及事实依据”一栏填写不下时，质疑人可另附页（A4），但附纸要求加盖质疑人公章。</w:t>
      </w:r>
    </w:p>
    <w:p w14:paraId="12B91078">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4、与质疑事项有关的材料应与质疑函合并装订。</w:t>
      </w:r>
    </w:p>
    <w:p w14:paraId="190A2991">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5、质疑函一式三份。</w:t>
      </w:r>
    </w:p>
    <w:p w14:paraId="38F8AFCD">
      <w:pPr>
        <w:pStyle w:val="13"/>
        <w:rPr>
          <w:rFonts w:hint="eastAsia" w:ascii="仿宋" w:hAnsi="仿宋" w:eastAsia="仿宋" w:cs="仿宋"/>
          <w:color w:val="auto"/>
          <w:highlight w:val="none"/>
        </w:rPr>
      </w:pPr>
      <w:r>
        <w:rPr>
          <w:rFonts w:hint="eastAsia" w:ascii="仿宋" w:hAnsi="仿宋" w:eastAsia="仿宋" w:cs="仿宋"/>
          <w:color w:val="auto"/>
          <w:highlight w:val="none"/>
        </w:rPr>
        <w:br w:type="page"/>
      </w:r>
    </w:p>
    <w:bookmarkEnd w:id="55"/>
    <w:bookmarkEnd w:id="56"/>
    <w:p w14:paraId="5E012FD4">
      <w:pPr>
        <w:keepNext w:val="0"/>
        <w:keepLines w:val="0"/>
        <w:widowControl/>
        <w:numPr>
          <w:ilvl w:val="0"/>
          <w:numId w:val="0"/>
        </w:numPr>
        <w:suppressLineNumbers w:val="0"/>
        <w:spacing w:line="360" w:lineRule="auto"/>
        <w:jc w:val="center"/>
        <w:rPr>
          <w:rFonts w:hint="eastAsia" w:ascii="仿宋" w:hAnsi="仿宋" w:eastAsia="仿宋" w:cs="仿宋"/>
          <w:b/>
          <w:bCs/>
          <w:color w:val="auto"/>
          <w:kern w:val="0"/>
          <w:sz w:val="36"/>
          <w:szCs w:val="36"/>
          <w:highlight w:val="none"/>
          <w:lang w:val="en-US" w:eastAsia="zh-CN" w:bidi="ar"/>
        </w:rPr>
      </w:pPr>
      <w:bookmarkStart w:id="76" w:name="_Toc1354"/>
      <w:bookmarkStart w:id="77" w:name="_Toc23028"/>
      <w:bookmarkStart w:id="78" w:name="_Toc6417"/>
      <w:bookmarkStart w:id="79" w:name="_Toc20110"/>
      <w:bookmarkStart w:id="80" w:name="_Toc29710"/>
      <w:r>
        <w:rPr>
          <w:rFonts w:hint="eastAsia" w:ascii="仿宋" w:hAnsi="仿宋" w:eastAsia="仿宋" w:cs="仿宋"/>
          <w:b/>
          <w:bCs/>
          <w:color w:val="auto"/>
          <w:kern w:val="0"/>
          <w:sz w:val="36"/>
          <w:szCs w:val="36"/>
          <w:highlight w:val="none"/>
          <w:lang w:val="en-US" w:eastAsia="zh-CN" w:bidi="ar"/>
        </w:rPr>
        <w:t>第二章  评标办法及标准</w:t>
      </w:r>
    </w:p>
    <w:tbl>
      <w:tblPr>
        <w:tblStyle w:val="45"/>
        <w:tblW w:w="99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05"/>
        <w:gridCol w:w="6907"/>
        <w:gridCol w:w="836"/>
        <w:gridCol w:w="977"/>
      </w:tblGrid>
      <w:tr w14:paraId="643DD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540" w:type="dxa"/>
            <w:vMerge w:val="restart"/>
            <w:vAlign w:val="center"/>
          </w:tcPr>
          <w:p w14:paraId="68B568E3">
            <w:pPr>
              <w:pStyle w:val="142"/>
              <w:keepNext w:val="0"/>
              <w:keepLines w:val="0"/>
              <w:pageBreakBefore w:val="0"/>
              <w:widowControl w:val="0"/>
              <w:kinsoku/>
              <w:wordWrap/>
              <w:overflowPunct/>
              <w:topLinePunct w:val="0"/>
              <w:autoSpaceDE/>
              <w:autoSpaceDN/>
              <w:bidi w:val="0"/>
              <w:adjustRightInd/>
              <w:snapToGrid/>
              <w:spacing w:before="39" w:line="276" w:lineRule="auto"/>
              <w:ind w:left="219" w:right="211"/>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资格性评审</w:t>
            </w:r>
          </w:p>
        </w:tc>
        <w:tc>
          <w:tcPr>
            <w:tcW w:w="705" w:type="dxa"/>
            <w:vMerge w:val="restart"/>
            <w:vAlign w:val="center"/>
          </w:tcPr>
          <w:p w14:paraId="23468E9D">
            <w:pPr>
              <w:pStyle w:val="142"/>
              <w:keepNext w:val="0"/>
              <w:keepLines w:val="0"/>
              <w:pageBreakBefore w:val="0"/>
              <w:widowControl w:val="0"/>
              <w:kinsoku/>
              <w:wordWrap/>
              <w:overflowPunct/>
              <w:topLinePunct w:val="0"/>
              <w:autoSpaceDE/>
              <w:autoSpaceDN/>
              <w:bidi w:val="0"/>
              <w:adjustRightInd/>
              <w:snapToGrid/>
              <w:spacing w:before="39" w:line="276" w:lineRule="auto"/>
              <w:ind w:left="208" w:right="197"/>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907" w:type="dxa"/>
            <w:vMerge w:val="restart"/>
            <w:vAlign w:val="center"/>
          </w:tcPr>
          <w:p w14:paraId="332A87AF">
            <w:pPr>
              <w:pStyle w:val="142"/>
              <w:keepNext w:val="0"/>
              <w:keepLines w:val="0"/>
              <w:pageBreakBefore w:val="0"/>
              <w:widowControl w:val="0"/>
              <w:kinsoku/>
              <w:wordWrap/>
              <w:overflowPunct/>
              <w:topLinePunct w:val="0"/>
              <w:autoSpaceDE/>
              <w:autoSpaceDN/>
              <w:bidi w:val="0"/>
              <w:adjustRightInd/>
              <w:snapToGrid/>
              <w:spacing w:before="10" w:line="276" w:lineRule="auto"/>
              <w:jc w:val="center"/>
              <w:textAlignment w:val="auto"/>
              <w:rPr>
                <w:rFonts w:hint="eastAsia" w:ascii="仿宋" w:hAnsi="仿宋" w:eastAsia="仿宋" w:cs="仿宋"/>
                <w:b/>
                <w:color w:val="auto"/>
                <w:sz w:val="24"/>
                <w:szCs w:val="24"/>
                <w:highlight w:val="none"/>
              </w:rPr>
            </w:pPr>
          </w:p>
          <w:p w14:paraId="0A116306">
            <w:pPr>
              <w:pStyle w:val="142"/>
              <w:keepNext w:val="0"/>
              <w:keepLines w:val="0"/>
              <w:pageBreakBefore w:val="0"/>
              <w:widowControl w:val="0"/>
              <w:kinsoku/>
              <w:wordWrap/>
              <w:overflowPunct/>
              <w:topLinePunct w:val="0"/>
              <w:autoSpaceDE/>
              <w:autoSpaceDN/>
              <w:bidi w:val="0"/>
              <w:adjustRightInd/>
              <w:snapToGrid/>
              <w:spacing w:before="1" w:line="276" w:lineRule="auto"/>
              <w:ind w:right="3083"/>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评审内容</w:t>
            </w:r>
          </w:p>
        </w:tc>
        <w:tc>
          <w:tcPr>
            <w:tcW w:w="1813" w:type="dxa"/>
            <w:gridSpan w:val="2"/>
            <w:vAlign w:val="center"/>
          </w:tcPr>
          <w:p w14:paraId="551EEDB1">
            <w:pPr>
              <w:pStyle w:val="142"/>
              <w:keepNext w:val="0"/>
              <w:keepLines w:val="0"/>
              <w:pageBreakBefore w:val="0"/>
              <w:widowControl w:val="0"/>
              <w:kinsoku/>
              <w:wordWrap/>
              <w:overflowPunct/>
              <w:topLinePunct w:val="0"/>
              <w:autoSpaceDE/>
              <w:autoSpaceDN/>
              <w:bidi w:val="0"/>
              <w:adjustRightInd/>
              <w:snapToGrid/>
              <w:spacing w:before="1" w:line="276" w:lineRule="auto"/>
              <w:ind w:left="436"/>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评审方法</w:t>
            </w:r>
          </w:p>
        </w:tc>
      </w:tr>
      <w:tr w14:paraId="46A41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 w:hRule="atLeast"/>
          <w:jc w:val="center"/>
        </w:trPr>
        <w:tc>
          <w:tcPr>
            <w:tcW w:w="540" w:type="dxa"/>
            <w:vMerge w:val="continue"/>
            <w:vAlign w:val="center"/>
          </w:tcPr>
          <w:p w14:paraId="2B749C4F">
            <w:pPr>
              <w:pStyle w:val="142"/>
              <w:keepNext w:val="0"/>
              <w:keepLines w:val="0"/>
              <w:pageBreakBefore w:val="0"/>
              <w:widowControl w:val="0"/>
              <w:kinsoku/>
              <w:wordWrap/>
              <w:overflowPunct/>
              <w:topLinePunct w:val="0"/>
              <w:autoSpaceDE/>
              <w:autoSpaceDN/>
              <w:bidi w:val="0"/>
              <w:adjustRightInd/>
              <w:snapToGrid/>
              <w:spacing w:before="39" w:line="276" w:lineRule="auto"/>
              <w:ind w:left="219" w:right="211"/>
              <w:jc w:val="center"/>
              <w:textAlignment w:val="auto"/>
              <w:rPr>
                <w:rFonts w:hint="eastAsia" w:ascii="仿宋" w:hAnsi="仿宋" w:eastAsia="仿宋" w:cs="仿宋"/>
                <w:color w:val="auto"/>
                <w:sz w:val="24"/>
                <w:szCs w:val="24"/>
                <w:highlight w:val="none"/>
              </w:rPr>
            </w:pPr>
          </w:p>
        </w:tc>
        <w:tc>
          <w:tcPr>
            <w:tcW w:w="705" w:type="dxa"/>
            <w:vMerge w:val="continue"/>
            <w:vAlign w:val="center"/>
          </w:tcPr>
          <w:p w14:paraId="3D23087C">
            <w:pPr>
              <w:pStyle w:val="142"/>
              <w:keepNext w:val="0"/>
              <w:keepLines w:val="0"/>
              <w:pageBreakBefore w:val="0"/>
              <w:widowControl w:val="0"/>
              <w:kinsoku/>
              <w:wordWrap/>
              <w:overflowPunct/>
              <w:topLinePunct w:val="0"/>
              <w:autoSpaceDE/>
              <w:autoSpaceDN/>
              <w:bidi w:val="0"/>
              <w:adjustRightInd/>
              <w:snapToGrid/>
              <w:spacing w:before="39" w:line="276" w:lineRule="auto"/>
              <w:ind w:left="208" w:right="197"/>
              <w:jc w:val="center"/>
              <w:textAlignment w:val="auto"/>
              <w:rPr>
                <w:rFonts w:hint="eastAsia" w:ascii="仿宋" w:hAnsi="仿宋" w:eastAsia="仿宋" w:cs="仿宋"/>
                <w:color w:val="auto"/>
                <w:sz w:val="24"/>
                <w:szCs w:val="24"/>
                <w:highlight w:val="none"/>
              </w:rPr>
            </w:pPr>
          </w:p>
        </w:tc>
        <w:tc>
          <w:tcPr>
            <w:tcW w:w="6907" w:type="dxa"/>
            <w:vMerge w:val="continue"/>
            <w:vAlign w:val="center"/>
          </w:tcPr>
          <w:p w14:paraId="67F8F8D3">
            <w:pPr>
              <w:pStyle w:val="142"/>
              <w:keepNext w:val="0"/>
              <w:keepLines w:val="0"/>
              <w:pageBreakBefore w:val="0"/>
              <w:widowControl w:val="0"/>
              <w:kinsoku/>
              <w:wordWrap/>
              <w:overflowPunct/>
              <w:topLinePunct w:val="0"/>
              <w:autoSpaceDE/>
              <w:autoSpaceDN/>
              <w:bidi w:val="0"/>
              <w:adjustRightInd/>
              <w:snapToGrid/>
              <w:spacing w:before="1" w:line="276" w:lineRule="auto"/>
              <w:ind w:right="3083"/>
              <w:jc w:val="center"/>
              <w:textAlignment w:val="auto"/>
              <w:rPr>
                <w:rFonts w:hint="eastAsia" w:ascii="仿宋" w:hAnsi="仿宋" w:eastAsia="仿宋" w:cs="仿宋"/>
                <w:color w:val="auto"/>
                <w:sz w:val="24"/>
                <w:szCs w:val="24"/>
                <w:highlight w:val="none"/>
              </w:rPr>
            </w:pPr>
          </w:p>
        </w:tc>
        <w:tc>
          <w:tcPr>
            <w:tcW w:w="836" w:type="dxa"/>
            <w:vAlign w:val="center"/>
          </w:tcPr>
          <w:p w14:paraId="606E3007">
            <w:pPr>
              <w:pStyle w:val="142"/>
              <w:keepNext w:val="0"/>
              <w:keepLines w:val="0"/>
              <w:pageBreakBefore w:val="0"/>
              <w:widowControl w:val="0"/>
              <w:kinsoku/>
              <w:wordWrap/>
              <w:overflowPunct/>
              <w:topLinePunct w:val="0"/>
              <w:autoSpaceDE/>
              <w:autoSpaceDN/>
              <w:bidi w:val="0"/>
              <w:adjustRightInd/>
              <w:snapToGrid/>
              <w:spacing w:before="124" w:line="276" w:lineRule="auto"/>
              <w:ind w:left="162"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p>
        </w:tc>
        <w:tc>
          <w:tcPr>
            <w:tcW w:w="977" w:type="dxa"/>
            <w:vAlign w:val="center"/>
          </w:tcPr>
          <w:p w14:paraId="415DAF04">
            <w:pPr>
              <w:pStyle w:val="142"/>
              <w:keepNext w:val="0"/>
              <w:keepLines w:val="0"/>
              <w:pageBreakBefore w:val="0"/>
              <w:widowControl w:val="0"/>
              <w:kinsoku/>
              <w:wordWrap/>
              <w:overflowPunct/>
              <w:topLinePunct w:val="0"/>
              <w:autoSpaceDE/>
              <w:autoSpaceDN/>
              <w:bidi w:val="0"/>
              <w:adjustRightInd/>
              <w:snapToGrid/>
              <w:spacing w:before="124" w:line="276" w:lineRule="auto"/>
              <w:ind w:left="154"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不通过</w:t>
            </w:r>
          </w:p>
        </w:tc>
      </w:tr>
      <w:tr w14:paraId="6BCBD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 w:hRule="atLeast"/>
          <w:jc w:val="center"/>
        </w:trPr>
        <w:tc>
          <w:tcPr>
            <w:tcW w:w="540" w:type="dxa"/>
            <w:vMerge w:val="continue"/>
            <w:vAlign w:val="center"/>
          </w:tcPr>
          <w:p w14:paraId="45F9804D">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14:paraId="1DD5DDC6">
            <w:pPr>
              <w:pStyle w:val="142"/>
              <w:keepNext w:val="0"/>
              <w:keepLines w:val="0"/>
              <w:pageBreakBefore w:val="0"/>
              <w:widowControl w:val="0"/>
              <w:kinsoku/>
              <w:wordWrap/>
              <w:overflowPunct/>
              <w:topLinePunct w:val="0"/>
              <w:autoSpaceDE/>
              <w:autoSpaceDN/>
              <w:bidi w:val="0"/>
              <w:adjustRightInd/>
              <w:snapToGrid/>
              <w:spacing w:before="140" w:line="276" w:lineRule="auto"/>
              <w:ind w:left="9"/>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1</w:t>
            </w:r>
          </w:p>
        </w:tc>
        <w:tc>
          <w:tcPr>
            <w:tcW w:w="6907" w:type="dxa"/>
            <w:vAlign w:val="center"/>
          </w:tcPr>
          <w:p w14:paraId="6B97B8CF">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left"/>
              <w:textAlignment w:val="auto"/>
              <w:outlineLvl w:val="9"/>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是否提供经年审合格（三证合一）的营业执照或（统一社会信用代码证书）；</w:t>
            </w:r>
          </w:p>
        </w:tc>
        <w:tc>
          <w:tcPr>
            <w:tcW w:w="836" w:type="dxa"/>
            <w:vAlign w:val="center"/>
          </w:tcPr>
          <w:p w14:paraId="19F0DC2B">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14:paraId="7E0BB04B">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14:paraId="55B8A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540" w:type="dxa"/>
            <w:vMerge w:val="continue"/>
            <w:vAlign w:val="center"/>
          </w:tcPr>
          <w:p w14:paraId="18CFB5F4">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14:paraId="59DAA044">
            <w:pPr>
              <w:pStyle w:val="142"/>
              <w:keepNext w:val="0"/>
              <w:keepLines w:val="0"/>
              <w:pageBreakBefore w:val="0"/>
              <w:widowControl w:val="0"/>
              <w:kinsoku/>
              <w:wordWrap/>
              <w:overflowPunct/>
              <w:topLinePunct w:val="0"/>
              <w:autoSpaceDE/>
              <w:autoSpaceDN/>
              <w:bidi w:val="0"/>
              <w:adjustRightInd/>
              <w:snapToGrid/>
              <w:spacing w:before="140" w:line="276" w:lineRule="auto"/>
              <w:ind w:left="9"/>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2</w:t>
            </w:r>
          </w:p>
        </w:tc>
        <w:tc>
          <w:tcPr>
            <w:tcW w:w="6907" w:type="dxa"/>
            <w:vAlign w:val="center"/>
          </w:tcPr>
          <w:p w14:paraId="754B4724">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left"/>
              <w:textAlignment w:val="auto"/>
              <w:outlineLvl w:val="9"/>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是否提供法定代表人身份证明书及法定代表人身份证复印件或法定代表人授权委托书及委托代理人身份证复印件；</w:t>
            </w:r>
          </w:p>
        </w:tc>
        <w:tc>
          <w:tcPr>
            <w:tcW w:w="836" w:type="dxa"/>
            <w:vAlign w:val="center"/>
          </w:tcPr>
          <w:p w14:paraId="56BD1A4B">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14:paraId="7D97FA69">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14:paraId="1E06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540" w:type="dxa"/>
            <w:vMerge w:val="continue"/>
            <w:vAlign w:val="center"/>
          </w:tcPr>
          <w:p w14:paraId="5702CE19">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14:paraId="1954FF31">
            <w:pPr>
              <w:pStyle w:val="142"/>
              <w:keepNext w:val="0"/>
              <w:keepLines w:val="0"/>
              <w:pageBreakBefore w:val="0"/>
              <w:widowControl w:val="0"/>
              <w:kinsoku/>
              <w:wordWrap/>
              <w:overflowPunct/>
              <w:topLinePunct w:val="0"/>
              <w:autoSpaceDE/>
              <w:autoSpaceDN/>
              <w:bidi w:val="0"/>
              <w:adjustRightInd/>
              <w:snapToGrid/>
              <w:spacing w:before="140" w:line="276" w:lineRule="auto"/>
              <w:ind w:left="9"/>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3</w:t>
            </w:r>
          </w:p>
        </w:tc>
        <w:tc>
          <w:tcPr>
            <w:tcW w:w="6907" w:type="dxa"/>
            <w:vAlign w:val="center"/>
          </w:tcPr>
          <w:p w14:paraId="1A95E5AF">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left"/>
              <w:textAlignment w:val="auto"/>
              <w:outlineLvl w:val="9"/>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是否提供</w:t>
            </w:r>
            <w:r>
              <w:rPr>
                <w:rFonts w:hint="eastAsia" w:ascii="仿宋" w:hAnsi="仿宋" w:eastAsia="仿宋" w:cs="仿宋"/>
                <w:color w:val="auto"/>
                <w:sz w:val="24"/>
                <w:szCs w:val="24"/>
                <w:highlight w:val="none"/>
                <w:lang w:val="en-US" w:eastAsia="zh-CN"/>
              </w:rPr>
              <w:t>2024年度由第三方财务审计机构出具的财务审计报告（2025年新成立的公司可不提供但需提供银行出具的近三个月的资信证明）</w:t>
            </w: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w:t>
            </w:r>
          </w:p>
        </w:tc>
        <w:tc>
          <w:tcPr>
            <w:tcW w:w="836" w:type="dxa"/>
            <w:vAlign w:val="center"/>
          </w:tcPr>
          <w:p w14:paraId="1DCBDC42">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14:paraId="4FE1CC5D">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14:paraId="66026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540" w:type="dxa"/>
            <w:vMerge w:val="continue"/>
            <w:vAlign w:val="center"/>
          </w:tcPr>
          <w:p w14:paraId="7986DC8E">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14:paraId="76619F5D">
            <w:pPr>
              <w:pStyle w:val="142"/>
              <w:keepNext w:val="0"/>
              <w:keepLines w:val="0"/>
              <w:pageBreakBefore w:val="0"/>
              <w:widowControl w:val="0"/>
              <w:kinsoku/>
              <w:wordWrap/>
              <w:overflowPunct/>
              <w:topLinePunct w:val="0"/>
              <w:autoSpaceDE/>
              <w:autoSpaceDN/>
              <w:bidi w:val="0"/>
              <w:adjustRightInd/>
              <w:snapToGrid/>
              <w:spacing w:before="140" w:line="276" w:lineRule="auto"/>
              <w:ind w:left="9"/>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4</w:t>
            </w:r>
          </w:p>
        </w:tc>
        <w:tc>
          <w:tcPr>
            <w:tcW w:w="6907" w:type="dxa"/>
            <w:vAlign w:val="center"/>
          </w:tcPr>
          <w:p w14:paraId="3A37A929">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left"/>
              <w:textAlignment w:val="auto"/>
              <w:outlineLvl w:val="9"/>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是否提供</w:t>
            </w:r>
            <w:r>
              <w:rPr>
                <w:rFonts w:hint="eastAsia" w:ascii="仿宋" w:hAnsi="仿宋" w:eastAsia="仿宋" w:cs="仿宋"/>
                <w:color w:val="auto"/>
                <w:sz w:val="24"/>
                <w:szCs w:val="24"/>
                <w:highlight w:val="none"/>
                <w:lang w:val="en-US" w:eastAsia="zh-CN"/>
              </w:rPr>
              <w:t>本单位2025年2月至2025年6月社保缴费凭证，成立不足五个月的按实际提供，</w:t>
            </w: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w:t>
            </w:r>
            <w:r>
              <w:rPr>
                <w:rFonts w:hint="eastAsia" w:ascii="仿宋" w:hAnsi="仿宋" w:eastAsia="仿宋" w:cs="仿宋"/>
                <w:color w:val="auto"/>
                <w:sz w:val="24"/>
                <w:szCs w:val="24"/>
                <w:highlight w:val="none"/>
                <w:lang w:val="en-US" w:eastAsia="zh-CN"/>
              </w:rPr>
              <w:t>提供税务机关出具近五个月（2025年2月至2025年6月）的完税证明（新成立不足五个月的，按实际情况发生提供）</w:t>
            </w: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w:t>
            </w:r>
          </w:p>
        </w:tc>
        <w:tc>
          <w:tcPr>
            <w:tcW w:w="836" w:type="dxa"/>
            <w:vAlign w:val="center"/>
          </w:tcPr>
          <w:p w14:paraId="42F9565F">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14:paraId="28461BCE">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14:paraId="5F0AF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540" w:type="dxa"/>
            <w:vMerge w:val="continue"/>
            <w:vAlign w:val="center"/>
          </w:tcPr>
          <w:p w14:paraId="250273D0">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14:paraId="5F9FF3C2">
            <w:pPr>
              <w:pStyle w:val="142"/>
              <w:keepNext w:val="0"/>
              <w:keepLines w:val="0"/>
              <w:pageBreakBefore w:val="0"/>
              <w:widowControl w:val="0"/>
              <w:kinsoku/>
              <w:wordWrap/>
              <w:overflowPunct/>
              <w:topLinePunct w:val="0"/>
              <w:autoSpaceDE/>
              <w:autoSpaceDN/>
              <w:bidi w:val="0"/>
              <w:adjustRightInd/>
              <w:snapToGrid/>
              <w:spacing w:before="140" w:line="276" w:lineRule="auto"/>
              <w:ind w:left="9"/>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5</w:t>
            </w:r>
          </w:p>
        </w:tc>
        <w:tc>
          <w:tcPr>
            <w:tcW w:w="6907" w:type="dxa"/>
            <w:vAlign w:val="center"/>
          </w:tcPr>
          <w:p w14:paraId="5ADEEF8A">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left"/>
              <w:textAlignment w:val="auto"/>
              <w:outlineLvl w:val="9"/>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是否提供</w:t>
            </w:r>
            <w:r>
              <w:rPr>
                <w:rFonts w:hint="eastAsia" w:ascii="仿宋" w:hAnsi="仿宋" w:eastAsia="仿宋" w:cs="仿宋"/>
                <w:color w:val="auto"/>
                <w:sz w:val="24"/>
                <w:szCs w:val="24"/>
                <w:highlight w:val="none"/>
                <w:lang w:val="en-US" w:eastAsia="zh-CN"/>
              </w:rPr>
              <w:t>①“信用中国”网站（www.creditchina.gov.cn）；②中国政府采购网（www.ccgp.gov.cn）网站查询截图</w:t>
            </w: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；未</w:t>
            </w:r>
            <w:r>
              <w:rPr>
                <w:rFonts w:hint="eastAsia" w:ascii="仿宋" w:hAnsi="仿宋" w:eastAsia="仿宋" w:cs="仿宋"/>
                <w:color w:val="auto"/>
                <w:sz w:val="24"/>
                <w:szCs w:val="24"/>
                <w:highlight w:val="none"/>
                <w:lang w:val="en-US" w:eastAsia="zh-CN"/>
              </w:rPr>
              <w:t>被列入失信被执行人、重大税收违法案件当事人名单、政府采购严重违法失信行为记录名单的（尚在处罚期内的）、经营异常名录</w:t>
            </w:r>
          </w:p>
        </w:tc>
        <w:tc>
          <w:tcPr>
            <w:tcW w:w="836" w:type="dxa"/>
            <w:vAlign w:val="center"/>
          </w:tcPr>
          <w:p w14:paraId="468E8AFA">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14:paraId="7CE7CDB9">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14:paraId="54DFD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540" w:type="dxa"/>
            <w:vMerge w:val="continue"/>
            <w:vAlign w:val="center"/>
          </w:tcPr>
          <w:p w14:paraId="6036F72F">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14:paraId="28E95BE0">
            <w:pPr>
              <w:pStyle w:val="142"/>
              <w:keepNext w:val="0"/>
              <w:keepLines w:val="0"/>
              <w:pageBreakBefore w:val="0"/>
              <w:widowControl w:val="0"/>
              <w:kinsoku/>
              <w:wordWrap/>
              <w:overflowPunct/>
              <w:topLinePunct w:val="0"/>
              <w:autoSpaceDE/>
              <w:autoSpaceDN/>
              <w:bidi w:val="0"/>
              <w:adjustRightInd/>
              <w:snapToGrid/>
              <w:spacing w:before="140" w:line="276" w:lineRule="auto"/>
              <w:ind w:left="9"/>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6</w:t>
            </w:r>
          </w:p>
        </w:tc>
        <w:tc>
          <w:tcPr>
            <w:tcW w:w="6907" w:type="dxa"/>
            <w:vAlign w:val="center"/>
          </w:tcPr>
          <w:p w14:paraId="090E2006">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0" w:firstLineChars="0"/>
              <w:jc w:val="left"/>
              <w:textAlignment w:val="auto"/>
              <w:outlineLvl w:val="9"/>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是否提供</w:t>
            </w:r>
            <w:r>
              <w:rPr>
                <w:rFonts w:hint="eastAsia" w:ascii="仿宋" w:hAnsi="仿宋" w:eastAsia="仿宋" w:cs="仿宋"/>
                <w:color w:val="auto"/>
                <w:sz w:val="24"/>
                <w:szCs w:val="24"/>
                <w:highlight w:val="none"/>
                <w:lang w:val="en-US" w:eastAsia="zh-CN"/>
              </w:rPr>
              <w:t>提供参加政府采购活动前三年内，在经营活动中没有重大违法记录的书面声明</w:t>
            </w: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w:t>
            </w:r>
          </w:p>
        </w:tc>
        <w:tc>
          <w:tcPr>
            <w:tcW w:w="836" w:type="dxa"/>
            <w:vAlign w:val="center"/>
          </w:tcPr>
          <w:p w14:paraId="3F0D479C">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14:paraId="6BBE902B">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14:paraId="31636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540" w:type="dxa"/>
            <w:vMerge w:val="continue"/>
            <w:vAlign w:val="center"/>
          </w:tcPr>
          <w:p w14:paraId="602623A8">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14:paraId="6ACE765F">
            <w:pPr>
              <w:pStyle w:val="142"/>
              <w:keepNext w:val="0"/>
              <w:keepLines w:val="0"/>
              <w:pageBreakBefore w:val="0"/>
              <w:widowControl w:val="0"/>
              <w:kinsoku/>
              <w:wordWrap/>
              <w:overflowPunct/>
              <w:topLinePunct w:val="0"/>
              <w:autoSpaceDE/>
              <w:autoSpaceDN/>
              <w:bidi w:val="0"/>
              <w:adjustRightInd/>
              <w:snapToGrid/>
              <w:spacing w:before="140" w:line="276" w:lineRule="auto"/>
              <w:ind w:left="9"/>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7</w:t>
            </w:r>
          </w:p>
        </w:tc>
        <w:tc>
          <w:tcPr>
            <w:tcW w:w="6907" w:type="dxa"/>
            <w:vAlign w:val="center"/>
          </w:tcPr>
          <w:p w14:paraId="448DCCDE">
            <w:pPr>
              <w:pStyle w:val="142"/>
              <w:keepNext w:val="0"/>
              <w:keepLines w:val="0"/>
              <w:pageBreakBefore w:val="0"/>
              <w:widowControl w:val="0"/>
              <w:kinsoku/>
              <w:wordWrap/>
              <w:overflowPunct/>
              <w:topLinePunct w:val="0"/>
              <w:autoSpaceDE/>
              <w:autoSpaceDN/>
              <w:bidi w:val="0"/>
              <w:adjustRightInd/>
              <w:snapToGrid/>
              <w:spacing w:before="2" w:line="276" w:lineRule="auto"/>
              <w:ind w:left="107" w:leftChars="0"/>
              <w:jc w:val="left"/>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是否按照采购文件要求足额缴纳保证金；</w:t>
            </w:r>
          </w:p>
        </w:tc>
        <w:tc>
          <w:tcPr>
            <w:tcW w:w="836" w:type="dxa"/>
            <w:vAlign w:val="center"/>
          </w:tcPr>
          <w:p w14:paraId="1D0D6576">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14:paraId="117B1B15">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14:paraId="10B74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540" w:type="dxa"/>
            <w:vMerge w:val="continue"/>
            <w:vAlign w:val="center"/>
          </w:tcPr>
          <w:p w14:paraId="09CF6D6C">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14:paraId="03FCAFE7">
            <w:pPr>
              <w:pStyle w:val="142"/>
              <w:keepNext w:val="0"/>
              <w:keepLines w:val="0"/>
              <w:pageBreakBefore w:val="0"/>
              <w:widowControl w:val="0"/>
              <w:kinsoku/>
              <w:wordWrap/>
              <w:overflowPunct/>
              <w:topLinePunct w:val="0"/>
              <w:autoSpaceDE/>
              <w:autoSpaceDN/>
              <w:bidi w:val="0"/>
              <w:adjustRightInd/>
              <w:snapToGrid/>
              <w:spacing w:line="276" w:lineRule="auto"/>
              <w:ind w:left="9"/>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8</w:t>
            </w:r>
          </w:p>
        </w:tc>
        <w:tc>
          <w:tcPr>
            <w:tcW w:w="6907" w:type="dxa"/>
            <w:vAlign w:val="center"/>
          </w:tcPr>
          <w:p w14:paraId="3DDAE530">
            <w:pPr>
              <w:pStyle w:val="142"/>
              <w:keepNext w:val="0"/>
              <w:keepLines w:val="0"/>
              <w:pageBreakBefore w:val="0"/>
              <w:widowControl w:val="0"/>
              <w:kinsoku/>
              <w:wordWrap/>
              <w:overflowPunct/>
              <w:topLinePunct w:val="0"/>
              <w:autoSpaceDE/>
              <w:autoSpaceDN/>
              <w:bidi w:val="0"/>
              <w:adjustRightInd/>
              <w:snapToGrid/>
              <w:spacing w:before="2" w:line="276" w:lineRule="auto"/>
              <w:ind w:left="107" w:leftChars="0"/>
              <w:jc w:val="left"/>
              <w:textAlignment w:val="auto"/>
              <w:rPr>
                <w:rFonts w:hint="default"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是否通过查验</w:t>
            </w:r>
          </w:p>
        </w:tc>
        <w:tc>
          <w:tcPr>
            <w:tcW w:w="836" w:type="dxa"/>
            <w:vAlign w:val="center"/>
          </w:tcPr>
          <w:p w14:paraId="3FD32926">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14:paraId="34C6B795">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14:paraId="357C9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6" w:hRule="atLeast"/>
          <w:jc w:val="center"/>
        </w:trPr>
        <w:tc>
          <w:tcPr>
            <w:tcW w:w="540" w:type="dxa"/>
            <w:vMerge w:val="continue"/>
            <w:vAlign w:val="center"/>
          </w:tcPr>
          <w:p w14:paraId="1657C132">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425" w:type="dxa"/>
            <w:gridSpan w:val="4"/>
            <w:vAlign w:val="center"/>
          </w:tcPr>
          <w:p w14:paraId="6957FDE1">
            <w:pPr>
              <w:widowControl/>
              <w:jc w:val="center"/>
              <w:textAlignment w:val="center"/>
              <w:rPr>
                <w:rFonts w:hint="eastAsia"/>
                <w:color w:val="auto"/>
                <w:highlight w:val="none"/>
              </w:rPr>
            </w:pPr>
          </w:p>
          <w:p w14:paraId="475693D6">
            <w:pPr>
              <w:widowControl/>
              <w:jc w:val="center"/>
              <w:textAlignment w:val="center"/>
              <w:rPr>
                <w:rFonts w:hint="eastAsia"/>
                <w:color w:val="auto"/>
                <w:highlight w:val="none"/>
              </w:rPr>
            </w:pPr>
          </w:p>
          <w:p w14:paraId="019E6FC0">
            <w:pPr>
              <w:widowControl/>
              <w:jc w:val="center"/>
              <w:textAlignment w:val="center"/>
              <w:rPr>
                <w:rFonts w:hint="eastAsia"/>
                <w:color w:val="auto"/>
                <w:highlight w:val="none"/>
              </w:rPr>
            </w:pPr>
            <w:r>
              <w:rPr>
                <w:rFonts w:hint="eastAsia"/>
                <w:color w:val="auto"/>
                <w:highlight w:val="none"/>
              </w:rPr>
              <w:t>注：投标人有一项未通过不得参与下阶段评审，视为无效投标。</w:t>
            </w:r>
          </w:p>
          <w:p w14:paraId="5A4BDC67">
            <w:pPr>
              <w:jc w:val="center"/>
              <w:rPr>
                <w:rFonts w:hint="eastAsia"/>
                <w:color w:val="auto"/>
                <w:highlight w:val="none"/>
              </w:rPr>
            </w:pPr>
          </w:p>
        </w:tc>
      </w:tr>
      <w:tr w14:paraId="6FB9A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jc w:val="center"/>
        </w:trPr>
        <w:tc>
          <w:tcPr>
            <w:tcW w:w="540" w:type="dxa"/>
            <w:vMerge w:val="restart"/>
            <w:vAlign w:val="center"/>
          </w:tcPr>
          <w:p w14:paraId="3A837E11">
            <w:pPr>
              <w:pStyle w:val="142"/>
              <w:keepNext w:val="0"/>
              <w:keepLines w:val="0"/>
              <w:pageBreakBefore w:val="0"/>
              <w:widowControl w:val="0"/>
              <w:kinsoku/>
              <w:wordWrap/>
              <w:overflowPunct/>
              <w:topLinePunct w:val="0"/>
              <w:autoSpaceDE/>
              <w:autoSpaceDN/>
              <w:bidi w:val="0"/>
              <w:adjustRightInd/>
              <w:snapToGrid/>
              <w:spacing w:line="276" w:lineRule="auto"/>
              <w:ind w:right="211"/>
              <w:jc w:val="righ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符合性评审</w:t>
            </w:r>
          </w:p>
        </w:tc>
        <w:tc>
          <w:tcPr>
            <w:tcW w:w="705" w:type="dxa"/>
            <w:vAlign w:val="center"/>
          </w:tcPr>
          <w:p w14:paraId="7BD58230">
            <w:pPr>
              <w:pStyle w:val="142"/>
              <w:keepNext w:val="0"/>
              <w:keepLines w:val="0"/>
              <w:pageBreakBefore w:val="0"/>
              <w:widowControl w:val="0"/>
              <w:kinsoku/>
              <w:wordWrap/>
              <w:overflowPunct/>
              <w:topLinePunct w:val="0"/>
              <w:autoSpaceDE/>
              <w:autoSpaceDN/>
              <w:bidi w:val="0"/>
              <w:adjustRightInd/>
              <w:snapToGrid/>
              <w:spacing w:before="11" w:line="276" w:lineRule="auto"/>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p>
          <w:p w14:paraId="60CB04DB">
            <w:pPr>
              <w:pStyle w:val="142"/>
              <w:keepNext w:val="0"/>
              <w:keepLines w:val="0"/>
              <w:pageBreakBefore w:val="0"/>
              <w:widowControl w:val="0"/>
              <w:kinsoku/>
              <w:wordWrap/>
              <w:overflowPunct/>
              <w:topLinePunct w:val="0"/>
              <w:autoSpaceDE/>
              <w:autoSpaceDN/>
              <w:bidi w:val="0"/>
              <w:adjustRightInd/>
              <w:snapToGrid/>
              <w:spacing w:line="276" w:lineRule="auto"/>
              <w:ind w:left="9"/>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1</w:t>
            </w:r>
          </w:p>
        </w:tc>
        <w:tc>
          <w:tcPr>
            <w:tcW w:w="6907" w:type="dxa"/>
            <w:vAlign w:val="center"/>
          </w:tcPr>
          <w:p w14:paraId="75194A48">
            <w:pPr>
              <w:pStyle w:val="142"/>
              <w:keepNext w:val="0"/>
              <w:keepLines w:val="0"/>
              <w:pageBreakBefore w:val="0"/>
              <w:widowControl w:val="0"/>
              <w:kinsoku/>
              <w:wordWrap/>
              <w:overflowPunct/>
              <w:topLinePunct w:val="0"/>
              <w:autoSpaceDE/>
              <w:autoSpaceDN/>
              <w:bidi w:val="0"/>
              <w:adjustRightInd/>
              <w:snapToGrid/>
              <w:spacing w:before="1" w:line="276" w:lineRule="auto"/>
              <w:ind w:left="107" w:right="-29"/>
              <w:jc w:val="left"/>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投标文件是否有投标单位法定代表人或其委托代理人（签字或签章）和加盖了投标企业的公章；</w:t>
            </w:r>
          </w:p>
        </w:tc>
        <w:tc>
          <w:tcPr>
            <w:tcW w:w="836" w:type="dxa"/>
            <w:vAlign w:val="center"/>
          </w:tcPr>
          <w:p w14:paraId="3EAC68BC">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14:paraId="3C93AE96">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p w14:paraId="25E79A90">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14:paraId="51548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540" w:type="dxa"/>
            <w:vMerge w:val="continue"/>
            <w:vAlign w:val="center"/>
          </w:tcPr>
          <w:p w14:paraId="03A1C41B">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14:paraId="4A4CBED4">
            <w:pPr>
              <w:pStyle w:val="142"/>
              <w:keepNext w:val="0"/>
              <w:keepLines w:val="0"/>
              <w:pageBreakBefore w:val="0"/>
              <w:widowControl w:val="0"/>
              <w:kinsoku/>
              <w:wordWrap/>
              <w:overflowPunct/>
              <w:topLinePunct w:val="0"/>
              <w:autoSpaceDE/>
              <w:autoSpaceDN/>
              <w:bidi w:val="0"/>
              <w:adjustRightInd/>
              <w:snapToGrid/>
              <w:spacing w:before="109" w:line="276" w:lineRule="auto"/>
              <w:ind w:left="107"/>
              <w:jc w:val="center"/>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2</w:t>
            </w:r>
          </w:p>
        </w:tc>
        <w:tc>
          <w:tcPr>
            <w:tcW w:w="6907" w:type="dxa"/>
            <w:vAlign w:val="center"/>
          </w:tcPr>
          <w:p w14:paraId="0A198AF6">
            <w:pPr>
              <w:pStyle w:val="142"/>
              <w:keepNext w:val="0"/>
              <w:keepLines w:val="0"/>
              <w:pageBreakBefore w:val="0"/>
              <w:widowControl w:val="0"/>
              <w:kinsoku/>
              <w:wordWrap/>
              <w:overflowPunct/>
              <w:topLinePunct w:val="0"/>
              <w:autoSpaceDE/>
              <w:autoSpaceDN/>
              <w:bidi w:val="0"/>
              <w:adjustRightInd/>
              <w:snapToGrid/>
              <w:spacing w:before="109" w:line="276" w:lineRule="auto"/>
              <w:ind w:left="107"/>
              <w:jc w:val="left"/>
              <w:textAlignment w:val="auto"/>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投标人是否对同一招标项目做出两个以上报价而未明确效力；</w:t>
            </w:r>
          </w:p>
        </w:tc>
        <w:tc>
          <w:tcPr>
            <w:tcW w:w="836" w:type="dxa"/>
            <w:vAlign w:val="center"/>
          </w:tcPr>
          <w:p w14:paraId="09E8A1F1">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14:paraId="2855402A">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p w14:paraId="18C1126F">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p w14:paraId="364B61B5">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14:paraId="21D9A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0" w:type="dxa"/>
            <w:vMerge w:val="continue"/>
            <w:vAlign w:val="center"/>
          </w:tcPr>
          <w:p w14:paraId="6CBEBB01">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14:paraId="032CCE17">
            <w:pPr>
              <w:pStyle w:val="142"/>
              <w:keepNext w:val="0"/>
              <w:keepLines w:val="0"/>
              <w:pageBreakBefore w:val="0"/>
              <w:widowControl w:val="0"/>
              <w:kinsoku/>
              <w:wordWrap/>
              <w:overflowPunct/>
              <w:topLinePunct w:val="0"/>
              <w:autoSpaceDE/>
              <w:autoSpaceDN/>
              <w:bidi w:val="0"/>
              <w:adjustRightInd/>
              <w:snapToGrid/>
              <w:spacing w:before="147" w:line="276" w:lineRule="auto"/>
              <w:ind w:left="9" w:leftChars="0"/>
              <w:jc w:val="center"/>
              <w:textAlignment w:val="auto"/>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sz w:val="24"/>
                <w:szCs w:val="24"/>
                <w:highlight w:val="none"/>
                <w:lang w:val="en-US" w:eastAsia="zh-CN"/>
              </w:rPr>
              <w:t>3</w:t>
            </w:r>
          </w:p>
        </w:tc>
        <w:tc>
          <w:tcPr>
            <w:tcW w:w="6907" w:type="dxa"/>
            <w:vAlign w:val="center"/>
          </w:tcPr>
          <w:p w14:paraId="477AB26F">
            <w:pPr>
              <w:pStyle w:val="142"/>
              <w:keepNext w:val="0"/>
              <w:keepLines w:val="0"/>
              <w:pageBreakBefore w:val="0"/>
              <w:widowControl w:val="0"/>
              <w:kinsoku/>
              <w:wordWrap/>
              <w:overflowPunct/>
              <w:topLinePunct w:val="0"/>
              <w:autoSpaceDE/>
              <w:autoSpaceDN/>
              <w:bidi w:val="0"/>
              <w:adjustRightInd/>
              <w:snapToGrid/>
              <w:spacing w:before="160" w:line="276"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投标文件记载的招标项目合同履行期限是否超过招标文件规定的合同履行期限；</w:t>
            </w:r>
          </w:p>
        </w:tc>
        <w:tc>
          <w:tcPr>
            <w:tcW w:w="836" w:type="dxa"/>
            <w:vAlign w:val="center"/>
          </w:tcPr>
          <w:p w14:paraId="19773901">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14:paraId="1FB99328">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14:paraId="4D8A6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540" w:type="dxa"/>
            <w:vMerge w:val="continue"/>
            <w:vAlign w:val="center"/>
          </w:tcPr>
          <w:p w14:paraId="67FF26CD">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14:paraId="73FC3199">
            <w:pPr>
              <w:pStyle w:val="142"/>
              <w:keepNext w:val="0"/>
              <w:keepLines w:val="0"/>
              <w:pageBreakBefore w:val="0"/>
              <w:widowControl w:val="0"/>
              <w:kinsoku/>
              <w:wordWrap/>
              <w:overflowPunct/>
              <w:topLinePunct w:val="0"/>
              <w:autoSpaceDE/>
              <w:autoSpaceDN/>
              <w:bidi w:val="0"/>
              <w:adjustRightInd/>
              <w:snapToGrid/>
              <w:spacing w:before="164" w:line="276" w:lineRule="auto"/>
              <w:ind w:left="9" w:leftChars="0"/>
              <w:jc w:val="center"/>
              <w:textAlignment w:val="auto"/>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sz w:val="24"/>
                <w:szCs w:val="24"/>
                <w:highlight w:val="none"/>
                <w:lang w:val="en-US" w:eastAsia="zh-CN"/>
              </w:rPr>
              <w:t>4</w:t>
            </w:r>
          </w:p>
        </w:tc>
        <w:tc>
          <w:tcPr>
            <w:tcW w:w="6907" w:type="dxa"/>
            <w:vAlign w:val="center"/>
          </w:tcPr>
          <w:p w14:paraId="68E67403">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spacing w:val="-2"/>
                <w:sz w:val="24"/>
                <w:szCs w:val="24"/>
                <w:highlight w:val="none"/>
                <w:lang w:val="en-US" w:eastAsia="zh-CN"/>
              </w:rPr>
              <w:t>是否承诺招标文件规定的投标有效期；</w:t>
            </w:r>
          </w:p>
        </w:tc>
        <w:tc>
          <w:tcPr>
            <w:tcW w:w="836" w:type="dxa"/>
            <w:vAlign w:val="center"/>
          </w:tcPr>
          <w:p w14:paraId="285FD571">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14:paraId="3D410F83">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14:paraId="06CEF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540" w:type="dxa"/>
            <w:vMerge w:val="continue"/>
            <w:vAlign w:val="center"/>
          </w:tcPr>
          <w:p w14:paraId="793F0053">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14:paraId="2474C498">
            <w:pPr>
              <w:pStyle w:val="142"/>
              <w:keepNext w:val="0"/>
              <w:keepLines w:val="0"/>
              <w:pageBreakBefore w:val="0"/>
              <w:widowControl w:val="0"/>
              <w:kinsoku/>
              <w:wordWrap/>
              <w:overflowPunct/>
              <w:topLinePunct w:val="0"/>
              <w:autoSpaceDE/>
              <w:autoSpaceDN/>
              <w:bidi w:val="0"/>
              <w:adjustRightInd/>
              <w:snapToGrid/>
              <w:spacing w:before="164" w:line="276" w:lineRule="auto"/>
              <w:ind w:left="9"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907" w:type="dxa"/>
            <w:vAlign w:val="center"/>
          </w:tcPr>
          <w:p w14:paraId="7D7ECA75">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ascii="仿宋" w:hAnsi="仿宋" w:eastAsia="仿宋" w:cs="仿宋"/>
                <w:color w:val="auto"/>
                <w:spacing w:val="-2"/>
                <w:kern w:val="2"/>
                <w:sz w:val="24"/>
                <w:szCs w:val="24"/>
                <w:highlight w:val="none"/>
                <w:lang w:val="en-US" w:eastAsia="zh-CN" w:bidi="ar-SA"/>
              </w:rPr>
            </w:pPr>
            <w:r>
              <w:rPr>
                <w:rFonts w:hint="eastAsia" w:ascii="仿宋" w:hAnsi="仿宋" w:eastAsia="仿宋" w:cs="仿宋"/>
                <w:color w:val="auto"/>
                <w:spacing w:val="-2"/>
                <w:kern w:val="2"/>
                <w:sz w:val="24"/>
                <w:szCs w:val="24"/>
                <w:highlight w:val="none"/>
                <w:lang w:val="en-US" w:eastAsia="zh-CN" w:bidi="ar-SA"/>
              </w:rPr>
              <w:t>投标文件标明的响应或偏离与事实不符或伪造证明文件等虚假投标的；</w:t>
            </w:r>
          </w:p>
        </w:tc>
        <w:tc>
          <w:tcPr>
            <w:tcW w:w="836" w:type="dxa"/>
            <w:vAlign w:val="center"/>
          </w:tcPr>
          <w:p w14:paraId="1C1AD811">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14:paraId="4223B948">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14:paraId="553B4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540" w:type="dxa"/>
            <w:vMerge w:val="continue"/>
            <w:vAlign w:val="center"/>
          </w:tcPr>
          <w:p w14:paraId="4E435AD5">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14:paraId="7CC48921">
            <w:pPr>
              <w:pStyle w:val="142"/>
              <w:keepNext w:val="0"/>
              <w:keepLines w:val="0"/>
              <w:pageBreakBefore w:val="0"/>
              <w:widowControl w:val="0"/>
              <w:kinsoku/>
              <w:wordWrap/>
              <w:overflowPunct/>
              <w:topLinePunct w:val="0"/>
              <w:autoSpaceDE/>
              <w:autoSpaceDN/>
              <w:bidi w:val="0"/>
              <w:adjustRightInd/>
              <w:snapToGrid/>
              <w:spacing w:before="164" w:line="276" w:lineRule="auto"/>
              <w:ind w:left="9"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907" w:type="dxa"/>
            <w:vAlign w:val="center"/>
          </w:tcPr>
          <w:p w14:paraId="225A44E1">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ascii="仿宋" w:hAnsi="仿宋" w:eastAsia="仿宋" w:cs="仿宋"/>
                <w:color w:val="auto"/>
                <w:spacing w:val="-2"/>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商务条款是否有偏离情况的；</w:t>
            </w:r>
          </w:p>
        </w:tc>
        <w:tc>
          <w:tcPr>
            <w:tcW w:w="836" w:type="dxa"/>
            <w:vAlign w:val="center"/>
          </w:tcPr>
          <w:p w14:paraId="4B7587EB">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14:paraId="0A132299">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14:paraId="23531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40" w:type="dxa"/>
            <w:vMerge w:val="continue"/>
            <w:vAlign w:val="center"/>
          </w:tcPr>
          <w:p w14:paraId="6808425C">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14:paraId="03147405">
            <w:pPr>
              <w:pStyle w:val="142"/>
              <w:keepNext w:val="0"/>
              <w:keepLines w:val="0"/>
              <w:pageBreakBefore w:val="0"/>
              <w:widowControl w:val="0"/>
              <w:kinsoku/>
              <w:wordWrap/>
              <w:overflowPunct/>
              <w:topLinePunct w:val="0"/>
              <w:autoSpaceDE/>
              <w:autoSpaceDN/>
              <w:bidi w:val="0"/>
              <w:adjustRightInd/>
              <w:snapToGrid/>
              <w:spacing w:before="164" w:line="276" w:lineRule="auto"/>
              <w:ind w:left="9"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907" w:type="dxa"/>
            <w:vAlign w:val="center"/>
          </w:tcPr>
          <w:p w14:paraId="68EC6060">
            <w:pPr>
              <w:pStyle w:val="142"/>
              <w:keepNext w:val="0"/>
              <w:keepLines w:val="0"/>
              <w:pageBreakBefore w:val="0"/>
              <w:widowControl w:val="0"/>
              <w:kinsoku/>
              <w:wordWrap/>
              <w:overflowPunct/>
              <w:topLinePunct w:val="0"/>
              <w:autoSpaceDE/>
              <w:autoSpaceDN/>
              <w:bidi w:val="0"/>
              <w:adjustRightInd/>
              <w:snapToGrid/>
              <w:spacing w:before="173" w:line="276" w:lineRule="auto"/>
              <w:ind w:left="107" w:leftChars="0"/>
              <w:jc w:val="left"/>
              <w:textAlignment w:val="auto"/>
              <w:rPr>
                <w:rFonts w:hint="eastAsia" w:ascii="仿宋" w:hAnsi="仿宋" w:eastAsia="仿宋" w:cs="仿宋"/>
                <w:color w:val="auto"/>
                <w:spacing w:val="-2"/>
                <w:kern w:val="2"/>
                <w:sz w:val="24"/>
                <w:szCs w:val="24"/>
                <w:highlight w:val="none"/>
                <w:lang w:val="en-US" w:eastAsia="zh-CN" w:bidi="ar-SA"/>
              </w:rPr>
            </w:pPr>
            <w:r>
              <w:rPr>
                <w:rFonts w:hint="eastAsia" w:ascii="仿宋" w:hAnsi="仿宋" w:eastAsia="仿宋" w:cs="仿宋"/>
                <w:color w:val="auto"/>
                <w:sz w:val="24"/>
                <w:szCs w:val="24"/>
                <w:highlight w:val="none"/>
              </w:rPr>
              <w:t>投标文件是否附有招标人不能接受的条件；</w:t>
            </w:r>
          </w:p>
        </w:tc>
        <w:tc>
          <w:tcPr>
            <w:tcW w:w="836" w:type="dxa"/>
            <w:vAlign w:val="center"/>
          </w:tcPr>
          <w:p w14:paraId="3C8D761C">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14:paraId="54DDC559">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14:paraId="3D1BB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540" w:type="dxa"/>
            <w:vMerge w:val="continue"/>
            <w:vAlign w:val="center"/>
          </w:tcPr>
          <w:p w14:paraId="15C242A9">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14:paraId="67B0636B">
            <w:pPr>
              <w:pStyle w:val="142"/>
              <w:keepNext w:val="0"/>
              <w:keepLines w:val="0"/>
              <w:pageBreakBefore w:val="0"/>
              <w:widowControl w:val="0"/>
              <w:kinsoku/>
              <w:wordWrap/>
              <w:overflowPunct/>
              <w:topLinePunct w:val="0"/>
              <w:autoSpaceDE/>
              <w:autoSpaceDN/>
              <w:bidi w:val="0"/>
              <w:adjustRightInd/>
              <w:snapToGrid/>
              <w:spacing w:before="175" w:line="276" w:lineRule="auto"/>
              <w:ind w:left="9" w:leftChars="0"/>
              <w:jc w:val="center"/>
              <w:textAlignment w:val="auto"/>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sz w:val="24"/>
                <w:szCs w:val="24"/>
                <w:highlight w:val="none"/>
                <w:lang w:val="en-US" w:eastAsia="zh-CN"/>
              </w:rPr>
              <w:t>8</w:t>
            </w:r>
          </w:p>
        </w:tc>
        <w:tc>
          <w:tcPr>
            <w:tcW w:w="6907" w:type="dxa"/>
            <w:vAlign w:val="center"/>
          </w:tcPr>
          <w:p w14:paraId="041BDB51">
            <w:pPr>
              <w:pStyle w:val="142"/>
              <w:keepNext w:val="0"/>
              <w:keepLines w:val="0"/>
              <w:pageBreakBefore w:val="0"/>
              <w:widowControl w:val="0"/>
              <w:kinsoku/>
              <w:wordWrap/>
              <w:overflowPunct/>
              <w:topLinePunct w:val="0"/>
              <w:autoSpaceDE/>
              <w:autoSpaceDN/>
              <w:bidi w:val="0"/>
              <w:adjustRightInd/>
              <w:snapToGrid/>
              <w:spacing w:before="173" w:line="276" w:lineRule="auto"/>
              <w:ind w:left="107" w:leftChars="0"/>
              <w:jc w:val="left"/>
              <w:textAlignment w:val="auto"/>
              <w:rPr>
                <w:rFonts w:hint="eastAsia" w:ascii="仿宋" w:hAnsi="仿宋" w:eastAsia="仿宋" w:cs="仿宋"/>
                <w:color w:val="auto"/>
                <w:kern w:val="2"/>
                <w:sz w:val="24"/>
                <w:szCs w:val="24"/>
                <w:highlight w:val="none"/>
                <w:lang w:val="zh-CN" w:eastAsia="zh-CN" w:bidi="zh-CN"/>
              </w:rPr>
            </w:pPr>
            <w:r>
              <w:rPr>
                <w:rFonts w:hint="eastAsia" w:ascii="仿宋" w:hAnsi="仿宋" w:eastAsia="仿宋" w:cs="仿宋"/>
                <w:color w:val="auto"/>
                <w:sz w:val="24"/>
                <w:szCs w:val="24"/>
                <w:highlight w:val="none"/>
                <w:lang w:val="en-US" w:eastAsia="zh-CN"/>
              </w:rPr>
              <w:t>投标报价的总价与单价是否高于招标文件中规定的最高限价</w:t>
            </w:r>
          </w:p>
        </w:tc>
        <w:tc>
          <w:tcPr>
            <w:tcW w:w="836" w:type="dxa"/>
            <w:vAlign w:val="center"/>
          </w:tcPr>
          <w:p w14:paraId="49C5B4AF">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14:paraId="56E8E877">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14:paraId="32462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540" w:type="dxa"/>
            <w:vAlign w:val="center"/>
          </w:tcPr>
          <w:p w14:paraId="323BE708">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705" w:type="dxa"/>
            <w:vAlign w:val="center"/>
          </w:tcPr>
          <w:p w14:paraId="44FC0F69">
            <w:pPr>
              <w:pStyle w:val="142"/>
              <w:keepNext w:val="0"/>
              <w:keepLines w:val="0"/>
              <w:pageBreakBefore w:val="0"/>
              <w:widowControl w:val="0"/>
              <w:kinsoku/>
              <w:wordWrap/>
              <w:overflowPunct/>
              <w:topLinePunct w:val="0"/>
              <w:autoSpaceDE/>
              <w:autoSpaceDN/>
              <w:bidi w:val="0"/>
              <w:adjustRightInd/>
              <w:snapToGrid/>
              <w:spacing w:before="175" w:line="276" w:lineRule="auto"/>
              <w:ind w:left="9" w:lef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907" w:type="dxa"/>
            <w:vAlign w:val="center"/>
          </w:tcPr>
          <w:p w14:paraId="369393C8">
            <w:pPr>
              <w:pStyle w:val="142"/>
              <w:keepNext w:val="0"/>
              <w:keepLines w:val="0"/>
              <w:pageBreakBefore w:val="0"/>
              <w:widowControl w:val="0"/>
              <w:kinsoku/>
              <w:wordWrap/>
              <w:overflowPunct/>
              <w:topLinePunct w:val="0"/>
              <w:autoSpaceDE/>
              <w:autoSpaceDN/>
              <w:bidi w:val="0"/>
              <w:adjustRightInd/>
              <w:snapToGrid/>
              <w:spacing w:before="173" w:line="276" w:lineRule="auto"/>
              <w:ind w:left="107"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投标文件的有效性、完整性是否响应招标文件要求，是否对招标文件的实质性要求作出响应。</w:t>
            </w:r>
          </w:p>
        </w:tc>
        <w:tc>
          <w:tcPr>
            <w:tcW w:w="836" w:type="dxa"/>
            <w:vAlign w:val="center"/>
          </w:tcPr>
          <w:p w14:paraId="58DAAE99">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c>
          <w:tcPr>
            <w:tcW w:w="977" w:type="dxa"/>
            <w:vAlign w:val="center"/>
          </w:tcPr>
          <w:p w14:paraId="3DB30907">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rPr>
            </w:pPr>
          </w:p>
        </w:tc>
      </w:tr>
      <w:tr w14:paraId="4653A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9965" w:type="dxa"/>
            <w:gridSpan w:val="5"/>
            <w:vAlign w:val="center"/>
          </w:tcPr>
          <w:p w14:paraId="0C0347FB">
            <w:pPr>
              <w:pStyle w:val="142"/>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以上有</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项不通过</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结论为不通过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初步评审通过的投标人进入下阶段评审</w:t>
            </w:r>
            <w:r>
              <w:rPr>
                <w:rFonts w:hint="eastAsia" w:ascii="仿宋" w:hAnsi="仿宋" w:eastAsia="仿宋" w:cs="仿宋"/>
                <w:color w:val="auto"/>
                <w:sz w:val="24"/>
                <w:szCs w:val="24"/>
                <w:highlight w:val="none"/>
                <w:lang w:eastAsia="zh-CN"/>
              </w:rPr>
              <w:t>。</w:t>
            </w:r>
          </w:p>
        </w:tc>
      </w:tr>
    </w:tbl>
    <w:p w14:paraId="2C5E6EAF">
      <w:pPr>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12A4D990">
      <w:pPr>
        <w:pStyle w:val="15"/>
        <w:ind w:left="798" w:leftChars="380" w:firstLine="2530" w:firstLineChars="700"/>
        <w:rPr>
          <w:rFonts w:ascii="Tahoma" w:hAnsi="Tahoma" w:cs="Tahoma"/>
          <w:b/>
          <w:bCs/>
          <w:color w:val="auto"/>
          <w:sz w:val="36"/>
          <w:szCs w:val="44"/>
          <w:highlight w:val="none"/>
        </w:rPr>
      </w:pPr>
      <w:r>
        <w:rPr>
          <w:rFonts w:hint="eastAsia" w:ascii="Tahoma" w:hAnsi="Tahoma" w:cs="Tahoma"/>
          <w:b/>
          <w:bCs/>
          <w:color w:val="auto"/>
          <w:sz w:val="36"/>
          <w:szCs w:val="44"/>
          <w:highlight w:val="none"/>
        </w:rPr>
        <w:t>详细评审表</w:t>
      </w:r>
    </w:p>
    <w:tbl>
      <w:tblPr>
        <w:tblStyle w:val="45"/>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194"/>
        <w:gridCol w:w="6449"/>
      </w:tblGrid>
      <w:tr w14:paraId="6080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1449" w:type="dxa"/>
            <w:noWrap w:val="0"/>
            <w:vAlign w:val="center"/>
          </w:tcPr>
          <w:p w14:paraId="3EEF171E">
            <w:pPr>
              <w:spacing w:line="320" w:lineRule="exact"/>
              <w:jc w:val="center"/>
              <w:rPr>
                <w:rFonts w:ascii="宋体" w:hAnsi="宋体" w:cs="华文仿宋"/>
                <w:b/>
                <w:szCs w:val="21"/>
              </w:rPr>
            </w:pPr>
            <w:r>
              <w:rPr>
                <w:rFonts w:ascii="宋体" w:hAnsi="宋体"/>
                <w:b/>
                <w:szCs w:val="21"/>
              </w:rPr>
              <w:t>评分项目</w:t>
            </w:r>
          </w:p>
        </w:tc>
        <w:tc>
          <w:tcPr>
            <w:tcW w:w="1194" w:type="dxa"/>
            <w:noWrap w:val="0"/>
            <w:vAlign w:val="center"/>
          </w:tcPr>
          <w:p w14:paraId="605FE304">
            <w:pPr>
              <w:spacing w:line="320" w:lineRule="exact"/>
              <w:jc w:val="center"/>
              <w:rPr>
                <w:rFonts w:ascii="宋体" w:hAnsi="宋体"/>
                <w:b/>
                <w:szCs w:val="21"/>
              </w:rPr>
            </w:pPr>
            <w:r>
              <w:rPr>
                <w:rFonts w:ascii="宋体" w:hAnsi="宋体"/>
                <w:b/>
                <w:szCs w:val="21"/>
              </w:rPr>
              <w:t>分值</w:t>
            </w:r>
          </w:p>
        </w:tc>
        <w:tc>
          <w:tcPr>
            <w:tcW w:w="6449" w:type="dxa"/>
            <w:noWrap w:val="0"/>
            <w:vAlign w:val="center"/>
          </w:tcPr>
          <w:p w14:paraId="13822E27">
            <w:pPr>
              <w:spacing w:line="320" w:lineRule="exact"/>
              <w:jc w:val="center"/>
              <w:rPr>
                <w:rFonts w:ascii="宋体" w:hAnsi="宋体"/>
                <w:b/>
                <w:szCs w:val="21"/>
              </w:rPr>
            </w:pPr>
            <w:r>
              <w:rPr>
                <w:rFonts w:ascii="宋体" w:hAnsi="宋体"/>
                <w:b/>
                <w:szCs w:val="21"/>
              </w:rPr>
              <w:t>评  分  标  准</w:t>
            </w:r>
          </w:p>
        </w:tc>
      </w:tr>
      <w:tr w14:paraId="0A7B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1449" w:type="dxa"/>
            <w:noWrap w:val="0"/>
            <w:vAlign w:val="center"/>
          </w:tcPr>
          <w:p w14:paraId="0C226823">
            <w:pPr>
              <w:spacing w:line="400" w:lineRule="exact"/>
              <w:rPr>
                <w:rFonts w:ascii="仿宋_GB2312" w:hAnsi="仿宋" w:eastAsia="仿宋_GB2312" w:cs="仿宋"/>
                <w:szCs w:val="21"/>
              </w:rPr>
            </w:pPr>
            <w:r>
              <w:rPr>
                <w:rFonts w:ascii="仿宋_GB2312" w:hAnsi="仿宋" w:eastAsia="仿宋_GB2312" w:cs="仿宋"/>
                <w:szCs w:val="21"/>
              </w:rPr>
              <w:t>投标报价</w:t>
            </w:r>
          </w:p>
          <w:p w14:paraId="443EEFC5">
            <w:pPr>
              <w:spacing w:line="400" w:lineRule="exact"/>
              <w:rPr>
                <w:rFonts w:ascii="仿宋_GB2312" w:hAnsi="仿宋" w:eastAsia="仿宋_GB2312" w:cs="仿宋"/>
                <w:szCs w:val="21"/>
              </w:rPr>
            </w:pPr>
            <w:r>
              <w:rPr>
                <w:rFonts w:ascii="仿宋_GB2312" w:hAnsi="仿宋" w:eastAsia="仿宋_GB2312" w:cs="仿宋"/>
                <w:szCs w:val="21"/>
              </w:rPr>
              <w:t>得分计算</w:t>
            </w:r>
          </w:p>
        </w:tc>
        <w:tc>
          <w:tcPr>
            <w:tcW w:w="1194" w:type="dxa"/>
            <w:noWrap w:val="0"/>
            <w:vAlign w:val="center"/>
          </w:tcPr>
          <w:p w14:paraId="01760402">
            <w:pPr>
              <w:spacing w:line="400" w:lineRule="exact"/>
              <w:rPr>
                <w:rFonts w:ascii="仿宋_GB2312" w:hAnsi="仿宋" w:eastAsia="仿宋_GB2312" w:cs="仿宋"/>
                <w:szCs w:val="21"/>
              </w:rPr>
            </w:pPr>
            <w:r>
              <w:rPr>
                <w:rFonts w:ascii="仿宋_GB2312" w:hAnsi="仿宋" w:eastAsia="仿宋_GB2312" w:cs="仿宋"/>
                <w:szCs w:val="21"/>
              </w:rPr>
              <w:t>（30分）</w:t>
            </w:r>
          </w:p>
        </w:tc>
        <w:tc>
          <w:tcPr>
            <w:tcW w:w="6449" w:type="dxa"/>
            <w:noWrap w:val="0"/>
            <w:vAlign w:val="center"/>
          </w:tcPr>
          <w:p w14:paraId="6164A44C">
            <w:pPr>
              <w:spacing w:line="400" w:lineRule="exact"/>
              <w:rPr>
                <w:rFonts w:ascii="仿宋_GB2312" w:hAnsi="仿宋" w:eastAsia="仿宋_GB2312" w:cs="仿宋"/>
                <w:szCs w:val="21"/>
                <w:highlight w:val="none"/>
              </w:rPr>
            </w:pPr>
            <w:r>
              <w:rPr>
                <w:rFonts w:ascii="仿宋_GB2312" w:hAnsi="仿宋" w:eastAsia="仿宋_GB2312" w:cs="仿宋"/>
                <w:szCs w:val="21"/>
                <w:highlight w:val="none"/>
              </w:rPr>
              <w:t>报价得分按照低价优先法计算，即满足招标文件要求且投标报价最低的投标人报价为评标基准价，其价格分为满分，其他投标人的价格分统一按照下列公式计算：</w:t>
            </w:r>
          </w:p>
          <w:p w14:paraId="0F51077B">
            <w:pPr>
              <w:spacing w:line="400" w:lineRule="exact"/>
              <w:rPr>
                <w:rFonts w:ascii="仿宋_GB2312" w:hAnsi="仿宋" w:eastAsia="仿宋_GB2312" w:cs="仿宋"/>
                <w:szCs w:val="21"/>
                <w:highlight w:val="none"/>
              </w:rPr>
            </w:pPr>
            <w:r>
              <w:rPr>
                <w:rFonts w:ascii="仿宋_GB2312" w:hAnsi="仿宋" w:eastAsia="仿宋_GB2312" w:cs="仿宋"/>
                <w:szCs w:val="21"/>
                <w:highlight w:val="none"/>
              </w:rPr>
              <w:t>报价得分=(评标基准价／投标报价)×价格权值×100</w:t>
            </w:r>
          </w:p>
        </w:tc>
      </w:tr>
      <w:tr w14:paraId="3676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49" w:type="dxa"/>
            <w:vMerge w:val="restart"/>
            <w:noWrap w:val="0"/>
            <w:vAlign w:val="center"/>
          </w:tcPr>
          <w:p w14:paraId="662F9175">
            <w:pPr>
              <w:spacing w:line="400" w:lineRule="exact"/>
              <w:rPr>
                <w:rFonts w:ascii="仿宋_GB2312" w:hAnsi="仿宋" w:eastAsia="仿宋_GB2312" w:cs="仿宋"/>
                <w:szCs w:val="21"/>
                <w:lang w:val="zh-CN"/>
              </w:rPr>
            </w:pPr>
            <w:r>
              <w:rPr>
                <w:rFonts w:ascii="仿宋_GB2312" w:hAnsi="仿宋" w:eastAsia="仿宋_GB2312" w:cs="仿宋"/>
                <w:szCs w:val="21"/>
              </w:rPr>
              <w:t>技术部分</w:t>
            </w:r>
            <w:r>
              <w:rPr>
                <w:rFonts w:ascii="仿宋_GB2312" w:hAnsi="仿宋" w:eastAsia="仿宋_GB2312" w:cs="仿宋"/>
                <w:szCs w:val="21"/>
                <w:lang w:val="zh-CN"/>
              </w:rPr>
              <w:t>（</w:t>
            </w:r>
            <w:r>
              <w:rPr>
                <w:rFonts w:hint="eastAsia" w:ascii="仿宋_GB2312" w:hAnsi="仿宋" w:eastAsia="仿宋_GB2312" w:cs="仿宋"/>
                <w:szCs w:val="21"/>
                <w:lang w:val="en-US" w:eastAsia="zh-CN"/>
              </w:rPr>
              <w:t>30</w:t>
            </w:r>
            <w:r>
              <w:rPr>
                <w:rFonts w:ascii="仿宋_GB2312" w:hAnsi="仿宋" w:eastAsia="仿宋_GB2312" w:cs="仿宋"/>
                <w:szCs w:val="21"/>
              </w:rPr>
              <w:t>分</w:t>
            </w:r>
            <w:r>
              <w:rPr>
                <w:rFonts w:ascii="仿宋_GB2312" w:hAnsi="仿宋" w:eastAsia="仿宋_GB2312" w:cs="仿宋"/>
                <w:szCs w:val="21"/>
                <w:lang w:val="zh-CN"/>
              </w:rPr>
              <w:t>）</w:t>
            </w:r>
          </w:p>
        </w:tc>
        <w:tc>
          <w:tcPr>
            <w:tcW w:w="1194" w:type="dxa"/>
            <w:noWrap w:val="0"/>
            <w:vAlign w:val="center"/>
          </w:tcPr>
          <w:p w14:paraId="606D7C1D">
            <w:pPr>
              <w:spacing w:line="400" w:lineRule="exact"/>
              <w:rPr>
                <w:rFonts w:ascii="仿宋_GB2312" w:hAnsi="仿宋" w:eastAsia="仿宋_GB2312" w:cs="仿宋"/>
                <w:szCs w:val="21"/>
                <w:lang w:val="zh-CN"/>
              </w:rPr>
            </w:pPr>
            <w:r>
              <w:rPr>
                <w:rFonts w:ascii="仿宋_GB2312" w:hAnsi="仿宋" w:eastAsia="仿宋_GB2312" w:cs="仿宋"/>
                <w:szCs w:val="21"/>
                <w:lang w:val="zh-CN"/>
              </w:rPr>
              <w:t>投标人所投产品内容及技术参数要求</w:t>
            </w:r>
          </w:p>
          <w:p w14:paraId="5224283A">
            <w:pPr>
              <w:spacing w:line="400" w:lineRule="exact"/>
              <w:rPr>
                <w:rFonts w:ascii="仿宋_GB2312" w:hAnsi="仿宋" w:eastAsia="仿宋_GB2312" w:cs="仿宋"/>
                <w:szCs w:val="21"/>
              </w:rPr>
            </w:pPr>
            <w:r>
              <w:rPr>
                <w:rFonts w:hint="eastAsia" w:ascii="仿宋_GB2312" w:hAnsi="仿宋" w:eastAsia="仿宋_GB2312" w:cs="仿宋"/>
                <w:szCs w:val="21"/>
                <w:lang w:val="en-US" w:eastAsia="zh-CN"/>
              </w:rPr>
              <w:t>15</w:t>
            </w:r>
            <w:r>
              <w:rPr>
                <w:rFonts w:ascii="仿宋_GB2312" w:hAnsi="仿宋" w:eastAsia="仿宋_GB2312" w:cs="仿宋"/>
                <w:szCs w:val="21"/>
                <w:lang w:val="zh-CN"/>
              </w:rPr>
              <w:t>分</w:t>
            </w:r>
          </w:p>
        </w:tc>
        <w:tc>
          <w:tcPr>
            <w:tcW w:w="6449" w:type="dxa"/>
            <w:noWrap w:val="0"/>
            <w:vAlign w:val="top"/>
          </w:tcPr>
          <w:p w14:paraId="7B28D5AC">
            <w:pPr>
              <w:spacing w:line="400" w:lineRule="exact"/>
              <w:rPr>
                <w:rFonts w:ascii="仿宋_GB2312" w:hAnsi="仿宋" w:eastAsia="仿宋_GB2312" w:cs="仿宋"/>
                <w:szCs w:val="21"/>
                <w:highlight w:val="none"/>
              </w:rPr>
            </w:pPr>
          </w:p>
          <w:p w14:paraId="392D64E1">
            <w:pPr>
              <w:spacing w:line="400" w:lineRule="exact"/>
              <w:rPr>
                <w:rFonts w:ascii="仿宋_GB2312" w:hAnsi="仿宋" w:eastAsia="仿宋_GB2312" w:cs="仿宋"/>
                <w:szCs w:val="21"/>
                <w:highlight w:val="none"/>
              </w:rPr>
            </w:pPr>
            <w:r>
              <w:rPr>
                <w:rFonts w:ascii="仿宋_GB2312" w:hAnsi="仿宋" w:eastAsia="仿宋_GB2312" w:cs="仿宋"/>
                <w:szCs w:val="21"/>
                <w:highlight w:val="none"/>
              </w:rPr>
              <w:t>投标人所投产品内容及技术参数要求完全满足招标文件要求的，得满</w:t>
            </w:r>
          </w:p>
          <w:p w14:paraId="4947197B">
            <w:pPr>
              <w:spacing w:line="400" w:lineRule="exact"/>
              <w:rPr>
                <w:rFonts w:ascii="仿宋_GB2312" w:hAnsi="仿宋" w:eastAsia="仿宋_GB2312" w:cs="仿宋"/>
                <w:szCs w:val="21"/>
                <w:highlight w:val="none"/>
              </w:rPr>
            </w:pPr>
            <w:r>
              <w:rPr>
                <w:rFonts w:ascii="仿宋_GB2312" w:hAnsi="仿宋" w:eastAsia="仿宋_GB2312" w:cs="仿宋"/>
                <w:szCs w:val="21"/>
                <w:highlight w:val="none"/>
              </w:rPr>
              <w:t xml:space="preserve">分 </w:t>
            </w:r>
            <w:r>
              <w:rPr>
                <w:rFonts w:hint="eastAsia" w:ascii="仿宋_GB2312" w:hAnsi="仿宋" w:eastAsia="仿宋_GB2312" w:cs="仿宋"/>
                <w:szCs w:val="21"/>
                <w:highlight w:val="none"/>
                <w:lang w:val="en-US" w:eastAsia="zh-CN"/>
              </w:rPr>
              <w:t>15</w:t>
            </w:r>
            <w:r>
              <w:rPr>
                <w:rFonts w:ascii="仿宋_GB2312" w:hAnsi="仿宋" w:eastAsia="仿宋_GB2312" w:cs="仿宋"/>
                <w:szCs w:val="21"/>
                <w:highlight w:val="none"/>
              </w:rPr>
              <w:t>分。所投产品参数有不符合项目采购需求中的参数要求的，每</w:t>
            </w:r>
          </w:p>
          <w:p w14:paraId="0DBA2994">
            <w:pPr>
              <w:spacing w:line="400" w:lineRule="exact"/>
              <w:rPr>
                <w:rFonts w:ascii="仿宋_GB2312" w:hAnsi="仿宋" w:eastAsia="仿宋_GB2312" w:cs="仿宋"/>
                <w:szCs w:val="21"/>
                <w:highlight w:val="none"/>
                <w:lang w:val="zh-CN"/>
              </w:rPr>
            </w:pPr>
            <w:r>
              <w:rPr>
                <w:rFonts w:ascii="仿宋_GB2312" w:hAnsi="仿宋" w:eastAsia="仿宋_GB2312" w:cs="仿宋"/>
                <w:szCs w:val="21"/>
                <w:highlight w:val="none"/>
              </w:rPr>
              <w:t>有一项不满足（负偏离）的扣 3 分，超过 3 项不满足，此项不得分。</w:t>
            </w:r>
          </w:p>
        </w:tc>
      </w:tr>
      <w:tr w14:paraId="3032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Merge w:val="continue"/>
            <w:noWrap w:val="0"/>
            <w:vAlign w:val="center"/>
          </w:tcPr>
          <w:p w14:paraId="32EB4EFB">
            <w:pPr>
              <w:spacing w:line="400" w:lineRule="exact"/>
              <w:rPr>
                <w:rFonts w:ascii="仿宋_GB2312" w:hAnsi="仿宋" w:eastAsia="仿宋_GB2312" w:cs="仿宋"/>
                <w:szCs w:val="21"/>
                <w:lang w:val="zh-CN"/>
              </w:rPr>
            </w:pPr>
          </w:p>
        </w:tc>
        <w:tc>
          <w:tcPr>
            <w:tcW w:w="1194" w:type="dxa"/>
            <w:noWrap w:val="0"/>
            <w:vAlign w:val="center"/>
          </w:tcPr>
          <w:p w14:paraId="3DB4F058">
            <w:pPr>
              <w:spacing w:line="400" w:lineRule="exact"/>
              <w:rPr>
                <w:rFonts w:ascii="仿宋_GB2312" w:hAnsi="仿宋" w:eastAsia="仿宋_GB2312" w:cs="仿宋"/>
                <w:szCs w:val="21"/>
                <w:lang w:val="zh-CN"/>
              </w:rPr>
            </w:pPr>
            <w:r>
              <w:rPr>
                <w:rFonts w:ascii="仿宋_GB2312" w:hAnsi="仿宋" w:eastAsia="仿宋_GB2312" w:cs="仿宋"/>
                <w:szCs w:val="21"/>
                <w:lang w:val="zh-CN"/>
              </w:rPr>
              <w:t>实施方案</w:t>
            </w:r>
          </w:p>
          <w:p w14:paraId="5A450719">
            <w:pPr>
              <w:spacing w:line="400" w:lineRule="exact"/>
              <w:rPr>
                <w:rFonts w:ascii="仿宋_GB2312" w:hAnsi="仿宋" w:eastAsia="仿宋_GB2312" w:cs="仿宋"/>
                <w:szCs w:val="21"/>
                <w:lang w:val="zh-CN"/>
              </w:rPr>
            </w:pPr>
            <w:r>
              <w:rPr>
                <w:rFonts w:ascii="仿宋_GB2312" w:hAnsi="仿宋" w:eastAsia="仿宋_GB2312" w:cs="仿宋"/>
                <w:szCs w:val="21"/>
              </w:rPr>
              <w:t>15</w:t>
            </w:r>
            <w:r>
              <w:rPr>
                <w:rFonts w:ascii="仿宋_GB2312" w:hAnsi="仿宋" w:eastAsia="仿宋_GB2312" w:cs="仿宋"/>
                <w:szCs w:val="21"/>
                <w:lang w:val="zh-CN"/>
              </w:rPr>
              <w:t>分</w:t>
            </w:r>
          </w:p>
        </w:tc>
        <w:tc>
          <w:tcPr>
            <w:tcW w:w="6449" w:type="dxa"/>
            <w:noWrap w:val="0"/>
            <w:vAlign w:val="top"/>
          </w:tcPr>
          <w:p w14:paraId="56E31A1E">
            <w:pPr>
              <w:spacing w:line="400" w:lineRule="exact"/>
              <w:rPr>
                <w:rFonts w:ascii="仿宋_GB2312" w:hAnsi="仿宋" w:eastAsia="仿宋_GB2312" w:cs="仿宋"/>
                <w:szCs w:val="21"/>
                <w:highlight w:val="none"/>
                <w:lang w:val="zh-CN"/>
              </w:rPr>
            </w:pPr>
            <w:r>
              <w:rPr>
                <w:rFonts w:ascii="仿宋_GB2312" w:hAnsi="仿宋" w:eastAsia="仿宋_GB2312" w:cs="仿宋"/>
                <w:szCs w:val="21"/>
                <w:highlight w:val="none"/>
                <w:lang w:val="zh-CN"/>
              </w:rPr>
              <w:t>根据供应商提供的实施方案，磋商小组针对下述 3 项，从内容详实</w:t>
            </w:r>
          </w:p>
          <w:p w14:paraId="7C4F4941">
            <w:pPr>
              <w:spacing w:line="400" w:lineRule="exact"/>
              <w:rPr>
                <w:rFonts w:ascii="仿宋_GB2312" w:hAnsi="仿宋" w:eastAsia="仿宋_GB2312" w:cs="仿宋"/>
                <w:szCs w:val="21"/>
                <w:highlight w:val="none"/>
                <w:lang w:val="zh-CN"/>
              </w:rPr>
            </w:pPr>
            <w:r>
              <w:rPr>
                <w:rFonts w:ascii="仿宋_GB2312" w:hAnsi="仿宋" w:eastAsia="仿宋_GB2312" w:cs="仿宋"/>
                <w:szCs w:val="21"/>
                <w:highlight w:val="none"/>
                <w:lang w:val="zh-CN"/>
              </w:rPr>
              <w:t>度、可行度、有利于提高项目质量等方面进行综合评价比较，而后逐</w:t>
            </w:r>
          </w:p>
          <w:p w14:paraId="6C3C1E9F">
            <w:pPr>
              <w:spacing w:line="400" w:lineRule="exact"/>
              <w:rPr>
                <w:rFonts w:ascii="仿宋_GB2312" w:hAnsi="仿宋" w:eastAsia="仿宋_GB2312" w:cs="仿宋"/>
                <w:szCs w:val="21"/>
                <w:highlight w:val="none"/>
                <w:lang w:val="zh-CN"/>
              </w:rPr>
            </w:pPr>
            <w:r>
              <w:rPr>
                <w:rFonts w:ascii="仿宋_GB2312" w:hAnsi="仿宋" w:eastAsia="仿宋_GB2312" w:cs="仿宋"/>
                <w:szCs w:val="21"/>
                <w:highlight w:val="none"/>
                <w:lang w:val="zh-CN"/>
              </w:rPr>
              <w:t>项分档次打分。</w:t>
            </w:r>
          </w:p>
          <w:p w14:paraId="3DEE3C1C">
            <w:pPr>
              <w:spacing w:line="400" w:lineRule="exact"/>
              <w:rPr>
                <w:rFonts w:ascii="仿宋_GB2312" w:hAnsi="仿宋" w:eastAsia="仿宋_GB2312" w:cs="仿宋"/>
                <w:szCs w:val="21"/>
                <w:highlight w:val="none"/>
                <w:lang w:val="zh-CN"/>
              </w:rPr>
            </w:pPr>
            <w:r>
              <w:rPr>
                <w:rFonts w:ascii="仿宋_GB2312" w:hAnsi="仿宋" w:eastAsia="仿宋_GB2312" w:cs="仿宋"/>
                <w:szCs w:val="21"/>
                <w:highlight w:val="none"/>
                <w:lang w:val="zh-CN"/>
              </w:rPr>
              <w:t>1、对项目的理解程度，设计理念（</w:t>
            </w:r>
            <w:r>
              <w:rPr>
                <w:rFonts w:ascii="仿宋_GB2312" w:hAnsi="仿宋" w:eastAsia="仿宋_GB2312" w:cs="仿宋"/>
                <w:szCs w:val="21"/>
                <w:highlight w:val="none"/>
              </w:rPr>
              <w:t>0-5</w:t>
            </w:r>
            <w:r>
              <w:rPr>
                <w:rFonts w:ascii="仿宋_GB2312" w:hAnsi="仿宋" w:eastAsia="仿宋_GB2312" w:cs="仿宋"/>
                <w:szCs w:val="21"/>
                <w:highlight w:val="none"/>
                <w:lang w:val="zh-CN"/>
              </w:rPr>
              <w:t>分）。</w:t>
            </w:r>
          </w:p>
          <w:p w14:paraId="57BA6DA5">
            <w:pPr>
              <w:spacing w:line="400" w:lineRule="exact"/>
              <w:rPr>
                <w:rFonts w:ascii="仿宋_GB2312" w:hAnsi="仿宋" w:eastAsia="仿宋_GB2312" w:cs="仿宋"/>
                <w:szCs w:val="21"/>
                <w:highlight w:val="none"/>
                <w:lang w:val="zh-CN"/>
              </w:rPr>
            </w:pPr>
            <w:r>
              <w:rPr>
                <w:rFonts w:ascii="仿宋_GB2312" w:hAnsi="仿宋" w:eastAsia="仿宋_GB2312" w:cs="仿宋"/>
                <w:szCs w:val="21"/>
                <w:highlight w:val="none"/>
                <w:lang w:val="zh-CN"/>
              </w:rPr>
              <w:t>2、项目施工制作、安装计划（</w:t>
            </w:r>
            <w:r>
              <w:rPr>
                <w:rFonts w:ascii="仿宋_GB2312" w:hAnsi="仿宋" w:eastAsia="仿宋_GB2312" w:cs="仿宋"/>
                <w:szCs w:val="21"/>
                <w:highlight w:val="none"/>
              </w:rPr>
              <w:t>0-5</w:t>
            </w:r>
            <w:r>
              <w:rPr>
                <w:rFonts w:ascii="仿宋_GB2312" w:hAnsi="仿宋" w:eastAsia="仿宋_GB2312" w:cs="仿宋"/>
                <w:szCs w:val="21"/>
                <w:highlight w:val="none"/>
                <w:lang w:val="zh-CN"/>
              </w:rPr>
              <w:t>分）。</w:t>
            </w:r>
          </w:p>
          <w:p w14:paraId="2581C5E6">
            <w:pPr>
              <w:spacing w:line="400" w:lineRule="exact"/>
              <w:rPr>
                <w:rFonts w:ascii="仿宋_GB2312" w:hAnsi="仿宋" w:eastAsia="仿宋_GB2312" w:cs="仿宋"/>
                <w:szCs w:val="21"/>
                <w:highlight w:val="none"/>
                <w:lang w:val="zh-CN"/>
              </w:rPr>
            </w:pPr>
            <w:r>
              <w:rPr>
                <w:rFonts w:ascii="仿宋_GB2312" w:hAnsi="仿宋" w:eastAsia="仿宋_GB2312" w:cs="仿宋"/>
                <w:szCs w:val="21"/>
                <w:highlight w:val="none"/>
                <w:lang w:val="zh-CN"/>
              </w:rPr>
              <w:t>3、项目质量保证措施（</w:t>
            </w:r>
            <w:r>
              <w:rPr>
                <w:rFonts w:ascii="仿宋_GB2312" w:hAnsi="仿宋" w:eastAsia="仿宋_GB2312" w:cs="仿宋"/>
                <w:szCs w:val="21"/>
                <w:highlight w:val="none"/>
              </w:rPr>
              <w:t>0-5</w:t>
            </w:r>
            <w:r>
              <w:rPr>
                <w:rFonts w:ascii="仿宋_GB2312" w:hAnsi="仿宋" w:eastAsia="仿宋_GB2312" w:cs="仿宋"/>
                <w:szCs w:val="21"/>
                <w:highlight w:val="none"/>
                <w:lang w:val="zh-CN"/>
              </w:rPr>
              <w:t>）。</w:t>
            </w:r>
          </w:p>
        </w:tc>
      </w:tr>
      <w:tr w14:paraId="1C50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449" w:type="dxa"/>
            <w:vMerge w:val="restart"/>
            <w:noWrap w:val="0"/>
            <w:vAlign w:val="center"/>
          </w:tcPr>
          <w:p w14:paraId="0083F2BB">
            <w:pPr>
              <w:spacing w:line="400" w:lineRule="exact"/>
              <w:rPr>
                <w:rFonts w:ascii="仿宋_GB2312" w:hAnsi="仿宋" w:eastAsia="仿宋_GB2312" w:cs="仿宋"/>
                <w:szCs w:val="21"/>
              </w:rPr>
            </w:pPr>
            <w:r>
              <w:rPr>
                <w:rFonts w:ascii="仿宋_GB2312" w:hAnsi="仿宋" w:eastAsia="仿宋_GB2312" w:cs="仿宋"/>
                <w:szCs w:val="21"/>
              </w:rPr>
              <w:t>商务部分（</w:t>
            </w:r>
          </w:p>
          <w:p w14:paraId="4EC1F3AD">
            <w:pPr>
              <w:spacing w:line="400" w:lineRule="exact"/>
              <w:rPr>
                <w:rFonts w:ascii="仿宋_GB2312" w:hAnsi="仿宋" w:eastAsia="仿宋_GB2312" w:cs="仿宋"/>
                <w:szCs w:val="21"/>
              </w:rPr>
            </w:pPr>
            <w:r>
              <w:rPr>
                <w:rFonts w:hint="eastAsia" w:ascii="仿宋_GB2312" w:hAnsi="仿宋" w:eastAsia="仿宋_GB2312" w:cs="仿宋"/>
                <w:szCs w:val="21"/>
                <w:lang w:val="en-US" w:eastAsia="zh-CN"/>
              </w:rPr>
              <w:t>40</w:t>
            </w:r>
            <w:r>
              <w:rPr>
                <w:rFonts w:ascii="仿宋_GB2312" w:hAnsi="仿宋" w:eastAsia="仿宋_GB2312" w:cs="仿宋"/>
                <w:szCs w:val="21"/>
              </w:rPr>
              <w:t>分）</w:t>
            </w:r>
          </w:p>
        </w:tc>
        <w:tc>
          <w:tcPr>
            <w:tcW w:w="1194" w:type="dxa"/>
            <w:noWrap w:val="0"/>
            <w:vAlign w:val="center"/>
          </w:tcPr>
          <w:p w14:paraId="2B9C8F37">
            <w:pPr>
              <w:spacing w:line="400" w:lineRule="exact"/>
              <w:rPr>
                <w:rFonts w:ascii="仿宋_GB2312" w:hAnsi="仿宋" w:eastAsia="仿宋_GB2312" w:cs="仿宋"/>
                <w:szCs w:val="21"/>
              </w:rPr>
            </w:pPr>
            <w:r>
              <w:rPr>
                <w:rFonts w:ascii="仿宋_GB2312" w:hAnsi="仿宋" w:eastAsia="仿宋_GB2312" w:cs="仿宋"/>
                <w:szCs w:val="21"/>
                <w:lang w:val="zh-CN"/>
              </w:rPr>
              <w:t>售后服务承诺</w:t>
            </w:r>
            <w:r>
              <w:rPr>
                <w:rFonts w:hint="eastAsia" w:ascii="仿宋_GB2312" w:hAnsi="仿宋" w:eastAsia="仿宋_GB2312" w:cs="仿宋"/>
                <w:szCs w:val="21"/>
                <w:lang w:val="en-US" w:eastAsia="zh-CN"/>
              </w:rPr>
              <w:t>9</w:t>
            </w:r>
            <w:r>
              <w:rPr>
                <w:rFonts w:ascii="仿宋_GB2312" w:hAnsi="仿宋" w:eastAsia="仿宋_GB2312" w:cs="仿宋"/>
                <w:szCs w:val="21"/>
                <w:lang w:val="zh-CN"/>
              </w:rPr>
              <w:t>分</w:t>
            </w:r>
          </w:p>
        </w:tc>
        <w:tc>
          <w:tcPr>
            <w:tcW w:w="6449" w:type="dxa"/>
            <w:noWrap w:val="0"/>
            <w:vAlign w:val="center"/>
          </w:tcPr>
          <w:p w14:paraId="5A2C2A29">
            <w:pPr>
              <w:spacing w:line="400" w:lineRule="exact"/>
              <w:rPr>
                <w:rFonts w:ascii="仿宋_GB2312" w:hAnsi="仿宋" w:eastAsia="仿宋_GB2312" w:cs="仿宋"/>
                <w:szCs w:val="21"/>
                <w:highlight w:val="none"/>
              </w:rPr>
            </w:pPr>
            <w:r>
              <w:rPr>
                <w:rFonts w:ascii="仿宋_GB2312" w:hAnsi="仿宋" w:eastAsia="仿宋_GB2312" w:cs="仿宋"/>
                <w:szCs w:val="21"/>
                <w:highlight w:val="none"/>
                <w:lang w:val="zh-CN"/>
              </w:rPr>
              <w:t>实质性优惠条件承诺</w:t>
            </w:r>
            <w:r>
              <w:rPr>
                <w:rFonts w:hint="eastAsia" w:ascii="仿宋_GB2312" w:hAnsi="仿宋" w:eastAsia="仿宋_GB2312" w:cs="仿宋"/>
                <w:szCs w:val="21"/>
                <w:highlight w:val="none"/>
                <w:lang w:val="en-US" w:eastAsia="zh-CN"/>
              </w:rPr>
              <w:t>3</w:t>
            </w:r>
            <w:r>
              <w:rPr>
                <w:rFonts w:ascii="仿宋_GB2312" w:hAnsi="仿宋" w:eastAsia="仿宋_GB2312" w:cs="仿宋"/>
                <w:szCs w:val="21"/>
                <w:highlight w:val="none"/>
                <w:lang w:val="zh-CN"/>
              </w:rPr>
              <w:t>分。质保期内服务承诺</w:t>
            </w:r>
            <w:r>
              <w:rPr>
                <w:rFonts w:ascii="仿宋_GB2312" w:hAnsi="仿宋" w:eastAsia="仿宋_GB2312" w:cs="仿宋"/>
                <w:szCs w:val="21"/>
                <w:highlight w:val="none"/>
              </w:rPr>
              <w:t>3</w:t>
            </w:r>
            <w:r>
              <w:rPr>
                <w:rFonts w:ascii="仿宋_GB2312" w:hAnsi="仿宋" w:eastAsia="仿宋_GB2312" w:cs="仿宋"/>
                <w:szCs w:val="21"/>
                <w:highlight w:val="none"/>
                <w:lang w:val="zh-CN"/>
              </w:rPr>
              <w:t>分。质保期外服务承诺</w:t>
            </w:r>
            <w:r>
              <w:rPr>
                <w:rFonts w:ascii="仿宋_GB2312" w:hAnsi="仿宋" w:eastAsia="仿宋_GB2312" w:cs="仿宋"/>
                <w:szCs w:val="21"/>
                <w:highlight w:val="none"/>
              </w:rPr>
              <w:t>3</w:t>
            </w:r>
            <w:r>
              <w:rPr>
                <w:rFonts w:ascii="仿宋_GB2312" w:hAnsi="仿宋" w:eastAsia="仿宋_GB2312" w:cs="仿宋"/>
                <w:szCs w:val="21"/>
                <w:highlight w:val="none"/>
                <w:lang w:val="zh-CN"/>
              </w:rPr>
              <w:t>分。</w:t>
            </w:r>
          </w:p>
        </w:tc>
      </w:tr>
      <w:tr w14:paraId="6FE4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449" w:type="dxa"/>
            <w:vMerge w:val="continue"/>
            <w:noWrap w:val="0"/>
            <w:vAlign w:val="center"/>
          </w:tcPr>
          <w:p w14:paraId="0B47B24E">
            <w:pPr>
              <w:spacing w:line="400" w:lineRule="exact"/>
              <w:rPr>
                <w:rFonts w:ascii="仿宋_GB2312" w:hAnsi="仿宋" w:eastAsia="仿宋_GB2312" w:cs="仿宋"/>
                <w:szCs w:val="21"/>
              </w:rPr>
            </w:pPr>
          </w:p>
        </w:tc>
        <w:tc>
          <w:tcPr>
            <w:tcW w:w="1194" w:type="dxa"/>
            <w:noWrap w:val="0"/>
            <w:vAlign w:val="center"/>
          </w:tcPr>
          <w:p w14:paraId="66656CE2">
            <w:pPr>
              <w:spacing w:line="400" w:lineRule="exact"/>
              <w:rPr>
                <w:rFonts w:ascii="仿宋_GB2312" w:hAnsi="仿宋" w:eastAsia="仿宋_GB2312" w:cs="仿宋"/>
                <w:szCs w:val="21"/>
              </w:rPr>
            </w:pPr>
            <w:r>
              <w:rPr>
                <w:rFonts w:ascii="仿宋_GB2312" w:hAnsi="仿宋" w:eastAsia="仿宋_GB2312" w:cs="仿宋"/>
                <w:szCs w:val="21"/>
              </w:rPr>
              <w:t xml:space="preserve">其他评分因素 </w:t>
            </w:r>
            <w:r>
              <w:rPr>
                <w:rFonts w:hint="eastAsia" w:ascii="仿宋_GB2312" w:hAnsi="仿宋" w:eastAsia="仿宋_GB2312" w:cs="仿宋"/>
                <w:szCs w:val="21"/>
                <w:lang w:val="en-US" w:eastAsia="zh-CN"/>
              </w:rPr>
              <w:t>3</w:t>
            </w:r>
            <w:r>
              <w:rPr>
                <w:rFonts w:ascii="仿宋_GB2312" w:hAnsi="仿宋" w:eastAsia="仿宋_GB2312" w:cs="仿宋"/>
                <w:szCs w:val="21"/>
              </w:rPr>
              <w:t>分</w:t>
            </w:r>
          </w:p>
        </w:tc>
        <w:tc>
          <w:tcPr>
            <w:tcW w:w="6449" w:type="dxa"/>
            <w:noWrap w:val="0"/>
            <w:vAlign w:val="center"/>
          </w:tcPr>
          <w:p w14:paraId="11A2D7CB">
            <w:pPr>
              <w:spacing w:line="400" w:lineRule="exact"/>
              <w:rPr>
                <w:rFonts w:ascii="仿宋_GB2312" w:hAnsi="仿宋" w:eastAsia="仿宋_GB2312" w:cs="仿宋"/>
                <w:szCs w:val="21"/>
                <w:highlight w:val="none"/>
                <w:lang w:val="zh-CN"/>
              </w:rPr>
            </w:pPr>
            <w:r>
              <w:rPr>
                <w:rFonts w:ascii="仿宋_GB2312" w:hAnsi="仿宋" w:eastAsia="仿宋_GB2312" w:cs="仿宋"/>
                <w:szCs w:val="21"/>
                <w:highlight w:val="none"/>
                <w:lang w:val="zh-CN"/>
              </w:rPr>
              <w:t>保证在施工期间，加强安全防护措施，施工现场符合安全文明施工标准，不发生各种安全事故，并承担由此发生的费用，酌情打0-</w:t>
            </w:r>
            <w:r>
              <w:rPr>
                <w:rFonts w:hint="eastAsia" w:ascii="仿宋_GB2312" w:hAnsi="仿宋" w:eastAsia="仿宋_GB2312" w:cs="仿宋"/>
                <w:szCs w:val="21"/>
                <w:highlight w:val="none"/>
                <w:lang w:val="en-US" w:eastAsia="zh-CN"/>
              </w:rPr>
              <w:t>3</w:t>
            </w:r>
            <w:r>
              <w:rPr>
                <w:rFonts w:ascii="仿宋_GB2312" w:hAnsi="仿宋" w:eastAsia="仿宋_GB2312" w:cs="仿宋"/>
                <w:szCs w:val="21"/>
                <w:highlight w:val="none"/>
                <w:lang w:val="zh-CN"/>
              </w:rPr>
              <w:t>分。</w:t>
            </w:r>
          </w:p>
          <w:p w14:paraId="15ABD0E3">
            <w:pPr>
              <w:spacing w:line="400" w:lineRule="exact"/>
              <w:rPr>
                <w:highlight w:val="none"/>
              </w:rPr>
            </w:pPr>
          </w:p>
        </w:tc>
      </w:tr>
      <w:tr w14:paraId="679C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449" w:type="dxa"/>
            <w:vMerge w:val="continue"/>
            <w:noWrap w:val="0"/>
            <w:vAlign w:val="center"/>
          </w:tcPr>
          <w:p w14:paraId="7EB06508">
            <w:pPr>
              <w:spacing w:line="400" w:lineRule="exact"/>
              <w:rPr>
                <w:rFonts w:ascii="仿宋_GB2312" w:hAnsi="仿宋" w:eastAsia="仿宋_GB2312" w:cs="仿宋"/>
                <w:szCs w:val="21"/>
              </w:rPr>
            </w:pPr>
          </w:p>
        </w:tc>
        <w:tc>
          <w:tcPr>
            <w:tcW w:w="1194" w:type="dxa"/>
            <w:vMerge w:val="restart"/>
            <w:noWrap w:val="0"/>
            <w:vAlign w:val="center"/>
          </w:tcPr>
          <w:p w14:paraId="4FCE512B">
            <w:pPr>
              <w:spacing w:line="400" w:lineRule="exact"/>
              <w:rPr>
                <w:rFonts w:ascii="仿宋_GB2312" w:hAnsi="仿宋" w:eastAsia="仿宋_GB2312" w:cs="仿宋"/>
                <w:szCs w:val="21"/>
              </w:rPr>
            </w:pPr>
            <w:r>
              <w:rPr>
                <w:rFonts w:ascii="仿宋_GB2312" w:hAnsi="仿宋" w:eastAsia="仿宋_GB2312" w:cs="仿宋"/>
                <w:szCs w:val="21"/>
              </w:rPr>
              <w:t>服务</w:t>
            </w:r>
            <w:r>
              <w:rPr>
                <w:rFonts w:hint="eastAsia" w:ascii="仿宋_GB2312" w:hAnsi="仿宋" w:eastAsia="仿宋_GB2312" w:cs="仿宋"/>
                <w:szCs w:val="21"/>
                <w:lang w:val="en-US" w:eastAsia="zh-CN"/>
              </w:rPr>
              <w:t>5</w:t>
            </w:r>
            <w:r>
              <w:rPr>
                <w:rFonts w:ascii="仿宋_GB2312" w:hAnsi="仿宋" w:eastAsia="仿宋_GB2312" w:cs="仿宋"/>
                <w:szCs w:val="21"/>
              </w:rPr>
              <w:t>分</w:t>
            </w:r>
          </w:p>
        </w:tc>
        <w:tc>
          <w:tcPr>
            <w:tcW w:w="6449" w:type="dxa"/>
            <w:noWrap w:val="0"/>
            <w:vAlign w:val="center"/>
          </w:tcPr>
          <w:p w14:paraId="34C098FD">
            <w:pPr>
              <w:spacing w:line="400" w:lineRule="exact"/>
              <w:rPr>
                <w:rFonts w:ascii="仿宋_GB2312" w:hAnsi="仿宋" w:eastAsia="仿宋_GB2312" w:cs="仿宋"/>
                <w:szCs w:val="21"/>
                <w:highlight w:val="none"/>
              </w:rPr>
            </w:pPr>
            <w:r>
              <w:rPr>
                <w:rFonts w:ascii="仿宋_GB2312" w:hAnsi="仿宋" w:eastAsia="仿宋_GB2312" w:cs="仿宋"/>
                <w:szCs w:val="21"/>
                <w:highlight w:val="none"/>
              </w:rPr>
              <w:t>设立本地售后服务机构，配备专职技术人员，明确“三包”内容，承诺维修服务具体时限与优惠。（</w:t>
            </w:r>
            <w:r>
              <w:rPr>
                <w:rFonts w:hint="eastAsia" w:ascii="仿宋_GB2312" w:hAnsi="仿宋" w:eastAsia="仿宋_GB2312" w:cs="仿宋"/>
                <w:szCs w:val="21"/>
                <w:highlight w:val="none"/>
                <w:lang w:val="en-US" w:eastAsia="zh-CN"/>
              </w:rPr>
              <w:t>2</w:t>
            </w:r>
            <w:r>
              <w:rPr>
                <w:rFonts w:ascii="仿宋_GB2312" w:hAnsi="仿宋" w:eastAsia="仿宋_GB2312" w:cs="仿宋"/>
                <w:szCs w:val="21"/>
                <w:highlight w:val="none"/>
              </w:rPr>
              <w:t>分）</w:t>
            </w:r>
          </w:p>
        </w:tc>
      </w:tr>
      <w:tr w14:paraId="2888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449" w:type="dxa"/>
            <w:vMerge w:val="continue"/>
            <w:noWrap w:val="0"/>
            <w:vAlign w:val="center"/>
          </w:tcPr>
          <w:p w14:paraId="31E0A506">
            <w:pPr>
              <w:spacing w:line="400" w:lineRule="exact"/>
              <w:rPr>
                <w:rFonts w:ascii="仿宋_GB2312" w:hAnsi="仿宋" w:eastAsia="仿宋_GB2312" w:cs="仿宋"/>
                <w:szCs w:val="21"/>
              </w:rPr>
            </w:pPr>
          </w:p>
        </w:tc>
        <w:tc>
          <w:tcPr>
            <w:tcW w:w="1194" w:type="dxa"/>
            <w:vMerge w:val="continue"/>
            <w:noWrap w:val="0"/>
            <w:vAlign w:val="center"/>
          </w:tcPr>
          <w:p w14:paraId="02B6FA72">
            <w:pPr>
              <w:spacing w:line="400" w:lineRule="exact"/>
              <w:rPr>
                <w:rFonts w:ascii="仿宋_GB2312" w:hAnsi="仿宋" w:eastAsia="仿宋_GB2312" w:cs="仿宋"/>
                <w:szCs w:val="21"/>
              </w:rPr>
            </w:pPr>
          </w:p>
        </w:tc>
        <w:tc>
          <w:tcPr>
            <w:tcW w:w="6449" w:type="dxa"/>
            <w:noWrap w:val="0"/>
            <w:vAlign w:val="center"/>
          </w:tcPr>
          <w:p w14:paraId="1E78C1A9">
            <w:pPr>
              <w:spacing w:line="400" w:lineRule="exact"/>
              <w:rPr>
                <w:rFonts w:ascii="仿宋_GB2312" w:hAnsi="仿宋" w:eastAsia="仿宋_GB2312" w:cs="仿宋"/>
                <w:szCs w:val="21"/>
                <w:highlight w:val="none"/>
              </w:rPr>
            </w:pPr>
            <w:r>
              <w:rPr>
                <w:rFonts w:ascii="仿宋_GB2312" w:hAnsi="仿宋" w:eastAsia="仿宋_GB2312" w:cs="仿宋"/>
                <w:szCs w:val="21"/>
                <w:highlight w:val="none"/>
              </w:rPr>
              <w:t>提供售后服务标准公约，在产品配送、检验、使用、备品配件、补救措施等方面，具有明确的承诺。（</w:t>
            </w:r>
            <w:r>
              <w:rPr>
                <w:rFonts w:hint="eastAsia" w:ascii="仿宋_GB2312" w:hAnsi="仿宋" w:eastAsia="仿宋_GB2312" w:cs="仿宋"/>
                <w:szCs w:val="21"/>
                <w:highlight w:val="none"/>
                <w:lang w:val="en-US" w:eastAsia="zh-CN"/>
              </w:rPr>
              <w:t>2</w:t>
            </w:r>
            <w:r>
              <w:rPr>
                <w:rFonts w:ascii="仿宋_GB2312" w:hAnsi="仿宋" w:eastAsia="仿宋_GB2312" w:cs="仿宋"/>
                <w:szCs w:val="21"/>
                <w:highlight w:val="none"/>
              </w:rPr>
              <w:t>分）</w:t>
            </w:r>
          </w:p>
        </w:tc>
      </w:tr>
      <w:tr w14:paraId="4737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449" w:type="dxa"/>
            <w:vMerge w:val="continue"/>
            <w:noWrap w:val="0"/>
            <w:vAlign w:val="center"/>
          </w:tcPr>
          <w:p w14:paraId="0662D96F">
            <w:pPr>
              <w:spacing w:line="400" w:lineRule="exact"/>
              <w:rPr>
                <w:rFonts w:ascii="仿宋_GB2312" w:hAnsi="仿宋" w:eastAsia="仿宋_GB2312" w:cs="仿宋"/>
                <w:szCs w:val="21"/>
              </w:rPr>
            </w:pPr>
          </w:p>
        </w:tc>
        <w:tc>
          <w:tcPr>
            <w:tcW w:w="1194" w:type="dxa"/>
            <w:vMerge w:val="continue"/>
            <w:noWrap w:val="0"/>
            <w:vAlign w:val="center"/>
          </w:tcPr>
          <w:p w14:paraId="46A1F0A1">
            <w:pPr>
              <w:spacing w:line="400" w:lineRule="exact"/>
              <w:rPr>
                <w:rFonts w:ascii="仿宋_GB2312" w:hAnsi="仿宋" w:eastAsia="仿宋_GB2312" w:cs="仿宋"/>
                <w:szCs w:val="21"/>
              </w:rPr>
            </w:pPr>
          </w:p>
        </w:tc>
        <w:tc>
          <w:tcPr>
            <w:tcW w:w="6449" w:type="dxa"/>
            <w:noWrap w:val="0"/>
            <w:vAlign w:val="center"/>
          </w:tcPr>
          <w:p w14:paraId="5C186353">
            <w:pPr>
              <w:spacing w:line="400" w:lineRule="exact"/>
              <w:rPr>
                <w:rFonts w:ascii="仿宋_GB2312" w:hAnsi="仿宋" w:eastAsia="仿宋_GB2312" w:cs="仿宋"/>
                <w:szCs w:val="21"/>
                <w:highlight w:val="none"/>
              </w:rPr>
            </w:pPr>
            <w:r>
              <w:rPr>
                <w:rFonts w:ascii="仿宋_GB2312" w:hAnsi="仿宋" w:eastAsia="仿宋_GB2312"/>
                <w:szCs w:val="21"/>
                <w:highlight w:val="none"/>
              </w:rPr>
              <w:t>售后服务能够满足7×24小时响应，出现故障后6小时内能够到现场解决故障。（</w:t>
            </w:r>
            <w:r>
              <w:rPr>
                <w:rFonts w:hint="eastAsia" w:ascii="仿宋_GB2312" w:hAnsi="仿宋" w:eastAsia="仿宋_GB2312"/>
                <w:szCs w:val="21"/>
                <w:highlight w:val="none"/>
                <w:lang w:val="en-US" w:eastAsia="zh-CN"/>
              </w:rPr>
              <w:t>1</w:t>
            </w:r>
            <w:r>
              <w:rPr>
                <w:rFonts w:ascii="仿宋_GB2312" w:hAnsi="仿宋" w:eastAsia="仿宋_GB2312"/>
                <w:szCs w:val="21"/>
                <w:highlight w:val="none"/>
              </w:rPr>
              <w:t>分）</w:t>
            </w:r>
          </w:p>
        </w:tc>
      </w:tr>
      <w:tr w14:paraId="0AE1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1449" w:type="dxa"/>
            <w:noWrap w:val="0"/>
            <w:vAlign w:val="center"/>
          </w:tcPr>
          <w:p w14:paraId="41C177A4">
            <w:pPr>
              <w:spacing w:line="400" w:lineRule="exact"/>
              <w:rPr>
                <w:rFonts w:ascii="仿宋_GB2312" w:hAnsi="仿宋" w:eastAsia="仿宋_GB2312" w:cs="仿宋"/>
                <w:szCs w:val="21"/>
              </w:rPr>
            </w:pPr>
          </w:p>
        </w:tc>
        <w:tc>
          <w:tcPr>
            <w:tcW w:w="1194" w:type="dxa"/>
            <w:noWrap w:val="0"/>
            <w:vAlign w:val="center"/>
          </w:tcPr>
          <w:p w14:paraId="4F2F80AF">
            <w:pPr>
              <w:spacing w:line="400" w:lineRule="exact"/>
              <w:rPr>
                <w:rFonts w:ascii="仿宋_GB2312" w:hAnsi="仿宋" w:eastAsia="仿宋_GB2312" w:cs="仿宋"/>
                <w:szCs w:val="21"/>
                <w:highlight w:val="none"/>
              </w:rPr>
            </w:pPr>
            <w:r>
              <w:rPr>
                <w:rFonts w:ascii="仿宋_GB2312" w:hAnsi="仿宋" w:eastAsia="仿宋_GB2312" w:cs="仿宋"/>
                <w:szCs w:val="21"/>
                <w:highlight w:val="none"/>
              </w:rPr>
              <w:t>业绩</w:t>
            </w:r>
            <w:r>
              <w:rPr>
                <w:rFonts w:hint="eastAsia" w:ascii="仿宋_GB2312" w:hAnsi="仿宋" w:eastAsia="仿宋_GB2312" w:cs="仿宋"/>
                <w:szCs w:val="21"/>
                <w:highlight w:val="none"/>
                <w:lang w:eastAsia="zh-CN"/>
              </w:rPr>
              <w:t>、</w:t>
            </w:r>
            <w:r>
              <w:rPr>
                <w:rFonts w:hint="eastAsia" w:ascii="仿宋_GB2312" w:hAnsi="仿宋" w:eastAsia="仿宋_GB2312" w:cs="仿宋"/>
                <w:szCs w:val="21"/>
                <w:highlight w:val="none"/>
                <w:lang w:val="en-US" w:eastAsia="zh-CN"/>
              </w:rPr>
              <w:t>案例10</w:t>
            </w:r>
            <w:r>
              <w:rPr>
                <w:rFonts w:ascii="仿宋_GB2312" w:hAnsi="仿宋" w:eastAsia="仿宋_GB2312" w:cs="仿宋"/>
                <w:szCs w:val="21"/>
                <w:highlight w:val="none"/>
              </w:rPr>
              <w:t>分</w:t>
            </w:r>
          </w:p>
        </w:tc>
        <w:tc>
          <w:tcPr>
            <w:tcW w:w="6449" w:type="dxa"/>
            <w:shd w:val="clear" w:color="auto" w:fill="auto"/>
            <w:noWrap w:val="0"/>
            <w:vAlign w:val="center"/>
          </w:tcPr>
          <w:p w14:paraId="409EC0F0">
            <w:pPr>
              <w:widowControl/>
              <w:jc w:val="left"/>
              <w:rPr>
                <w:rFonts w:ascii="仿宋_GB2312" w:hAnsi="仿宋" w:eastAsia="仿宋_GB2312" w:cs="Times New Roman"/>
                <w:szCs w:val="21"/>
                <w:highlight w:val="none"/>
              </w:rPr>
            </w:pPr>
            <w:r>
              <w:rPr>
                <w:rFonts w:hint="eastAsia" w:ascii="仿宋_GB2312" w:hAnsi="仿宋" w:eastAsia="仿宋_GB2312" w:cs="Times New Roman"/>
                <w:szCs w:val="21"/>
                <w:highlight w:val="none"/>
                <w:shd w:val="clear" w:color="auto"/>
                <w:lang w:val="en-US" w:eastAsia="zh-CN"/>
              </w:rPr>
              <w:t>1.为保证产品质量的可靠性，</w:t>
            </w:r>
            <w:r>
              <w:rPr>
                <w:rFonts w:ascii="仿宋_GB2312" w:hAnsi="仿宋" w:eastAsia="仿宋_GB2312" w:cs="Times New Roman"/>
                <w:szCs w:val="21"/>
                <w:highlight w:val="none"/>
              </w:rPr>
              <w:t>投标供应商</w:t>
            </w:r>
            <w:r>
              <w:rPr>
                <w:rFonts w:hint="eastAsia" w:ascii="仿宋_GB2312" w:hAnsi="仿宋" w:eastAsia="仿宋_GB2312" w:cs="Times New Roman"/>
                <w:szCs w:val="21"/>
                <w:highlight w:val="none"/>
                <w:lang w:val="en-US" w:eastAsia="zh-CN"/>
              </w:rPr>
              <w:t>或所投产品制造商</w:t>
            </w:r>
            <w:r>
              <w:rPr>
                <w:rFonts w:ascii="仿宋_GB2312" w:hAnsi="仿宋" w:eastAsia="仿宋_GB2312" w:cs="Times New Roman"/>
                <w:szCs w:val="21"/>
                <w:highlight w:val="none"/>
              </w:rPr>
              <w:t>在投标文件中附近三年以来 （202</w:t>
            </w:r>
            <w:r>
              <w:rPr>
                <w:rFonts w:hint="eastAsia" w:ascii="仿宋_GB2312" w:hAnsi="仿宋" w:eastAsia="仿宋_GB2312" w:cs="Times New Roman"/>
                <w:szCs w:val="21"/>
                <w:highlight w:val="none"/>
                <w:lang w:val="en-US" w:eastAsia="zh-CN"/>
              </w:rPr>
              <w:t>3</w:t>
            </w:r>
            <w:r>
              <w:rPr>
                <w:rFonts w:ascii="仿宋_GB2312" w:hAnsi="仿宋" w:eastAsia="仿宋_GB2312" w:cs="Times New Roman"/>
                <w:szCs w:val="21"/>
                <w:highlight w:val="none"/>
              </w:rPr>
              <w:t xml:space="preserve"> 年</w:t>
            </w:r>
            <w:r>
              <w:rPr>
                <w:rFonts w:hint="eastAsia" w:ascii="仿宋_GB2312" w:hAnsi="仿宋" w:eastAsia="仿宋_GB2312" w:cs="Times New Roman"/>
                <w:szCs w:val="21"/>
                <w:highlight w:val="none"/>
                <w:lang w:val="en-US" w:eastAsia="zh-CN"/>
              </w:rPr>
              <w:t xml:space="preserve"> 6</w:t>
            </w:r>
            <w:r>
              <w:rPr>
                <w:rFonts w:ascii="仿宋_GB2312" w:hAnsi="仿宋" w:eastAsia="仿宋_GB2312" w:cs="Times New Roman"/>
                <w:szCs w:val="21"/>
                <w:highlight w:val="none"/>
              </w:rPr>
              <w:t xml:space="preserve"> 月 1 日至今）的同类服务合同复印件（以合同签订服务期限为准），每一份有效业绩得</w:t>
            </w:r>
            <w:r>
              <w:rPr>
                <w:rFonts w:hint="eastAsia" w:ascii="仿宋_GB2312" w:hAnsi="仿宋" w:eastAsia="仿宋_GB2312" w:cs="Times New Roman"/>
                <w:szCs w:val="21"/>
                <w:highlight w:val="none"/>
                <w:lang w:val="en-US" w:eastAsia="zh-CN"/>
              </w:rPr>
              <w:t>1</w:t>
            </w:r>
            <w:r>
              <w:rPr>
                <w:rFonts w:ascii="仿宋_GB2312" w:hAnsi="仿宋" w:eastAsia="仿宋_GB2312" w:cs="Times New Roman"/>
                <w:szCs w:val="21"/>
                <w:highlight w:val="none"/>
              </w:rPr>
              <w:t>分，此项满分</w:t>
            </w:r>
            <w:r>
              <w:rPr>
                <w:rFonts w:hint="eastAsia" w:ascii="仿宋_GB2312" w:hAnsi="仿宋" w:eastAsia="仿宋_GB2312" w:cs="Times New Roman"/>
                <w:szCs w:val="21"/>
                <w:highlight w:val="none"/>
                <w:lang w:val="en-US" w:eastAsia="zh-CN"/>
              </w:rPr>
              <w:t>4</w:t>
            </w:r>
            <w:r>
              <w:rPr>
                <w:rFonts w:ascii="仿宋_GB2312" w:hAnsi="仿宋" w:eastAsia="仿宋_GB2312" w:cs="Times New Roman"/>
                <w:szCs w:val="21"/>
                <w:highlight w:val="none"/>
              </w:rPr>
              <w:t xml:space="preserve">分，最低得0分。 </w:t>
            </w:r>
          </w:p>
          <w:p w14:paraId="2F8FACD8">
            <w:pPr>
              <w:pStyle w:val="13"/>
              <w:ind w:left="0" w:leftChars="0" w:firstLine="0" w:firstLineChars="0"/>
              <w:rPr>
                <w:rFonts w:ascii="宋体" w:hAnsi="宋体" w:cs="宋体"/>
                <w:kern w:val="0"/>
                <w:sz w:val="24"/>
                <w:szCs w:val="24"/>
                <w:highlight w:val="none"/>
              </w:rPr>
            </w:pPr>
            <w:r>
              <w:rPr>
                <w:rFonts w:hint="eastAsia" w:ascii="仿宋_GB2312" w:hAnsi="仿宋" w:eastAsia="仿宋_GB2312" w:cs="Times New Roman"/>
                <w:color w:val="auto"/>
                <w:kern w:val="2"/>
                <w:sz w:val="21"/>
                <w:szCs w:val="21"/>
                <w:highlight w:val="none"/>
                <w:shd w:val="clear" w:color="auto"/>
                <w:lang w:val="en-US" w:eastAsia="zh-CN" w:bidi="ar-SA"/>
              </w:rPr>
              <w:t>2.为保证产品新技术的应用借鉴，投标供应商或所投产品制造商需提供智能Ai课堂系统、智能Ai算法在同课异构、同课同构、规模性教研方向的应用案例，以应用案例完整性及应用规模综合评价得分。每提供一份应用案例得2分，此项满分6分，最低得0分。</w:t>
            </w:r>
          </w:p>
        </w:tc>
      </w:tr>
      <w:tr w14:paraId="6010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449" w:type="dxa"/>
            <w:noWrap w:val="0"/>
            <w:vAlign w:val="center"/>
          </w:tcPr>
          <w:p w14:paraId="60257E6E">
            <w:pPr>
              <w:spacing w:line="400" w:lineRule="exact"/>
              <w:rPr>
                <w:rFonts w:ascii="仿宋_GB2312" w:hAnsi="仿宋" w:eastAsia="仿宋_GB2312" w:cs="仿宋"/>
                <w:szCs w:val="21"/>
              </w:rPr>
            </w:pPr>
          </w:p>
        </w:tc>
        <w:tc>
          <w:tcPr>
            <w:tcW w:w="1194" w:type="dxa"/>
            <w:noWrap w:val="0"/>
            <w:vAlign w:val="center"/>
          </w:tcPr>
          <w:p w14:paraId="2B6465B3">
            <w:pPr>
              <w:spacing w:line="400" w:lineRule="exact"/>
              <w:rPr>
                <w:rFonts w:ascii="仿宋_GB2312" w:hAnsi="仿宋" w:eastAsia="仿宋_GB2312" w:cs="仿宋"/>
                <w:szCs w:val="21"/>
              </w:rPr>
            </w:pPr>
            <w:r>
              <w:rPr>
                <w:rFonts w:ascii="仿宋_GB2312" w:hAnsi="仿宋" w:eastAsia="仿宋_GB2312" w:cs="仿宋"/>
                <w:szCs w:val="21"/>
              </w:rPr>
              <w:t>检测报告</w:t>
            </w:r>
            <w:r>
              <w:rPr>
                <w:rFonts w:hint="eastAsia" w:ascii="仿宋_GB2312" w:hAnsi="仿宋" w:eastAsia="仿宋_GB2312" w:cs="仿宋"/>
                <w:szCs w:val="21"/>
                <w:lang w:val="en-US" w:eastAsia="zh-CN"/>
              </w:rPr>
              <w:t>9</w:t>
            </w:r>
            <w:r>
              <w:rPr>
                <w:rFonts w:ascii="仿宋_GB2312" w:hAnsi="仿宋" w:eastAsia="仿宋_GB2312" w:cs="仿宋"/>
                <w:szCs w:val="21"/>
              </w:rPr>
              <w:t>分</w:t>
            </w:r>
          </w:p>
        </w:tc>
        <w:tc>
          <w:tcPr>
            <w:tcW w:w="6449" w:type="dxa"/>
            <w:shd w:val="clear" w:color="auto" w:fill="auto"/>
            <w:noWrap w:val="0"/>
            <w:vAlign w:val="center"/>
          </w:tcPr>
          <w:p w14:paraId="644600B5">
            <w:pPr>
              <w:widowControl/>
              <w:shd w:val="clear"/>
              <w:jc w:val="left"/>
              <w:rPr>
                <w:rFonts w:hint="default" w:ascii="仿宋_GB2312" w:hAnsi="仿宋" w:eastAsia="仿宋_GB2312" w:cs="Times New Roman"/>
                <w:szCs w:val="21"/>
                <w:highlight w:val="none"/>
              </w:rPr>
            </w:pPr>
            <w:bookmarkStart w:id="81" w:name="OLE_LINK3"/>
            <w:r>
              <w:rPr>
                <w:rFonts w:ascii="仿宋_GB2312" w:hAnsi="仿宋" w:eastAsia="仿宋_GB2312" w:cs="Times New Roman"/>
                <w:szCs w:val="21"/>
                <w:highlight w:val="none"/>
                <w:shd w:val="clear" w:color="auto"/>
              </w:rPr>
              <w:t>1、</w:t>
            </w:r>
            <w:r>
              <w:rPr>
                <w:rFonts w:hint="eastAsia" w:ascii="仿宋_GB2312" w:hAnsi="仿宋" w:eastAsia="仿宋_GB2312" w:cs="Times New Roman"/>
                <w:szCs w:val="21"/>
                <w:highlight w:val="none"/>
                <w:shd w:val="clear" w:color="auto"/>
                <w:lang w:val="en-US" w:eastAsia="zh-CN"/>
              </w:rPr>
              <w:t>为保证产品质量的稳定性，</w:t>
            </w:r>
            <w:r>
              <w:rPr>
                <w:rFonts w:ascii="仿宋_GB2312" w:hAnsi="仿宋" w:eastAsia="仿宋_GB2312" w:cs="Times New Roman"/>
                <w:szCs w:val="21"/>
                <w:highlight w:val="none"/>
                <w:shd w:val="clear" w:color="auto"/>
              </w:rPr>
              <w:t>投标人或所投产品生产商提供有效的</w:t>
            </w:r>
            <w:r>
              <w:rPr>
                <w:rFonts w:hint="eastAsia" w:ascii="仿宋_GB2312" w:hAnsi="仿宋" w:eastAsia="仿宋_GB2312" w:cs="Times New Roman"/>
                <w:szCs w:val="21"/>
                <w:highlight w:val="none"/>
                <w:shd w:val="clear" w:color="auto"/>
                <w:lang w:val="en-US" w:eastAsia="zh-CN"/>
              </w:rPr>
              <w:t>产品检测报告，</w:t>
            </w:r>
            <w:r>
              <w:rPr>
                <w:rFonts w:ascii="仿宋_GB2312" w:hAnsi="仿宋" w:eastAsia="仿宋_GB2312" w:cs="Times New Roman"/>
                <w:szCs w:val="21"/>
                <w:highlight w:val="none"/>
                <w:shd w:val="clear" w:color="auto"/>
              </w:rPr>
              <w:t>每</w:t>
            </w:r>
            <w:r>
              <w:rPr>
                <w:rFonts w:hint="eastAsia" w:ascii="仿宋_GB2312" w:hAnsi="仿宋" w:eastAsia="仿宋_GB2312" w:cs="Times New Roman"/>
                <w:szCs w:val="21"/>
                <w:highlight w:val="none"/>
                <w:shd w:val="clear" w:color="auto"/>
                <w:lang w:val="en-US" w:eastAsia="zh-CN"/>
              </w:rPr>
              <w:t>提供一份检测</w:t>
            </w:r>
            <w:r>
              <w:rPr>
                <w:rFonts w:ascii="仿宋_GB2312" w:hAnsi="仿宋" w:eastAsia="仿宋_GB2312" w:cs="Times New Roman"/>
                <w:szCs w:val="21"/>
                <w:highlight w:val="none"/>
                <w:shd w:val="clear" w:color="auto"/>
              </w:rPr>
              <w:t xml:space="preserve">报告得 </w:t>
            </w:r>
            <w:r>
              <w:rPr>
                <w:rFonts w:hint="eastAsia" w:ascii="仿宋_GB2312" w:hAnsi="仿宋" w:eastAsia="仿宋_GB2312" w:cs="Times New Roman"/>
                <w:szCs w:val="21"/>
                <w:highlight w:val="none"/>
                <w:shd w:val="clear" w:color="auto"/>
                <w:lang w:val="en-US" w:eastAsia="zh-CN"/>
              </w:rPr>
              <w:t>1</w:t>
            </w:r>
            <w:r>
              <w:rPr>
                <w:rFonts w:ascii="仿宋_GB2312" w:hAnsi="仿宋" w:eastAsia="仿宋_GB2312" w:cs="Times New Roman"/>
                <w:szCs w:val="21"/>
                <w:highlight w:val="none"/>
                <w:shd w:val="clear" w:color="auto"/>
              </w:rPr>
              <w:t xml:space="preserve">分，满分 </w:t>
            </w:r>
            <w:r>
              <w:rPr>
                <w:rFonts w:hint="eastAsia" w:ascii="仿宋_GB2312" w:hAnsi="仿宋" w:eastAsia="仿宋_GB2312" w:cs="Times New Roman"/>
                <w:szCs w:val="21"/>
                <w:highlight w:val="none"/>
                <w:shd w:val="clear" w:color="auto"/>
                <w:lang w:val="en-US" w:eastAsia="zh-CN"/>
              </w:rPr>
              <w:t>4</w:t>
            </w:r>
            <w:r>
              <w:rPr>
                <w:rFonts w:ascii="仿宋_GB2312" w:hAnsi="仿宋" w:eastAsia="仿宋_GB2312" w:cs="Times New Roman"/>
                <w:szCs w:val="21"/>
                <w:highlight w:val="none"/>
                <w:shd w:val="clear" w:color="auto"/>
              </w:rPr>
              <w:t>分。</w:t>
            </w:r>
            <w:r>
              <w:rPr>
                <w:rFonts w:ascii="仿宋_GB2312" w:hAnsi="仿宋" w:eastAsia="仿宋_GB2312" w:cs="Times New Roman"/>
                <w:szCs w:val="21"/>
                <w:highlight w:val="none"/>
              </w:rPr>
              <w:t xml:space="preserve"> </w:t>
            </w:r>
          </w:p>
          <w:p w14:paraId="76B579EB">
            <w:pPr>
              <w:widowControl/>
              <w:jc w:val="left"/>
              <w:rPr>
                <w:rFonts w:ascii="仿宋_GB2312" w:hAnsi="仿宋" w:eastAsia="仿宋_GB2312" w:cs="Times New Roman"/>
                <w:szCs w:val="21"/>
                <w:highlight w:val="none"/>
              </w:rPr>
            </w:pPr>
            <w:r>
              <w:rPr>
                <w:rFonts w:ascii="仿宋_GB2312" w:hAnsi="仿宋" w:eastAsia="仿宋_GB2312" w:cs="Times New Roman"/>
                <w:szCs w:val="21"/>
                <w:highlight w:val="none"/>
              </w:rPr>
              <w:t>2、</w:t>
            </w:r>
            <w:r>
              <w:rPr>
                <w:rFonts w:hint="eastAsia" w:ascii="仿宋_GB2312" w:hAnsi="仿宋" w:eastAsia="仿宋_GB2312" w:cs="Times New Roman"/>
                <w:szCs w:val="21"/>
                <w:highlight w:val="none"/>
                <w:lang w:val="en-US" w:eastAsia="zh-CN"/>
              </w:rPr>
              <w:t>为保证产品的先进性，</w:t>
            </w:r>
            <w:r>
              <w:rPr>
                <w:rFonts w:ascii="仿宋_GB2312" w:hAnsi="仿宋" w:eastAsia="仿宋_GB2312" w:cs="Times New Roman"/>
                <w:szCs w:val="21"/>
                <w:highlight w:val="none"/>
              </w:rPr>
              <w:t>投标人或所投产品生产商提供</w:t>
            </w:r>
            <w:r>
              <w:rPr>
                <w:rFonts w:hint="eastAsia" w:ascii="仿宋_GB2312" w:hAnsi="仿宋" w:eastAsia="仿宋_GB2312" w:cs="Times New Roman"/>
                <w:szCs w:val="21"/>
                <w:highlight w:val="none"/>
                <w:lang w:val="en-US" w:eastAsia="zh-CN"/>
              </w:rPr>
              <w:t>产品最新技术的检测报告，如智能Ai课堂反馈系统、智能Ai芯片功能等，检测报告需含最新技术检测内容。</w:t>
            </w:r>
            <w:r>
              <w:rPr>
                <w:rFonts w:ascii="仿宋_GB2312" w:hAnsi="仿宋" w:eastAsia="仿宋_GB2312" w:cs="Times New Roman"/>
                <w:szCs w:val="21"/>
                <w:highlight w:val="none"/>
                <w:shd w:val="clear" w:color="auto"/>
              </w:rPr>
              <w:t>每</w:t>
            </w:r>
            <w:r>
              <w:rPr>
                <w:rFonts w:hint="eastAsia" w:ascii="仿宋_GB2312" w:hAnsi="仿宋" w:eastAsia="仿宋_GB2312" w:cs="Times New Roman"/>
                <w:szCs w:val="21"/>
                <w:highlight w:val="none"/>
                <w:shd w:val="clear" w:color="auto"/>
                <w:lang w:val="en-US" w:eastAsia="zh-CN"/>
              </w:rPr>
              <w:t>提供一份检测</w:t>
            </w:r>
            <w:r>
              <w:rPr>
                <w:rFonts w:ascii="仿宋_GB2312" w:hAnsi="仿宋" w:eastAsia="仿宋_GB2312" w:cs="Times New Roman"/>
                <w:szCs w:val="21"/>
                <w:highlight w:val="none"/>
                <w:shd w:val="clear" w:color="auto"/>
              </w:rPr>
              <w:t>报告得</w:t>
            </w:r>
            <w:r>
              <w:rPr>
                <w:rFonts w:hint="eastAsia" w:ascii="仿宋_GB2312" w:hAnsi="仿宋" w:eastAsia="仿宋_GB2312" w:cs="Times New Roman"/>
                <w:szCs w:val="21"/>
                <w:highlight w:val="none"/>
                <w:lang w:val="en-US" w:eastAsia="zh-CN"/>
              </w:rPr>
              <w:t>1</w:t>
            </w:r>
            <w:r>
              <w:rPr>
                <w:rFonts w:ascii="仿宋_GB2312" w:hAnsi="仿宋" w:eastAsia="仿宋_GB2312" w:cs="Times New Roman"/>
                <w:szCs w:val="21"/>
                <w:highlight w:val="none"/>
              </w:rPr>
              <w:t>分，满分得</w:t>
            </w:r>
            <w:r>
              <w:rPr>
                <w:rFonts w:hint="eastAsia" w:ascii="仿宋_GB2312" w:hAnsi="仿宋" w:eastAsia="仿宋_GB2312" w:cs="Times New Roman"/>
                <w:szCs w:val="21"/>
                <w:highlight w:val="none"/>
                <w:lang w:val="en-US" w:eastAsia="zh-CN"/>
              </w:rPr>
              <w:t>5</w:t>
            </w:r>
            <w:r>
              <w:rPr>
                <w:rFonts w:ascii="仿宋_GB2312" w:hAnsi="仿宋" w:eastAsia="仿宋_GB2312" w:cs="Times New Roman"/>
                <w:szCs w:val="21"/>
                <w:highlight w:val="none"/>
              </w:rPr>
              <w:t>分。</w:t>
            </w:r>
            <w:bookmarkEnd w:id="81"/>
          </w:p>
        </w:tc>
      </w:tr>
      <w:tr w14:paraId="5842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449" w:type="dxa"/>
            <w:noWrap w:val="0"/>
            <w:vAlign w:val="center"/>
          </w:tcPr>
          <w:p w14:paraId="10A33C71">
            <w:pPr>
              <w:spacing w:line="400" w:lineRule="exact"/>
              <w:rPr>
                <w:rFonts w:ascii="仿宋_GB2312" w:hAnsi="仿宋" w:eastAsia="仿宋_GB2312" w:cs="仿宋"/>
                <w:szCs w:val="21"/>
              </w:rPr>
            </w:pPr>
          </w:p>
        </w:tc>
        <w:tc>
          <w:tcPr>
            <w:tcW w:w="1194" w:type="dxa"/>
            <w:noWrap w:val="0"/>
            <w:vAlign w:val="center"/>
          </w:tcPr>
          <w:p w14:paraId="78691EDC">
            <w:pPr>
              <w:spacing w:line="400" w:lineRule="exact"/>
              <w:rPr>
                <w:rFonts w:ascii="仿宋_GB2312" w:hAnsi="仿宋" w:eastAsia="仿宋_GB2312" w:cs="仿宋"/>
                <w:szCs w:val="21"/>
              </w:rPr>
            </w:pPr>
            <w:r>
              <w:rPr>
                <w:rFonts w:ascii="仿宋_GB2312" w:hAnsi="仿宋" w:eastAsia="仿宋_GB2312" w:cs="Times New Roman"/>
                <w:szCs w:val="21"/>
              </w:rPr>
              <w:t>认证证书</w:t>
            </w:r>
            <w:r>
              <w:rPr>
                <w:rFonts w:hint="eastAsia" w:ascii="仿宋_GB2312" w:hAnsi="仿宋" w:eastAsia="仿宋_GB2312" w:cs="Times New Roman"/>
                <w:szCs w:val="21"/>
                <w:lang w:val="en-US" w:eastAsia="zh-CN"/>
              </w:rPr>
              <w:t>4</w:t>
            </w:r>
            <w:r>
              <w:rPr>
                <w:rFonts w:ascii="仿宋_GB2312" w:hAnsi="仿宋" w:eastAsia="仿宋_GB2312" w:cs="Times New Roman"/>
                <w:szCs w:val="21"/>
              </w:rPr>
              <w:t>分</w:t>
            </w:r>
          </w:p>
        </w:tc>
        <w:tc>
          <w:tcPr>
            <w:tcW w:w="6449" w:type="dxa"/>
            <w:noWrap w:val="0"/>
            <w:vAlign w:val="center"/>
          </w:tcPr>
          <w:p w14:paraId="1217BA0A">
            <w:pPr>
              <w:widowControl/>
              <w:jc w:val="left"/>
              <w:rPr>
                <w:rFonts w:ascii="仿宋_GB2312" w:hAnsi="仿宋" w:eastAsia="仿宋_GB2312" w:cs="Times New Roman"/>
                <w:szCs w:val="21"/>
                <w:highlight w:val="none"/>
              </w:rPr>
            </w:pPr>
            <w:r>
              <w:rPr>
                <w:rFonts w:hint="eastAsia" w:ascii="仿宋_GB2312" w:hAnsi="仿宋" w:eastAsia="仿宋_GB2312" w:cs="Times New Roman"/>
                <w:szCs w:val="21"/>
                <w:highlight w:val="none"/>
                <w:lang w:val="en-US" w:eastAsia="zh-CN"/>
              </w:rPr>
              <w:t xml:space="preserve">投标人或所投产品生产商提供有效期内的知识产权管理体系认证证书、ISO45001职业健康安全管理体系认证证书、ISO14001环境管理体系认证证书、五星售后服务认证证书，业务范围涵盖录播系统均可。每提供一份证书得 1分，满分 4分。 </w:t>
            </w:r>
          </w:p>
        </w:tc>
      </w:tr>
    </w:tbl>
    <w:p w14:paraId="27D017E5">
      <w:pPr>
        <w:rPr>
          <w:rFonts w:hint="eastAsia"/>
          <w:color w:val="auto"/>
          <w:highlight w:val="none"/>
          <w:lang w:val="en-US" w:eastAsia="zh-CN"/>
        </w:rPr>
      </w:pPr>
    </w:p>
    <w:p w14:paraId="6BCF2606">
      <w:pPr>
        <w:rPr>
          <w:rFonts w:hint="eastAsia"/>
          <w:color w:val="auto"/>
          <w:highlight w:val="none"/>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02E5AB50">
      <w:pPr>
        <w:pStyle w:val="17"/>
        <w:rPr>
          <w:rFonts w:hint="eastAsia"/>
          <w:color w:val="auto"/>
          <w:highlight w:val="none"/>
          <w:lang w:val="en-US" w:eastAsia="zh-CN"/>
        </w:rPr>
      </w:pPr>
    </w:p>
    <w:p w14:paraId="1D2E1277">
      <w:pPr>
        <w:numPr>
          <w:ilvl w:val="0"/>
          <w:numId w:val="8"/>
        </w:numPr>
        <w:jc w:val="center"/>
        <w:rPr>
          <w:rFonts w:hint="eastAsia" w:ascii="仿宋" w:hAnsi="仿宋" w:eastAsia="仿宋" w:cs="仿宋"/>
          <w:b/>
          <w:bCs/>
          <w:color w:val="auto"/>
          <w:sz w:val="36"/>
          <w:szCs w:val="56"/>
          <w:highlight w:val="none"/>
        </w:rPr>
      </w:pPr>
      <w:r>
        <w:rPr>
          <w:rFonts w:hint="eastAsia" w:ascii="仿宋" w:hAnsi="仿宋" w:eastAsia="仿宋" w:cs="仿宋"/>
          <w:b/>
          <w:bCs/>
          <w:color w:val="auto"/>
          <w:sz w:val="36"/>
          <w:szCs w:val="56"/>
          <w:highlight w:val="none"/>
        </w:rPr>
        <w:t>采购需求、技术参数、规格</w:t>
      </w:r>
      <w:bookmarkEnd w:id="76"/>
      <w:bookmarkEnd w:id="77"/>
      <w:bookmarkEnd w:id="78"/>
      <w:bookmarkEnd w:id="79"/>
      <w:bookmarkEnd w:id="80"/>
      <w:bookmarkStart w:id="82" w:name="_Toc18832"/>
      <w:bookmarkStart w:id="83" w:name="_Toc28817"/>
      <w:bookmarkStart w:id="84" w:name="_Toc25254"/>
      <w:bookmarkStart w:id="85" w:name="_Toc19723"/>
      <w:bookmarkStart w:id="86" w:name="_Toc32237"/>
      <w:bookmarkStart w:id="87" w:name="_Toc26060"/>
      <w:bookmarkStart w:id="88" w:name="_Toc7241"/>
      <w:bookmarkStart w:id="89" w:name="_Toc19312"/>
      <w:bookmarkStart w:id="90" w:name="_Toc11973"/>
      <w:bookmarkStart w:id="91" w:name="_Toc20061"/>
      <w:bookmarkStart w:id="92" w:name="_Toc13536"/>
      <w:bookmarkStart w:id="93" w:name="_Toc700"/>
      <w:bookmarkStart w:id="94" w:name="_Toc24194"/>
    </w:p>
    <w:p w14:paraId="05E271DE">
      <w:pPr>
        <w:ind w:left="-420" w:leftChars="-200" w:firstLine="420" w:firstLineChars="200"/>
        <w:rPr>
          <w:color w:val="auto"/>
          <w:highlight w:val="none"/>
        </w:rPr>
      </w:pPr>
    </w:p>
    <w:p w14:paraId="282DF9D5">
      <w:pPr>
        <w:ind w:left="-420" w:leftChars="-200" w:firstLine="420" w:firstLineChars="200"/>
        <w:rPr>
          <w:color w:val="auto"/>
          <w:highlight w:val="none"/>
        </w:rPr>
      </w:pPr>
    </w:p>
    <w:tbl>
      <w:tblPr>
        <w:tblStyle w:val="45"/>
        <w:tblW w:w="13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93"/>
        <w:gridCol w:w="1314"/>
        <w:gridCol w:w="5980"/>
        <w:gridCol w:w="1470"/>
        <w:gridCol w:w="1293"/>
        <w:gridCol w:w="1293"/>
        <w:gridCol w:w="1297"/>
      </w:tblGrid>
      <w:tr w14:paraId="4FEB0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13940" w:type="dxa"/>
            <w:gridSpan w:val="7"/>
            <w:tcBorders>
              <w:top w:val="nil"/>
              <w:left w:val="single" w:color="000000" w:sz="4" w:space="0"/>
              <w:bottom w:val="single" w:color="000000" w:sz="4" w:space="0"/>
              <w:right w:val="nil"/>
            </w:tcBorders>
            <w:shd w:val="clear" w:color="auto" w:fill="auto"/>
            <w:noWrap w:val="0"/>
            <w:vAlign w:val="center"/>
          </w:tcPr>
          <w:p w14:paraId="044D94AE">
            <w:pPr>
              <w:pStyle w:val="13"/>
              <w:jc w:val="center"/>
              <w:rPr>
                <w:rFonts w:hint="eastAsia"/>
                <w:lang w:val="zh-CN" w:eastAsia="zh-CN"/>
              </w:rPr>
            </w:pPr>
            <w:r>
              <w:rPr>
                <w:rFonts w:hint="eastAsia"/>
                <w:lang w:val="zh-CN" w:eastAsia="zh-CN"/>
              </w:rPr>
              <w:t>人工智能赋能精准教学互动录播教室建设（精品录播教室部分）</w:t>
            </w:r>
          </w:p>
        </w:tc>
      </w:tr>
      <w:tr w14:paraId="4669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1293" w:type="dxa"/>
            <w:tcBorders>
              <w:top w:val="nil"/>
              <w:left w:val="single" w:color="000000" w:sz="4" w:space="0"/>
              <w:bottom w:val="single" w:color="000000" w:sz="4" w:space="0"/>
              <w:right w:val="single" w:color="000000" w:sz="4" w:space="0"/>
            </w:tcBorders>
            <w:shd w:val="clear" w:color="auto" w:fill="auto"/>
            <w:noWrap w:val="0"/>
            <w:vAlign w:val="center"/>
          </w:tcPr>
          <w:p w14:paraId="614FBC53">
            <w:pPr>
              <w:pStyle w:val="13"/>
              <w:rPr>
                <w:rFonts w:hint="eastAsia"/>
                <w:lang w:val="zh-CN" w:eastAsia="zh-CN"/>
              </w:rPr>
            </w:pPr>
            <w:r>
              <w:rPr>
                <w:rFonts w:hint="eastAsia"/>
                <w:lang w:val="zh-CN" w:eastAsia="zh-CN"/>
              </w:rPr>
              <w:t>序号</w:t>
            </w:r>
          </w:p>
        </w:tc>
        <w:tc>
          <w:tcPr>
            <w:tcW w:w="1314" w:type="dxa"/>
            <w:tcBorders>
              <w:top w:val="nil"/>
              <w:left w:val="single" w:color="000000" w:sz="4" w:space="0"/>
              <w:bottom w:val="single" w:color="000000" w:sz="4" w:space="0"/>
              <w:right w:val="single" w:color="000000" w:sz="4" w:space="0"/>
            </w:tcBorders>
            <w:shd w:val="clear" w:color="auto" w:fill="auto"/>
            <w:noWrap w:val="0"/>
            <w:vAlign w:val="center"/>
          </w:tcPr>
          <w:p w14:paraId="1BF03103">
            <w:pPr>
              <w:pStyle w:val="13"/>
              <w:rPr>
                <w:rFonts w:hint="eastAsia"/>
                <w:lang w:val="zh-CN" w:eastAsia="zh-CN"/>
              </w:rPr>
            </w:pPr>
            <w:r>
              <w:rPr>
                <w:rFonts w:hint="eastAsia"/>
                <w:lang w:val="zh-CN" w:eastAsia="zh-CN"/>
              </w:rPr>
              <w:t>类别名称</w:t>
            </w:r>
          </w:p>
        </w:tc>
        <w:tc>
          <w:tcPr>
            <w:tcW w:w="5980" w:type="dxa"/>
            <w:tcBorders>
              <w:top w:val="nil"/>
              <w:left w:val="single" w:color="000000" w:sz="4" w:space="0"/>
              <w:bottom w:val="single" w:color="000000" w:sz="4" w:space="0"/>
              <w:right w:val="single" w:color="000000" w:sz="4" w:space="0"/>
            </w:tcBorders>
            <w:shd w:val="clear" w:color="auto" w:fill="auto"/>
            <w:noWrap w:val="0"/>
            <w:vAlign w:val="center"/>
          </w:tcPr>
          <w:p w14:paraId="66AA6839">
            <w:pPr>
              <w:pStyle w:val="13"/>
              <w:rPr>
                <w:rFonts w:hint="eastAsia"/>
                <w:lang w:val="zh-CN" w:eastAsia="zh-CN"/>
              </w:rPr>
            </w:pPr>
            <w:r>
              <w:rPr>
                <w:rFonts w:hint="eastAsia"/>
                <w:lang w:val="zh-CN" w:eastAsia="zh-CN"/>
              </w:rPr>
              <w:t>技术参数</w:t>
            </w:r>
          </w:p>
        </w:tc>
        <w:tc>
          <w:tcPr>
            <w:tcW w:w="1470" w:type="dxa"/>
            <w:tcBorders>
              <w:top w:val="nil"/>
              <w:left w:val="single" w:color="000000" w:sz="4" w:space="0"/>
              <w:bottom w:val="single" w:color="000000" w:sz="4" w:space="0"/>
              <w:right w:val="single" w:color="000000" w:sz="4" w:space="0"/>
            </w:tcBorders>
            <w:shd w:val="clear" w:color="auto" w:fill="auto"/>
            <w:noWrap w:val="0"/>
            <w:vAlign w:val="center"/>
          </w:tcPr>
          <w:p w14:paraId="0903D933">
            <w:pPr>
              <w:pStyle w:val="13"/>
              <w:rPr>
                <w:rFonts w:hint="eastAsia"/>
                <w:lang w:val="zh-CN" w:eastAsia="zh-CN"/>
              </w:rPr>
            </w:pPr>
            <w:r>
              <w:rPr>
                <w:rFonts w:hint="eastAsia"/>
                <w:lang w:val="zh-CN" w:eastAsia="zh-CN"/>
              </w:rPr>
              <w:t>数量</w:t>
            </w:r>
          </w:p>
        </w:tc>
        <w:tc>
          <w:tcPr>
            <w:tcW w:w="1293" w:type="dxa"/>
            <w:tcBorders>
              <w:top w:val="nil"/>
              <w:left w:val="single" w:color="000000" w:sz="4" w:space="0"/>
              <w:bottom w:val="single" w:color="000000" w:sz="4" w:space="0"/>
              <w:right w:val="single" w:color="000000" w:sz="4" w:space="0"/>
            </w:tcBorders>
            <w:shd w:val="clear" w:color="auto" w:fill="auto"/>
            <w:noWrap w:val="0"/>
            <w:vAlign w:val="center"/>
          </w:tcPr>
          <w:p w14:paraId="2920EB6F">
            <w:pPr>
              <w:pStyle w:val="13"/>
              <w:rPr>
                <w:rFonts w:hint="eastAsia"/>
                <w:lang w:val="zh-CN" w:eastAsia="zh-CN"/>
              </w:rPr>
            </w:pPr>
            <w:r>
              <w:rPr>
                <w:rFonts w:hint="eastAsia"/>
                <w:lang w:val="zh-CN" w:eastAsia="zh-CN"/>
              </w:rPr>
              <w:t>单位</w:t>
            </w:r>
          </w:p>
        </w:tc>
        <w:tc>
          <w:tcPr>
            <w:tcW w:w="1293" w:type="dxa"/>
            <w:tcBorders>
              <w:top w:val="nil"/>
              <w:left w:val="single" w:color="000000" w:sz="4" w:space="0"/>
              <w:bottom w:val="single" w:color="000000" w:sz="4" w:space="0"/>
              <w:right w:val="single" w:color="000000" w:sz="4" w:space="0"/>
            </w:tcBorders>
            <w:shd w:val="clear" w:color="auto" w:fill="auto"/>
            <w:noWrap w:val="0"/>
            <w:vAlign w:val="center"/>
          </w:tcPr>
          <w:p w14:paraId="732BB29F">
            <w:pPr>
              <w:pStyle w:val="13"/>
              <w:rPr>
                <w:rFonts w:hint="default"/>
                <w:lang w:val="en-US" w:eastAsia="zh-CN"/>
              </w:rPr>
            </w:pPr>
            <w:r>
              <w:rPr>
                <w:rFonts w:hint="eastAsia"/>
                <w:lang w:val="en-US" w:eastAsia="zh-CN"/>
              </w:rPr>
              <w:t>单价</w:t>
            </w:r>
          </w:p>
        </w:tc>
        <w:tc>
          <w:tcPr>
            <w:tcW w:w="1297" w:type="dxa"/>
            <w:tcBorders>
              <w:top w:val="nil"/>
              <w:left w:val="single" w:color="000000" w:sz="4" w:space="0"/>
              <w:bottom w:val="single" w:color="000000" w:sz="4" w:space="0"/>
              <w:right w:val="single" w:color="000000" w:sz="4" w:space="0"/>
            </w:tcBorders>
            <w:shd w:val="clear" w:color="auto" w:fill="auto"/>
            <w:noWrap w:val="0"/>
            <w:vAlign w:val="center"/>
          </w:tcPr>
          <w:p w14:paraId="19B5A358">
            <w:pPr>
              <w:pStyle w:val="13"/>
              <w:rPr>
                <w:rFonts w:hint="default"/>
                <w:lang w:val="en-US" w:eastAsia="zh-CN"/>
              </w:rPr>
            </w:pPr>
            <w:r>
              <w:rPr>
                <w:rFonts w:hint="eastAsia"/>
                <w:lang w:val="en-US" w:eastAsia="zh-CN"/>
              </w:rPr>
              <w:t>总价</w:t>
            </w:r>
          </w:p>
        </w:tc>
      </w:tr>
      <w:tr w14:paraId="63951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5"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B2629">
            <w:pPr>
              <w:pStyle w:val="13"/>
              <w:rPr>
                <w:rFonts w:hint="eastAsia"/>
                <w:lang w:val="zh-CN" w:eastAsia="zh-CN"/>
              </w:rPr>
            </w:pPr>
            <w:r>
              <w:rPr>
                <w:rFonts w:hint="eastAsia"/>
                <w:lang w:val="zh-CN"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noWrap w:val="0"/>
            <w:vAlign w:val="center"/>
          </w:tcPr>
          <w:p w14:paraId="38ED9EEC">
            <w:pPr>
              <w:pStyle w:val="13"/>
              <w:rPr>
                <w:rFonts w:hint="eastAsia"/>
                <w:lang w:val="zh-CN" w:eastAsia="zh-CN"/>
              </w:rPr>
            </w:pPr>
            <w:r>
              <w:rPr>
                <w:rFonts w:hint="eastAsia"/>
                <w:lang w:val="zh-CN" w:eastAsia="zh-CN"/>
              </w:rPr>
              <w:t>AI教研分析评价系统</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5416BF1F">
            <w:pPr>
              <w:pStyle w:val="13"/>
              <w:rPr>
                <w:rFonts w:hint="eastAsia"/>
                <w:lang w:val="zh-CN" w:eastAsia="zh-CN"/>
              </w:rPr>
            </w:pPr>
            <w:r>
              <w:rPr>
                <w:rFonts w:hint="eastAsia"/>
                <w:lang w:val="zh-CN" w:eastAsia="zh-CN"/>
              </w:rPr>
              <w:t>基础功能</w:t>
            </w:r>
            <w:r>
              <w:rPr>
                <w:rFonts w:hint="eastAsia"/>
                <w:lang w:val="zh-CN" w:eastAsia="zh-CN"/>
              </w:rPr>
              <w:br w:type="textWrapping"/>
            </w:r>
            <w:r>
              <w:rPr>
                <w:rFonts w:hint="eastAsia"/>
                <w:lang w:val="zh-CN" w:eastAsia="zh-CN"/>
              </w:rPr>
              <w:t>1）采用多级架构设计，支持自定义设置当前站点机构组织及创建子站点，支持上级站点批量控制子站点启用/禁用；</w:t>
            </w:r>
            <w:r>
              <w:rPr>
                <w:rFonts w:hint="eastAsia"/>
                <w:lang w:val="zh-CN" w:eastAsia="zh-CN"/>
              </w:rPr>
              <w:br w:type="textWrapping"/>
            </w:r>
            <w:r>
              <w:rPr>
                <w:rFonts w:hint="eastAsia"/>
                <w:lang w:val="zh-CN" w:eastAsia="zh-CN"/>
              </w:rPr>
              <w:t>2）支持各级站点共用一套基础数据并可独立维护基础数据在本站的启用/禁用状态、显示顺序及设置学科、年级别名等；</w:t>
            </w:r>
            <w:r>
              <w:rPr>
                <w:rFonts w:hint="eastAsia"/>
                <w:lang w:val="zh-CN" w:eastAsia="zh-CN"/>
              </w:rPr>
              <w:br w:type="textWrapping"/>
            </w:r>
            <w:r>
              <w:rPr>
                <w:rFonts w:hint="eastAsia"/>
                <w:lang w:val="zh-CN" w:eastAsia="zh-CN"/>
              </w:rPr>
              <w:t>3）支持用户初始化导入、用户组及用户权限管理，支持建立和批量导入班级，具备师生注册审核机制；</w:t>
            </w:r>
            <w:r>
              <w:rPr>
                <w:rFonts w:hint="eastAsia"/>
                <w:lang w:val="zh-CN" w:eastAsia="zh-CN"/>
              </w:rPr>
              <w:br w:type="textWrapping"/>
            </w:r>
            <w:r>
              <w:rPr>
                <w:rFonts w:hint="eastAsia"/>
                <w:lang w:val="zh-CN" w:eastAsia="zh-CN"/>
              </w:rPr>
              <w:t>4）门户页面采用简洁风格设计，支持自定义设置门户导航目录，可通过直观图标排列呈现系统模块，用户点击模块图标可跳转至对应功能页面；支持自定义设置各模块显示状态及对应的图标，支持门户页面功能模块展示形式同步设置到下级站点；</w:t>
            </w:r>
            <w:r>
              <w:rPr>
                <w:rFonts w:hint="eastAsia"/>
                <w:lang w:val="zh-CN" w:eastAsia="zh-CN"/>
              </w:rPr>
              <w:br w:type="textWrapping"/>
            </w:r>
            <w:r>
              <w:rPr>
                <w:rFonts w:hint="eastAsia"/>
                <w:lang w:val="zh-CN" w:eastAsia="zh-CN"/>
              </w:rPr>
              <w:t>5）支持设置平台名称、logo、页脚信息，设置数据展示的学期范围，设置课程、活动、专辑等默认封面等，支持填写≥2个备案信息及其链接地址；</w:t>
            </w:r>
            <w:r>
              <w:rPr>
                <w:rFonts w:hint="eastAsia"/>
                <w:lang w:val="zh-CN" w:eastAsia="zh-CN"/>
              </w:rPr>
              <w:br w:type="textWrapping"/>
            </w:r>
            <w:r>
              <w:rPr>
                <w:rFonts w:hint="eastAsia"/>
                <w:lang w:val="zh-CN" w:eastAsia="zh-CN"/>
              </w:rPr>
              <w:t>6）资源中心首页支持≥9个模块缩略展示，支持上传多banner图片，实现多图轮播；支持banner图片添加链接；</w:t>
            </w:r>
            <w:r>
              <w:rPr>
                <w:rFonts w:hint="eastAsia"/>
                <w:lang w:val="zh-CN" w:eastAsia="zh-CN"/>
              </w:rPr>
              <w:br w:type="textWrapping"/>
            </w:r>
            <w:r>
              <w:rPr>
                <w:rFonts w:hint="eastAsia"/>
                <w:lang w:val="zh-CN" w:eastAsia="zh-CN"/>
              </w:rPr>
              <w:t>7）支持国家重大事件发生时，一键将平台设置为灰色风格；</w:t>
            </w:r>
            <w:r>
              <w:rPr>
                <w:rFonts w:hint="eastAsia"/>
                <w:lang w:val="zh-CN" w:eastAsia="zh-CN"/>
              </w:rPr>
              <w:br w:type="textWrapping"/>
            </w:r>
            <w:r>
              <w:rPr>
                <w:rFonts w:hint="eastAsia"/>
                <w:lang w:val="zh-CN" w:eastAsia="zh-CN"/>
              </w:rPr>
              <w:t>8）支持系统默认播放模式设置为双屏模式、电影模式或资源模式,支持自定义开启或关闭OCR 分析；</w:t>
            </w:r>
            <w:r>
              <w:rPr>
                <w:rFonts w:hint="eastAsia"/>
                <w:lang w:val="zh-CN" w:eastAsia="zh-CN"/>
              </w:rPr>
              <w:br w:type="textWrapping"/>
            </w:r>
            <w:r>
              <w:rPr>
                <w:rFonts w:hint="eastAsia"/>
                <w:lang w:val="zh-CN" w:eastAsia="zh-CN"/>
              </w:rPr>
              <w:t>9）支持对教室进行管理及设备查看,支持一键跳转集控管理平台进行设备管理；</w:t>
            </w:r>
            <w:r>
              <w:rPr>
                <w:rFonts w:hint="eastAsia"/>
                <w:lang w:val="zh-CN" w:eastAsia="zh-CN"/>
              </w:rPr>
              <w:br w:type="textWrapping"/>
            </w:r>
            <w:r>
              <w:rPr>
                <w:rFonts w:hint="eastAsia"/>
                <w:lang w:val="zh-CN" w:eastAsia="zh-CN"/>
              </w:rPr>
              <w:t>10）支持添加、导入互动终端，支持自定义设置内外网互动模式、会控服务器IP、服务端口等；</w:t>
            </w:r>
            <w:r>
              <w:rPr>
                <w:rFonts w:hint="eastAsia"/>
                <w:lang w:val="zh-CN" w:eastAsia="zh-CN"/>
              </w:rPr>
              <w:br w:type="textWrapping"/>
            </w:r>
            <w:r>
              <w:rPr>
                <w:rFonts w:hint="eastAsia"/>
                <w:lang w:val="zh-CN" w:eastAsia="zh-CN"/>
              </w:rPr>
              <w:t>11）支持自定义添加、编辑、启用及禁用系统的学科、学段、年级、教材版本、教材册等信息，支持批量导入教材目录，支持一键同步本站学段、学科、年级、教材版本、教材册的设置至下级站点，支持学期新建和删除，新建学期可设置学期开始日期和预计周次；</w:t>
            </w:r>
            <w:r>
              <w:rPr>
                <w:rFonts w:hint="eastAsia"/>
                <w:lang w:val="zh-CN" w:eastAsia="zh-CN"/>
              </w:rPr>
              <w:br w:type="textWrapping"/>
            </w:r>
            <w:r>
              <w:rPr>
                <w:rFonts w:hint="eastAsia"/>
                <w:lang w:val="zh-CN" w:eastAsia="zh-CN"/>
              </w:rPr>
              <w:t>12）支持自定义创建评分量表、设置量表指标及分值，支持基于已有量表进行指标添加，支持设置量表总分等于各一级指标得分×各自权重，汇总求和；</w:t>
            </w:r>
            <w:r>
              <w:rPr>
                <w:rFonts w:hint="eastAsia"/>
                <w:lang w:val="zh-CN" w:eastAsia="zh-CN"/>
              </w:rPr>
              <w:br w:type="textWrapping"/>
            </w:r>
            <w:r>
              <w:rPr>
                <w:rFonts w:hint="eastAsia"/>
                <w:lang w:val="zh-CN" w:eastAsia="zh-CN"/>
              </w:rPr>
              <w:t>13）支持录播设备接入平台实现自动转码、多画面直播及点播等，支持扫码观看直播、查看公告及浏览资源等；</w:t>
            </w:r>
            <w:r>
              <w:rPr>
                <w:rFonts w:hint="eastAsia"/>
                <w:lang w:val="zh-CN" w:eastAsia="zh-CN"/>
              </w:rPr>
              <w:br w:type="textWrapping"/>
            </w:r>
            <w:r>
              <w:rPr>
                <w:rFonts w:hint="eastAsia"/>
                <w:lang w:val="zh-CN" w:eastAsia="zh-CN"/>
              </w:rPr>
              <w:t>14）采用引用计数和垃圾回收技术，支持单条资源被多级平台共同调用，某处删除不影响其他站点用户使用，支持系统自动判断当每级站点都不需要此资源时再自动删除；</w:t>
            </w:r>
            <w:r>
              <w:rPr>
                <w:rFonts w:hint="eastAsia"/>
                <w:lang w:val="zh-CN" w:eastAsia="zh-CN"/>
              </w:rPr>
              <w:br w:type="textWrapping"/>
            </w:r>
            <w:r>
              <w:rPr>
                <w:rFonts w:hint="eastAsia"/>
                <w:lang w:val="zh-CN" w:eastAsia="zh-CN"/>
              </w:rPr>
              <w:t>15）支持自定义自动删除策略，根据文件上传时间和引用数进行清理周期、清理范围、清理方式等设置，支持服务器磁盘剩余容量达到设定警戒值时进行预警提示；</w:t>
            </w:r>
            <w:r>
              <w:rPr>
                <w:rFonts w:hint="eastAsia"/>
                <w:lang w:val="zh-CN" w:eastAsia="zh-CN"/>
              </w:rPr>
              <w:br w:type="textWrapping"/>
            </w:r>
            <w:r>
              <w:rPr>
                <w:rFonts w:hint="eastAsia"/>
                <w:lang w:val="zh-CN" w:eastAsia="zh-CN"/>
              </w:rPr>
              <w:t>16）支持自定义设置当前站点服务器配置、维护平台使用手册,支持系统应用服务配置，支持针对教室端录播设备进行单个或批量升级，支持针对平台AI服务进行运行状态检测等。</w:t>
            </w:r>
            <w:r>
              <w:rPr>
                <w:rFonts w:hint="eastAsia"/>
                <w:lang w:val="zh-CN" w:eastAsia="zh-CN"/>
              </w:rPr>
              <w:br w:type="textWrapping"/>
            </w:r>
            <w:r>
              <w:rPr>
                <w:rFonts w:hint="eastAsia"/>
                <w:lang w:val="zh-CN" w:eastAsia="zh-CN"/>
              </w:rPr>
              <w:t>17）支持平台、集控/站点、流媒体及AI服务的内外网IP端口管理，含虚IP设定与自动校验连接功能。</w:t>
            </w:r>
            <w:r>
              <w:rPr>
                <w:rFonts w:hint="eastAsia"/>
                <w:lang w:val="zh-CN" w:eastAsia="zh-CN"/>
              </w:rPr>
              <w:br w:type="textWrapping"/>
            </w:r>
            <w:r>
              <w:rPr>
                <w:rFonts w:hint="eastAsia"/>
                <w:lang w:val="zh-CN" w:eastAsia="zh-CN"/>
              </w:rPr>
              <w:t>个人空间</w:t>
            </w:r>
            <w:r>
              <w:rPr>
                <w:rFonts w:hint="eastAsia"/>
                <w:lang w:val="zh-CN" w:eastAsia="zh-CN"/>
              </w:rPr>
              <w:br w:type="textWrapping"/>
            </w:r>
            <w:r>
              <w:rPr>
                <w:rFonts w:hint="eastAsia"/>
                <w:lang w:val="zh-CN" w:eastAsia="zh-CN"/>
              </w:rPr>
              <w:t>1）提供个人空间，支持个人信息、资源及量表管理，支持消息发送和接收，支持在个人空间上传、管理、搜索、收藏资源，支持将课件、教案等资源与课堂录像进行关联，支持教师调课后视频资源自动、手动归档；</w:t>
            </w:r>
            <w:r>
              <w:rPr>
                <w:rFonts w:hint="eastAsia"/>
                <w:lang w:val="zh-CN" w:eastAsia="zh-CN"/>
              </w:rPr>
              <w:br w:type="textWrapping"/>
            </w:r>
            <w:r>
              <w:rPr>
                <w:rFonts w:hint="eastAsia"/>
                <w:lang w:val="zh-CN" w:eastAsia="zh-CN"/>
              </w:rPr>
              <w:t>2）支持通过课表对录播教室进行录像和直播预约，课程结束后，课堂录像自动上传至主讲人个人空间；</w:t>
            </w:r>
            <w:r>
              <w:rPr>
                <w:rFonts w:hint="eastAsia"/>
                <w:lang w:val="zh-CN" w:eastAsia="zh-CN"/>
              </w:rPr>
              <w:br w:type="textWrapping"/>
            </w:r>
            <w:r>
              <w:rPr>
                <w:rFonts w:hint="eastAsia"/>
                <w:lang w:val="zh-CN" w:eastAsia="zh-CN"/>
              </w:rPr>
              <w:t>3）支持在个人空间针对原视频进行裁剪、编辑、合成及发布，具备文字轨道、视频轨道、台标等编辑功能；</w:t>
            </w:r>
            <w:r>
              <w:rPr>
                <w:rFonts w:hint="eastAsia"/>
                <w:lang w:val="zh-CN" w:eastAsia="zh-CN"/>
              </w:rPr>
              <w:br w:type="textWrapping"/>
            </w:r>
            <w:r>
              <w:rPr>
                <w:rFonts w:hint="eastAsia"/>
                <w:lang w:val="zh-CN" w:eastAsia="zh-CN"/>
              </w:rPr>
              <w:t>4）支持查看我的课表，通过在个人课表添加课表或者导入课表进行约课，支持查看我的授课班级、授课班级学生，班主任可以编辑班级信息、进行学生模型训练、班级归档操作；支持查看我所加入的教研组、我的备课情况、我的磨课情况、我的视频教研情况、听课任务及记录听课进度等，支持查看我申请的优课评选及得奖课程，支持创建、编辑磨课组、添加课例等，支持查看我的教学反思、收到的反思及教学反思统计等；</w:t>
            </w:r>
            <w:r>
              <w:rPr>
                <w:rFonts w:hint="eastAsia"/>
                <w:lang w:val="zh-CN" w:eastAsia="zh-CN"/>
              </w:rPr>
              <w:br w:type="textWrapping"/>
            </w:r>
            <w:r>
              <w:rPr>
                <w:rFonts w:hint="eastAsia"/>
                <w:lang w:val="zh-CN" w:eastAsia="zh-CN"/>
              </w:rPr>
              <w:t>5）支持汇总我的评审任务，包含优课评审、听课评审和集体磨课评审、听评课评审、直播评审等；支持汇总我被评的课程，包含优课评审、听课评审和集体磨课评审、听评课评审、直播评审等；</w:t>
            </w:r>
            <w:r>
              <w:rPr>
                <w:rFonts w:hint="eastAsia"/>
                <w:lang w:val="zh-CN" w:eastAsia="zh-CN"/>
              </w:rPr>
              <w:br w:type="textWrapping"/>
            </w:r>
            <w:r>
              <w:rPr>
                <w:rFonts w:hint="eastAsia"/>
                <w:lang w:val="zh-CN" w:eastAsia="zh-CN"/>
              </w:rPr>
              <w:t>6）支持查看我参与的互动课程和联校空间，查看我加入的听评课、讲课反馈，支持查看平台的使用说明；</w:t>
            </w:r>
            <w:r>
              <w:rPr>
                <w:rFonts w:hint="eastAsia"/>
                <w:lang w:val="zh-CN" w:eastAsia="zh-CN"/>
              </w:rPr>
              <w:br w:type="textWrapping"/>
            </w:r>
            <w:r>
              <w:rPr>
                <w:rFonts w:hint="eastAsia"/>
                <w:lang w:val="zh-CN" w:eastAsia="zh-CN"/>
              </w:rPr>
              <w:t>7）支持教师自行上传人脸照片进行人脸模型训练，支持教师在APP上通过拍照或上传照片进行教师模型训练；</w:t>
            </w:r>
            <w:r>
              <w:rPr>
                <w:rFonts w:hint="eastAsia"/>
                <w:lang w:val="zh-CN" w:eastAsia="zh-CN"/>
              </w:rPr>
              <w:br w:type="textWrapping"/>
            </w:r>
            <w:r>
              <w:rPr>
                <w:rFonts w:hint="eastAsia"/>
                <w:lang w:val="zh-CN" w:eastAsia="zh-CN"/>
              </w:rPr>
              <w:t>应用管理</w:t>
            </w:r>
            <w:r>
              <w:rPr>
                <w:rFonts w:hint="eastAsia"/>
                <w:lang w:val="zh-CN" w:eastAsia="zh-CN"/>
              </w:rPr>
              <w:br w:type="textWrapping"/>
            </w:r>
            <w:r>
              <w:rPr>
                <w:rFonts w:hint="eastAsia"/>
                <w:lang w:val="zh-CN" w:eastAsia="zh-CN"/>
              </w:rPr>
              <w:t>1）支持管理员编辑及修改通知公告，支持设定公告类型、公告定时发布信息，支持父站公告推送到下级子站点；</w:t>
            </w:r>
            <w:r>
              <w:rPr>
                <w:rFonts w:hint="eastAsia"/>
                <w:lang w:val="zh-CN" w:eastAsia="zh-CN"/>
              </w:rPr>
              <w:br w:type="textWrapping"/>
            </w:r>
            <w:r>
              <w:rPr>
                <w:rFonts w:hint="eastAsia"/>
                <w:lang w:val="zh-CN" w:eastAsia="zh-CN"/>
              </w:rPr>
              <w:t>2）支持学情分析阈值设置，可新增、编辑及删除敏感词，支持管理员通过上传多位教师照片进行批量模型训练；</w:t>
            </w:r>
            <w:r>
              <w:rPr>
                <w:rFonts w:hint="eastAsia"/>
                <w:lang w:val="zh-CN" w:eastAsia="zh-CN"/>
              </w:rPr>
              <w:br w:type="textWrapping"/>
            </w:r>
            <w:r>
              <w:rPr>
                <w:rFonts w:hint="eastAsia"/>
                <w:lang w:val="zh-CN" w:eastAsia="zh-CN"/>
              </w:rPr>
              <w:t>3）支持汇总平台资源，对资源进行发布、删除、查看、编辑、推荐、AI分析等，支持查看资源的观看记录，可查看每个资源观看的用户明细和时长；</w:t>
            </w:r>
            <w:r>
              <w:rPr>
                <w:rFonts w:hint="eastAsia"/>
                <w:lang w:val="zh-CN" w:eastAsia="zh-CN"/>
              </w:rPr>
              <w:br w:type="textWrapping"/>
            </w:r>
            <w:r>
              <w:rPr>
                <w:rFonts w:hint="eastAsia"/>
                <w:lang w:val="zh-CN" w:eastAsia="zh-CN"/>
              </w:rPr>
              <w:t>4）支持不在平台约课，手工在设备上开启/停止录像和分析后，课堂视频和AI数据自动回传至平台资源库下；用户可手工维护资源相关信息；</w:t>
            </w:r>
            <w:r>
              <w:rPr>
                <w:rFonts w:hint="eastAsia"/>
                <w:lang w:val="zh-CN" w:eastAsia="zh-CN"/>
              </w:rPr>
              <w:br w:type="textWrapping"/>
            </w:r>
            <w:r>
              <w:rPr>
                <w:rFonts w:hint="eastAsia"/>
                <w:lang w:val="zh-CN" w:eastAsia="zh-CN"/>
              </w:rPr>
              <w:t>5）支持管理员利用当前站点空闲的AI分析终端，对手工上传的录像进行二次AI分析；</w:t>
            </w:r>
            <w:r>
              <w:rPr>
                <w:rFonts w:hint="eastAsia"/>
                <w:lang w:val="zh-CN" w:eastAsia="zh-CN"/>
              </w:rPr>
              <w:br w:type="textWrapping"/>
            </w:r>
            <w:r>
              <w:rPr>
                <w:rFonts w:hint="eastAsia"/>
                <w:lang w:val="zh-CN" w:eastAsia="zh-CN"/>
              </w:rPr>
              <w:t>6）支持视频添加教案、课件、习题等文档及图片作为附件进行在线无插件预览；</w:t>
            </w:r>
            <w:r>
              <w:rPr>
                <w:rFonts w:hint="eastAsia"/>
                <w:lang w:val="zh-CN" w:eastAsia="zh-CN"/>
              </w:rPr>
              <w:br w:type="textWrapping"/>
            </w:r>
            <w:r>
              <w:rPr>
                <w:rFonts w:hint="eastAsia"/>
                <w:lang w:val="zh-CN" w:eastAsia="zh-CN"/>
              </w:rPr>
              <w:t>7）支持用户对资源进行收藏、下载、分享等，支持用户对资源进行评论和在线交流；</w:t>
            </w:r>
            <w:r>
              <w:rPr>
                <w:rFonts w:hint="eastAsia"/>
                <w:lang w:val="zh-CN" w:eastAsia="zh-CN"/>
              </w:rPr>
              <w:br w:type="textWrapping"/>
            </w:r>
            <w:r>
              <w:rPr>
                <w:rFonts w:hint="eastAsia"/>
                <w:lang w:val="zh-CN" w:eastAsia="zh-CN"/>
              </w:rPr>
              <w:t>8）支持用户在点播观看视频时可通过系统提供的量表进行在线打分评价，支持自定义设置量表；</w:t>
            </w:r>
            <w:r>
              <w:rPr>
                <w:rFonts w:hint="eastAsia"/>
                <w:lang w:val="zh-CN" w:eastAsia="zh-CN"/>
              </w:rPr>
              <w:br w:type="textWrapping"/>
            </w:r>
            <w:r>
              <w:rPr>
                <w:rFonts w:hint="eastAsia"/>
                <w:lang w:val="zh-CN" w:eastAsia="zh-CN"/>
              </w:rPr>
              <w:t>9）支持用户对课堂视频录像进行量化评估，可根据实际教学评估要求设置多套评估标准，每套评估标准可设置不同总分，可设置多项评估项目，每项评估项目可设置多项评估子项，满足不同评估要求；</w:t>
            </w:r>
            <w:r>
              <w:rPr>
                <w:rFonts w:hint="eastAsia"/>
                <w:lang w:val="zh-CN" w:eastAsia="zh-CN"/>
              </w:rPr>
              <w:br w:type="textWrapping"/>
            </w:r>
            <w:r>
              <w:rPr>
                <w:rFonts w:hint="eastAsia"/>
                <w:lang w:val="zh-CN" w:eastAsia="zh-CN"/>
              </w:rPr>
              <w:t>10）支持多种搜索条件进行组合搜索，支持用户通过资源名称、班级、教师文本快速搜索资源；</w:t>
            </w:r>
            <w:r>
              <w:rPr>
                <w:rFonts w:hint="eastAsia"/>
                <w:lang w:val="zh-CN" w:eastAsia="zh-CN"/>
              </w:rPr>
              <w:br w:type="textWrapping"/>
            </w:r>
            <w:r>
              <w:rPr>
                <w:rFonts w:hint="eastAsia"/>
                <w:lang w:val="zh-CN" w:eastAsia="zh-CN"/>
              </w:rPr>
              <w:t>11）支持管理员设置资源分类审核、关闭审核开关，设置免审核模式，支持管理员将教师推送的资源进行修正归档；</w:t>
            </w:r>
            <w:r>
              <w:rPr>
                <w:rFonts w:hint="eastAsia"/>
                <w:lang w:val="zh-CN" w:eastAsia="zh-CN"/>
              </w:rPr>
              <w:br w:type="textWrapping"/>
            </w:r>
            <w:r>
              <w:rPr>
                <w:rFonts w:hint="eastAsia"/>
                <w:lang w:val="zh-CN" w:eastAsia="zh-CN"/>
              </w:rPr>
              <w:t>12）支持自定义录像主题、录像专辑等，支持录像资源删除后进入回收站，支持在站群内子站向父站推送课程。</w:t>
            </w:r>
            <w:r>
              <w:rPr>
                <w:rFonts w:hint="eastAsia"/>
                <w:lang w:val="zh-CN" w:eastAsia="zh-CN"/>
              </w:rPr>
              <w:br w:type="textWrapping"/>
            </w:r>
            <w:r>
              <w:rPr>
                <w:rFonts w:hint="eastAsia"/>
                <w:lang w:val="zh-CN" w:eastAsia="zh-CN"/>
              </w:rPr>
              <w:t>课表管理</w:t>
            </w:r>
            <w:r>
              <w:rPr>
                <w:rFonts w:hint="eastAsia"/>
                <w:lang w:val="zh-CN" w:eastAsia="zh-CN"/>
              </w:rPr>
              <w:br w:type="textWrapping"/>
            </w:r>
            <w:r>
              <w:rPr>
                <w:rFonts w:hint="eastAsia"/>
                <w:lang w:val="zh-CN" w:eastAsia="zh-CN"/>
              </w:rPr>
              <w:t>1）支持根据教室和教师维度查看和添加课表、批量导入课表，支持依据日历和课表两种方式查看教室课表，支持设置教室相应的时间节次方案；</w:t>
            </w:r>
            <w:r>
              <w:rPr>
                <w:rFonts w:hint="eastAsia"/>
                <w:lang w:val="zh-CN" w:eastAsia="zh-CN"/>
              </w:rPr>
              <w:br w:type="textWrapping"/>
            </w:r>
            <w:r>
              <w:rPr>
                <w:rFonts w:hint="eastAsia"/>
                <w:lang w:val="zh-CN" w:eastAsia="zh-CN"/>
              </w:rPr>
              <w:t>2）支持按时间或设置好的节次方案进行课表约课，支持修改课程名称、班级、学段、教师、学科、年级等信息，设置教室及输入直播源，支持约课时，班级多选；</w:t>
            </w:r>
            <w:r>
              <w:rPr>
                <w:rFonts w:hint="eastAsia"/>
                <w:lang w:val="zh-CN" w:eastAsia="zh-CN"/>
              </w:rPr>
              <w:br w:type="textWrapping"/>
            </w:r>
            <w:r>
              <w:rPr>
                <w:rFonts w:hint="eastAsia"/>
                <w:lang w:val="zh-CN" w:eastAsia="zh-CN"/>
              </w:rPr>
              <w:t>3）支持根据教师、课程、教室、班级、学生等关键词查询课表；</w:t>
            </w:r>
            <w:r>
              <w:rPr>
                <w:rFonts w:hint="eastAsia"/>
                <w:lang w:val="zh-CN" w:eastAsia="zh-CN"/>
              </w:rPr>
              <w:br w:type="textWrapping"/>
            </w:r>
            <w:r>
              <w:rPr>
                <w:rFonts w:hint="eastAsia"/>
                <w:lang w:val="zh-CN" w:eastAsia="zh-CN"/>
              </w:rPr>
              <w:t>4）支持课表约课时控制录像、直播、聊天室、AI分析、直播评课、直播时移、手机端直播的功能开启状态，支持设置≥5种直播访问方式；</w:t>
            </w:r>
            <w:r>
              <w:rPr>
                <w:rFonts w:hint="eastAsia"/>
                <w:lang w:val="zh-CN" w:eastAsia="zh-CN"/>
              </w:rPr>
              <w:br w:type="textWrapping"/>
            </w:r>
            <w:r>
              <w:rPr>
                <w:rFonts w:hint="eastAsia"/>
                <w:lang w:val="zh-CN" w:eastAsia="zh-CN"/>
              </w:rPr>
              <w:t>5）支持平台约课后，课程开始前自动检测设备是否在线，短信通知上课教师开启设备，需教师提前在平台绑定手机号；</w:t>
            </w:r>
            <w:r>
              <w:rPr>
                <w:rFonts w:hint="eastAsia"/>
                <w:lang w:val="zh-CN" w:eastAsia="zh-CN"/>
              </w:rPr>
              <w:br w:type="textWrapping"/>
            </w:r>
            <w:r>
              <w:rPr>
                <w:rFonts w:hint="eastAsia"/>
                <w:lang w:val="zh-CN" w:eastAsia="zh-CN"/>
              </w:rPr>
              <w:t>6）支持快捷生成一学期录制分析任务的智能课表，并能根据AI识别或者其它匹配信息生成课程信息，用于后续的智课数据应用，课程结束后，平台将根据AI识别的教师及其关联信息填充课程信息；</w:t>
            </w:r>
            <w:r>
              <w:rPr>
                <w:rFonts w:hint="eastAsia"/>
                <w:lang w:val="zh-CN" w:eastAsia="zh-CN"/>
              </w:rPr>
              <w:br w:type="textWrapping"/>
            </w:r>
            <w:r>
              <w:rPr>
                <w:rFonts w:hint="eastAsia"/>
                <w:lang w:val="zh-CN" w:eastAsia="zh-CN"/>
              </w:rPr>
              <w:t>视频点播、直播</w:t>
            </w:r>
            <w:r>
              <w:rPr>
                <w:rFonts w:hint="eastAsia"/>
                <w:lang w:val="zh-CN" w:eastAsia="zh-CN"/>
              </w:rPr>
              <w:br w:type="textWrapping"/>
            </w:r>
            <w:r>
              <w:rPr>
                <w:rFonts w:hint="eastAsia"/>
                <w:lang w:val="zh-CN" w:eastAsia="zh-CN"/>
              </w:rPr>
              <w:t>1）支持多画面资源模式点播，如以三分屏的方式同步播放教师画面、学生画面、课件画面，支持视频直接拖拽播放；</w:t>
            </w:r>
            <w:r>
              <w:rPr>
                <w:rFonts w:hint="eastAsia"/>
                <w:lang w:val="zh-CN" w:eastAsia="zh-CN"/>
              </w:rPr>
              <w:br w:type="textWrapping"/>
            </w:r>
            <w:r>
              <w:rPr>
                <w:rFonts w:hint="eastAsia"/>
                <w:lang w:val="zh-CN" w:eastAsia="zh-CN"/>
              </w:rPr>
              <w:t>2）支持在播放器窗口进行标清、高清、超清等多种清晰度切换；</w:t>
            </w:r>
            <w:r>
              <w:rPr>
                <w:rFonts w:hint="eastAsia"/>
                <w:lang w:val="zh-CN" w:eastAsia="zh-CN"/>
              </w:rPr>
              <w:br w:type="textWrapping"/>
            </w:r>
            <w:r>
              <w:rPr>
                <w:rFonts w:hint="eastAsia"/>
                <w:lang w:val="zh-CN" w:eastAsia="zh-CN"/>
              </w:rPr>
              <w:t>3）支持观看视频时可通过系统提供的量表进行在线打分评价；</w:t>
            </w:r>
            <w:r>
              <w:rPr>
                <w:rFonts w:hint="eastAsia"/>
                <w:lang w:val="zh-CN" w:eastAsia="zh-CN"/>
              </w:rPr>
              <w:br w:type="textWrapping"/>
            </w:r>
            <w:r>
              <w:rPr>
                <w:rFonts w:hint="eastAsia"/>
                <w:lang w:val="zh-CN" w:eastAsia="zh-CN"/>
              </w:rPr>
              <w:t>4）具有教育行业特性，直播课堂结束，课后可实现课堂S-T分析，自动分析课堂教师、学生行为时间并自动画出行为曲线，自动分析课堂类型；</w:t>
            </w:r>
            <w:r>
              <w:rPr>
                <w:rFonts w:hint="eastAsia"/>
                <w:lang w:val="zh-CN" w:eastAsia="zh-CN"/>
              </w:rPr>
              <w:br w:type="textWrapping"/>
            </w:r>
            <w:r>
              <w:rPr>
                <w:rFonts w:hint="eastAsia"/>
                <w:lang w:val="zh-CN" w:eastAsia="zh-CN"/>
              </w:rPr>
              <w:t>5）直播过程支持在线用户文字交流、量表打分，直播结束后系统将视频和评论记录自动上传到教师个人空间；</w:t>
            </w:r>
            <w:r>
              <w:rPr>
                <w:rFonts w:hint="eastAsia"/>
                <w:lang w:val="zh-CN" w:eastAsia="zh-CN"/>
              </w:rPr>
              <w:br w:type="textWrapping"/>
            </w:r>
            <w:r>
              <w:rPr>
                <w:rFonts w:hint="eastAsia"/>
                <w:lang w:val="zh-CN" w:eastAsia="zh-CN"/>
              </w:rPr>
              <w:t>6）直播过程中支持用户以二维码、链接地址形式分享直播；</w:t>
            </w:r>
            <w:r>
              <w:rPr>
                <w:rFonts w:hint="eastAsia"/>
                <w:lang w:val="zh-CN" w:eastAsia="zh-CN"/>
              </w:rPr>
              <w:br w:type="textWrapping"/>
            </w:r>
            <w:r>
              <w:rPr>
                <w:rFonts w:hint="eastAsia"/>
                <w:lang w:val="zh-CN" w:eastAsia="zh-CN"/>
              </w:rPr>
              <w:t>7）支持自定义直播开始、结束时间，设置直播评分量表；</w:t>
            </w:r>
            <w:r>
              <w:rPr>
                <w:rFonts w:hint="eastAsia"/>
                <w:lang w:val="zh-CN" w:eastAsia="zh-CN"/>
              </w:rPr>
              <w:br w:type="textWrapping"/>
            </w:r>
            <w:r>
              <w:rPr>
                <w:rFonts w:hint="eastAsia"/>
                <w:lang w:val="zh-CN" w:eastAsia="zh-CN"/>
              </w:rPr>
              <w:t>8）支持直播时移，直播开始后可拖动播放器时间轴回放直播；</w:t>
            </w:r>
            <w:r>
              <w:rPr>
                <w:rFonts w:hint="eastAsia"/>
                <w:lang w:val="zh-CN" w:eastAsia="zh-CN"/>
              </w:rPr>
              <w:br w:type="textWrapping"/>
            </w:r>
            <w:r>
              <w:rPr>
                <w:rFonts w:hint="eastAsia"/>
                <w:lang w:val="zh-CN" w:eastAsia="zh-CN"/>
              </w:rPr>
              <w:t>9）支持设置直播观看密码，支持匿名用户观看直播，支持设置是否在设备开启直播时才允许观看教室画面；</w:t>
            </w:r>
            <w:r>
              <w:rPr>
                <w:rFonts w:hint="eastAsia"/>
                <w:lang w:val="zh-CN" w:eastAsia="zh-CN"/>
              </w:rPr>
              <w:br w:type="textWrapping"/>
            </w:r>
            <w:r>
              <w:rPr>
                <w:rFonts w:hint="eastAsia"/>
                <w:lang w:val="zh-CN" w:eastAsia="zh-CN"/>
              </w:rPr>
              <w:t>10）支持门户显示和观看设置，支持设置在直播频道中是否显示离线设备；</w:t>
            </w:r>
            <w:r>
              <w:rPr>
                <w:rFonts w:hint="eastAsia"/>
                <w:lang w:val="zh-CN" w:eastAsia="zh-CN"/>
              </w:rPr>
              <w:br w:type="textWrapping"/>
            </w:r>
            <w:r>
              <w:rPr>
                <w:rFonts w:hint="eastAsia"/>
                <w:lang w:val="zh-CN" w:eastAsia="zh-CN"/>
              </w:rPr>
              <w:t>11）支持微信扫描平台二维码进行直播观看、课程点播等。</w:t>
            </w:r>
            <w:r>
              <w:rPr>
                <w:rFonts w:hint="eastAsia"/>
                <w:lang w:val="zh-CN" w:eastAsia="zh-CN"/>
              </w:rPr>
              <w:br w:type="textWrapping"/>
            </w:r>
            <w:r>
              <w:rPr>
                <w:rFonts w:hint="eastAsia"/>
                <w:lang w:val="zh-CN" w:eastAsia="zh-CN"/>
              </w:rPr>
              <w:t>直播门户</w:t>
            </w:r>
            <w:r>
              <w:rPr>
                <w:rFonts w:hint="eastAsia"/>
                <w:lang w:val="zh-CN" w:eastAsia="zh-CN"/>
              </w:rPr>
              <w:br w:type="textWrapping"/>
            </w:r>
            <w:r>
              <w:rPr>
                <w:rFonts w:hint="eastAsia"/>
                <w:lang w:val="zh-CN" w:eastAsia="zh-CN"/>
              </w:rPr>
              <w:t>1）支持查看当前正在进行的直播课、将要开始的直播课、已经结束且已发布的直播课，支持按照学校、学段、学科、时间段、资源名称、作者和标签等搜索直播课，支持按时间和视频热度呈现直播课资源；</w:t>
            </w:r>
            <w:r>
              <w:rPr>
                <w:rFonts w:hint="eastAsia"/>
                <w:lang w:val="zh-CN" w:eastAsia="zh-CN"/>
              </w:rPr>
              <w:br w:type="textWrapping"/>
            </w:r>
            <w:r>
              <w:rPr>
                <w:rFonts w:hint="eastAsia"/>
                <w:lang w:val="zh-CN" w:eastAsia="zh-CN"/>
              </w:rPr>
              <w:t>2）支持统计直播门户下的所有直播课数量和播放量，支持统计不同时间周期内的直播课程数量、累计观看人数及课程；</w:t>
            </w:r>
            <w:r>
              <w:rPr>
                <w:rFonts w:hint="eastAsia"/>
                <w:lang w:val="zh-CN" w:eastAsia="zh-CN"/>
              </w:rPr>
              <w:br w:type="textWrapping"/>
            </w:r>
            <w:r>
              <w:rPr>
                <w:rFonts w:hint="eastAsia"/>
                <w:lang w:val="zh-CN" w:eastAsia="zh-CN"/>
              </w:rPr>
              <w:t>3）支持统计任意直播课程观看人数、观看用户信息，至少包含用户姓名、学段、学科、观看开始及退出时间等，数据可导出。</w:t>
            </w:r>
            <w:r>
              <w:rPr>
                <w:rFonts w:hint="eastAsia"/>
                <w:lang w:val="zh-CN" w:eastAsia="zh-CN"/>
              </w:rPr>
              <w:br w:type="textWrapping"/>
            </w:r>
            <w:r>
              <w:rPr>
                <w:rFonts w:hint="eastAsia"/>
                <w:lang w:val="zh-CN" w:eastAsia="zh-CN"/>
              </w:rPr>
              <w:t>数据统计</w:t>
            </w:r>
            <w:r>
              <w:rPr>
                <w:rFonts w:hint="eastAsia"/>
                <w:lang w:val="zh-CN" w:eastAsia="zh-CN"/>
              </w:rPr>
              <w:br w:type="textWrapping"/>
            </w:r>
            <w:r>
              <w:rPr>
                <w:rFonts w:hint="eastAsia"/>
                <w:lang w:val="zh-CN" w:eastAsia="zh-CN"/>
              </w:rPr>
              <w:t>1）支持展示平台学校数量、录播教室数量、用户数量、资源数量、教研活动开展数量、量表报告数量；</w:t>
            </w:r>
            <w:r>
              <w:rPr>
                <w:rFonts w:hint="eastAsia"/>
                <w:lang w:val="zh-CN" w:eastAsia="zh-CN"/>
              </w:rPr>
              <w:br w:type="textWrapping"/>
            </w:r>
            <w:r>
              <w:rPr>
                <w:rFonts w:hint="eastAsia"/>
                <w:lang w:val="zh-CN" w:eastAsia="zh-CN"/>
              </w:rPr>
              <w:t>2）支持以图表形式直观显示各站点领导及教师数量，呈现各站点录播教室数量和AI录播教室数量，呈现各站点教学视频、教案、导学案和其它资源数量，呈现各站点个人备课、集体磨课、听评课及优课评选数量，呈现各科教学模式及教学行为应用占比等数据；</w:t>
            </w:r>
            <w:r>
              <w:rPr>
                <w:rFonts w:hint="eastAsia"/>
                <w:lang w:val="zh-CN" w:eastAsia="zh-CN"/>
              </w:rPr>
              <w:br w:type="textWrapping"/>
            </w:r>
            <w:r>
              <w:rPr>
                <w:rFonts w:hint="eastAsia"/>
                <w:lang w:val="zh-CN" w:eastAsia="zh-CN"/>
              </w:rPr>
              <w:t>3）支持移动鼠标至相应图表呈现具体数值，如各类型录播教室数值、各类型资源数值、各类型教学模式具体占比数值、十一种类型教学行为具体占比数值等；</w:t>
            </w:r>
            <w:r>
              <w:rPr>
                <w:rFonts w:hint="eastAsia"/>
                <w:lang w:val="zh-CN" w:eastAsia="zh-CN"/>
              </w:rPr>
              <w:br w:type="textWrapping"/>
            </w:r>
            <w:r>
              <w:rPr>
                <w:rFonts w:hint="eastAsia"/>
                <w:lang w:val="zh-CN" w:eastAsia="zh-CN"/>
              </w:rPr>
              <w:t>4）支持导出各学校的用户数、录播教室数、AI录播教室数、AI分析课程数、直播数、资源数、教研组数、个人备课数、磨课数、听评课数、优课评选数、量表报告数等数据；</w:t>
            </w:r>
            <w:r>
              <w:rPr>
                <w:rFonts w:hint="eastAsia"/>
                <w:lang w:val="zh-CN" w:eastAsia="zh-CN"/>
              </w:rPr>
              <w:br w:type="textWrapping"/>
            </w:r>
            <w:r>
              <w:rPr>
                <w:rFonts w:hint="eastAsia"/>
                <w:lang w:val="zh-CN" w:eastAsia="zh-CN"/>
              </w:rPr>
              <w:t>5）支持按照学校各学科、年级、学科、学段导出AI分析课程数、直播数、资源数、教研组数、个人备课数、磨课数、听评课数、量表报告数等数据；</w:t>
            </w:r>
            <w:r>
              <w:rPr>
                <w:rFonts w:hint="eastAsia"/>
                <w:lang w:val="zh-CN" w:eastAsia="zh-CN"/>
              </w:rPr>
              <w:br w:type="textWrapping"/>
            </w:r>
            <w:r>
              <w:rPr>
                <w:rFonts w:hint="eastAsia"/>
                <w:lang w:val="zh-CN" w:eastAsia="zh-CN"/>
              </w:rPr>
              <w:t>6）支持导出各教研组的成员数、访问量、资源数、开展听评课次数、开展磨课次数等数据。</w:t>
            </w:r>
            <w:r>
              <w:rPr>
                <w:rFonts w:hint="eastAsia"/>
                <w:lang w:val="zh-CN" w:eastAsia="zh-CN"/>
              </w:rPr>
              <w:br w:type="textWrapping"/>
            </w:r>
            <w:r>
              <w:rPr>
                <w:rFonts w:hint="eastAsia"/>
                <w:lang w:val="zh-CN" w:eastAsia="zh-CN"/>
              </w:rPr>
              <w:t>7）支持展示平台教学视频、教案、导学案及其它资源数量；</w:t>
            </w:r>
            <w:r>
              <w:rPr>
                <w:rFonts w:hint="eastAsia"/>
                <w:lang w:val="zh-CN" w:eastAsia="zh-CN"/>
              </w:rPr>
              <w:br w:type="textWrapping"/>
            </w:r>
            <w:r>
              <w:rPr>
                <w:rFonts w:hint="eastAsia"/>
                <w:lang w:val="zh-CN" w:eastAsia="zh-CN"/>
              </w:rPr>
              <w:t>8）支持以图表形式直观显示新增教学视频和新增资源趋势，可按近7天、近30天、本学期、本学年及自定义时间进行趋势查看，当移动鼠标至相应图表，可显示该日期新增教学视频、新增资源具体数值；</w:t>
            </w:r>
            <w:r>
              <w:rPr>
                <w:rFonts w:hint="eastAsia"/>
                <w:lang w:val="zh-CN" w:eastAsia="zh-CN"/>
              </w:rPr>
              <w:br w:type="textWrapping"/>
            </w:r>
            <w:r>
              <w:rPr>
                <w:rFonts w:hint="eastAsia"/>
                <w:lang w:val="zh-CN" w:eastAsia="zh-CN"/>
              </w:rPr>
              <w:t>9）支持以图表形式直观显示各学校、各学科的教学视频、教案、导学案及其它资源数量，支持按学校、学段进行筛选，支持查看本年新增资源和全部资源平均值，移动鼠标至相应图表，可显示具体数值；</w:t>
            </w:r>
            <w:r>
              <w:rPr>
                <w:rFonts w:hint="eastAsia"/>
                <w:lang w:val="zh-CN" w:eastAsia="zh-CN"/>
              </w:rPr>
              <w:br w:type="textWrapping"/>
            </w:r>
            <w:r>
              <w:rPr>
                <w:rFonts w:hint="eastAsia"/>
                <w:lang w:val="zh-CN" w:eastAsia="zh-CN"/>
              </w:rPr>
              <w:t>10）支持设备使用分析首页展示平台全部学校数量、已接入学校数量、录播教室数量、AI录播教室数量；</w:t>
            </w:r>
            <w:r>
              <w:rPr>
                <w:rFonts w:hint="eastAsia"/>
                <w:lang w:val="zh-CN" w:eastAsia="zh-CN"/>
              </w:rPr>
              <w:br w:type="textWrapping"/>
            </w:r>
            <w:r>
              <w:rPr>
                <w:rFonts w:hint="eastAsia"/>
                <w:lang w:val="zh-CN" w:eastAsia="zh-CN"/>
              </w:rPr>
              <w:t>11）支持以图表形式直观显示各校录播教室数量和AI录播教室数量；当移动鼠标至相应图表，可显示该校各类型录播教室具体数值。</w:t>
            </w:r>
            <w:r>
              <w:rPr>
                <w:rFonts w:hint="eastAsia"/>
                <w:lang w:val="zh-CN" w:eastAsia="zh-CN"/>
              </w:rPr>
              <w:br w:type="textWrapping"/>
            </w:r>
            <w:r>
              <w:rPr>
                <w:rFonts w:hint="eastAsia"/>
                <w:lang w:val="zh-CN" w:eastAsia="zh-CN"/>
              </w:rPr>
              <w:t>1）支持在模块首页展示优课资源数量和播放量；</w:t>
            </w:r>
            <w:r>
              <w:rPr>
                <w:rFonts w:hint="eastAsia"/>
                <w:lang w:val="zh-CN" w:eastAsia="zh-CN"/>
              </w:rPr>
              <w:br w:type="textWrapping"/>
            </w:r>
            <w:r>
              <w:rPr>
                <w:rFonts w:hint="eastAsia"/>
                <w:lang w:val="zh-CN" w:eastAsia="zh-CN"/>
              </w:rPr>
              <w:t>2）支持按照资源发布时间、点赞数量和播放量，对资源进行排行展示，支持手动推荐资源在优课中心进行重点展示，支持按照学校、学段、学科进行筛选优课，支持按资源名称、作者、标签搜索查找优课，支持教案、课件、习题等文档进行在线无插件预览；</w:t>
            </w:r>
            <w:r>
              <w:rPr>
                <w:rFonts w:hint="eastAsia"/>
                <w:lang w:val="zh-CN" w:eastAsia="zh-CN"/>
              </w:rPr>
              <w:br w:type="textWrapping"/>
            </w:r>
            <w:r>
              <w:rPr>
                <w:rFonts w:hint="eastAsia"/>
                <w:lang w:val="zh-CN" w:eastAsia="zh-CN"/>
              </w:rPr>
              <w:t>3）支持对资源进行收藏、下载、分享等，支持对资源进行量表评分和文字评论。</w:t>
            </w:r>
            <w:r>
              <w:rPr>
                <w:rFonts w:hint="eastAsia"/>
                <w:lang w:val="zh-CN" w:eastAsia="zh-CN"/>
              </w:rPr>
              <w:br w:type="textWrapping"/>
            </w:r>
            <w:r>
              <w:rPr>
                <w:rFonts w:hint="eastAsia"/>
                <w:lang w:val="zh-CN" w:eastAsia="zh-CN"/>
              </w:rPr>
              <w:t>1）支持以知识点系列形式组织微课专辑，自定义微课发布方式，支持在微课资源首页展示微课资源数量、点播数量；</w:t>
            </w:r>
            <w:r>
              <w:rPr>
                <w:rFonts w:hint="eastAsia"/>
                <w:lang w:val="zh-CN" w:eastAsia="zh-CN"/>
              </w:rPr>
              <w:br w:type="textWrapping"/>
            </w:r>
            <w:r>
              <w:rPr>
                <w:rFonts w:hint="eastAsia"/>
                <w:lang w:val="zh-CN" w:eastAsia="zh-CN"/>
              </w:rPr>
              <w:t>2）支持按发布时间、播放量、点赞量进行微课排行展示，支持按学段、学科、微课名称、作者、标签等筛选及搜索微课；</w:t>
            </w:r>
            <w:r>
              <w:rPr>
                <w:rFonts w:hint="eastAsia"/>
                <w:lang w:val="zh-CN" w:eastAsia="zh-CN"/>
              </w:rPr>
              <w:br w:type="textWrapping"/>
            </w:r>
            <w:r>
              <w:rPr>
                <w:rFonts w:hint="eastAsia"/>
                <w:lang w:val="zh-CN" w:eastAsia="zh-CN"/>
              </w:rPr>
              <w:t>3）支持用户收藏、订阅微课，在个人空间查看微课学习记录；</w:t>
            </w:r>
            <w:r>
              <w:rPr>
                <w:rFonts w:hint="eastAsia"/>
                <w:lang w:val="zh-CN" w:eastAsia="zh-CN"/>
              </w:rPr>
              <w:br w:type="textWrapping"/>
            </w:r>
            <w:r>
              <w:rPr>
                <w:rFonts w:hint="eastAsia"/>
                <w:lang w:val="zh-CN" w:eastAsia="zh-CN"/>
              </w:rPr>
              <w:t>4）支持对微课资源进行在线评分，支持采用预设量表评分、主观评价等，支持删除个人讨论内容，管理员可删除任意讨论内容。</w:t>
            </w:r>
            <w:r>
              <w:rPr>
                <w:rFonts w:hint="eastAsia"/>
                <w:lang w:val="zh-CN" w:eastAsia="zh-CN"/>
              </w:rPr>
              <w:br w:type="textWrapping"/>
            </w:r>
            <w:r>
              <w:rPr>
                <w:rFonts w:hint="eastAsia"/>
                <w:lang w:val="zh-CN" w:eastAsia="zh-CN"/>
              </w:rPr>
              <w:t>1）支持用户自定义主题与子主题资源分类，支持提交与发布资源；</w:t>
            </w:r>
            <w:r>
              <w:rPr>
                <w:rFonts w:hint="eastAsia"/>
                <w:lang w:val="zh-CN" w:eastAsia="zh-CN"/>
              </w:rPr>
              <w:br w:type="textWrapping"/>
            </w:r>
            <w:r>
              <w:rPr>
                <w:rFonts w:hint="eastAsia"/>
                <w:lang w:val="zh-CN" w:eastAsia="zh-CN"/>
              </w:rPr>
              <w:t>2）支持用户将资源提交通过审核后发布展示在对应主题模块；</w:t>
            </w:r>
            <w:r>
              <w:rPr>
                <w:rFonts w:hint="eastAsia"/>
                <w:lang w:val="zh-CN" w:eastAsia="zh-CN"/>
              </w:rPr>
              <w:br w:type="textWrapping"/>
            </w:r>
            <w:r>
              <w:rPr>
                <w:rFonts w:hint="eastAsia"/>
                <w:lang w:val="zh-CN" w:eastAsia="zh-CN"/>
              </w:rPr>
              <w:t>3）支持将发布的专题在首页展示，支持按主题、子主题、资源名称、作者和标签等筛选及搜索资源；</w:t>
            </w:r>
            <w:r>
              <w:rPr>
                <w:rFonts w:hint="eastAsia"/>
                <w:lang w:val="zh-CN" w:eastAsia="zh-CN"/>
              </w:rPr>
              <w:br w:type="textWrapping"/>
            </w:r>
            <w:r>
              <w:rPr>
                <w:rFonts w:hint="eastAsia"/>
                <w:lang w:val="zh-CN" w:eastAsia="zh-CN"/>
              </w:rPr>
              <w:t>4）支持主题资源按发布时间、最热点赞和最热播放进行排序展示；</w:t>
            </w:r>
            <w:r>
              <w:rPr>
                <w:rFonts w:hint="eastAsia"/>
                <w:lang w:val="zh-CN" w:eastAsia="zh-CN"/>
              </w:rPr>
              <w:br w:type="textWrapping"/>
            </w:r>
            <w:r>
              <w:rPr>
                <w:rFonts w:hint="eastAsia"/>
                <w:lang w:val="zh-CN" w:eastAsia="zh-CN"/>
              </w:rPr>
              <w:t>1）支持用户按类型、学段及学科对资源进行分类，自定义专辑发布方式，支持在优课专辑首页展示专辑数量、资源数量；</w:t>
            </w:r>
            <w:r>
              <w:rPr>
                <w:rFonts w:hint="eastAsia"/>
                <w:lang w:val="zh-CN" w:eastAsia="zh-CN"/>
              </w:rPr>
              <w:br w:type="textWrapping"/>
            </w:r>
            <w:r>
              <w:rPr>
                <w:rFonts w:hint="eastAsia"/>
                <w:lang w:val="zh-CN" w:eastAsia="zh-CN"/>
              </w:rPr>
              <w:t>2）支持专辑按发布时间、播放量、收藏量进行排行展示，支持按学段、学科、专辑名称、作者、标签等筛选及搜索专辑。</w:t>
            </w:r>
            <w:r>
              <w:rPr>
                <w:rFonts w:hint="eastAsia"/>
                <w:lang w:val="zh-CN" w:eastAsia="zh-CN"/>
              </w:rPr>
              <w:br w:type="textWrapping"/>
            </w:r>
            <w:r>
              <w:rPr>
                <w:rFonts w:hint="eastAsia"/>
                <w:lang w:val="zh-CN" w:eastAsia="zh-CN"/>
              </w:rPr>
              <w:t>个人备课</w:t>
            </w:r>
            <w:r>
              <w:rPr>
                <w:rFonts w:hint="eastAsia"/>
                <w:lang w:val="zh-CN" w:eastAsia="zh-CN"/>
              </w:rPr>
              <w:br w:type="textWrapping"/>
            </w:r>
            <w:r>
              <w:rPr>
                <w:rFonts w:hint="eastAsia"/>
                <w:lang w:val="zh-CN" w:eastAsia="zh-CN"/>
              </w:rPr>
              <w:t>1）▲支持用户开展个人备课，提供线上科学化备课流程，支持在教案设计的教学前期分析中内置分析维度，教师可基于内置维度进行教案的教学前期分析，支持在教学反思中内置维度，教师基于内置维度进行教学反思；</w:t>
            </w:r>
            <w:r>
              <w:rPr>
                <w:rFonts w:hint="eastAsia"/>
                <w:lang w:val="zh-CN" w:eastAsia="zh-CN"/>
              </w:rPr>
              <w:br w:type="textWrapping"/>
            </w:r>
            <w:r>
              <w:rPr>
                <w:rFonts w:hint="eastAsia"/>
                <w:lang w:val="zh-CN" w:eastAsia="zh-CN"/>
              </w:rPr>
              <w:t>2）</w:t>
            </w:r>
            <w:bookmarkStart w:id="95" w:name="OLE_LINK2"/>
            <w:r>
              <w:rPr>
                <w:rFonts w:hint="eastAsia"/>
                <w:lang w:val="zh-CN" w:eastAsia="zh-CN"/>
              </w:rPr>
              <w:t>▲</w:t>
            </w:r>
            <w:bookmarkEnd w:id="95"/>
            <w:r>
              <w:rPr>
                <w:rFonts w:hint="eastAsia"/>
                <w:lang w:val="zh-CN" w:eastAsia="zh-CN"/>
              </w:rPr>
              <w:t>支持个人备课按不同维度统计备课数量，支持按学段、学科筛选备课，支持搜索备课名称、新建备课、对已有备课进行编辑操作，支持修改备课学段、学科、年级、教材版本、册及章节内容；</w:t>
            </w:r>
            <w:r>
              <w:rPr>
                <w:rFonts w:hint="eastAsia"/>
                <w:lang w:val="zh-CN" w:eastAsia="zh-CN"/>
              </w:rPr>
              <w:br w:type="textWrapping"/>
            </w:r>
            <w:r>
              <w:rPr>
                <w:rFonts w:hint="eastAsia"/>
                <w:lang w:val="zh-CN" w:eastAsia="zh-CN"/>
              </w:rPr>
              <w:t>3）▲支持采用教案设计、导学案设计、教学资源、课堂实录、教学反思的科学化备课流程开展个人备课活动；</w:t>
            </w:r>
            <w:r>
              <w:rPr>
                <w:rFonts w:hint="eastAsia"/>
                <w:lang w:val="zh-CN" w:eastAsia="zh-CN"/>
              </w:rPr>
              <w:br w:type="textWrapping"/>
            </w:r>
            <w:r>
              <w:rPr>
                <w:rFonts w:hint="eastAsia"/>
                <w:lang w:val="zh-CN" w:eastAsia="zh-CN"/>
              </w:rPr>
              <w:t>4）▲个人备课的教案设计支持向导式教案模式、无模板模式及上传已有文档模式，向导式教案模式支持采用教学前期分析、教学策略与方案、教学过程设计、课堂板书设计的流程进行教案设计；</w:t>
            </w:r>
            <w:r>
              <w:rPr>
                <w:rFonts w:hint="eastAsia"/>
                <w:lang w:val="zh-CN" w:eastAsia="zh-CN"/>
              </w:rPr>
              <w:br w:type="textWrapping"/>
            </w:r>
            <w:r>
              <w:rPr>
                <w:rFonts w:hint="eastAsia"/>
                <w:lang w:val="zh-CN" w:eastAsia="zh-CN"/>
              </w:rPr>
              <w:t>5）▲个人备课的导学案设计支持向导式导学案模式及上传已有导学案模式，向导式导学案模式支持采用学习目标、重难点指导、导学过程设计的环节进行导学案设计，支持上传教学资源、导学资源和其他资源的视频文件或文档，支持将录像库文件与课堂实录进行关联，支持手动上传课程视频文件；</w:t>
            </w:r>
            <w:r>
              <w:rPr>
                <w:rFonts w:hint="eastAsia"/>
                <w:lang w:val="zh-CN" w:eastAsia="zh-CN"/>
              </w:rPr>
              <w:br w:type="textWrapping"/>
            </w:r>
            <w:r>
              <w:rPr>
                <w:rFonts w:hint="eastAsia"/>
                <w:lang w:val="zh-CN" w:eastAsia="zh-CN"/>
              </w:rPr>
              <w:t>6）▲个人备课的教学反思支持向导式教学反思模式及上传已有反思模式，向导式教学反思模式支持采用内置的反思维度进行教学反思；</w:t>
            </w:r>
            <w:r>
              <w:rPr>
                <w:rFonts w:hint="eastAsia"/>
                <w:lang w:val="zh-CN" w:eastAsia="zh-CN"/>
              </w:rPr>
              <w:br w:type="textWrapping"/>
            </w:r>
            <w:r>
              <w:rPr>
                <w:rFonts w:hint="eastAsia"/>
                <w:lang w:val="zh-CN" w:eastAsia="zh-CN"/>
              </w:rPr>
              <w:t>7）▲个人备课过程支持课表约课，支持与已有课表关联，支持引用我的备课、我的收藏及案例池中的备课资源；</w:t>
            </w:r>
            <w:r>
              <w:rPr>
                <w:rFonts w:hint="eastAsia"/>
                <w:lang w:val="zh-CN" w:eastAsia="zh-CN"/>
              </w:rPr>
              <w:br w:type="textWrapping"/>
            </w:r>
            <w:r>
              <w:rPr>
                <w:rFonts w:hint="eastAsia"/>
                <w:lang w:val="zh-CN" w:eastAsia="zh-CN"/>
              </w:rPr>
              <w:t>8）▲支持以列表形式显示我的备课，支持按学段、学科、年级、版本、册、章节多个维度筛选备课，支持直接搜索备课名称；</w:t>
            </w:r>
            <w:r>
              <w:rPr>
                <w:rFonts w:hint="eastAsia"/>
                <w:lang w:val="zh-CN" w:eastAsia="zh-CN"/>
              </w:rPr>
              <w:br w:type="textWrapping"/>
            </w:r>
            <w:r>
              <w:rPr>
                <w:rFonts w:hint="eastAsia"/>
                <w:lang w:val="zh-CN" w:eastAsia="zh-CN"/>
              </w:rPr>
              <w:t>9）▲支持以列表形式显示备课案例，支持按学段、学科、年级、版本、册、章节多个维度筛选备课案例，支持直接搜索备课案例名称；</w:t>
            </w:r>
            <w:r>
              <w:rPr>
                <w:rFonts w:hint="eastAsia"/>
                <w:lang w:val="zh-CN" w:eastAsia="zh-CN"/>
              </w:rPr>
              <w:br w:type="textWrapping"/>
            </w:r>
            <w:r>
              <w:rPr>
                <w:rFonts w:hint="eastAsia"/>
                <w:lang w:val="zh-CN" w:eastAsia="zh-CN"/>
              </w:rPr>
              <w:t>10）▲支持首页展示平台个人备课数量、教学视频数量、教案数量、导学案数量、其他数量；</w:t>
            </w:r>
            <w:r>
              <w:rPr>
                <w:rFonts w:hint="eastAsia"/>
                <w:lang w:val="zh-CN" w:eastAsia="zh-CN"/>
              </w:rPr>
              <w:br w:type="textWrapping"/>
            </w:r>
            <w:r>
              <w:rPr>
                <w:rFonts w:hint="eastAsia"/>
                <w:lang w:val="zh-CN" w:eastAsia="zh-CN"/>
              </w:rPr>
              <w:t>11）▲支持以图表形式直观显示新增个人备课趋势和新增个人备课资源趋势，可按近7天、近30天、本学期、本学年进行趋势查看，也可按指定时间段进行趋势查看；当移动鼠标至相应图表，可显示该日期新增备课、新增备课资源的具体数值；</w:t>
            </w:r>
            <w:r>
              <w:rPr>
                <w:rFonts w:hint="eastAsia"/>
                <w:lang w:val="zh-CN" w:eastAsia="zh-CN"/>
              </w:rPr>
              <w:br w:type="textWrapping"/>
            </w:r>
            <w:r>
              <w:rPr>
                <w:rFonts w:hint="eastAsia"/>
                <w:lang w:val="zh-CN" w:eastAsia="zh-CN"/>
              </w:rPr>
              <w:t>12）▲支持以图表形式直观显示各校个人备课数、人均备课数及上传资源数；支持以图表形式直观显示各学科的个人备课数、人均备课数及上传资源数；当移动鼠标至相应图表，可显示具体数值；</w:t>
            </w:r>
            <w:r>
              <w:rPr>
                <w:rFonts w:hint="eastAsia"/>
                <w:lang w:val="zh-CN" w:eastAsia="zh-CN"/>
              </w:rPr>
              <w:br w:type="textWrapping"/>
            </w:r>
            <w:r>
              <w:rPr>
                <w:rFonts w:hint="eastAsia"/>
                <w:lang w:val="zh-CN" w:eastAsia="zh-CN"/>
              </w:rPr>
              <w:t>集体磨课</w:t>
            </w:r>
            <w:r>
              <w:rPr>
                <w:rFonts w:hint="eastAsia"/>
                <w:lang w:val="zh-CN" w:eastAsia="zh-CN"/>
              </w:rPr>
              <w:br w:type="textWrapping"/>
            </w:r>
            <w:r>
              <w:rPr>
                <w:rFonts w:hint="eastAsia"/>
                <w:lang w:val="zh-CN" w:eastAsia="zh-CN"/>
              </w:rPr>
              <w:t>1）支持用户创建磨课小组，添加组成员，开展磨课活动；支持磨课课例、磨课教师数量统计；</w:t>
            </w:r>
            <w:r>
              <w:rPr>
                <w:rFonts w:hint="eastAsia"/>
                <w:lang w:val="zh-CN" w:eastAsia="zh-CN"/>
              </w:rPr>
              <w:br w:type="textWrapping"/>
            </w:r>
            <w:r>
              <w:rPr>
                <w:rFonts w:hint="eastAsia"/>
                <w:lang w:val="zh-CN" w:eastAsia="zh-CN"/>
              </w:rPr>
              <w:t>2）支持磨课小组成员自定义创建磨课课例，磨课过程中可添加磨课环节，支持磨课过程中上传教案、ppt、视频等课例资料，磨课成员可在线观看；</w:t>
            </w:r>
            <w:r>
              <w:rPr>
                <w:rFonts w:hint="eastAsia"/>
                <w:lang w:val="zh-CN" w:eastAsia="zh-CN"/>
              </w:rPr>
              <w:br w:type="textWrapping"/>
            </w:r>
            <w:r>
              <w:rPr>
                <w:rFonts w:hint="eastAsia"/>
                <w:lang w:val="zh-CN" w:eastAsia="zh-CN"/>
              </w:rPr>
              <w:t>3）▲支持磨课小组成员观看课堂实录，课堂实录支持多源观看，自由切换教师、学生及ppt画面，支持在线预览教案、课件等文档；</w:t>
            </w:r>
            <w:r>
              <w:rPr>
                <w:rFonts w:hint="eastAsia"/>
                <w:lang w:val="zh-CN" w:eastAsia="zh-CN"/>
              </w:rPr>
              <w:br w:type="textWrapping"/>
            </w:r>
            <w:r>
              <w:rPr>
                <w:rFonts w:hint="eastAsia"/>
                <w:lang w:val="zh-CN" w:eastAsia="zh-CN"/>
              </w:rPr>
              <w:t>4）支持磨课组成员在线交流，可对资源发表文字点评；</w:t>
            </w:r>
            <w:r>
              <w:rPr>
                <w:rFonts w:hint="eastAsia"/>
                <w:lang w:val="zh-CN" w:eastAsia="zh-CN"/>
              </w:rPr>
              <w:br w:type="textWrapping"/>
            </w:r>
            <w:r>
              <w:rPr>
                <w:rFonts w:hint="eastAsia"/>
                <w:lang w:val="zh-CN" w:eastAsia="zh-CN"/>
              </w:rPr>
              <w:t>5）支持教师对比两次、数次磨课资源及点评信息，进行总结反思；</w:t>
            </w:r>
            <w:r>
              <w:rPr>
                <w:rFonts w:hint="eastAsia"/>
                <w:lang w:val="zh-CN" w:eastAsia="zh-CN"/>
              </w:rPr>
              <w:br w:type="textWrapping"/>
            </w:r>
            <w:r>
              <w:rPr>
                <w:rFonts w:hint="eastAsia"/>
                <w:lang w:val="zh-CN" w:eastAsia="zh-CN"/>
              </w:rPr>
              <w:t>6）▲支持环节对比，教师可对比两次磨课，直接调用课堂AI分析数据，支持显示量表和教学能力矩阵对比，支持生成报告和导出报告；</w:t>
            </w:r>
            <w:r>
              <w:rPr>
                <w:rFonts w:hint="eastAsia"/>
                <w:lang w:val="zh-CN" w:eastAsia="zh-CN"/>
              </w:rPr>
              <w:br w:type="textWrapping"/>
            </w:r>
            <w:r>
              <w:rPr>
                <w:rFonts w:hint="eastAsia"/>
                <w:lang w:val="zh-CN" w:eastAsia="zh-CN"/>
              </w:rPr>
              <w:t>7）支持首页展示平台集体磨课数量、教学视频数量、教案数量、导学案数量及其它数量；</w:t>
            </w:r>
            <w:r>
              <w:rPr>
                <w:rFonts w:hint="eastAsia"/>
                <w:lang w:val="zh-CN" w:eastAsia="zh-CN"/>
              </w:rPr>
              <w:br w:type="textWrapping"/>
            </w:r>
            <w:r>
              <w:rPr>
                <w:rFonts w:hint="eastAsia"/>
                <w:lang w:val="zh-CN" w:eastAsia="zh-CN"/>
              </w:rPr>
              <w:t>8）▲支持以图表形式直观显示新增集体磨课趋势和新增磨课资源趋势，可按近7天、近30天、本学期、本学年进行趋势查看，也可按指定时间段进行趋势查看；当移动鼠标至相应图表，可显示该日期新增集体磨课、新增磨课资源的具体数值；</w:t>
            </w:r>
            <w:r>
              <w:rPr>
                <w:rFonts w:hint="eastAsia"/>
                <w:lang w:val="zh-CN" w:eastAsia="zh-CN"/>
              </w:rPr>
              <w:br w:type="textWrapping"/>
            </w:r>
            <w:r>
              <w:rPr>
                <w:rFonts w:hint="eastAsia"/>
                <w:lang w:val="zh-CN" w:eastAsia="zh-CN"/>
              </w:rPr>
              <w:t>9）▲支持以图表形式直观显示集体磨课数、人均磨课数，支持按学段、学科进行筛选近7天、其他时间新增集体磨课数和人均磨课数，支持查看磨课平均值，当移动鼠标至相应图表，可显示具体数值；</w:t>
            </w:r>
            <w:r>
              <w:rPr>
                <w:rFonts w:hint="eastAsia"/>
                <w:lang w:val="zh-CN" w:eastAsia="zh-CN"/>
              </w:rPr>
              <w:br w:type="textWrapping"/>
            </w:r>
            <w:r>
              <w:rPr>
                <w:rFonts w:hint="eastAsia"/>
                <w:lang w:val="zh-CN" w:eastAsia="zh-CN"/>
              </w:rPr>
              <w:t>10）▲支持以图表形式直观显示磨课热度排行榜、日均参与人数、参与磨课比，支持按学段、学科进行筛选磨课热度和参与度，当移动鼠标至相应图表，可显示具体数值；</w:t>
            </w:r>
            <w:r>
              <w:rPr>
                <w:rFonts w:hint="eastAsia"/>
                <w:lang w:val="zh-CN" w:eastAsia="zh-CN"/>
              </w:rPr>
              <w:br w:type="textWrapping"/>
            </w:r>
            <w:r>
              <w:rPr>
                <w:rFonts w:hint="eastAsia"/>
                <w:lang w:val="zh-CN" w:eastAsia="zh-CN"/>
              </w:rPr>
              <w:t>11）▲支持以图表形式直观显示备课研讨次数分布、课堂研讨次数分布；支持按学段、学科进行筛选磨课流程分布当移动鼠标至相应图表，可显示具体数值；</w:t>
            </w:r>
            <w:r>
              <w:rPr>
                <w:rFonts w:hint="eastAsia"/>
                <w:lang w:val="zh-CN" w:eastAsia="zh-CN"/>
              </w:rPr>
              <w:br w:type="textWrapping"/>
            </w:r>
            <w:r>
              <w:rPr>
                <w:rFonts w:hint="eastAsia"/>
                <w:lang w:val="zh-CN" w:eastAsia="zh-CN"/>
              </w:rPr>
              <w:t>12）▲支持以图表形式直观显示磨课资源上传数，支持以图表形式直观显示磨课资源上传数，支持按学段、学科进行筛选磨课资源上传情况，当移动鼠标至相应图表，可显示具体数值；</w:t>
            </w:r>
            <w:r>
              <w:rPr>
                <w:rFonts w:hint="eastAsia"/>
                <w:highlight w:val="red"/>
                <w:lang w:val="zh-CN" w:eastAsia="zh-CN"/>
              </w:rPr>
              <w:br w:type="textWrapping"/>
            </w:r>
            <w:r>
              <w:rPr>
                <w:rFonts w:hint="eastAsia"/>
                <w:lang w:val="zh-CN" w:eastAsia="zh-CN"/>
              </w:rPr>
              <w:t>13）支持按学段、学科、年级、教研组内及独立活动筛选磨课活动，可按活动名或教师搜索，高效定位磨课资源。</w:t>
            </w:r>
            <w:r>
              <w:rPr>
                <w:rFonts w:hint="eastAsia"/>
                <w:lang w:val="zh-CN" w:eastAsia="zh-CN"/>
              </w:rPr>
              <w:br w:type="textWrapping"/>
            </w:r>
            <w:r>
              <w:rPr>
                <w:rFonts w:hint="eastAsia"/>
                <w:lang w:val="zh-CN" w:eastAsia="zh-CN"/>
              </w:rPr>
              <w:t>在线听课</w:t>
            </w:r>
            <w:r>
              <w:rPr>
                <w:rFonts w:hint="eastAsia"/>
                <w:lang w:val="zh-CN" w:eastAsia="zh-CN"/>
              </w:rPr>
              <w:br w:type="textWrapping"/>
            </w:r>
            <w:r>
              <w:rPr>
                <w:rFonts w:hint="eastAsia"/>
                <w:lang w:val="zh-CN" w:eastAsia="zh-CN"/>
              </w:rPr>
              <w:t>1）▲支持管理员创建听课任务，支持教师选择任务中的任一课程视频即可开始听课；</w:t>
            </w:r>
            <w:r>
              <w:rPr>
                <w:rFonts w:hint="eastAsia"/>
                <w:lang w:val="zh-CN" w:eastAsia="zh-CN"/>
              </w:rPr>
              <w:br w:type="textWrapping"/>
            </w:r>
            <w:r>
              <w:rPr>
                <w:rFonts w:hint="eastAsia"/>
                <w:lang w:val="zh-CN" w:eastAsia="zh-CN"/>
              </w:rPr>
              <w:t>2）支持教师可一边观看课程视频一边做在线记录，支持对课程进行文字评论和在线讨论，支持根据设定好的评分量表对课程进行打分；</w:t>
            </w:r>
            <w:r>
              <w:rPr>
                <w:rFonts w:hint="eastAsia"/>
                <w:lang w:val="zh-CN" w:eastAsia="zh-CN"/>
              </w:rPr>
              <w:br w:type="textWrapping"/>
            </w:r>
            <w:r>
              <w:rPr>
                <w:rFonts w:hint="eastAsia"/>
                <w:lang w:val="zh-CN" w:eastAsia="zh-CN"/>
              </w:rPr>
              <w:t>3）支持将听课记录、量表打分信息生成电子听课本并归档保存，支持教师将有听课记录的电子听课本提交，教育管理者可看到每位教师的听课记录情况；</w:t>
            </w:r>
            <w:r>
              <w:rPr>
                <w:rFonts w:hint="eastAsia"/>
                <w:lang w:val="zh-CN" w:eastAsia="zh-CN"/>
              </w:rPr>
              <w:br w:type="textWrapping"/>
            </w:r>
            <w:r>
              <w:rPr>
                <w:rFonts w:hint="eastAsia"/>
                <w:lang w:val="zh-CN" w:eastAsia="zh-CN"/>
              </w:rPr>
              <w:t>4）▲支持教师查看个人的听课任务完成情况，并可统计听课任务完成情况；</w:t>
            </w:r>
          </w:p>
          <w:p w14:paraId="49AA12A4">
            <w:pPr>
              <w:pStyle w:val="13"/>
              <w:ind w:left="0" w:leftChars="0" w:firstLine="0" w:firstLineChars="0"/>
              <w:rPr>
                <w:rFonts w:hint="eastAsia"/>
                <w:lang w:val="zh-CN" w:eastAsia="zh-CN"/>
              </w:rPr>
            </w:pPr>
            <w:r>
              <w:rPr>
                <w:rFonts w:hint="eastAsia"/>
                <w:lang w:val="zh-CN" w:eastAsia="zh-CN"/>
              </w:rPr>
              <w:t>1）支持自定义创建教研会议室，可同时开设多个仿真教研室，并对教研过程进行自动录制、录制后的资源自动上传到教研人员个人空间；</w:t>
            </w:r>
            <w:r>
              <w:rPr>
                <w:rFonts w:hint="eastAsia"/>
                <w:lang w:val="zh-CN" w:eastAsia="zh-CN"/>
              </w:rPr>
              <w:br w:type="textWrapping"/>
            </w:r>
            <w:r>
              <w:rPr>
                <w:rFonts w:hint="eastAsia"/>
                <w:lang w:val="zh-CN" w:eastAsia="zh-CN"/>
              </w:rPr>
              <w:t>2）支持文档共享和在线编辑，编辑完成的文档可实现异地保存；</w:t>
            </w:r>
            <w:r>
              <w:rPr>
                <w:rFonts w:hint="eastAsia"/>
                <w:lang w:val="zh-CN" w:eastAsia="zh-CN"/>
              </w:rPr>
              <w:br w:type="textWrapping"/>
            </w:r>
            <w:r>
              <w:rPr>
                <w:rFonts w:hint="eastAsia"/>
                <w:lang w:val="zh-CN" w:eastAsia="zh-CN"/>
              </w:rPr>
              <w:t>3）支持会议室成员进行远程音视频交流，支持通过”电子仿真白板“进行板书；</w:t>
            </w:r>
            <w:r>
              <w:rPr>
                <w:rFonts w:hint="eastAsia"/>
                <w:lang w:val="zh-CN" w:eastAsia="zh-CN"/>
              </w:rPr>
              <w:br w:type="textWrapping"/>
            </w:r>
            <w:r>
              <w:rPr>
                <w:rFonts w:hint="eastAsia"/>
                <w:lang w:val="zh-CN" w:eastAsia="zh-CN"/>
              </w:rPr>
              <w:t>4）支持通过专业采集设备可开展基于纸质文档的教研活动；</w:t>
            </w:r>
            <w:r>
              <w:rPr>
                <w:rFonts w:hint="eastAsia"/>
                <w:lang w:val="zh-CN" w:eastAsia="zh-CN"/>
              </w:rPr>
              <w:br w:type="textWrapping"/>
            </w:r>
            <w:r>
              <w:rPr>
                <w:rFonts w:hint="eastAsia"/>
                <w:lang w:val="zh-CN" w:eastAsia="zh-CN"/>
              </w:rPr>
              <w:t>5）支持不同学校教师远程观摩视频教研过程；</w:t>
            </w:r>
            <w:r>
              <w:rPr>
                <w:rFonts w:hint="eastAsia"/>
                <w:lang w:val="zh-CN" w:eastAsia="zh-CN"/>
              </w:rPr>
              <w:br w:type="textWrapping"/>
            </w:r>
            <w:r>
              <w:rPr>
                <w:rFonts w:hint="eastAsia"/>
                <w:lang w:val="zh-CN" w:eastAsia="zh-CN"/>
              </w:rPr>
              <w:t>1、活动管理</w:t>
            </w:r>
            <w:r>
              <w:rPr>
                <w:rFonts w:hint="eastAsia"/>
                <w:lang w:val="zh-CN" w:eastAsia="zh-CN"/>
              </w:rPr>
              <w:br w:type="textWrapping"/>
            </w:r>
            <w:r>
              <w:rPr>
                <w:rFonts w:hint="eastAsia"/>
                <w:lang w:val="zh-CN" w:eastAsia="zh-CN"/>
              </w:rPr>
              <w:t>1）▲支持创建录像评课（课例评课）、直播评课（在线评课）和实地评课（现场观摩）三种类型网络听评课活动；</w:t>
            </w:r>
          </w:p>
          <w:p w14:paraId="12D59F6A">
            <w:pPr>
              <w:pStyle w:val="13"/>
              <w:ind w:left="0" w:leftChars="0" w:firstLine="0" w:firstLineChars="0"/>
              <w:rPr>
                <w:rFonts w:hint="eastAsia"/>
                <w:lang w:val="zh-CN" w:eastAsia="zh-CN"/>
              </w:rPr>
            </w:pPr>
            <w:r>
              <w:rPr>
                <w:rFonts w:hint="eastAsia"/>
                <w:lang w:val="zh-CN" w:eastAsia="zh-CN"/>
              </w:rPr>
              <w:t>2）支持创建教研课，设置基础信息、量表和权限，平台预置评价量表；</w:t>
            </w:r>
            <w:r>
              <w:rPr>
                <w:rFonts w:hint="eastAsia"/>
                <w:lang w:val="zh-CN" w:eastAsia="zh-CN"/>
              </w:rPr>
              <w:br w:type="textWrapping"/>
            </w:r>
            <w:r>
              <w:rPr>
                <w:rFonts w:hint="eastAsia"/>
                <w:lang w:val="zh-CN" w:eastAsia="zh-CN"/>
              </w:rPr>
              <w:t>3）支持创建活动时，自定义设置等级评价方式、等级名称及标准；</w:t>
            </w:r>
            <w:r>
              <w:rPr>
                <w:rFonts w:hint="eastAsia"/>
                <w:lang w:val="zh-CN" w:eastAsia="zh-CN"/>
              </w:rPr>
              <w:br w:type="textWrapping"/>
            </w:r>
            <w:r>
              <w:rPr>
                <w:rFonts w:hint="eastAsia"/>
                <w:lang w:val="zh-CN" w:eastAsia="zh-CN"/>
              </w:rPr>
              <w:t>4）支持创建量表时，支持为末级指标添加文本描述；</w:t>
            </w:r>
            <w:r>
              <w:rPr>
                <w:rFonts w:hint="eastAsia"/>
                <w:lang w:val="zh-CN" w:eastAsia="zh-CN"/>
              </w:rPr>
              <w:br w:type="textWrapping"/>
            </w:r>
            <w:r>
              <w:rPr>
                <w:rFonts w:hint="eastAsia"/>
                <w:lang w:val="zh-CN" w:eastAsia="zh-CN"/>
              </w:rPr>
              <w:t>5）支持创建教研组，设置成员、组长、学段、年级、学科和权限等，可针对某一个主题进行研讨，在组内创建教研课，针对教研组成员开展录像评课、直播评课或实地评课活动；</w:t>
            </w:r>
            <w:r>
              <w:rPr>
                <w:rFonts w:hint="eastAsia"/>
                <w:lang w:val="zh-CN" w:eastAsia="zh-CN"/>
              </w:rPr>
              <w:br w:type="textWrapping"/>
            </w:r>
            <w:r>
              <w:rPr>
                <w:rFonts w:hint="eastAsia"/>
                <w:lang w:val="zh-CN" w:eastAsia="zh-CN"/>
              </w:rPr>
              <w:t>6）支持审核创建教研课和教研组申请；</w:t>
            </w:r>
            <w:r>
              <w:rPr>
                <w:rFonts w:hint="eastAsia"/>
                <w:lang w:val="zh-CN" w:eastAsia="zh-CN"/>
              </w:rPr>
              <w:br w:type="textWrapping"/>
            </w:r>
            <w:r>
              <w:rPr>
                <w:rFonts w:hint="eastAsia"/>
                <w:lang w:val="zh-CN" w:eastAsia="zh-CN"/>
              </w:rPr>
              <w:t>7）支持活动归档，结束活动自动保存活动过程数据；</w:t>
            </w:r>
            <w:r>
              <w:rPr>
                <w:rFonts w:hint="eastAsia"/>
                <w:lang w:val="zh-CN" w:eastAsia="zh-CN"/>
              </w:rPr>
              <w:br w:type="textWrapping"/>
            </w:r>
            <w:r>
              <w:rPr>
                <w:rFonts w:hint="eastAsia"/>
                <w:lang w:val="zh-CN" w:eastAsia="zh-CN"/>
              </w:rPr>
              <w:t>8）支持在听课过程中，用户打点记录听课过程，从课程亮点、待改进点及课程思考三个方面对课程进行综合评价与反思；</w:t>
            </w:r>
            <w:r>
              <w:rPr>
                <w:rFonts w:hint="eastAsia"/>
                <w:lang w:val="zh-CN" w:eastAsia="zh-CN"/>
              </w:rPr>
              <w:br w:type="textWrapping"/>
            </w:r>
            <w:r>
              <w:rPr>
                <w:rFonts w:hint="eastAsia"/>
                <w:lang w:val="zh-CN" w:eastAsia="zh-CN"/>
              </w:rPr>
              <w:t>9）支持查看评分记录和听课记录；</w:t>
            </w:r>
            <w:r>
              <w:rPr>
                <w:rFonts w:hint="eastAsia"/>
                <w:lang w:val="zh-CN" w:eastAsia="zh-CN"/>
              </w:rPr>
              <w:br w:type="textWrapping"/>
            </w:r>
            <w:r>
              <w:rPr>
                <w:rFonts w:hint="eastAsia"/>
                <w:lang w:val="zh-CN" w:eastAsia="zh-CN"/>
              </w:rPr>
              <w:t>10）支持导出单节课活动数据，含成员参与记录、听课记录及其明细、量表评价记录及评分明细；</w:t>
            </w:r>
            <w:r>
              <w:rPr>
                <w:rFonts w:hint="eastAsia"/>
                <w:lang w:val="zh-CN" w:eastAsia="zh-CN"/>
              </w:rPr>
              <w:br w:type="textWrapping"/>
            </w:r>
            <w:r>
              <w:rPr>
                <w:rFonts w:hint="eastAsia"/>
                <w:lang w:val="zh-CN" w:eastAsia="zh-CN"/>
              </w:rPr>
              <w:t>11）支持主题教研，并可基于主题教研支持创建多节听评课；</w:t>
            </w:r>
            <w:r>
              <w:rPr>
                <w:rFonts w:hint="eastAsia"/>
                <w:lang w:val="zh-CN" w:eastAsia="zh-CN"/>
              </w:rPr>
              <w:br w:type="textWrapping"/>
            </w:r>
            <w:r>
              <w:rPr>
                <w:rFonts w:hint="eastAsia"/>
                <w:lang w:val="zh-CN" w:eastAsia="zh-CN"/>
              </w:rPr>
              <w:t>12）支持创建听评课时，默认带入当前用户上次创建的信息；</w:t>
            </w:r>
            <w:r>
              <w:rPr>
                <w:rFonts w:hint="eastAsia"/>
                <w:lang w:val="zh-CN" w:eastAsia="zh-CN"/>
              </w:rPr>
              <w:br w:type="textWrapping"/>
            </w:r>
            <w:r>
              <w:rPr>
                <w:rFonts w:hint="eastAsia"/>
                <w:lang w:val="zh-CN" w:eastAsia="zh-CN"/>
              </w:rPr>
              <w:t>13）支持创建听评课-直播评课-去约课-选择教师的流程设置，支持选择其他站点的教师；</w:t>
            </w:r>
            <w:r>
              <w:rPr>
                <w:rFonts w:hint="eastAsia"/>
                <w:lang w:val="zh-CN" w:eastAsia="zh-CN"/>
              </w:rPr>
              <w:br w:type="textWrapping"/>
            </w:r>
            <w:r>
              <w:rPr>
                <w:rFonts w:hint="eastAsia"/>
                <w:lang w:val="zh-CN" w:eastAsia="zh-CN"/>
              </w:rPr>
              <w:t>2、听评课</w:t>
            </w:r>
            <w:r>
              <w:rPr>
                <w:rFonts w:hint="eastAsia"/>
                <w:lang w:val="zh-CN" w:eastAsia="zh-CN"/>
              </w:rPr>
              <w:br w:type="textWrapping"/>
            </w:r>
            <w:r>
              <w:rPr>
                <w:rFonts w:hint="eastAsia"/>
                <w:lang w:val="zh-CN" w:eastAsia="zh-CN"/>
              </w:rPr>
              <w:t>1）支持针对已经结束课程进行听评课，有AI分析数据的可查看AI数据进行评价，自动记录评价内容时间轴；直播评课通过网络直播的方式，在线听课并实时评价；实地评课可以在平台上共享资源、记录笔记和签到；</w:t>
            </w:r>
            <w:r>
              <w:rPr>
                <w:rFonts w:hint="eastAsia"/>
                <w:lang w:val="zh-CN" w:eastAsia="zh-CN"/>
              </w:rPr>
              <w:br w:type="textWrapping"/>
            </w:r>
            <w:r>
              <w:rPr>
                <w:rFonts w:hint="eastAsia"/>
                <w:lang w:val="zh-CN" w:eastAsia="zh-CN"/>
              </w:rPr>
              <w:t>2）支持听评课中查看课例基础信息，查看教师、学生和板书等多路视频、素材，支持进行量表评课，听课记录中做笔记、进行评价思考，并可留言讨论；</w:t>
            </w:r>
            <w:r>
              <w:rPr>
                <w:rFonts w:hint="eastAsia"/>
                <w:lang w:val="zh-CN" w:eastAsia="zh-CN"/>
              </w:rPr>
              <w:br w:type="textWrapping"/>
            </w:r>
            <w:r>
              <w:rPr>
                <w:rFonts w:hint="eastAsia"/>
                <w:lang w:val="zh-CN" w:eastAsia="zh-CN"/>
              </w:rPr>
              <w:t>3）支持对有AI分析的课程查看师生课堂教学行为时序、学生课堂参与度分布、教学行为分布和课堂授课类型等，支持基于行为时序点、参与度曲线高低点进行主观性文本评价；</w:t>
            </w:r>
            <w:r>
              <w:rPr>
                <w:rFonts w:hint="eastAsia"/>
                <w:lang w:val="zh-CN" w:eastAsia="zh-CN"/>
              </w:rPr>
              <w:br w:type="textWrapping"/>
            </w:r>
            <w:r>
              <w:rPr>
                <w:rFonts w:hint="eastAsia"/>
                <w:lang w:val="zh-CN" w:eastAsia="zh-CN"/>
              </w:rPr>
              <w:t>4）支持针对教研课程进行量表评课和主观评课，评课结束后生成包含师生课堂行为数据、课堂授课类型、量表得分、教师教学能力矩阵等内容在内的评课报告，支持导出评课报告；</w:t>
            </w:r>
            <w:r>
              <w:rPr>
                <w:rFonts w:hint="eastAsia"/>
                <w:lang w:val="zh-CN" w:eastAsia="zh-CN"/>
              </w:rPr>
              <w:br w:type="textWrapping"/>
            </w:r>
            <w:r>
              <w:rPr>
                <w:rFonts w:hint="eastAsia"/>
                <w:lang w:val="zh-CN" w:eastAsia="zh-CN"/>
              </w:rPr>
              <w:t>5）支持游客扫码评课；</w:t>
            </w:r>
            <w:r>
              <w:rPr>
                <w:rFonts w:hint="eastAsia"/>
                <w:lang w:val="zh-CN" w:eastAsia="zh-CN"/>
              </w:rPr>
              <w:br w:type="textWrapping"/>
            </w:r>
            <w:r>
              <w:rPr>
                <w:rFonts w:hint="eastAsia"/>
                <w:lang w:val="zh-CN" w:eastAsia="zh-CN"/>
              </w:rPr>
              <w:t>6）支持按学段、学科、教研组内及独立活动筛选听评课活动，可按听评课关键字搜索，高效定位听评课资源。</w:t>
            </w:r>
            <w:r>
              <w:rPr>
                <w:rFonts w:hint="eastAsia"/>
                <w:lang w:val="zh-CN" w:eastAsia="zh-CN"/>
              </w:rPr>
              <w:br w:type="textWrapping"/>
            </w:r>
            <w:r>
              <w:rPr>
                <w:rFonts w:hint="eastAsia"/>
                <w:lang w:val="zh-CN" w:eastAsia="zh-CN"/>
              </w:rPr>
              <w:t>3、数据展示</w:t>
            </w:r>
            <w:r>
              <w:rPr>
                <w:rFonts w:hint="eastAsia"/>
                <w:lang w:val="zh-CN" w:eastAsia="zh-CN"/>
              </w:rPr>
              <w:br w:type="textWrapping"/>
            </w:r>
            <w:r>
              <w:rPr>
                <w:rFonts w:hint="eastAsia"/>
                <w:lang w:val="zh-CN" w:eastAsia="zh-CN"/>
              </w:rPr>
              <w:t>1）▲支持听评课对比中可选择两节课进行对比，查看对比分析报告；</w:t>
            </w:r>
            <w:r>
              <w:rPr>
                <w:rFonts w:hint="eastAsia"/>
                <w:lang w:val="zh-CN" w:eastAsia="zh-CN"/>
              </w:rPr>
              <w:br w:type="textWrapping"/>
            </w:r>
            <w:r>
              <w:rPr>
                <w:rFonts w:hint="eastAsia"/>
                <w:lang w:val="zh-CN" w:eastAsia="zh-CN"/>
              </w:rPr>
              <w:t>2）支持通过搜索教研组和听评课名称查找教研组/听评课；</w:t>
            </w:r>
            <w:r>
              <w:rPr>
                <w:rFonts w:hint="eastAsia"/>
                <w:lang w:val="zh-CN" w:eastAsia="zh-CN"/>
              </w:rPr>
              <w:br w:type="textWrapping"/>
            </w:r>
            <w:r>
              <w:rPr>
                <w:rFonts w:hint="eastAsia"/>
                <w:lang w:val="zh-CN" w:eastAsia="zh-CN"/>
              </w:rPr>
              <w:t>3）支持教研组广场中查看全部教研组，浏览教研组教研开展情况，未加入的教研组可以申请加入；</w:t>
            </w:r>
            <w:r>
              <w:rPr>
                <w:rFonts w:hint="eastAsia"/>
                <w:lang w:val="zh-CN" w:eastAsia="zh-CN"/>
              </w:rPr>
              <w:br w:type="textWrapping"/>
            </w:r>
            <w:r>
              <w:rPr>
                <w:rFonts w:hint="eastAsia"/>
                <w:lang w:val="zh-CN" w:eastAsia="zh-CN"/>
              </w:rPr>
              <w:t>4）支持通过我的教研组列表查看已加入的教研组，缩略页显示教研组听评课数量、成员数、磨课数及访问量；</w:t>
            </w:r>
            <w:r>
              <w:rPr>
                <w:rFonts w:hint="eastAsia"/>
                <w:lang w:val="zh-CN" w:eastAsia="zh-CN"/>
              </w:rPr>
              <w:br w:type="textWrapping"/>
            </w:r>
            <w:r>
              <w:rPr>
                <w:rFonts w:hint="eastAsia"/>
                <w:lang w:val="zh-CN" w:eastAsia="zh-CN"/>
              </w:rPr>
              <w:t xml:space="preserve">5）支持教研组内查本组全部听评课情况，支持根据未开始、进行中和已结束活动进行筛选查看； </w:t>
            </w:r>
            <w:r>
              <w:rPr>
                <w:rFonts w:hint="eastAsia"/>
                <w:lang w:val="zh-CN" w:eastAsia="zh-CN"/>
              </w:rPr>
              <w:br w:type="textWrapping"/>
            </w:r>
            <w:r>
              <w:rPr>
                <w:rFonts w:hint="eastAsia"/>
                <w:lang w:val="zh-CN" w:eastAsia="zh-CN"/>
              </w:rPr>
              <w:t>6）支持教研组内查看组内成员及其学校、学科信息，成员活跃榜可显示活跃指数高的成员；</w:t>
            </w:r>
            <w:r>
              <w:rPr>
                <w:rFonts w:hint="eastAsia"/>
                <w:lang w:val="zh-CN" w:eastAsia="zh-CN"/>
              </w:rPr>
              <w:br w:type="textWrapping"/>
            </w:r>
            <w:r>
              <w:rPr>
                <w:rFonts w:hint="eastAsia"/>
                <w:lang w:val="zh-CN" w:eastAsia="zh-CN"/>
              </w:rPr>
              <w:t>7）支持按学段和学科筛选筛选听评课活动，支持按全部、即将开始、进行中、已结束进行筛选；</w:t>
            </w:r>
            <w:r>
              <w:rPr>
                <w:rFonts w:hint="eastAsia"/>
                <w:lang w:val="zh-CN" w:eastAsia="zh-CN"/>
              </w:rPr>
              <w:br w:type="textWrapping"/>
            </w:r>
            <w:r>
              <w:rPr>
                <w:rFonts w:hint="eastAsia"/>
                <w:lang w:val="zh-CN" w:eastAsia="zh-CN"/>
              </w:rPr>
              <w:t>8）支持按浏览量排行展示热门课程，可呈现排行前五名的课程信息；</w:t>
            </w:r>
            <w:r>
              <w:rPr>
                <w:rFonts w:hint="eastAsia"/>
                <w:lang w:val="zh-CN" w:eastAsia="zh-CN"/>
              </w:rPr>
              <w:br w:type="textWrapping"/>
            </w:r>
            <w:r>
              <w:rPr>
                <w:rFonts w:hint="eastAsia"/>
                <w:lang w:val="zh-CN" w:eastAsia="zh-CN"/>
              </w:rPr>
              <w:t>9）支持通过我的听评课列表查看已加入的听评课，缩略页显示听评课进行状态及评课状态；</w:t>
            </w:r>
            <w:r>
              <w:rPr>
                <w:rFonts w:hint="eastAsia"/>
                <w:lang w:val="zh-CN" w:eastAsia="zh-CN"/>
              </w:rPr>
              <w:br w:type="textWrapping"/>
            </w:r>
            <w:r>
              <w:rPr>
                <w:rFonts w:hint="eastAsia"/>
                <w:lang w:val="zh-CN" w:eastAsia="zh-CN"/>
              </w:rPr>
              <w:t>4、扫码教研</w:t>
            </w:r>
            <w:r>
              <w:rPr>
                <w:rFonts w:hint="eastAsia"/>
                <w:lang w:val="zh-CN" w:eastAsia="zh-CN"/>
              </w:rPr>
              <w:br w:type="textWrapping"/>
            </w:r>
            <w:r>
              <w:rPr>
                <w:rFonts w:hint="eastAsia"/>
                <w:lang w:val="zh-CN" w:eastAsia="zh-CN"/>
              </w:rPr>
              <w:t>1）支持手机扫码进入研修活动，通过手机端进行网络教研；</w:t>
            </w:r>
            <w:r>
              <w:rPr>
                <w:rFonts w:hint="eastAsia"/>
                <w:lang w:val="zh-CN" w:eastAsia="zh-CN"/>
              </w:rPr>
              <w:br w:type="textWrapping"/>
            </w:r>
            <w:r>
              <w:rPr>
                <w:rFonts w:hint="eastAsia"/>
                <w:lang w:val="zh-CN" w:eastAsia="zh-CN"/>
              </w:rPr>
              <w:t>2）支持切换站点，扫一扫加入教研组和教研课，搜索课程和教研组；</w:t>
            </w:r>
            <w:r>
              <w:rPr>
                <w:rFonts w:hint="eastAsia"/>
                <w:lang w:val="zh-CN" w:eastAsia="zh-CN"/>
              </w:rPr>
              <w:br w:type="textWrapping"/>
            </w:r>
            <w:r>
              <w:rPr>
                <w:rFonts w:hint="eastAsia"/>
                <w:lang w:val="zh-CN" w:eastAsia="zh-CN"/>
              </w:rPr>
              <w:t>3）支持查看即将开始和正在进行的教研课，查看公开的教研组；</w:t>
            </w:r>
            <w:r>
              <w:rPr>
                <w:rFonts w:hint="eastAsia"/>
                <w:lang w:val="zh-CN" w:eastAsia="zh-CN"/>
              </w:rPr>
              <w:br w:type="textWrapping"/>
            </w:r>
            <w:r>
              <w:rPr>
                <w:rFonts w:hint="eastAsia"/>
                <w:lang w:val="zh-CN" w:eastAsia="zh-CN"/>
              </w:rPr>
              <w:t>4）支持查看课堂教学视频实录与量化数据，可快速进行教学反思；</w:t>
            </w:r>
            <w:r>
              <w:rPr>
                <w:rFonts w:hint="eastAsia"/>
                <w:lang w:val="zh-CN" w:eastAsia="zh-CN"/>
              </w:rPr>
              <w:br w:type="textWrapping"/>
            </w:r>
            <w:r>
              <w:rPr>
                <w:rFonts w:hint="eastAsia"/>
                <w:lang w:val="zh-CN" w:eastAsia="zh-CN"/>
              </w:rPr>
              <w:t>5）支持教研组，教研课活动的创建和参与；</w:t>
            </w:r>
            <w:r>
              <w:rPr>
                <w:rFonts w:hint="eastAsia"/>
                <w:lang w:val="zh-CN" w:eastAsia="zh-CN"/>
              </w:rPr>
              <w:br w:type="textWrapping"/>
            </w:r>
            <w:r>
              <w:rPr>
                <w:rFonts w:hint="eastAsia"/>
                <w:lang w:val="zh-CN" w:eastAsia="zh-CN"/>
              </w:rPr>
              <w:t>6）根据不同教研场景，可创建多种听评课模式：直播评课、录像评课、实地评课；</w:t>
            </w:r>
            <w:r>
              <w:rPr>
                <w:rFonts w:hint="eastAsia"/>
                <w:lang w:val="zh-CN" w:eastAsia="zh-CN"/>
              </w:rPr>
              <w:br w:type="textWrapping"/>
            </w:r>
            <w:r>
              <w:rPr>
                <w:rFonts w:hint="eastAsia"/>
                <w:lang w:val="zh-CN" w:eastAsia="zh-CN"/>
              </w:rPr>
              <w:t>7）▲支持多路视角听评课，可以查看教师、学生、电影、VGA等多路视频，全方位听评课堂；</w:t>
            </w:r>
          </w:p>
          <w:p w14:paraId="44BD17B9">
            <w:pPr>
              <w:pStyle w:val="13"/>
              <w:ind w:left="0" w:leftChars="0" w:firstLine="0" w:firstLineChars="0"/>
              <w:rPr>
                <w:rFonts w:hint="eastAsia"/>
                <w:lang w:val="zh-CN" w:eastAsia="zh-CN"/>
              </w:rPr>
            </w:pPr>
            <w:r>
              <w:rPr>
                <w:rFonts w:hint="eastAsia"/>
                <w:lang w:val="zh-CN" w:eastAsia="zh-CN"/>
              </w:rPr>
              <w:t>8）支持多种评课形式，包括主观评价、量表评价、教学环节评价等；</w:t>
            </w:r>
            <w:r>
              <w:rPr>
                <w:rFonts w:hint="eastAsia"/>
                <w:lang w:val="zh-CN" w:eastAsia="zh-CN"/>
              </w:rPr>
              <w:br w:type="textWrapping"/>
            </w:r>
            <w:r>
              <w:rPr>
                <w:rFonts w:hint="eastAsia"/>
                <w:lang w:val="zh-CN" w:eastAsia="zh-CN"/>
              </w:rPr>
              <w:t>9）支持同时查看教研课视频和自动量化的行为分析数据，通过AI分析的数据结果辅助教师进行听评课；</w:t>
            </w:r>
            <w:r>
              <w:rPr>
                <w:rFonts w:hint="eastAsia"/>
                <w:lang w:val="zh-CN" w:eastAsia="zh-CN"/>
              </w:rPr>
              <w:br w:type="textWrapping"/>
            </w:r>
            <w:r>
              <w:rPr>
                <w:rFonts w:hint="eastAsia"/>
                <w:lang w:val="zh-CN" w:eastAsia="zh-CN"/>
              </w:rPr>
              <w:t>10）支持查看师生课堂行为分布图，基于教学行为时序图进行评价，评价内容与视频时间对应，自动记录评价时间点；</w:t>
            </w:r>
            <w:r>
              <w:rPr>
                <w:rFonts w:hint="eastAsia"/>
                <w:lang w:val="zh-CN" w:eastAsia="zh-CN"/>
              </w:rPr>
              <w:br w:type="textWrapping"/>
            </w:r>
            <w:r>
              <w:rPr>
                <w:rFonts w:hint="eastAsia"/>
                <w:lang w:val="zh-CN" w:eastAsia="zh-CN"/>
              </w:rPr>
              <w:t>11）支持量表评价后自动生成教师教学能力矩阵图；</w:t>
            </w:r>
            <w:r>
              <w:rPr>
                <w:rFonts w:hint="eastAsia"/>
                <w:lang w:val="zh-CN" w:eastAsia="zh-CN"/>
              </w:rPr>
              <w:br w:type="textWrapping"/>
            </w:r>
            <w:r>
              <w:rPr>
                <w:rFonts w:hint="eastAsia"/>
                <w:lang w:val="zh-CN" w:eastAsia="zh-CN"/>
              </w:rPr>
              <w:t>12）支持评课过程中同时开展在线评论、签到和查看相关资料；</w:t>
            </w:r>
            <w:r>
              <w:rPr>
                <w:rFonts w:hint="eastAsia"/>
                <w:lang w:val="zh-CN" w:eastAsia="zh-CN"/>
              </w:rPr>
              <w:br w:type="textWrapping"/>
            </w:r>
            <w:r>
              <w:rPr>
                <w:rFonts w:hint="eastAsia"/>
                <w:lang w:val="zh-CN" w:eastAsia="zh-CN"/>
              </w:rPr>
              <w:t>13）支持对不同教学环节记录笔记，支持文本等形式记录；</w:t>
            </w:r>
            <w:r>
              <w:rPr>
                <w:rFonts w:hint="eastAsia"/>
                <w:lang w:val="zh-CN" w:eastAsia="zh-CN"/>
              </w:rPr>
              <w:br w:type="textWrapping"/>
            </w:r>
            <w:r>
              <w:rPr>
                <w:rFonts w:hint="eastAsia"/>
                <w:lang w:val="zh-CN" w:eastAsia="zh-CN"/>
              </w:rPr>
              <w:t>14）▲支持同课异构对比，对两节教研课进行对比分析，从课堂学情分析、课堂场景、师生行为、师生对话时长、学生应答时长、学生应答活跃度、四何问题分布、四何问题列表、老师教学特征、老师巡视特征、S-T曲线、课堂教学模式、课堂词云、课堂话语文本、量表得分、能力矩阵等多个维度对比查看；</w:t>
            </w:r>
          </w:p>
          <w:p w14:paraId="79C483A5">
            <w:pPr>
              <w:pStyle w:val="13"/>
              <w:ind w:left="0" w:leftChars="0" w:firstLine="0" w:firstLineChars="0"/>
              <w:rPr>
                <w:rFonts w:hint="eastAsia"/>
                <w:lang w:val="zh-CN" w:eastAsia="zh-CN"/>
              </w:rPr>
            </w:pPr>
            <w:r>
              <w:rPr>
                <w:rFonts w:hint="eastAsia"/>
                <w:lang w:val="zh-CN" w:eastAsia="zh-CN"/>
              </w:rPr>
              <w:t>15）支持评课结束导出包含课堂学情分析、课堂场景、师生行为、师生对话时长、学生应答时长、学生应答活跃度、四何问题分布、四何问题列表、老师教学特征、老师巡视特征、S-T曲线、课堂教学模式、课堂词云、课堂话语文本、量表评分详情、教师教学能力矩阵、评课总结等数据报告；</w:t>
            </w:r>
            <w:r>
              <w:rPr>
                <w:rFonts w:hint="eastAsia"/>
                <w:lang w:val="zh-CN" w:eastAsia="zh-CN"/>
              </w:rPr>
              <w:br w:type="textWrapping"/>
            </w:r>
            <w:r>
              <w:rPr>
                <w:rFonts w:hint="eastAsia"/>
                <w:lang w:val="zh-CN" w:eastAsia="zh-CN"/>
              </w:rPr>
              <w:t>5、听课评课分析</w:t>
            </w:r>
            <w:r>
              <w:rPr>
                <w:rFonts w:hint="eastAsia"/>
                <w:lang w:val="zh-CN" w:eastAsia="zh-CN"/>
              </w:rPr>
              <w:br w:type="textWrapping"/>
            </w:r>
            <w:r>
              <w:rPr>
                <w:rFonts w:hint="eastAsia"/>
                <w:lang w:val="zh-CN" w:eastAsia="zh-CN"/>
              </w:rPr>
              <w:t>1）支持统计各类型听评课数量、教研组数量、评课总人次和听课总人次；</w:t>
            </w:r>
            <w:r>
              <w:rPr>
                <w:rFonts w:hint="eastAsia"/>
                <w:lang w:val="zh-CN" w:eastAsia="zh-CN"/>
              </w:rPr>
              <w:br w:type="textWrapping"/>
            </w:r>
            <w:r>
              <w:rPr>
                <w:rFonts w:hint="eastAsia"/>
                <w:lang w:val="zh-CN" w:eastAsia="zh-CN"/>
              </w:rPr>
              <w:t>2）支持按不同时间周期可视化统计各学校的听评课数量和教研组数量；</w:t>
            </w:r>
            <w:r>
              <w:rPr>
                <w:rFonts w:hint="eastAsia"/>
                <w:lang w:val="zh-CN" w:eastAsia="zh-CN"/>
              </w:rPr>
              <w:br w:type="textWrapping"/>
            </w:r>
            <w:r>
              <w:rPr>
                <w:rFonts w:hint="eastAsia"/>
                <w:lang w:val="zh-CN" w:eastAsia="zh-CN"/>
              </w:rPr>
              <w:t>3）支持按不同时间周期可视化统计各学段的听评课数量和教研组数量及各自占比，支持按学校和学科进行筛选；</w:t>
            </w:r>
            <w:r>
              <w:rPr>
                <w:rFonts w:hint="eastAsia"/>
                <w:lang w:val="zh-CN" w:eastAsia="zh-CN"/>
              </w:rPr>
              <w:br w:type="textWrapping"/>
            </w:r>
            <w:r>
              <w:rPr>
                <w:rFonts w:hint="eastAsia"/>
                <w:lang w:val="zh-CN" w:eastAsia="zh-CN"/>
              </w:rPr>
              <w:t>4）支持按不同时间周期可视化统计各年级开展直播评课、录像评课、实地评课的数量，支持按学校、学段、学科进行筛选；</w:t>
            </w:r>
            <w:r>
              <w:rPr>
                <w:rFonts w:hint="eastAsia"/>
                <w:lang w:val="zh-CN" w:eastAsia="zh-CN"/>
              </w:rPr>
              <w:br w:type="textWrapping"/>
            </w:r>
            <w:r>
              <w:rPr>
                <w:rFonts w:hint="eastAsia"/>
                <w:lang w:val="zh-CN" w:eastAsia="zh-CN"/>
              </w:rPr>
              <w:t>5）支持按不同时间周期可视化统计各学科的听评课数量和教研组数量，支持按学校和学段进行筛选；</w:t>
            </w:r>
            <w:r>
              <w:rPr>
                <w:rFonts w:hint="eastAsia"/>
                <w:lang w:val="zh-CN" w:eastAsia="zh-CN"/>
              </w:rPr>
              <w:br w:type="textWrapping"/>
            </w:r>
            <w:r>
              <w:rPr>
                <w:rFonts w:hint="eastAsia"/>
                <w:lang w:val="zh-CN" w:eastAsia="zh-CN"/>
              </w:rPr>
              <w:t>6）支持按不同时间周期可视化统计各科听评课数量及各科的ABCD四类课程数量；</w:t>
            </w:r>
            <w:r>
              <w:rPr>
                <w:rFonts w:hint="eastAsia"/>
                <w:lang w:val="zh-CN" w:eastAsia="zh-CN"/>
              </w:rPr>
              <w:br w:type="textWrapping"/>
            </w:r>
            <w:r>
              <w:rPr>
                <w:rFonts w:hint="eastAsia"/>
                <w:lang w:val="zh-CN" w:eastAsia="zh-CN"/>
              </w:rPr>
              <w:t>7）支持按不同时间周期可视化统计各教研组开展直播评课、录像评课、实地评课的数量；</w:t>
            </w:r>
            <w:r>
              <w:rPr>
                <w:rFonts w:hint="eastAsia"/>
                <w:lang w:val="zh-CN" w:eastAsia="zh-CN"/>
              </w:rPr>
              <w:br w:type="textWrapping"/>
            </w:r>
            <w:r>
              <w:rPr>
                <w:rFonts w:hint="eastAsia"/>
                <w:lang w:val="zh-CN" w:eastAsia="zh-CN"/>
              </w:rPr>
              <w:t>8）支持按不同时间周期统计各人员的听评课情况，如参与听评课数、已提交量表数、已提交听课记录数等，支持按学校、学段、学科进行筛选、数据支持导出；</w:t>
            </w:r>
            <w:r>
              <w:rPr>
                <w:rFonts w:hint="eastAsia"/>
                <w:lang w:val="zh-CN" w:eastAsia="zh-CN"/>
              </w:rPr>
              <w:br w:type="textWrapping"/>
            </w:r>
            <w:r>
              <w:rPr>
                <w:rFonts w:hint="eastAsia"/>
                <w:lang w:val="zh-CN" w:eastAsia="zh-CN"/>
              </w:rPr>
              <w:t>6、会议研讨</w:t>
            </w:r>
            <w:r>
              <w:rPr>
                <w:rFonts w:hint="eastAsia"/>
                <w:lang w:val="zh-CN" w:eastAsia="zh-CN"/>
              </w:rPr>
              <w:br w:type="textWrapping"/>
            </w:r>
            <w:r>
              <w:rPr>
                <w:rFonts w:hint="eastAsia"/>
                <w:lang w:val="zh-CN" w:eastAsia="zh-CN"/>
              </w:rPr>
              <w:t>1）▲支持开展听评课活动时，教研组可基于 web 端直接发起1vN音视频互动；</w:t>
            </w:r>
          </w:p>
          <w:p w14:paraId="4DDDDABA">
            <w:pPr>
              <w:pStyle w:val="13"/>
              <w:ind w:left="0" w:leftChars="0" w:firstLine="0" w:firstLineChars="0"/>
              <w:rPr>
                <w:rFonts w:hint="eastAsia"/>
                <w:lang w:val="zh-CN" w:eastAsia="zh-CN"/>
              </w:rPr>
            </w:pPr>
            <w:r>
              <w:rPr>
                <w:rFonts w:hint="eastAsia"/>
                <w:lang w:val="zh-CN" w:eastAsia="zh-CN"/>
              </w:rPr>
              <w:t>2）支持同步开会，与教研活动同时开展，无需约会、约人；</w:t>
            </w:r>
            <w:r>
              <w:rPr>
                <w:rFonts w:hint="eastAsia"/>
                <w:lang w:val="zh-CN" w:eastAsia="zh-CN"/>
              </w:rPr>
              <w:br w:type="textWrapping"/>
            </w:r>
            <w:r>
              <w:rPr>
                <w:rFonts w:hint="eastAsia"/>
                <w:lang w:val="zh-CN" w:eastAsia="zh-CN"/>
              </w:rPr>
              <w:t>3）支持课例同步，主持人拖动视频进度，课例视频同步跳转；</w:t>
            </w:r>
            <w:r>
              <w:rPr>
                <w:rFonts w:hint="eastAsia"/>
                <w:lang w:val="zh-CN" w:eastAsia="zh-CN"/>
              </w:rPr>
              <w:br w:type="textWrapping"/>
            </w:r>
            <w:r>
              <w:rPr>
                <w:rFonts w:hint="eastAsia"/>
                <w:lang w:val="zh-CN" w:eastAsia="zh-CN"/>
              </w:rPr>
              <w:t>4）支持会议录像，录像自动上传到教研活动中，自动备案；</w:t>
            </w:r>
            <w:r>
              <w:rPr>
                <w:rFonts w:hint="eastAsia"/>
                <w:lang w:val="zh-CN" w:eastAsia="zh-CN"/>
              </w:rPr>
              <w:br w:type="textWrapping"/>
            </w:r>
            <w:r>
              <w:rPr>
                <w:rFonts w:hint="eastAsia"/>
                <w:lang w:val="zh-CN" w:eastAsia="zh-CN"/>
              </w:rPr>
              <w:t>5）支持会议控制，具备静音、用户禁言、同意举手、手放下、开启/关闭视频、移出会议等；</w:t>
            </w:r>
            <w:r>
              <w:rPr>
                <w:rFonts w:hint="eastAsia"/>
                <w:lang w:val="zh-CN" w:eastAsia="zh-CN"/>
              </w:rPr>
              <w:br w:type="textWrapping"/>
            </w:r>
            <w:r>
              <w:rPr>
                <w:rFonts w:hint="eastAsia"/>
                <w:lang w:val="zh-CN" w:eastAsia="zh-CN"/>
              </w:rPr>
              <w:t>6）▲支持基于语义推理的自动语音转写，及时保留教研交流成果；</w:t>
            </w:r>
            <w:r>
              <w:rPr>
                <w:rFonts w:hint="eastAsia"/>
                <w:lang w:val="zh-CN" w:eastAsia="zh-CN"/>
              </w:rPr>
              <w:br w:type="textWrapping"/>
            </w:r>
            <w:r>
              <w:rPr>
                <w:rFonts w:hint="eastAsia"/>
                <w:lang w:val="zh-CN" w:eastAsia="zh-CN"/>
              </w:rPr>
              <w:t>7）支持文字聊天，沟通过程自动上传到教研活动中，自动备案；</w:t>
            </w:r>
            <w:r>
              <w:rPr>
                <w:rFonts w:hint="eastAsia"/>
                <w:lang w:val="zh-CN" w:eastAsia="zh-CN"/>
              </w:rPr>
              <w:br w:type="textWrapping"/>
            </w:r>
            <w:r>
              <w:rPr>
                <w:rFonts w:hint="eastAsia"/>
                <w:lang w:val="zh-CN" w:eastAsia="zh-CN"/>
              </w:rPr>
              <w:t>8）支持会议后查看会议录像、转写、聊天记录，支持导出。</w:t>
            </w:r>
            <w:r>
              <w:rPr>
                <w:rFonts w:hint="eastAsia"/>
                <w:lang w:val="zh-CN" w:eastAsia="zh-CN"/>
              </w:rPr>
              <w:br w:type="textWrapping"/>
            </w:r>
            <w:r>
              <w:rPr>
                <w:rFonts w:hint="eastAsia"/>
                <w:lang w:val="zh-CN" w:eastAsia="zh-CN"/>
              </w:rPr>
              <w:t>9）支持会议研讨悬浮框全屏拖拽移动，灵活定位视图，无缝切换布局，确保会议研讨的高效流畅。</w:t>
            </w:r>
            <w:r>
              <w:rPr>
                <w:rFonts w:hint="eastAsia"/>
                <w:lang w:val="zh-CN" w:eastAsia="zh-CN"/>
              </w:rPr>
              <w:br w:type="textWrapping"/>
            </w:r>
            <w:r>
              <w:rPr>
                <w:rFonts w:hint="eastAsia"/>
                <w:lang w:val="zh-CN" w:eastAsia="zh-CN"/>
              </w:rPr>
              <w:t>名师课堂</w:t>
            </w:r>
            <w:r>
              <w:rPr>
                <w:rFonts w:hint="eastAsia"/>
                <w:lang w:val="zh-CN" w:eastAsia="zh-CN"/>
              </w:rPr>
              <w:br w:type="textWrapping"/>
            </w:r>
            <w:r>
              <w:rPr>
                <w:rFonts w:hint="eastAsia"/>
                <w:lang w:val="zh-CN" w:eastAsia="zh-CN"/>
              </w:rPr>
              <w:t>1）支持自定义创建名师库，对名师级别、类型、学段、学科进行设置，添加名师简介，设置名师是否在名师课堂门户展示；</w:t>
            </w:r>
            <w:r>
              <w:rPr>
                <w:rFonts w:hint="eastAsia"/>
                <w:lang w:val="zh-CN" w:eastAsia="zh-CN"/>
              </w:rPr>
              <w:br w:type="textWrapping"/>
            </w:r>
            <w:r>
              <w:rPr>
                <w:rFonts w:hint="eastAsia"/>
                <w:lang w:val="zh-CN" w:eastAsia="zh-CN"/>
              </w:rPr>
              <w:t>2）支持添加名师优秀资源和优秀专辑，在名师资源页面和名师专辑页面进行展示；</w:t>
            </w:r>
            <w:r>
              <w:rPr>
                <w:rFonts w:hint="eastAsia"/>
                <w:lang w:val="zh-CN" w:eastAsia="zh-CN"/>
              </w:rPr>
              <w:br w:type="textWrapping"/>
            </w:r>
            <w:r>
              <w:rPr>
                <w:rFonts w:hint="eastAsia"/>
                <w:lang w:val="zh-CN" w:eastAsia="zh-CN"/>
              </w:rPr>
              <w:t>3）支持用户上传名师照片，在名师风采页面进行展示，支持选择多张图片上传；</w:t>
            </w:r>
            <w:r>
              <w:rPr>
                <w:rFonts w:hint="eastAsia"/>
                <w:lang w:val="zh-CN" w:eastAsia="zh-CN"/>
              </w:rPr>
              <w:br w:type="textWrapping"/>
            </w:r>
            <w:r>
              <w:rPr>
                <w:rFonts w:hint="eastAsia"/>
                <w:lang w:val="zh-CN" w:eastAsia="zh-CN"/>
              </w:rPr>
              <w:t>4）支持在名师课堂首页展示名师数量、发布资源数量及发布专辑数量；</w:t>
            </w:r>
            <w:r>
              <w:rPr>
                <w:rFonts w:hint="eastAsia"/>
                <w:lang w:val="zh-CN" w:eastAsia="zh-CN"/>
              </w:rPr>
              <w:br w:type="textWrapping"/>
            </w:r>
            <w:r>
              <w:rPr>
                <w:rFonts w:hint="eastAsia"/>
                <w:lang w:val="zh-CN" w:eastAsia="zh-CN"/>
              </w:rPr>
              <w:t>5）支持按级别、类型筛选查找名师，也支持搜索查找名师；</w:t>
            </w:r>
            <w:r>
              <w:rPr>
                <w:rFonts w:hint="eastAsia"/>
                <w:lang w:val="zh-CN" w:eastAsia="zh-CN"/>
              </w:rPr>
              <w:br w:type="textWrapping"/>
            </w:r>
            <w:r>
              <w:rPr>
                <w:rFonts w:hint="eastAsia"/>
                <w:lang w:val="zh-CN" w:eastAsia="zh-CN"/>
              </w:rPr>
              <w:t>6）支持根据名师访问浏览量，自动筛选排行前10名的热门名师。</w:t>
            </w:r>
            <w:r>
              <w:rPr>
                <w:rFonts w:hint="eastAsia"/>
                <w:lang w:val="zh-CN" w:eastAsia="zh-CN"/>
              </w:rPr>
              <w:br w:type="textWrapping"/>
            </w:r>
            <w:r>
              <w:rPr>
                <w:rFonts w:hint="eastAsia"/>
                <w:lang w:val="zh-CN" w:eastAsia="zh-CN"/>
              </w:rPr>
              <w:t>名校课堂</w:t>
            </w:r>
            <w:r>
              <w:rPr>
                <w:rFonts w:hint="eastAsia"/>
                <w:lang w:val="zh-CN" w:eastAsia="zh-CN"/>
              </w:rPr>
              <w:br w:type="textWrapping"/>
            </w:r>
            <w:r>
              <w:rPr>
                <w:rFonts w:hint="eastAsia"/>
                <w:lang w:val="zh-CN" w:eastAsia="zh-CN"/>
              </w:rPr>
              <w:t>1）支持自定义创建名校资源，设置名校banner、logo，添加名校简介，支持上传名校照片，在名校风采页面进行展示；</w:t>
            </w:r>
            <w:r>
              <w:rPr>
                <w:rFonts w:hint="eastAsia"/>
                <w:lang w:val="zh-CN" w:eastAsia="zh-CN"/>
              </w:rPr>
              <w:br w:type="textWrapping"/>
            </w:r>
            <w:r>
              <w:rPr>
                <w:rFonts w:hint="eastAsia"/>
                <w:lang w:val="zh-CN" w:eastAsia="zh-CN"/>
              </w:rPr>
              <w:t>2）支持在名校课堂首页展示名校数量、直播数量、优课数量、微课数量及专辑数量，支持搜索查找名校。</w:t>
            </w:r>
            <w:r>
              <w:rPr>
                <w:rFonts w:hint="eastAsia"/>
                <w:lang w:val="zh-CN" w:eastAsia="zh-CN"/>
              </w:rPr>
              <w:br w:type="textWrapping"/>
            </w:r>
            <w:r>
              <w:rPr>
                <w:rFonts w:hint="eastAsia"/>
                <w:lang w:val="zh-CN" w:eastAsia="zh-CN"/>
              </w:rPr>
              <w:t>专递课堂</w:t>
            </w:r>
            <w:r>
              <w:rPr>
                <w:rFonts w:hint="eastAsia"/>
                <w:lang w:val="zh-CN" w:eastAsia="zh-CN"/>
              </w:rPr>
              <w:br w:type="textWrapping"/>
            </w:r>
            <w:r>
              <w:rPr>
                <w:rFonts w:hint="eastAsia"/>
                <w:lang w:val="zh-CN" w:eastAsia="zh-CN"/>
              </w:rPr>
              <w:t>1）支持多层级数据管理，完成专递课堂数据统计、网络监管；</w:t>
            </w:r>
            <w:r>
              <w:rPr>
                <w:rFonts w:hint="eastAsia"/>
                <w:lang w:val="zh-CN" w:eastAsia="zh-CN"/>
              </w:rPr>
              <w:br w:type="textWrapping"/>
            </w:r>
            <w:r>
              <w:rPr>
                <w:rFonts w:hint="eastAsia"/>
                <w:lang w:val="zh-CN" w:eastAsia="zh-CN"/>
              </w:rPr>
              <w:t>2）支持按行政区域划分自建互动组织结构，支持可视化行政区域数据统计，以区域地图为框架，向下可延展县、校的树形结构覆盖，向上实现与区、市、省等上级平台的数据共享；</w:t>
            </w:r>
            <w:r>
              <w:rPr>
                <w:rFonts w:hint="eastAsia"/>
                <w:lang w:val="zh-CN" w:eastAsia="zh-CN"/>
              </w:rPr>
              <w:br w:type="textWrapping"/>
            </w:r>
            <w:r>
              <w:rPr>
                <w:rFonts w:hint="eastAsia"/>
                <w:lang w:val="zh-CN" w:eastAsia="zh-CN"/>
              </w:rPr>
              <w:t>3）支持多层级账号管理，以角色设置账号，不同账号具备不同管理权限；</w:t>
            </w:r>
            <w:r>
              <w:rPr>
                <w:rFonts w:hint="eastAsia"/>
                <w:lang w:val="zh-CN" w:eastAsia="zh-CN"/>
              </w:rPr>
              <w:br w:type="textWrapping"/>
            </w:r>
            <w:r>
              <w:rPr>
                <w:rFonts w:hint="eastAsia"/>
                <w:lang w:val="zh-CN" w:eastAsia="zh-CN"/>
              </w:rPr>
              <w:t>4）支持在可视化行政区域具体统计中按照课程维度进行统计；</w:t>
            </w:r>
            <w:r>
              <w:rPr>
                <w:rFonts w:hint="eastAsia"/>
                <w:lang w:val="zh-CN" w:eastAsia="zh-CN"/>
              </w:rPr>
              <w:br w:type="textWrapping"/>
            </w:r>
            <w:r>
              <w:rPr>
                <w:rFonts w:hint="eastAsia"/>
                <w:lang w:val="zh-CN" w:eastAsia="zh-CN"/>
              </w:rPr>
              <w:t>5）支持按行政区域统计本学期课程开设情况，支持行政区域内联校显示；</w:t>
            </w:r>
            <w:r>
              <w:rPr>
                <w:rFonts w:hint="eastAsia"/>
                <w:lang w:val="zh-CN" w:eastAsia="zh-CN"/>
              </w:rPr>
              <w:br w:type="textWrapping"/>
            </w:r>
            <w:r>
              <w:rPr>
                <w:rFonts w:hint="eastAsia"/>
                <w:lang w:val="zh-CN" w:eastAsia="zh-CN"/>
              </w:rPr>
              <w:t>6）支持点击地图某区域显示其辖区的课程开设情况（最小支持到区、县层级）；</w:t>
            </w:r>
            <w:r>
              <w:rPr>
                <w:rFonts w:hint="eastAsia"/>
                <w:lang w:val="zh-CN" w:eastAsia="zh-CN"/>
              </w:rPr>
              <w:br w:type="textWrapping"/>
            </w:r>
            <w:r>
              <w:rPr>
                <w:rFonts w:hint="eastAsia"/>
                <w:lang w:val="zh-CN" w:eastAsia="zh-CN"/>
              </w:rPr>
              <w:t>7）支持课程开设情况呈现主讲课堂数量、听讲课堂数量；支持本学期内开课情况统计，包括计划开课数量、覆盖学生数量、授课老师数量，本周内应授课数及已授课数；</w:t>
            </w:r>
            <w:r>
              <w:rPr>
                <w:rFonts w:hint="eastAsia"/>
                <w:lang w:val="zh-CN" w:eastAsia="zh-CN"/>
              </w:rPr>
              <w:br w:type="textWrapping"/>
            </w:r>
            <w:r>
              <w:rPr>
                <w:rFonts w:hint="eastAsia"/>
                <w:lang w:val="zh-CN" w:eastAsia="zh-CN"/>
              </w:rPr>
              <w:t>8）支持首页展示辖区内资源活跃度、各单位数据排名及各学校资源数量排行等；</w:t>
            </w:r>
            <w:r>
              <w:rPr>
                <w:rFonts w:hint="eastAsia"/>
                <w:lang w:val="zh-CN" w:eastAsia="zh-CN"/>
              </w:rPr>
              <w:br w:type="textWrapping"/>
            </w:r>
            <w:r>
              <w:rPr>
                <w:rFonts w:hint="eastAsia"/>
                <w:lang w:val="zh-CN" w:eastAsia="zh-CN"/>
              </w:rPr>
              <w:t>9）支持以学校为单位的联校设置，支持多种模式绑定互动开课；</w:t>
            </w:r>
            <w:r>
              <w:rPr>
                <w:rFonts w:hint="eastAsia"/>
                <w:lang w:val="zh-CN" w:eastAsia="zh-CN"/>
              </w:rPr>
              <w:br w:type="textWrapping"/>
            </w:r>
            <w:r>
              <w:rPr>
                <w:rFonts w:hint="eastAsia"/>
                <w:lang w:val="zh-CN" w:eastAsia="zh-CN"/>
              </w:rPr>
              <w:t>10）支持区域内统一课表管理，实现课前排课、课中自动组队授课、课后资源自动归集的课程管理；课前支持开课信息显示，课中支持在线课堂网络观摩，课后将上课资源自动上传到资源展示区，实现课后点播、网络观摩，支持导入课表；</w:t>
            </w:r>
            <w:r>
              <w:rPr>
                <w:rFonts w:hint="eastAsia"/>
                <w:lang w:val="zh-CN" w:eastAsia="zh-CN"/>
              </w:rPr>
              <w:br w:type="textWrapping"/>
            </w:r>
            <w:r>
              <w:rPr>
                <w:rFonts w:hint="eastAsia"/>
                <w:lang w:val="zh-CN" w:eastAsia="zh-CN"/>
              </w:rPr>
              <w:t>11）支持依据教师、学校、学科、授课学校为单位的课表查询；</w:t>
            </w:r>
            <w:r>
              <w:rPr>
                <w:rFonts w:hint="eastAsia"/>
                <w:lang w:val="zh-CN" w:eastAsia="zh-CN"/>
              </w:rPr>
              <w:br w:type="textWrapping"/>
            </w:r>
            <w:r>
              <w:rPr>
                <w:rFonts w:hint="eastAsia"/>
                <w:lang w:val="zh-CN" w:eastAsia="zh-CN"/>
              </w:rPr>
              <w:t>12）支持区域开课公告，具备在线课堂公告及网络观摩功能，网络观摩支持实时在线观摩及课堂录像观摩；</w:t>
            </w:r>
            <w:r>
              <w:rPr>
                <w:rFonts w:hint="eastAsia"/>
                <w:lang w:val="zh-CN" w:eastAsia="zh-CN"/>
              </w:rPr>
              <w:br w:type="textWrapping"/>
            </w:r>
            <w:r>
              <w:rPr>
                <w:rFonts w:hint="eastAsia"/>
                <w:lang w:val="zh-CN" w:eastAsia="zh-CN"/>
              </w:rPr>
              <w:t>13）支持图标化在线课堂开课公告，实现即将开课的网络公告，能够体现开课科目及学校；</w:t>
            </w:r>
            <w:r>
              <w:rPr>
                <w:rFonts w:hint="eastAsia"/>
                <w:lang w:val="zh-CN" w:eastAsia="zh-CN"/>
              </w:rPr>
              <w:br w:type="textWrapping"/>
            </w:r>
            <w:r>
              <w:rPr>
                <w:rFonts w:hint="eastAsia"/>
                <w:lang w:val="zh-CN" w:eastAsia="zh-CN"/>
              </w:rPr>
              <w:t>14）支持在线课堂直播信息展示，如课程名称、授课学校、授课老师、接收学校；支持以附件形式上传授课教师PPT、教案、课程习题等相关资源，支持PPT、word等格式的在线预览；</w:t>
            </w:r>
            <w:r>
              <w:rPr>
                <w:rFonts w:hint="eastAsia"/>
                <w:lang w:val="zh-CN" w:eastAsia="zh-CN"/>
              </w:rPr>
              <w:br w:type="textWrapping"/>
            </w:r>
            <w:r>
              <w:rPr>
                <w:rFonts w:hint="eastAsia"/>
                <w:lang w:val="zh-CN" w:eastAsia="zh-CN"/>
              </w:rPr>
              <w:t>15）支持在线课堂授课中的课程评论；</w:t>
            </w:r>
            <w:r>
              <w:rPr>
                <w:rFonts w:hint="eastAsia"/>
                <w:lang w:val="zh-CN" w:eastAsia="zh-CN"/>
              </w:rPr>
              <w:br w:type="textWrapping"/>
            </w:r>
            <w:r>
              <w:rPr>
                <w:rFonts w:hint="eastAsia"/>
                <w:lang w:val="zh-CN" w:eastAsia="zh-CN"/>
              </w:rPr>
              <w:t>16）具备联校空间展示，支持在联校空间预约课程、展示联校平台动态，展示联校资源及统计排名、管理维护空间信息；</w:t>
            </w:r>
            <w:r>
              <w:rPr>
                <w:rFonts w:hint="eastAsia"/>
                <w:lang w:val="zh-CN" w:eastAsia="zh-CN"/>
              </w:rPr>
              <w:br w:type="textWrapping"/>
            </w:r>
            <w:r>
              <w:rPr>
                <w:rFonts w:hint="eastAsia"/>
                <w:lang w:val="zh-CN" w:eastAsia="zh-CN"/>
              </w:rPr>
              <w:t>17）支持以联校为单位的空间展示，支持联校空间数量统计，互动课程数量统计；</w:t>
            </w:r>
            <w:r>
              <w:rPr>
                <w:rFonts w:hint="eastAsia"/>
                <w:lang w:val="zh-CN" w:eastAsia="zh-CN"/>
              </w:rPr>
              <w:br w:type="textWrapping"/>
            </w:r>
            <w:r>
              <w:rPr>
                <w:rFonts w:hint="eastAsia"/>
                <w:lang w:val="zh-CN" w:eastAsia="zh-CN"/>
              </w:rPr>
              <w:t>18）支持联校输出资源展示，以学段、学科形式的目录展示；</w:t>
            </w:r>
            <w:r>
              <w:rPr>
                <w:rFonts w:hint="eastAsia"/>
                <w:lang w:val="zh-CN" w:eastAsia="zh-CN"/>
              </w:rPr>
              <w:br w:type="textWrapping"/>
            </w:r>
            <w:r>
              <w:rPr>
                <w:rFonts w:hint="eastAsia"/>
                <w:lang w:val="zh-CN" w:eastAsia="zh-CN"/>
              </w:rPr>
              <w:t>19）支持联校信息展示，主讲校和空间介绍；</w:t>
            </w:r>
            <w:r>
              <w:rPr>
                <w:rFonts w:hint="eastAsia"/>
                <w:lang w:val="zh-CN" w:eastAsia="zh-CN"/>
              </w:rPr>
              <w:br w:type="textWrapping"/>
            </w:r>
            <w:r>
              <w:rPr>
                <w:rFonts w:hint="eastAsia"/>
                <w:lang w:val="zh-CN" w:eastAsia="zh-CN"/>
              </w:rPr>
              <w:t>20）支持在不创建联校空间的情况下可自定义约课；</w:t>
            </w:r>
            <w:r>
              <w:rPr>
                <w:rFonts w:hint="eastAsia"/>
                <w:lang w:val="zh-CN" w:eastAsia="zh-CN"/>
              </w:rPr>
              <w:br w:type="textWrapping"/>
            </w:r>
            <w:r>
              <w:rPr>
                <w:rFonts w:hint="eastAsia"/>
                <w:lang w:val="zh-CN" w:eastAsia="zh-CN"/>
              </w:rPr>
              <w:t>21）支持管理员强制停止互动课程；</w:t>
            </w:r>
            <w:r>
              <w:rPr>
                <w:rFonts w:hint="eastAsia"/>
                <w:lang w:val="zh-CN" w:eastAsia="zh-CN"/>
              </w:rPr>
              <w:br w:type="textWrapping"/>
            </w:r>
            <w:r>
              <w:rPr>
                <w:rFonts w:hint="eastAsia"/>
                <w:lang w:val="zh-CN" w:eastAsia="zh-CN"/>
              </w:rPr>
              <w:t>22）支持设置互动组，互动组中的教室可通过终端一键开课；</w:t>
            </w:r>
            <w:r>
              <w:rPr>
                <w:rFonts w:hint="eastAsia"/>
                <w:lang w:val="zh-CN" w:eastAsia="zh-CN"/>
              </w:rPr>
              <w:br w:type="textWrapping"/>
            </w:r>
            <w:r>
              <w:rPr>
                <w:rFonts w:hint="eastAsia"/>
                <w:lang w:val="zh-CN" w:eastAsia="zh-CN"/>
              </w:rPr>
              <w:t>23）支持通过终端创建的课程，支持在平台中查看直播和录像资源；</w:t>
            </w:r>
            <w:r>
              <w:rPr>
                <w:rFonts w:hint="eastAsia"/>
                <w:lang w:val="zh-CN" w:eastAsia="zh-CN"/>
              </w:rPr>
              <w:br w:type="textWrapping"/>
            </w:r>
            <w:r>
              <w:rPr>
                <w:rFonts w:hint="eastAsia"/>
                <w:lang w:val="zh-CN" w:eastAsia="zh-CN"/>
              </w:rPr>
              <w:t>24）支持互动课程开始时，互动服务同步课程名称、教师、学科给设备，用于设备上的录像资源信息展示；</w:t>
            </w:r>
            <w:r>
              <w:rPr>
                <w:rFonts w:hint="eastAsia"/>
                <w:lang w:val="zh-CN" w:eastAsia="zh-CN"/>
              </w:rPr>
              <w:br w:type="textWrapping"/>
            </w:r>
            <w:r>
              <w:rPr>
                <w:rFonts w:hint="eastAsia"/>
                <w:lang w:val="zh-CN" w:eastAsia="zh-CN"/>
              </w:rPr>
              <w:t>25）支持内网和外网两种网络环境下的互动；</w:t>
            </w:r>
            <w:r>
              <w:rPr>
                <w:rFonts w:hint="eastAsia"/>
                <w:lang w:val="zh-CN" w:eastAsia="zh-CN"/>
              </w:rPr>
              <w:br w:type="textWrapping"/>
            </w:r>
            <w:r>
              <w:rPr>
                <w:rFonts w:hint="eastAsia"/>
                <w:lang w:val="zh-CN" w:eastAsia="zh-CN"/>
              </w:rPr>
              <w:t>26）支持通过口令密码加入互动课堂；</w:t>
            </w:r>
            <w:r>
              <w:rPr>
                <w:rFonts w:hint="eastAsia"/>
                <w:lang w:val="zh-CN" w:eastAsia="zh-CN"/>
              </w:rPr>
              <w:br w:type="textWrapping"/>
            </w:r>
            <w:r>
              <w:rPr>
                <w:rFonts w:hint="eastAsia"/>
                <w:lang w:val="zh-CN" w:eastAsia="zh-CN"/>
              </w:rPr>
              <w:t>27）支持搜索会议号进行互动课表查询；</w:t>
            </w:r>
            <w:r>
              <w:rPr>
                <w:rFonts w:hint="eastAsia"/>
                <w:lang w:val="zh-CN" w:eastAsia="zh-CN"/>
              </w:rPr>
              <w:br w:type="textWrapping"/>
            </w:r>
            <w:r>
              <w:rPr>
                <w:rFonts w:hint="eastAsia"/>
                <w:lang w:val="zh-CN" w:eastAsia="zh-CN"/>
              </w:rPr>
              <w:t>28）▲支持添加互动课表时，可设置课件投屏功能开关，可选择互动讨论模式的布局，例如等比例或1主多副画面；</w:t>
            </w:r>
            <w:r>
              <w:rPr>
                <w:rFonts w:hint="eastAsia"/>
                <w:lang w:val="zh-CN" w:eastAsia="zh-CN"/>
              </w:rPr>
              <w:br w:type="textWrapping"/>
            </w:r>
            <w:r>
              <w:rPr>
                <w:rFonts w:hint="eastAsia"/>
                <w:lang w:val="zh-CN" w:eastAsia="zh-CN"/>
              </w:rPr>
              <w:t>29）支持互动直播、互动资源、联校空间的展示，可对互动资源进行下载；</w:t>
            </w:r>
            <w:r>
              <w:rPr>
                <w:rFonts w:hint="eastAsia"/>
                <w:lang w:val="zh-CN" w:eastAsia="zh-CN"/>
              </w:rPr>
              <w:br w:type="textWrapping"/>
            </w:r>
            <w:r>
              <w:rPr>
                <w:rFonts w:hint="eastAsia"/>
                <w:lang w:val="zh-CN" w:eastAsia="zh-CN"/>
              </w:rPr>
              <w:t>30）支持统计区域联校空间数量、区域开课数量、区域近期排课数量；</w:t>
            </w:r>
            <w:r>
              <w:rPr>
                <w:rFonts w:hint="eastAsia"/>
                <w:lang w:val="zh-CN" w:eastAsia="zh-CN"/>
              </w:rPr>
              <w:br w:type="textWrapping"/>
            </w:r>
            <w:r>
              <w:rPr>
                <w:rFonts w:hint="eastAsia"/>
                <w:lang w:val="zh-CN" w:eastAsia="zh-CN"/>
              </w:rPr>
              <w:t>31）支持展示近一年和近一学期的开课数量变化趋势，展示学校的同步课堂数量及分布情况；</w:t>
            </w:r>
            <w:r>
              <w:rPr>
                <w:rFonts w:hint="eastAsia"/>
                <w:lang w:val="zh-CN" w:eastAsia="zh-CN"/>
              </w:rPr>
              <w:br w:type="textWrapping"/>
            </w:r>
            <w:r>
              <w:rPr>
                <w:rFonts w:hint="eastAsia"/>
                <w:lang w:val="zh-CN" w:eastAsia="zh-CN"/>
              </w:rPr>
              <w:t>32）支持可视化展示各学校间的联校空间，主讲校分别和哪些听讲校创建了联校空间；</w:t>
            </w:r>
            <w:r>
              <w:rPr>
                <w:rFonts w:hint="eastAsia"/>
                <w:lang w:val="zh-CN" w:eastAsia="zh-CN"/>
              </w:rPr>
              <w:br w:type="textWrapping"/>
            </w:r>
            <w:r>
              <w:rPr>
                <w:rFonts w:hint="eastAsia"/>
                <w:lang w:val="zh-CN" w:eastAsia="zh-CN"/>
              </w:rPr>
              <w:t>33）支持统计各个学科开展专递课堂的占比，各个教师开展专递课堂的数量；</w:t>
            </w:r>
            <w:r>
              <w:rPr>
                <w:rFonts w:hint="eastAsia"/>
                <w:lang w:val="zh-CN" w:eastAsia="zh-CN"/>
              </w:rPr>
              <w:br w:type="textWrapping"/>
            </w:r>
            <w:r>
              <w:rPr>
                <w:rFonts w:hint="eastAsia"/>
                <w:lang w:val="zh-CN" w:eastAsia="zh-CN"/>
              </w:rPr>
              <w:t>34）支持统计该区域下各个学校的应开课数量、实开课数量、开课占比、计划课时数、实开课时数、实开课占比、平均开课数、资源总数；</w:t>
            </w:r>
            <w:r>
              <w:rPr>
                <w:rFonts w:hint="eastAsia"/>
                <w:lang w:val="zh-CN" w:eastAsia="zh-CN"/>
              </w:rPr>
              <w:br w:type="textWrapping"/>
            </w:r>
            <w:r>
              <w:rPr>
                <w:rFonts w:hint="eastAsia"/>
                <w:lang w:val="zh-CN" w:eastAsia="zh-CN"/>
              </w:rPr>
              <w:t>35）支持查看各个教师的计划课时、学期已授课、授课比例、受益学生，可导出数据查看；</w:t>
            </w:r>
            <w:r>
              <w:rPr>
                <w:rFonts w:hint="eastAsia"/>
                <w:lang w:val="zh-CN" w:eastAsia="zh-CN"/>
              </w:rPr>
              <w:br w:type="textWrapping"/>
            </w:r>
            <w:r>
              <w:rPr>
                <w:rFonts w:hint="eastAsia"/>
                <w:lang w:val="zh-CN" w:eastAsia="zh-CN"/>
              </w:rPr>
              <w:t>36）支持互动课程结束后，平台呈现主讲端的AI分析数据；</w:t>
            </w:r>
          </w:p>
          <w:p w14:paraId="6E741548">
            <w:pPr>
              <w:pStyle w:val="13"/>
              <w:ind w:left="0" w:leftChars="0" w:firstLine="0" w:firstLineChars="0"/>
              <w:rPr>
                <w:rFonts w:hint="eastAsia"/>
                <w:lang w:val="zh-CN" w:eastAsia="zh-CN"/>
              </w:rPr>
            </w:pPr>
          </w:p>
        </w:tc>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14:paraId="6B2ABF4A">
            <w:pPr>
              <w:pStyle w:val="13"/>
              <w:rPr>
                <w:rFonts w:hint="eastAsia"/>
                <w:lang w:val="zh-CN" w:eastAsia="zh-CN"/>
              </w:rPr>
            </w:pPr>
            <w:r>
              <w:rPr>
                <w:rFonts w:hint="eastAsia"/>
                <w:lang w:val="zh-CN" w:eastAsia="zh-CN"/>
              </w:rPr>
              <w:t>1</w:t>
            </w:r>
          </w:p>
        </w:tc>
        <w:tc>
          <w:tcPr>
            <w:tcW w:w="1293" w:type="dxa"/>
            <w:vMerge w:val="restart"/>
            <w:tcBorders>
              <w:top w:val="single" w:color="000000" w:sz="4" w:space="0"/>
              <w:left w:val="single" w:color="000000" w:sz="4" w:space="0"/>
              <w:bottom w:val="single" w:color="000000" w:sz="4" w:space="0"/>
              <w:right w:val="single" w:color="000000" w:sz="4" w:space="0"/>
            </w:tcBorders>
            <w:noWrap w:val="0"/>
            <w:vAlign w:val="center"/>
          </w:tcPr>
          <w:p w14:paraId="2F766E37">
            <w:pPr>
              <w:pStyle w:val="13"/>
              <w:rPr>
                <w:rFonts w:hint="eastAsia"/>
                <w:lang w:val="zh-CN" w:eastAsia="zh-CN"/>
              </w:rPr>
            </w:pPr>
            <w:r>
              <w:rPr>
                <w:rFonts w:hint="eastAsia"/>
                <w:lang w:val="zh-CN" w:eastAsia="zh-CN"/>
              </w:rPr>
              <w:t>套</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488A587F">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5DA37627">
            <w:pPr>
              <w:pStyle w:val="13"/>
              <w:rPr>
                <w:rFonts w:hint="eastAsia"/>
                <w:lang w:val="zh-CN" w:eastAsia="zh-CN"/>
              </w:rPr>
            </w:pPr>
          </w:p>
        </w:tc>
      </w:tr>
      <w:tr w14:paraId="0200C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5"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691D9">
            <w:pPr>
              <w:pStyle w:val="13"/>
              <w:rPr>
                <w:rFonts w:hint="eastAsia"/>
                <w:lang w:val="zh-CN" w:eastAsia="zh-CN"/>
              </w:rPr>
            </w:pPr>
          </w:p>
        </w:tc>
        <w:tc>
          <w:tcPr>
            <w:tcW w:w="13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FF4E8">
            <w:pPr>
              <w:pStyle w:val="13"/>
              <w:rPr>
                <w:rFonts w:hint="eastAsia"/>
                <w:lang w:val="zh-CN" w:eastAsia="zh-CN"/>
              </w:rPr>
            </w:pP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025ED251">
            <w:pPr>
              <w:pStyle w:val="13"/>
              <w:rPr>
                <w:rFonts w:hint="eastAsia"/>
                <w:lang w:val="zh-CN" w:eastAsia="zh-CN"/>
              </w:rPr>
            </w:pPr>
            <w:r>
              <w:rPr>
                <w:rFonts w:hint="eastAsia"/>
                <w:lang w:val="zh-CN" w:eastAsia="zh-CN"/>
              </w:rPr>
              <w:t>AI教学分析</w:t>
            </w:r>
            <w:r>
              <w:rPr>
                <w:rFonts w:hint="eastAsia"/>
                <w:lang w:val="zh-CN" w:eastAsia="zh-CN"/>
              </w:rPr>
              <w:br w:type="textWrapping"/>
            </w:r>
            <w:r>
              <w:rPr>
                <w:rFonts w:hint="eastAsia"/>
                <w:lang w:val="zh-CN" w:eastAsia="zh-CN"/>
              </w:rPr>
              <w:t>AI教学分析功能：</w:t>
            </w:r>
            <w:r>
              <w:rPr>
                <w:rFonts w:hint="eastAsia"/>
                <w:lang w:val="zh-CN" w:eastAsia="zh-CN"/>
              </w:rPr>
              <w:br w:type="textWrapping"/>
            </w:r>
            <w:r>
              <w:rPr>
                <w:rFonts w:hint="eastAsia"/>
                <w:lang w:val="zh-CN" w:eastAsia="zh-CN"/>
              </w:rPr>
              <w:t>1)支持查看大数据页面，包含设备信息，教学质量等长期数据的汇总。</w:t>
            </w:r>
            <w:r>
              <w:rPr>
                <w:rFonts w:hint="eastAsia"/>
                <w:lang w:val="zh-CN" w:eastAsia="zh-CN"/>
              </w:rPr>
              <w:br w:type="textWrapping"/>
            </w:r>
            <w:r>
              <w:rPr>
                <w:rFonts w:hint="eastAsia"/>
                <w:lang w:val="zh-CN" w:eastAsia="zh-CN"/>
              </w:rPr>
              <w:t>2)支持管理员构建课堂内学生的人脸识别模型，并可针对构建的模型进行增强训练提高学生人脸识别的精度。</w:t>
            </w:r>
            <w:r>
              <w:rPr>
                <w:rFonts w:hint="eastAsia"/>
                <w:lang w:val="zh-CN" w:eastAsia="zh-CN"/>
              </w:rPr>
              <w:br w:type="textWrapping"/>
            </w:r>
            <w:r>
              <w:rPr>
                <w:rFonts w:hint="eastAsia"/>
                <w:lang w:val="zh-CN" w:eastAsia="zh-CN"/>
              </w:rPr>
              <w:t>3)支持通过导入课表实现课堂教学分析的自动开启与停止。</w:t>
            </w:r>
            <w:r>
              <w:rPr>
                <w:rFonts w:hint="eastAsia"/>
                <w:lang w:val="zh-CN" w:eastAsia="zh-CN"/>
              </w:rPr>
              <w:br w:type="textWrapping"/>
            </w:r>
            <w:r>
              <w:rPr>
                <w:rFonts w:hint="eastAsia"/>
                <w:lang w:val="zh-CN" w:eastAsia="zh-CN"/>
              </w:rPr>
              <w:t>4)支持统计、展示教师和学生课堂教学行为：教师讲授、板书、巡视、师生互动，学生听讲、读写、举手、应答、生生互动。</w:t>
            </w:r>
            <w:r>
              <w:rPr>
                <w:rFonts w:hint="eastAsia"/>
                <w:lang w:val="zh-CN" w:eastAsia="zh-CN"/>
              </w:rPr>
              <w:br w:type="textWrapping"/>
            </w:r>
            <w:r>
              <w:rPr>
                <w:rFonts w:hint="eastAsia"/>
                <w:lang w:val="zh-CN" w:eastAsia="zh-CN"/>
              </w:rPr>
              <w:t>5)支持自动生成课堂观察分析报告，该报告支持在线预览和导出。</w:t>
            </w:r>
            <w:r>
              <w:rPr>
                <w:rFonts w:hint="eastAsia"/>
                <w:lang w:val="zh-CN" w:eastAsia="zh-CN"/>
              </w:rPr>
              <w:br w:type="textWrapping"/>
            </w:r>
            <w:r>
              <w:rPr>
                <w:rFonts w:hint="eastAsia"/>
                <w:lang w:val="zh-CN" w:eastAsia="zh-CN"/>
              </w:rPr>
              <w:t>6)支持教师查看每节课课堂实录，支持根据师生行为分析数据生成教学行为时序图，并基于教学行为时序图进行智能打点切片，可自动定位到课堂实录特定时刻，方便进行快速回顾教学环节。</w:t>
            </w:r>
            <w:r>
              <w:rPr>
                <w:rFonts w:hint="eastAsia"/>
                <w:lang w:val="zh-CN" w:eastAsia="zh-CN"/>
              </w:rPr>
              <w:br w:type="textWrapping"/>
            </w:r>
            <w:r>
              <w:rPr>
                <w:rFonts w:hint="eastAsia"/>
                <w:lang w:val="zh-CN" w:eastAsia="zh-CN"/>
              </w:rPr>
              <w:t>7)支持视频检索功能，满足教师依据关键词查找所需的视频文件。</w:t>
            </w:r>
            <w:r>
              <w:rPr>
                <w:rFonts w:hint="eastAsia"/>
                <w:lang w:val="zh-CN" w:eastAsia="zh-CN"/>
              </w:rPr>
              <w:br w:type="textWrapping"/>
            </w:r>
            <w:r>
              <w:rPr>
                <w:rFonts w:hint="eastAsia"/>
                <w:lang w:val="zh-CN" w:eastAsia="zh-CN"/>
              </w:rPr>
              <w:t>8)支持教师查看每节课教与学课堂行为的占比，方便教师了解课堂中个人教学行为分布情况。</w:t>
            </w:r>
            <w:r>
              <w:rPr>
                <w:rFonts w:hint="eastAsia"/>
                <w:lang w:val="zh-CN" w:eastAsia="zh-CN"/>
              </w:rPr>
              <w:br w:type="textWrapping"/>
            </w:r>
            <w:r>
              <w:rPr>
                <w:rFonts w:hint="eastAsia"/>
                <w:lang w:val="zh-CN" w:eastAsia="zh-CN"/>
              </w:rPr>
              <w:t>9)支持基于结构化课堂观察方法，自动进行S-T分析，分析每节课的教学模式：授课型、练习型、对话型、混合型。</w:t>
            </w:r>
            <w:r>
              <w:rPr>
                <w:rFonts w:hint="eastAsia"/>
                <w:lang w:val="zh-CN" w:eastAsia="zh-CN"/>
              </w:rPr>
              <w:br w:type="textWrapping"/>
            </w:r>
            <w:r>
              <w:rPr>
                <w:rFonts w:hint="eastAsia"/>
                <w:lang w:val="zh-CN" w:eastAsia="zh-CN"/>
              </w:rPr>
              <w:t>10)支持按照时间维度，可查看全班学生的课堂关注度趋势数据。</w:t>
            </w:r>
            <w:r>
              <w:rPr>
                <w:rFonts w:hint="eastAsia"/>
                <w:lang w:val="zh-CN" w:eastAsia="zh-CN"/>
              </w:rPr>
              <w:br w:type="textWrapping"/>
            </w:r>
            <w:r>
              <w:rPr>
                <w:rFonts w:hint="eastAsia"/>
                <w:lang w:val="zh-CN" w:eastAsia="zh-CN"/>
              </w:rPr>
              <w:t>11)支持教师视频自动归档，对教师模型照片与实际抓拍照片进行对比，将课程自动推送到实际上课的教师名下，方便资源管理。</w:t>
            </w:r>
            <w:r>
              <w:rPr>
                <w:rFonts w:hint="eastAsia"/>
                <w:lang w:val="zh-CN" w:eastAsia="zh-CN"/>
              </w:rPr>
              <w:br w:type="textWrapping"/>
            </w:r>
            <w:r>
              <w:rPr>
                <w:rFonts w:hint="eastAsia"/>
                <w:lang w:val="zh-CN" w:eastAsia="zh-CN"/>
              </w:rPr>
              <w:t>12)支持二次分析功能，课程结束后启动AI分析，会修正课堂教学AI数据。</w:t>
            </w:r>
            <w:r>
              <w:rPr>
                <w:rFonts w:hint="eastAsia"/>
                <w:lang w:val="zh-CN" w:eastAsia="zh-CN"/>
              </w:rPr>
              <w:br w:type="textWrapping"/>
            </w:r>
            <w:r>
              <w:rPr>
                <w:rFonts w:hint="eastAsia"/>
                <w:lang w:val="zh-CN" w:eastAsia="zh-CN"/>
              </w:rPr>
              <w:t>13)支持基于课堂学情时序图、课堂教学行为时序图及 S-T 曲线，点击曲线节点自动跳转至视频对应位置。</w:t>
            </w:r>
            <w:r>
              <w:rPr>
                <w:rFonts w:hint="eastAsia"/>
                <w:lang w:val="zh-CN" w:eastAsia="zh-CN"/>
              </w:rPr>
              <w:br w:type="textWrapping"/>
            </w:r>
            <w:r>
              <w:rPr>
                <w:rFonts w:hint="eastAsia"/>
                <w:lang w:val="zh-CN" w:eastAsia="zh-CN"/>
              </w:rPr>
              <w:t>14)支持校教学管理者查看各科教师课堂观察分析报告，支持在线预览和导出报告，为教学管理提供客观数据。</w:t>
            </w:r>
            <w:r>
              <w:rPr>
                <w:rFonts w:hint="eastAsia"/>
                <w:lang w:val="zh-CN" w:eastAsia="zh-CN"/>
              </w:rPr>
              <w:br w:type="textWrapping"/>
            </w:r>
            <w:r>
              <w:rPr>
                <w:rFonts w:hint="eastAsia"/>
                <w:lang w:val="zh-CN" w:eastAsia="zh-CN"/>
              </w:rPr>
              <w:t>15)支持校教学管理者查看各科教师课堂实录、教学模式、S-T行为分析、课堂学情时序、课堂教学行为时序、行为一致性、学生参与度、学生活跃度、课堂文本、课堂场景、师生行为、师生对话时长、学生应答分析、学生应答活跃度、站立学生位置分布、四何问题分布和四何问题列表、教师语速、教师口头禅、教师巡视特征等情况。</w:t>
            </w:r>
            <w:r>
              <w:rPr>
                <w:rFonts w:hint="eastAsia"/>
                <w:lang w:val="zh-CN" w:eastAsia="zh-CN"/>
              </w:rPr>
              <w:br w:type="textWrapping"/>
            </w:r>
            <w:r>
              <w:rPr>
                <w:rFonts w:hint="eastAsia"/>
                <w:lang w:val="zh-CN" w:eastAsia="zh-CN"/>
              </w:rPr>
              <w:t>16)支持校教学管理者任选同学科两位教师的课例进行同课异构对比，可查看两位教师授课过程中的教学行为、S-T、授课类型、学生参与度的对比分析数据，支持导出对比报告。</w:t>
            </w:r>
            <w:r>
              <w:rPr>
                <w:rFonts w:hint="eastAsia"/>
                <w:lang w:val="zh-CN" w:eastAsia="zh-CN"/>
              </w:rPr>
              <w:br w:type="textWrapping"/>
            </w:r>
            <w:r>
              <w:rPr>
                <w:rFonts w:hint="eastAsia"/>
                <w:lang w:val="zh-CN" w:eastAsia="zh-CN"/>
              </w:rPr>
              <w:t>17)支持校教学管理者根据学科、时间等自定义查询导出相应的教师长期数据。</w:t>
            </w:r>
            <w:r>
              <w:rPr>
                <w:rFonts w:hint="eastAsia"/>
                <w:lang w:val="zh-CN" w:eastAsia="zh-CN"/>
              </w:rPr>
              <w:br w:type="textWrapping"/>
            </w:r>
            <w:r>
              <w:rPr>
                <w:rFonts w:hint="eastAsia"/>
                <w:lang w:val="zh-CN" w:eastAsia="zh-CN"/>
              </w:rPr>
              <w:t>18)支持按时间、站点、学段、学科进行课例筛选，也可通过搜索课例关键字进行课例查找。</w:t>
            </w:r>
            <w:r>
              <w:rPr>
                <w:rFonts w:hint="eastAsia"/>
                <w:lang w:val="zh-CN" w:eastAsia="zh-CN"/>
              </w:rPr>
              <w:br w:type="textWrapping"/>
            </w:r>
            <w:r>
              <w:rPr>
                <w:rFonts w:hint="eastAsia"/>
                <w:lang w:val="zh-CN" w:eastAsia="zh-CN"/>
              </w:rPr>
              <w:t>19)★支持将选定的2节课例进行对比分析，查看2节课例的教师课堂实录、教学模式、S-T行为分析、课堂学情时序、课堂教学行为时序、行为一致性、学生参与度、学生活跃度、课堂文本、课堂场景、师生行为、师生对话时长、学生应答分析、学生应答活跃度、站立学生位置分布、四何问题分布和四何问题列表、教师语速、教师口头禅、教师巡视特征。</w:t>
            </w:r>
            <w:r>
              <w:rPr>
                <w:rFonts w:hint="eastAsia"/>
                <w:lang w:val="zh-CN" w:eastAsia="zh-CN"/>
              </w:rPr>
              <w:br w:type="textWrapping"/>
            </w:r>
            <w:r>
              <w:rPr>
                <w:rFonts w:hint="eastAsia"/>
                <w:lang w:val="zh-CN" w:eastAsia="zh-CN"/>
              </w:rPr>
              <w:t>20)★在课程页面上同时呈现教师画面和学生画面，同步能够呈现课堂教学行为时序图和课堂学情时序图。课堂教学行为时序图中的AI分析数据包含老师发言、课件操作、板书、巡视、师生对话、学生发言、学生应答、上台展示、生生互动、学生读写、学生听讲等，课堂学情时序图的AI分析数据包含学生参与度、行为一致性、学生活跃度三条分析曲线及课堂内举手/站立、听讲、读写、背身及其他指标等。</w:t>
            </w:r>
            <w:r>
              <w:rPr>
                <w:rFonts w:hint="eastAsia"/>
                <w:lang w:val="zh-CN" w:eastAsia="zh-CN"/>
              </w:rPr>
              <w:br w:type="textWrapping"/>
            </w:r>
            <w:r>
              <w:rPr>
                <w:rFonts w:hint="eastAsia"/>
                <w:lang w:val="zh-CN" w:eastAsia="zh-CN"/>
              </w:rPr>
              <w:t>21)★在课程页面上同时呈现教师画面和学生画面，同步能够呈现学生应答时长分析数据、学生应答类型分析数据（至少包括声音过低、短应答、长应答、齐答）、学生应答活跃度分析数据、师生对话时长分析数据（至少包括老师话语、齐答、学生站立应答、学生直接应答、沉寂混乱）、站立学生位置分布数据。</w:t>
            </w:r>
            <w:r>
              <w:rPr>
                <w:rFonts w:hint="eastAsia"/>
                <w:lang w:val="zh-CN" w:eastAsia="zh-CN"/>
              </w:rPr>
              <w:br w:type="textWrapping"/>
            </w:r>
            <w:r>
              <w:rPr>
                <w:rFonts w:hint="eastAsia"/>
                <w:lang w:val="zh-CN" w:eastAsia="zh-CN"/>
              </w:rPr>
              <w:t>22)★在课程页面上同时呈现教师画面和学生画面，同步能够呈现四何问题分析数据和具体问题列表，四何问题分析数据包括是何问题、若何问题、如何问题、为何问题及其他问题占比分析数据，具体问题列表支持列表中问题的手动编辑。</w:t>
            </w:r>
            <w:r>
              <w:rPr>
                <w:rFonts w:hint="eastAsia"/>
                <w:lang w:val="zh-CN" w:eastAsia="zh-CN"/>
              </w:rPr>
              <w:br w:type="textWrapping"/>
            </w:r>
            <w:r>
              <w:rPr>
                <w:rFonts w:hint="eastAsia"/>
                <w:lang w:val="zh-CN" w:eastAsia="zh-CN"/>
              </w:rPr>
              <w:t>23)在课程页面上同时呈现教师画面和学生画面，同步能够呈现课堂文本，支持列表及词云形式直观显示文本高频词汇，支持通过关键词搜索定位话语文本，并允许用户手动编辑。</w:t>
            </w:r>
            <w:r>
              <w:rPr>
                <w:rFonts w:hint="eastAsia"/>
                <w:lang w:val="zh-CN" w:eastAsia="zh-CN"/>
              </w:rPr>
              <w:br w:type="textWrapping"/>
            </w:r>
            <w:r>
              <w:rPr>
                <w:rFonts w:hint="eastAsia"/>
                <w:lang w:val="zh-CN" w:eastAsia="zh-CN"/>
              </w:rPr>
              <w:t>24)★在课程页面上同时呈现教师画面和学生画面，同步能够呈现课堂场景统计数据和师生行为统计数据，课堂场景包含老师讲授、学生练习、上台展示、生生互动、师生对话等，场景统计数据支持以雷达图呈现课堂参与度和学生活跃度，支持以圆环图呈现各个课堂场景的时间和个数，师生行为统计数据分别统计教师行为包含老师发言、课件操作、板书、巡视、师生对话的时长，学生行为包含学生发言、学生应答、上台展示、生生互动、学生读写、学生听讲的时长。</w:t>
            </w:r>
            <w:r>
              <w:rPr>
                <w:rFonts w:hint="eastAsia"/>
                <w:lang w:val="zh-CN" w:eastAsia="zh-CN"/>
              </w:rPr>
              <w:br w:type="textWrapping"/>
            </w:r>
            <w:r>
              <w:rPr>
                <w:rFonts w:hint="eastAsia"/>
                <w:lang w:val="zh-CN" w:eastAsia="zh-CN"/>
              </w:rPr>
              <w:t>25)在课程页面上同时呈现教师画面和学生画面，同步能够呈现教师讲授时长分析、教师讲课语速分析、教师讲课口头禅分析、教师巡视时长分析、教师巡视次数分析、教师巡视位置分布分析等。</w:t>
            </w:r>
            <w:r>
              <w:rPr>
                <w:rFonts w:hint="eastAsia"/>
                <w:lang w:val="zh-CN" w:eastAsia="zh-CN"/>
              </w:rPr>
              <w:br w:type="textWrapping"/>
            </w:r>
            <w:r>
              <w:rPr>
                <w:rFonts w:hint="eastAsia"/>
                <w:lang w:val="zh-CN" w:eastAsia="zh-CN"/>
              </w:rPr>
              <w:t>26)在课程页面上同时呈现教师画面和学生画面，同步能够呈现教学模式分析数据，包括S-T曲线分析、课堂教学模式（Rt-Ch）分析，其中S-T分析中会给出本节课教师时间和学生时间时长的分析。</w:t>
            </w:r>
          </w:p>
          <w:p w14:paraId="0B5E3C54">
            <w:pPr>
              <w:pStyle w:val="13"/>
              <w:ind w:left="0" w:leftChars="0" w:firstLine="0" w:firstLineChars="0"/>
              <w:rPr>
                <w:rFonts w:hint="eastAsia"/>
                <w:lang w:val="zh-CN" w:eastAsia="zh-CN"/>
              </w:rPr>
            </w:pPr>
            <w:r>
              <w:rPr>
                <w:rFonts w:hint="eastAsia"/>
                <w:lang w:val="zh-CN" w:eastAsia="zh-CN"/>
              </w:rPr>
              <w:br w:type="textWrapping"/>
            </w: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1F1710">
            <w:pPr>
              <w:pStyle w:val="13"/>
              <w:rPr>
                <w:rFonts w:hint="eastAsia"/>
                <w:lang w:val="zh-CN" w:eastAsia="zh-CN"/>
              </w:rPr>
            </w:pPr>
          </w:p>
        </w:tc>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8B0939">
            <w:pPr>
              <w:pStyle w:val="13"/>
              <w:rPr>
                <w:rFonts w:hint="eastAsia"/>
                <w:lang w:val="zh-CN" w:eastAsia="zh-CN"/>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3827815F">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517EC30F">
            <w:pPr>
              <w:pStyle w:val="13"/>
              <w:rPr>
                <w:rFonts w:hint="eastAsia"/>
                <w:lang w:val="zh-CN" w:eastAsia="zh-CN"/>
              </w:rPr>
            </w:pPr>
          </w:p>
        </w:tc>
      </w:tr>
      <w:tr w14:paraId="12468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5"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BD46D">
            <w:pPr>
              <w:pStyle w:val="13"/>
              <w:rPr>
                <w:rFonts w:hint="eastAsia"/>
                <w:lang w:val="zh-CN" w:eastAsia="zh-CN"/>
              </w:rPr>
            </w:pPr>
          </w:p>
        </w:tc>
        <w:tc>
          <w:tcPr>
            <w:tcW w:w="13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58A5D">
            <w:pPr>
              <w:pStyle w:val="13"/>
              <w:rPr>
                <w:rFonts w:hint="eastAsia"/>
                <w:lang w:val="zh-CN" w:eastAsia="zh-CN"/>
              </w:rPr>
            </w:pP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24282C8B">
            <w:pPr>
              <w:pStyle w:val="13"/>
              <w:rPr>
                <w:rFonts w:hint="eastAsia"/>
                <w:lang w:val="zh-CN" w:eastAsia="zh-CN"/>
              </w:rPr>
            </w:pPr>
            <w:r>
              <w:rPr>
                <w:rFonts w:hint="eastAsia"/>
                <w:lang w:val="zh-CN" w:eastAsia="zh-CN"/>
              </w:rPr>
              <w:t>优质课评选</w:t>
            </w:r>
            <w:r>
              <w:rPr>
                <w:rFonts w:hint="eastAsia"/>
                <w:lang w:val="zh-CN" w:eastAsia="zh-CN"/>
              </w:rPr>
              <w:br w:type="textWrapping"/>
            </w:r>
            <w:r>
              <w:rPr>
                <w:rFonts w:hint="eastAsia"/>
                <w:lang w:val="zh-CN" w:eastAsia="zh-CN"/>
              </w:rPr>
              <w:t>1、 ▲平台可组织在线大规模优课评选活动，组织从评选公告发布到上报优课、专家评选、奖项公布、获奖视频归档等全部流程。</w:t>
            </w:r>
            <w:r>
              <w:rPr>
                <w:rFonts w:hint="eastAsia"/>
                <w:lang w:val="zh-CN" w:eastAsia="zh-CN"/>
              </w:rPr>
              <w:br w:type="textWrapping"/>
            </w:r>
            <w:r>
              <w:rPr>
                <w:rFonts w:hint="eastAsia"/>
                <w:lang w:val="zh-CN" w:eastAsia="zh-CN"/>
              </w:rPr>
              <w:t>2、 查看活动进程：要求用户在活动首页即可了解活动的报名数量统计及活动进程情况。</w:t>
            </w:r>
            <w:r>
              <w:rPr>
                <w:rFonts w:hint="eastAsia"/>
                <w:lang w:val="zh-CN" w:eastAsia="zh-CN"/>
              </w:rPr>
              <w:br w:type="textWrapping"/>
            </w:r>
            <w:r>
              <w:rPr>
                <w:rFonts w:hint="eastAsia"/>
                <w:lang w:val="zh-CN" w:eastAsia="zh-CN"/>
              </w:rPr>
              <w:t>3、 创建评选活动：由管理员或组织者创建评选活动、编辑活动信息，同时设置活动的进程截止日、添加评委。</w:t>
            </w:r>
            <w:r>
              <w:rPr>
                <w:rFonts w:hint="eastAsia"/>
                <w:lang w:val="zh-CN" w:eastAsia="zh-CN"/>
              </w:rPr>
              <w:br w:type="textWrapping"/>
            </w:r>
            <w:r>
              <w:rPr>
                <w:rFonts w:hint="eastAsia"/>
                <w:lang w:val="zh-CN" w:eastAsia="zh-CN"/>
              </w:rPr>
              <w:t>4、 分配任务：管理员可将待评选的课程分门别类分配给相关专家，分配完成后专家在个人空间将会受到消息提醒。</w:t>
            </w:r>
            <w:r>
              <w:rPr>
                <w:rFonts w:hint="eastAsia"/>
                <w:lang w:val="zh-CN" w:eastAsia="zh-CN"/>
              </w:rPr>
              <w:br w:type="textWrapping"/>
            </w:r>
            <w:r>
              <w:rPr>
                <w:rFonts w:hint="eastAsia"/>
                <w:lang w:val="zh-CN" w:eastAsia="zh-CN"/>
              </w:rPr>
              <w:t>5、 奖项设置：管理员对评选活动的奖项进行设置。</w:t>
            </w:r>
            <w:r>
              <w:rPr>
                <w:rFonts w:hint="eastAsia"/>
                <w:lang w:val="zh-CN" w:eastAsia="zh-CN"/>
              </w:rPr>
              <w:br w:type="textWrapping"/>
            </w:r>
            <w:r>
              <w:rPr>
                <w:rFonts w:hint="eastAsia"/>
                <w:lang w:val="zh-CN" w:eastAsia="zh-CN"/>
              </w:rPr>
              <w:t>6、 上报参赛作品：教师进入正在进行中的活动评选页面，可上传课堂录像，并关联教案课件。</w:t>
            </w:r>
            <w:r>
              <w:rPr>
                <w:rFonts w:hint="eastAsia"/>
                <w:lang w:val="zh-CN" w:eastAsia="zh-CN"/>
              </w:rPr>
              <w:br w:type="textWrapping"/>
            </w:r>
            <w:r>
              <w:rPr>
                <w:rFonts w:hint="eastAsia"/>
                <w:lang w:val="zh-CN" w:eastAsia="zh-CN"/>
              </w:rPr>
              <w:t>7、 专家评课：专家在活动页进行评课，可以查看已评的课和待评的课。支持三种评课方式：自定义量表评估、文字总评和打分评价。</w:t>
            </w:r>
            <w:r>
              <w:rPr>
                <w:rFonts w:hint="eastAsia"/>
                <w:lang w:val="zh-CN" w:eastAsia="zh-CN"/>
              </w:rPr>
              <w:br w:type="textWrapping"/>
            </w:r>
            <w:r>
              <w:rPr>
                <w:rFonts w:hint="eastAsia"/>
                <w:lang w:val="zh-CN" w:eastAsia="zh-CN"/>
              </w:rPr>
              <w:t>8、 票选模式：发起优课评选活动时，可以将活动设定为投票模式，对参加评选的课程可以投票，根据投票结果排名。</w:t>
            </w:r>
            <w:r>
              <w:rPr>
                <w:rFonts w:hint="eastAsia"/>
                <w:lang w:val="zh-CN" w:eastAsia="zh-CN"/>
              </w:rPr>
              <w:br w:type="textWrapping"/>
            </w:r>
            <w:r>
              <w:rPr>
                <w:rFonts w:hint="eastAsia"/>
                <w:lang w:val="zh-CN" w:eastAsia="zh-CN"/>
              </w:rPr>
              <w:t>9、 评课反馈：评选过程和评选结果通过消息系统反馈参赛人员、专家和活动组织者。</w:t>
            </w:r>
            <w:r>
              <w:rPr>
                <w:rFonts w:hint="eastAsia"/>
                <w:lang w:val="zh-CN" w:eastAsia="zh-CN"/>
              </w:rPr>
              <w:br w:type="textWrapping"/>
            </w:r>
            <w:r>
              <w:rPr>
                <w:rFonts w:hint="eastAsia"/>
                <w:lang w:val="zh-CN" w:eastAsia="zh-CN"/>
              </w:rPr>
              <w:t>10、 优质课程归档：支持集中展示历次评选出来的优质课程。</w:t>
            </w:r>
            <w:r>
              <w:rPr>
                <w:rFonts w:hint="eastAsia"/>
                <w:lang w:val="zh-CN" w:eastAsia="zh-CN"/>
              </w:rPr>
              <w:br w:type="textWrapping"/>
            </w:r>
            <w:r>
              <w:rPr>
                <w:rFonts w:hint="eastAsia"/>
                <w:lang w:val="zh-CN" w:eastAsia="zh-CN"/>
              </w:rPr>
              <w:t>11、 支持根据评审结果自动为参赛作品匹配预设奖项功能，也可在发布前手动干预调整作品获奖结果。</w:t>
            </w:r>
            <w:r>
              <w:rPr>
                <w:rFonts w:hint="eastAsia"/>
                <w:lang w:val="zh-CN" w:eastAsia="zh-CN"/>
              </w:rPr>
              <w:br w:type="textWrapping"/>
            </w:r>
            <w:r>
              <w:rPr>
                <w:rFonts w:hint="eastAsia"/>
                <w:lang w:val="zh-CN" w:eastAsia="zh-CN"/>
              </w:rPr>
              <w:t>12、 支持批量报名功能和以纯文档格式的报名方式，可在报名时间结束前前往报名记录中编辑报名信息或取消报名。</w:t>
            </w:r>
            <w:r>
              <w:rPr>
                <w:rFonts w:hint="eastAsia"/>
                <w:lang w:val="zh-CN" w:eastAsia="zh-CN"/>
              </w:rPr>
              <w:br w:type="textWrapping"/>
            </w:r>
            <w:r>
              <w:rPr>
                <w:rFonts w:hint="eastAsia"/>
                <w:lang w:val="zh-CN" w:eastAsia="zh-CN"/>
              </w:rPr>
              <w:t>13、 支持区分评委/非评委评比作品界面，评委界面凸显“我的评审”，并标注已评/未评状态和数量，未评作品优先展示，已评作品展示评分。</w:t>
            </w:r>
            <w:r>
              <w:rPr>
                <w:rFonts w:hint="eastAsia"/>
                <w:lang w:val="zh-CN" w:eastAsia="zh-CN"/>
              </w:rPr>
              <w:br w:type="textWrapping"/>
            </w:r>
            <w:r>
              <w:rPr>
                <w:rFonts w:hint="eastAsia"/>
                <w:lang w:val="zh-CN" w:eastAsia="zh-CN"/>
              </w:rPr>
              <w:t>14、 支持评审详情及未评提醒功能，评审播放页面按钮进行循环切换，循环顺序与外部作品列表顺序一致。</w:t>
            </w:r>
            <w:r>
              <w:rPr>
                <w:rFonts w:hint="eastAsia"/>
                <w:lang w:val="zh-CN" w:eastAsia="zh-CN"/>
              </w:rPr>
              <w:br w:type="textWrapping"/>
            </w:r>
            <w:r>
              <w:rPr>
                <w:rFonts w:hint="eastAsia"/>
                <w:lang w:val="zh-CN" w:eastAsia="zh-CN"/>
              </w:rPr>
              <w:t>15、 支持分组报名名额限制，报名时只显示有报名名额的分组，已满额分组不在展示。</w:t>
            </w:r>
          </w:p>
          <w:p w14:paraId="30782498">
            <w:pPr>
              <w:pStyle w:val="13"/>
              <w:rPr>
                <w:rFonts w:hint="eastAsia"/>
                <w:lang w:val="zh-CN" w:eastAsia="zh-CN"/>
              </w:rPr>
            </w:pPr>
            <w:r>
              <w:rPr>
                <w:rFonts w:hint="eastAsia"/>
                <w:lang w:val="zh-CN" w:eastAsia="zh-CN"/>
              </w:rPr>
              <w:br w:type="textWrapping"/>
            </w: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4E468">
            <w:pPr>
              <w:pStyle w:val="13"/>
              <w:rPr>
                <w:rFonts w:hint="eastAsia"/>
                <w:lang w:val="zh-CN" w:eastAsia="zh-CN"/>
              </w:rPr>
            </w:pPr>
          </w:p>
        </w:tc>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B50D32">
            <w:pPr>
              <w:pStyle w:val="13"/>
              <w:rPr>
                <w:rFonts w:hint="eastAsia"/>
                <w:lang w:val="zh-CN" w:eastAsia="zh-CN"/>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3A3B89B5">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02413373">
            <w:pPr>
              <w:pStyle w:val="13"/>
              <w:rPr>
                <w:rFonts w:hint="eastAsia"/>
                <w:lang w:val="zh-CN" w:eastAsia="zh-CN"/>
              </w:rPr>
            </w:pPr>
          </w:p>
        </w:tc>
      </w:tr>
      <w:tr w14:paraId="16EFC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5"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4D4F4">
            <w:pPr>
              <w:pStyle w:val="13"/>
              <w:rPr>
                <w:rFonts w:hint="eastAsia"/>
                <w:lang w:val="zh-CN" w:eastAsia="zh-CN"/>
              </w:rPr>
            </w:pPr>
          </w:p>
        </w:tc>
        <w:tc>
          <w:tcPr>
            <w:tcW w:w="13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3C18D1">
            <w:pPr>
              <w:pStyle w:val="13"/>
              <w:rPr>
                <w:rFonts w:hint="eastAsia"/>
                <w:lang w:val="zh-CN" w:eastAsia="zh-CN"/>
              </w:rPr>
            </w:pP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0AA7AA9B">
            <w:pPr>
              <w:pStyle w:val="13"/>
              <w:rPr>
                <w:rFonts w:hint="eastAsia"/>
                <w:lang w:val="zh-CN" w:eastAsia="zh-CN"/>
              </w:rPr>
            </w:pPr>
            <w:r>
              <w:rPr>
                <w:rFonts w:hint="eastAsia"/>
                <w:lang w:val="zh-CN" w:eastAsia="zh-CN"/>
              </w:rPr>
              <w:t>网络教研</w:t>
            </w:r>
            <w:r>
              <w:rPr>
                <w:rFonts w:hint="eastAsia"/>
                <w:lang w:val="zh-CN" w:eastAsia="zh-CN"/>
              </w:rPr>
              <w:br w:type="textWrapping"/>
            </w:r>
            <w:r>
              <w:rPr>
                <w:rFonts w:hint="eastAsia"/>
                <w:lang w:val="zh-CN" w:eastAsia="zh-CN"/>
              </w:rPr>
              <w:t>活动管理</w:t>
            </w:r>
            <w:r>
              <w:rPr>
                <w:rFonts w:hint="eastAsia"/>
                <w:lang w:val="zh-CN" w:eastAsia="zh-CN"/>
              </w:rPr>
              <w:br w:type="textWrapping"/>
            </w:r>
            <w:r>
              <w:rPr>
                <w:rFonts w:hint="eastAsia"/>
                <w:lang w:val="zh-CN" w:eastAsia="zh-CN"/>
              </w:rPr>
              <w:t>1、创建录像评课、直播评课和实地评课三种类型的网络听评课活动，录像评课针对已经结束的录播课，直播评课则是在线通过平台实时听评课，实地评课适用于在讲课现场听评课；</w:t>
            </w:r>
            <w:r>
              <w:rPr>
                <w:rFonts w:hint="eastAsia"/>
                <w:lang w:val="zh-CN" w:eastAsia="zh-CN"/>
              </w:rPr>
              <w:br w:type="textWrapping"/>
            </w:r>
            <w:r>
              <w:rPr>
                <w:rFonts w:hint="eastAsia"/>
                <w:lang w:val="zh-CN" w:eastAsia="zh-CN"/>
              </w:rPr>
              <w:t>2、创建教研课选择基础信息、量表和权限，平台预置评价量表，同时也支持自定义量表，权限可以控制不同的用户加入和审核，满足不同应用场景的活动需求；</w:t>
            </w:r>
            <w:r>
              <w:rPr>
                <w:rFonts w:hint="eastAsia"/>
                <w:lang w:val="zh-CN" w:eastAsia="zh-CN"/>
              </w:rPr>
              <w:br w:type="textWrapping"/>
            </w:r>
            <w:r>
              <w:rPr>
                <w:rFonts w:hint="eastAsia"/>
                <w:lang w:val="zh-CN" w:eastAsia="zh-CN"/>
              </w:rPr>
              <w:t>3、创建教研组，选择成员、组长、学段、年级、学科和权限等，可以针对某一个主题进行研讨，在组内创建教研课，针对教研组成员开展三种类型的活动；</w:t>
            </w:r>
            <w:r>
              <w:rPr>
                <w:rFonts w:hint="eastAsia"/>
                <w:lang w:val="zh-CN" w:eastAsia="zh-CN"/>
              </w:rPr>
              <w:br w:type="textWrapping"/>
            </w:r>
            <w:r>
              <w:rPr>
                <w:rFonts w:hint="eastAsia"/>
                <w:lang w:val="zh-CN" w:eastAsia="zh-CN"/>
              </w:rPr>
              <w:t>4、审核创建教研课和教研组的申请；</w:t>
            </w:r>
            <w:r>
              <w:rPr>
                <w:rFonts w:hint="eastAsia"/>
                <w:lang w:val="zh-CN" w:eastAsia="zh-CN"/>
              </w:rPr>
              <w:br w:type="textWrapping"/>
            </w:r>
            <w:r>
              <w:rPr>
                <w:rFonts w:hint="eastAsia"/>
                <w:lang w:val="zh-CN" w:eastAsia="zh-CN"/>
              </w:rPr>
              <w:t>5、活动归档，结束活动并保存活动过程数据。</w:t>
            </w:r>
            <w:r>
              <w:rPr>
                <w:rFonts w:hint="eastAsia"/>
                <w:lang w:val="zh-CN" w:eastAsia="zh-CN"/>
              </w:rPr>
              <w:br w:type="textWrapping"/>
            </w:r>
            <w:r>
              <w:rPr>
                <w:rFonts w:hint="eastAsia"/>
                <w:lang w:val="zh-CN" w:eastAsia="zh-CN"/>
              </w:rPr>
              <w:t>6、听课记录：用户在听课过程中，支持打点记录听课过程，从课程亮点、待改进点及课程思考三个方面对课程进行综合评价与反思。</w:t>
            </w:r>
            <w:r>
              <w:rPr>
                <w:rFonts w:hint="eastAsia"/>
                <w:lang w:val="zh-CN" w:eastAsia="zh-CN"/>
              </w:rPr>
              <w:br w:type="textWrapping"/>
            </w:r>
            <w:r>
              <w:rPr>
                <w:rFonts w:hint="eastAsia"/>
                <w:lang w:val="zh-CN" w:eastAsia="zh-CN"/>
              </w:rPr>
              <w:t>7、支持查看评分记录和听课记录。</w:t>
            </w:r>
            <w:r>
              <w:rPr>
                <w:rFonts w:hint="eastAsia"/>
                <w:lang w:val="zh-CN" w:eastAsia="zh-CN"/>
              </w:rPr>
              <w:br w:type="textWrapping"/>
            </w:r>
            <w:r>
              <w:rPr>
                <w:rFonts w:hint="eastAsia"/>
                <w:lang w:val="zh-CN" w:eastAsia="zh-CN"/>
              </w:rPr>
              <w:t>教研评课</w:t>
            </w:r>
            <w:r>
              <w:rPr>
                <w:rFonts w:hint="eastAsia"/>
                <w:lang w:val="zh-CN" w:eastAsia="zh-CN"/>
              </w:rPr>
              <w:br w:type="textWrapping"/>
            </w:r>
            <w:r>
              <w:rPr>
                <w:rFonts w:hint="eastAsia"/>
                <w:lang w:val="zh-CN" w:eastAsia="zh-CN"/>
              </w:rPr>
              <w:t>1、录像评课可以对已经结束的课程进行听评课，有AI分析数据的可以查看AI数据，打点评价；直播评课通过网络直播的方式，在线听课并实时评价；实地评课可以在平台上共享资源、记录笔记和签到；</w:t>
            </w:r>
            <w:r>
              <w:rPr>
                <w:rFonts w:hint="eastAsia"/>
                <w:lang w:val="zh-CN" w:eastAsia="zh-CN"/>
              </w:rPr>
              <w:br w:type="textWrapping"/>
            </w:r>
            <w:r>
              <w:rPr>
                <w:rFonts w:hint="eastAsia"/>
                <w:lang w:val="zh-CN" w:eastAsia="zh-CN"/>
              </w:rPr>
              <w:t>2、教研课程中可查看课例基础信息、教师、学生和板书等多路视频、素材，可以进行量表评课，听课记录中做笔记、进行评价思考，并可以留言讨论；</w:t>
            </w:r>
            <w:r>
              <w:rPr>
                <w:rFonts w:hint="eastAsia"/>
                <w:lang w:val="zh-CN" w:eastAsia="zh-CN"/>
              </w:rPr>
              <w:br w:type="textWrapping"/>
            </w:r>
            <w:r>
              <w:rPr>
                <w:rFonts w:hint="eastAsia"/>
                <w:lang w:val="zh-CN" w:eastAsia="zh-CN"/>
              </w:rPr>
              <w:t>3、对有AI分析的课程可以查看课堂行为时序、参与度分布、教学行为分布和课堂类型，并基于行为时序点或参与度曲线高低点进行主观性文本评价；</w:t>
            </w:r>
            <w:r>
              <w:rPr>
                <w:rFonts w:hint="eastAsia"/>
                <w:lang w:val="zh-CN" w:eastAsia="zh-CN"/>
              </w:rPr>
              <w:br w:type="textWrapping"/>
            </w:r>
            <w:r>
              <w:rPr>
                <w:rFonts w:hint="eastAsia"/>
                <w:lang w:val="zh-CN" w:eastAsia="zh-CN"/>
              </w:rPr>
              <w:t>4、可对教研课程进行量表评课和主观评课，评课结束后可生成包含师生课堂行为数据、课堂类型、量表得分、教师教学能力矩阵等内容在内的评课报告，支持评课报告的导出；</w:t>
            </w:r>
            <w:r>
              <w:rPr>
                <w:rFonts w:hint="eastAsia"/>
                <w:lang w:val="zh-CN" w:eastAsia="zh-CN"/>
              </w:rPr>
              <w:br w:type="textWrapping"/>
            </w:r>
            <w:r>
              <w:rPr>
                <w:rFonts w:hint="eastAsia"/>
                <w:lang w:val="zh-CN" w:eastAsia="zh-CN"/>
              </w:rPr>
              <w:t>数据展示</w:t>
            </w:r>
            <w:r>
              <w:rPr>
                <w:rFonts w:hint="eastAsia"/>
                <w:lang w:val="zh-CN" w:eastAsia="zh-CN"/>
              </w:rPr>
              <w:br w:type="textWrapping"/>
            </w:r>
            <w:r>
              <w:rPr>
                <w:rFonts w:hint="eastAsia"/>
                <w:lang w:val="zh-CN" w:eastAsia="zh-CN"/>
              </w:rPr>
              <w:t>1、教研组中可选择两节课进行对比，查看对比分析报告；</w:t>
            </w:r>
            <w:r>
              <w:rPr>
                <w:rFonts w:hint="eastAsia"/>
                <w:lang w:val="zh-CN" w:eastAsia="zh-CN"/>
              </w:rPr>
              <w:br w:type="textWrapping"/>
            </w:r>
            <w:r>
              <w:rPr>
                <w:rFonts w:hint="eastAsia"/>
                <w:lang w:val="zh-CN" w:eastAsia="zh-CN"/>
              </w:rPr>
              <w:t>2、 可通过搜索教研组和听评课名称查找教研组/听评课。</w:t>
            </w:r>
            <w:r>
              <w:rPr>
                <w:rFonts w:hint="eastAsia"/>
                <w:lang w:val="zh-CN" w:eastAsia="zh-CN"/>
              </w:rPr>
              <w:br w:type="textWrapping"/>
            </w:r>
            <w:r>
              <w:rPr>
                <w:rFonts w:hint="eastAsia"/>
                <w:lang w:val="zh-CN" w:eastAsia="zh-CN"/>
              </w:rPr>
              <w:t>3、 教研组广场中可查看全部教研组，浏览教研组教研开展情况，未加入的教研组可以申请加入。</w:t>
            </w:r>
            <w:r>
              <w:rPr>
                <w:rFonts w:hint="eastAsia"/>
                <w:lang w:val="zh-CN" w:eastAsia="zh-CN"/>
              </w:rPr>
              <w:br w:type="textWrapping"/>
            </w:r>
            <w:r>
              <w:rPr>
                <w:rFonts w:hint="eastAsia"/>
                <w:lang w:val="zh-CN" w:eastAsia="zh-CN"/>
              </w:rPr>
              <w:t>4、 我的教研组列表可查看已加入的教研组，缩略页显示教研组的听评课数量、成员数、磨课数及访问量。</w:t>
            </w:r>
            <w:r>
              <w:rPr>
                <w:rFonts w:hint="eastAsia"/>
                <w:lang w:val="zh-CN" w:eastAsia="zh-CN"/>
              </w:rPr>
              <w:br w:type="textWrapping"/>
            </w:r>
            <w:r>
              <w:rPr>
                <w:rFonts w:hint="eastAsia"/>
                <w:lang w:val="zh-CN" w:eastAsia="zh-CN"/>
              </w:rPr>
              <w:t>5、 教研组内可查本组的全部听评课情况，也可根据未开始、进行中和已结束进行筛选查看。</w:t>
            </w:r>
            <w:r>
              <w:rPr>
                <w:rFonts w:hint="eastAsia"/>
                <w:lang w:val="zh-CN" w:eastAsia="zh-CN"/>
              </w:rPr>
              <w:br w:type="textWrapping"/>
            </w:r>
            <w:r>
              <w:rPr>
                <w:rFonts w:hint="eastAsia"/>
                <w:lang w:val="zh-CN" w:eastAsia="zh-CN"/>
              </w:rPr>
              <w:t>6、 教研组内可查看组内成员及其学校、学科信息，成员活跃榜可显示活跃指数高的成员。</w:t>
            </w:r>
            <w:r>
              <w:rPr>
                <w:rFonts w:hint="eastAsia"/>
                <w:lang w:val="zh-CN" w:eastAsia="zh-CN"/>
              </w:rPr>
              <w:br w:type="textWrapping"/>
            </w:r>
            <w:r>
              <w:rPr>
                <w:rFonts w:hint="eastAsia"/>
                <w:lang w:val="zh-CN" w:eastAsia="zh-CN"/>
              </w:rPr>
              <w:t>7、 听评课可按学段和学科筛选，按全部、即将开始、进行中、已结束进行筛选。</w:t>
            </w:r>
            <w:r>
              <w:rPr>
                <w:rFonts w:hint="eastAsia"/>
                <w:lang w:val="zh-CN" w:eastAsia="zh-CN"/>
              </w:rPr>
              <w:br w:type="textWrapping"/>
            </w:r>
            <w:r>
              <w:rPr>
                <w:rFonts w:hint="eastAsia"/>
                <w:lang w:val="zh-CN" w:eastAsia="zh-CN"/>
              </w:rPr>
              <w:t>8、 听评课按热度展示热门课程排行排行前五名。</w:t>
            </w:r>
            <w:r>
              <w:rPr>
                <w:rFonts w:hint="eastAsia"/>
                <w:lang w:val="zh-CN" w:eastAsia="zh-CN"/>
              </w:rPr>
              <w:br w:type="textWrapping"/>
            </w:r>
            <w:r>
              <w:rPr>
                <w:rFonts w:hint="eastAsia"/>
                <w:lang w:val="zh-CN" w:eastAsia="zh-CN"/>
              </w:rPr>
              <w:t>9、 我的听评课列表可查看已加入的听评课，缩略页显示听评课进行状态及评课状态。</w:t>
            </w: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B95D54">
            <w:pPr>
              <w:pStyle w:val="13"/>
              <w:rPr>
                <w:rFonts w:hint="eastAsia"/>
                <w:lang w:val="zh-CN" w:eastAsia="zh-CN"/>
              </w:rPr>
            </w:pPr>
          </w:p>
        </w:tc>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28ADF">
            <w:pPr>
              <w:pStyle w:val="13"/>
              <w:rPr>
                <w:rFonts w:hint="eastAsia"/>
                <w:lang w:val="zh-CN" w:eastAsia="zh-CN"/>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3F434BCB">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6C55F4C">
            <w:pPr>
              <w:pStyle w:val="13"/>
              <w:rPr>
                <w:rFonts w:hint="eastAsia"/>
                <w:lang w:val="zh-CN" w:eastAsia="zh-CN"/>
              </w:rPr>
            </w:pPr>
          </w:p>
        </w:tc>
      </w:tr>
      <w:tr w14:paraId="791F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5"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1396E">
            <w:pPr>
              <w:pStyle w:val="13"/>
              <w:rPr>
                <w:rFonts w:hint="eastAsia"/>
                <w:lang w:val="zh-CN" w:eastAsia="zh-CN"/>
              </w:rPr>
            </w:pPr>
          </w:p>
        </w:tc>
        <w:tc>
          <w:tcPr>
            <w:tcW w:w="13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4841F6">
            <w:pPr>
              <w:pStyle w:val="13"/>
              <w:rPr>
                <w:rFonts w:hint="eastAsia"/>
                <w:lang w:val="zh-CN" w:eastAsia="zh-CN"/>
              </w:rPr>
            </w:pP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1FF9A27B">
            <w:pPr>
              <w:pStyle w:val="13"/>
              <w:rPr>
                <w:rFonts w:hint="eastAsia"/>
                <w:lang w:val="zh-CN" w:eastAsia="zh-CN"/>
              </w:rPr>
            </w:pPr>
            <w:r>
              <w:rPr>
                <w:rFonts w:hint="eastAsia"/>
                <w:lang w:val="zh-CN" w:eastAsia="zh-CN"/>
              </w:rPr>
              <w:t>AI语言分析运营终端</w:t>
            </w:r>
            <w:r>
              <w:rPr>
                <w:rFonts w:hint="eastAsia"/>
                <w:lang w:val="zh-CN" w:eastAsia="zh-CN"/>
              </w:rPr>
              <w:br w:type="textWrapping"/>
            </w:r>
            <w:r>
              <w:rPr>
                <w:rFonts w:hint="eastAsia"/>
                <w:lang w:val="zh-CN" w:eastAsia="zh-CN"/>
              </w:rPr>
              <w:t>主要功能须满足：</w:t>
            </w:r>
            <w:r>
              <w:rPr>
                <w:rFonts w:hint="eastAsia"/>
                <w:lang w:val="zh-CN" w:eastAsia="zh-CN"/>
              </w:rPr>
              <w:br w:type="textWrapping"/>
            </w:r>
            <w:r>
              <w:rPr>
                <w:rFonts w:hint="eastAsia"/>
                <w:lang w:val="zh-CN" w:eastAsia="zh-CN"/>
              </w:rPr>
              <w:t>1、支持声纹识别，根据教师、学生不同声纹特征，无需样本学习，自动判断教师、学生发言，为语音分析提供准确判断基础。</w:t>
            </w:r>
            <w:r>
              <w:rPr>
                <w:rFonts w:hint="eastAsia"/>
                <w:lang w:val="zh-CN" w:eastAsia="zh-CN"/>
              </w:rPr>
              <w:br w:type="textWrapping"/>
            </w:r>
            <w:r>
              <w:rPr>
                <w:rFonts w:hint="eastAsia"/>
                <w:lang w:val="zh-CN" w:eastAsia="zh-CN"/>
              </w:rPr>
              <w:t>2、支持语音识别，实现教室内教师、学生的语音转换成文本（可实时转换，也可在后台定时转换），形成课堂教学过程的语料库；平台可复现整节课语音文本字幕，实现字幕与视频关联播放，字幕可自动添加到本节课的视频中，形成播放的字幕效果。</w:t>
            </w:r>
            <w:r>
              <w:rPr>
                <w:rFonts w:hint="eastAsia"/>
                <w:lang w:val="zh-CN" w:eastAsia="zh-CN"/>
              </w:rPr>
              <w:br w:type="textWrapping"/>
            </w:r>
            <w:r>
              <w:rPr>
                <w:rFonts w:hint="eastAsia"/>
                <w:lang w:val="zh-CN" w:eastAsia="zh-CN"/>
              </w:rPr>
              <w:t>3、支持语义识别，有效识别课堂教学语言中所包含的意义，深入了解语句内容，分析教师、学生的提问、理答、交互意图；实现从课堂教学语言中解析出语言字数、语速、口头禅、普通话标准程度等数据。</w:t>
            </w:r>
            <w:r>
              <w:rPr>
                <w:rFonts w:hint="eastAsia"/>
                <w:lang w:val="zh-CN" w:eastAsia="zh-CN"/>
              </w:rPr>
              <w:br w:type="textWrapping"/>
            </w:r>
            <w:r>
              <w:rPr>
                <w:rFonts w:hint="eastAsia"/>
                <w:lang w:val="zh-CN" w:eastAsia="zh-CN"/>
              </w:rPr>
              <w:t>4、支持问答分析，对教师课堂提问行为、提问次数、高频时间段、提问深度（探究式提问）等进行数据统计，实现对课堂提问情况的精准回顾。</w:t>
            </w:r>
            <w:r>
              <w:rPr>
                <w:rFonts w:hint="eastAsia"/>
                <w:lang w:val="zh-CN" w:eastAsia="zh-CN"/>
              </w:rPr>
              <w:br w:type="textWrapping"/>
            </w:r>
            <w:r>
              <w:rPr>
                <w:rFonts w:hint="eastAsia"/>
                <w:lang w:val="zh-CN" w:eastAsia="zh-CN"/>
              </w:rPr>
              <w:t>5、支持词云与高频词自动识别，根据课堂教学语音文本，自动提取高频词，形成词云，直观体现在本节课数据报告中。</w:t>
            </w:r>
            <w:r>
              <w:rPr>
                <w:rFonts w:hint="eastAsia"/>
                <w:lang w:val="zh-CN" w:eastAsia="zh-CN"/>
              </w:rPr>
              <w:br w:type="textWrapping"/>
            </w:r>
            <w:r>
              <w:rPr>
                <w:rFonts w:hint="eastAsia"/>
                <w:lang w:val="zh-CN" w:eastAsia="zh-CN"/>
              </w:rPr>
              <w:t>6、支持应答活跃分析，基于语音与图像分析结合，师生互动、学生应答活跃区域，形成直观的展示与统计数据，便于课后随时复盘。</w:t>
            </w:r>
            <w:r>
              <w:rPr>
                <w:rFonts w:hint="eastAsia"/>
                <w:lang w:val="zh-CN" w:eastAsia="zh-CN"/>
              </w:rPr>
              <w:br w:type="textWrapping"/>
            </w:r>
            <w:r>
              <w:rPr>
                <w:rFonts w:hint="eastAsia"/>
                <w:lang w:val="zh-CN" w:eastAsia="zh-CN"/>
              </w:rPr>
              <w:t>7、系统出厂预置专用主机，采用高性能处理器，处理器核心数≥6核，内存≥64GB，硬盘≥512GB固态硬盘，支持7×24小时不间断运行，单机支持≥6路音频转写。支持≥50间教室，每间教室8节课/天，当天完成语音转写；支持负载均衡，根据实际应用规模支持扩展主机数量进行集群化部署。</w:t>
            </w: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047405">
            <w:pPr>
              <w:pStyle w:val="13"/>
              <w:rPr>
                <w:rFonts w:hint="eastAsia"/>
                <w:lang w:val="zh-CN" w:eastAsia="zh-CN"/>
              </w:rPr>
            </w:pPr>
          </w:p>
        </w:tc>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BE9D1">
            <w:pPr>
              <w:pStyle w:val="13"/>
              <w:rPr>
                <w:rFonts w:hint="eastAsia"/>
                <w:lang w:val="zh-CN" w:eastAsia="zh-CN"/>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629DA8F8">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3B4A0946">
            <w:pPr>
              <w:pStyle w:val="13"/>
              <w:rPr>
                <w:rFonts w:hint="eastAsia"/>
                <w:lang w:val="zh-CN" w:eastAsia="zh-CN"/>
              </w:rPr>
            </w:pPr>
          </w:p>
        </w:tc>
      </w:tr>
      <w:tr w14:paraId="1C11F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1"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5108A">
            <w:pPr>
              <w:pStyle w:val="13"/>
              <w:rPr>
                <w:rFonts w:hint="eastAsia"/>
                <w:lang w:val="zh-CN" w:eastAsia="zh-CN"/>
              </w:rPr>
            </w:pPr>
            <w:r>
              <w:rPr>
                <w:rFonts w:hint="eastAsia"/>
                <w:lang w:val="zh-CN" w:eastAsia="zh-CN"/>
              </w:rPr>
              <w:t>2</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24AE898E">
            <w:pPr>
              <w:pStyle w:val="13"/>
              <w:rPr>
                <w:rFonts w:hint="eastAsia"/>
                <w:lang w:val="zh-CN" w:eastAsia="zh-CN"/>
              </w:rPr>
            </w:pPr>
            <w:r>
              <w:rPr>
                <w:rFonts w:hint="eastAsia"/>
                <w:lang w:val="zh-CN" w:eastAsia="zh-CN"/>
              </w:rPr>
              <w:t>AI教研分析评价系统语音转写服务器</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7133CDD5">
            <w:pPr>
              <w:pStyle w:val="13"/>
              <w:rPr>
                <w:rFonts w:hint="eastAsia"/>
                <w:lang w:val="zh-CN" w:eastAsia="zh-CN"/>
              </w:rPr>
            </w:pPr>
            <w:r>
              <w:rPr>
                <w:rFonts w:hint="eastAsia"/>
                <w:lang w:val="zh-CN" w:eastAsia="zh-CN"/>
              </w:rPr>
              <w:t>HV5/2*4210/2*32G/480G/2*600G SAS/2GE/2*900W/SR430 1G/导轨，经销商三年质保</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7544BAF">
            <w:pPr>
              <w:pStyle w:val="13"/>
              <w:rPr>
                <w:rFonts w:hint="eastAsia"/>
                <w:lang w:val="zh-CN" w:eastAsia="zh-CN"/>
              </w:rPr>
            </w:pPr>
            <w:r>
              <w:rPr>
                <w:rFonts w:hint="eastAsia"/>
                <w:lang w:val="zh-CN" w:eastAsia="zh-CN"/>
              </w:rPr>
              <w:t>1</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70A8A3F7">
            <w:pPr>
              <w:pStyle w:val="13"/>
              <w:rPr>
                <w:rFonts w:hint="eastAsia"/>
                <w:lang w:val="zh-CN" w:eastAsia="zh-CN"/>
              </w:rPr>
            </w:pPr>
            <w:r>
              <w:rPr>
                <w:rFonts w:hint="eastAsia"/>
                <w:lang w:val="zh-CN" w:eastAsia="zh-CN"/>
              </w:rPr>
              <w:t>台</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35A61D6F">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15952CA7">
            <w:pPr>
              <w:pStyle w:val="13"/>
              <w:rPr>
                <w:rFonts w:hint="eastAsia"/>
                <w:lang w:val="zh-CN" w:eastAsia="zh-CN"/>
              </w:rPr>
            </w:pPr>
          </w:p>
        </w:tc>
      </w:tr>
      <w:tr w14:paraId="0FBA4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1"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5CD10">
            <w:pPr>
              <w:pStyle w:val="13"/>
              <w:rPr>
                <w:rFonts w:hint="eastAsia"/>
                <w:lang w:val="zh-CN" w:eastAsia="zh-CN"/>
              </w:rPr>
            </w:pPr>
            <w:r>
              <w:rPr>
                <w:rFonts w:hint="eastAsia"/>
                <w:lang w:val="zh-CN" w:eastAsia="zh-CN"/>
              </w:rPr>
              <w:t>3</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10E0A36">
            <w:pPr>
              <w:pStyle w:val="13"/>
              <w:rPr>
                <w:rFonts w:hint="eastAsia"/>
                <w:lang w:val="zh-CN" w:eastAsia="zh-CN"/>
              </w:rPr>
            </w:pPr>
            <w:r>
              <w:rPr>
                <w:rFonts w:hint="eastAsia"/>
                <w:lang w:val="zh-CN" w:eastAsia="zh-CN"/>
              </w:rPr>
              <w:t>AI教研分析评价系统存储专用服务器</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56689B7B">
            <w:pPr>
              <w:pStyle w:val="13"/>
              <w:rPr>
                <w:rFonts w:hint="eastAsia"/>
                <w:lang w:val="zh-CN" w:eastAsia="zh-CN"/>
              </w:rPr>
            </w:pPr>
            <w:r>
              <w:rPr>
                <w:rFonts w:hint="eastAsia"/>
                <w:lang w:val="zh-CN" w:eastAsia="zh-CN"/>
              </w:rPr>
              <w:t xml:space="preserve"> HV5/2*4210/2*32G/480G/11*16T SATA/2GE/2*900W/SR430 1G/导轨，经销商三年质保</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13C1730">
            <w:pPr>
              <w:pStyle w:val="13"/>
              <w:rPr>
                <w:rFonts w:hint="eastAsia"/>
                <w:lang w:val="zh-CN" w:eastAsia="zh-CN"/>
              </w:rPr>
            </w:pPr>
            <w:r>
              <w:rPr>
                <w:rFonts w:hint="eastAsia"/>
                <w:lang w:val="zh-CN" w:eastAsia="zh-CN"/>
              </w:rPr>
              <w:t>1</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3049D28D">
            <w:pPr>
              <w:pStyle w:val="13"/>
              <w:rPr>
                <w:rFonts w:hint="eastAsia"/>
                <w:lang w:val="zh-CN" w:eastAsia="zh-CN"/>
              </w:rPr>
            </w:pPr>
            <w:r>
              <w:rPr>
                <w:rFonts w:hint="eastAsia"/>
                <w:lang w:val="zh-CN" w:eastAsia="zh-CN"/>
              </w:rPr>
              <w:t>台</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032B6077">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08A2FB58">
            <w:pPr>
              <w:pStyle w:val="13"/>
              <w:rPr>
                <w:rFonts w:hint="eastAsia"/>
                <w:lang w:val="zh-CN" w:eastAsia="zh-CN"/>
              </w:rPr>
            </w:pPr>
          </w:p>
        </w:tc>
      </w:tr>
      <w:tr w14:paraId="6236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5"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74F1A">
            <w:pPr>
              <w:pStyle w:val="13"/>
              <w:rPr>
                <w:rFonts w:hint="eastAsia"/>
                <w:lang w:val="zh-CN" w:eastAsia="zh-CN"/>
              </w:rPr>
            </w:pPr>
            <w:r>
              <w:rPr>
                <w:rFonts w:hint="eastAsia"/>
                <w:lang w:val="zh-CN" w:eastAsia="zh-CN"/>
              </w:rPr>
              <w:t>3</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04C759AF">
            <w:pPr>
              <w:pStyle w:val="13"/>
              <w:rPr>
                <w:rFonts w:hint="eastAsia"/>
                <w:lang w:val="zh-CN" w:eastAsia="zh-CN"/>
              </w:rPr>
            </w:pPr>
            <w:r>
              <w:rPr>
                <w:rFonts w:hint="eastAsia"/>
                <w:lang w:val="zh-CN" w:eastAsia="zh-CN"/>
              </w:rPr>
              <w:t>教育部数字化转型试点区项目申报</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7A4F4088">
            <w:pPr>
              <w:pStyle w:val="13"/>
              <w:rPr>
                <w:rFonts w:hint="eastAsia"/>
                <w:lang w:val="zh-CN" w:eastAsia="zh-CN"/>
              </w:rPr>
            </w:pPr>
            <w:r>
              <w:rPr>
                <w:rFonts w:hint="eastAsia"/>
                <w:lang w:val="zh-CN" w:eastAsia="zh-CN"/>
              </w:rPr>
              <w:t>协助制定申报白皮书，并通过教育部试点区建设项目申报工作，促进区域加强数字校园新基础设施建设，探索人工智能技术与教师教育的融合路径，构建区域研修新生态。建立精品教研资源库，提升教师信息技术创新应用能力，提高区域整体教研能力水平。形成一批智能研修平台应用优秀案例，培养一批善用互联网、大数据、人工智能等技术开展教研的创新团队和卓越教师，培育成为“人工智能+教师教育”规模化应用试点区区。基于不同课堂、不同学科和不同教师群体，聚焦新课改、教师评价模式、学科教学实施等主题，结合初级教师、普通教师、特级教师、骨干教师等不同阶段学科教师的实际教研需求，创新教研模式，组织教师开展在线备课、在线磨课、在线赛评课、大规模在线教研、基于教学行为大数据的精准教研、基于“三个课堂”的在线教研、基于结对学校的同侪互动教研等多种形态研修活动，探索人工智能技术与教师教育融合的理念、思路和方式。以先进理念为引领，以学科教学为核心，以实际问题为导向，以新兴技术为支撑，强调多元体验、深度参与和有效互动，在学习、思考、实践、反思、总结的过程中，相互学习先进的教育理念、独特的教学风格、精妙的教学技巧、灵活的教学方法，并渗透和辐射到所在学校、所在学科、所在区域，从而不断地增强影响力，促进教师群体全面实现再成长。</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8538C75">
            <w:pPr>
              <w:pStyle w:val="13"/>
              <w:rPr>
                <w:rFonts w:hint="eastAsia"/>
                <w:lang w:val="zh-CN" w:eastAsia="zh-CN"/>
              </w:rPr>
            </w:pPr>
            <w:r>
              <w:rPr>
                <w:rFonts w:hint="eastAsia"/>
                <w:lang w:val="zh-CN" w:eastAsia="zh-CN"/>
              </w:rPr>
              <w:t>1</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70CD6AE2">
            <w:pPr>
              <w:pStyle w:val="13"/>
              <w:rPr>
                <w:rFonts w:hint="eastAsia"/>
                <w:lang w:val="zh-CN" w:eastAsia="zh-CN"/>
              </w:rPr>
            </w:pPr>
            <w:r>
              <w:rPr>
                <w:rFonts w:hint="eastAsia"/>
                <w:lang w:val="zh-CN" w:eastAsia="zh-CN"/>
              </w:rPr>
              <w:t>项</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715D6EDB">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073740B">
            <w:pPr>
              <w:pStyle w:val="13"/>
              <w:rPr>
                <w:rFonts w:hint="eastAsia"/>
                <w:lang w:val="zh-CN" w:eastAsia="zh-CN"/>
              </w:rPr>
            </w:pPr>
          </w:p>
        </w:tc>
      </w:tr>
      <w:tr w14:paraId="0924E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5"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56360B">
            <w:pPr>
              <w:pStyle w:val="13"/>
              <w:rPr>
                <w:rFonts w:hint="eastAsia"/>
                <w:lang w:val="zh-CN" w:eastAsia="zh-CN"/>
              </w:rPr>
            </w:pPr>
            <w:r>
              <w:rPr>
                <w:rFonts w:hint="eastAsia"/>
                <w:lang w:val="zh-CN" w:eastAsia="zh-CN"/>
              </w:rPr>
              <w:t>4</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2B3BDD61">
            <w:pPr>
              <w:pStyle w:val="13"/>
              <w:rPr>
                <w:rFonts w:hint="eastAsia"/>
                <w:lang w:val="zh-CN" w:eastAsia="zh-CN"/>
              </w:rPr>
            </w:pPr>
            <w:r>
              <w:rPr>
                <w:rFonts w:hint="eastAsia"/>
                <w:lang w:val="zh-CN" w:eastAsia="zh-CN"/>
              </w:rPr>
              <w:t>教育部数字化转型试点区项目连续1.5年期定向扶持服务</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02899B4B">
            <w:pPr>
              <w:pStyle w:val="13"/>
              <w:rPr>
                <w:rFonts w:hint="eastAsia"/>
                <w:lang w:val="zh-CN" w:eastAsia="zh-CN"/>
              </w:rPr>
            </w:pPr>
            <w:r>
              <w:rPr>
                <w:rFonts w:hint="eastAsia"/>
                <w:lang w:val="zh-CN" w:eastAsia="zh-CN"/>
              </w:rPr>
              <w:t>扶持计划进度安排</w:t>
            </w:r>
            <w:r>
              <w:rPr>
                <w:rFonts w:hint="eastAsia"/>
                <w:lang w:val="zh-CN" w:eastAsia="zh-CN"/>
              </w:rPr>
              <w:br w:type="textWrapping"/>
            </w:r>
            <w:r>
              <w:rPr>
                <w:rFonts w:hint="eastAsia"/>
                <w:lang w:val="zh-CN" w:eastAsia="zh-CN"/>
              </w:rPr>
              <w:t>计划试点区的扶持建设周期为1.5年，进度安排如下：</w:t>
            </w:r>
            <w:r>
              <w:rPr>
                <w:rFonts w:hint="eastAsia"/>
                <w:lang w:val="zh-CN" w:eastAsia="zh-CN"/>
              </w:rPr>
              <w:br w:type="textWrapping"/>
            </w:r>
            <w:r>
              <w:rPr>
                <w:rFonts w:hint="eastAsia"/>
                <w:lang w:val="zh-CN" w:eastAsia="zh-CN"/>
              </w:rPr>
              <w:t>2025年7月，准备AI教学能力评测应用软硬件条件，安装测试软件平台并保证与教育部平台数据打通，实现部委专家在线考核；</w:t>
            </w:r>
            <w:r>
              <w:rPr>
                <w:rFonts w:hint="eastAsia"/>
                <w:lang w:val="zh-CN" w:eastAsia="zh-CN"/>
              </w:rPr>
              <w:br w:type="textWrapping"/>
            </w:r>
            <w:r>
              <w:rPr>
                <w:rFonts w:hint="eastAsia"/>
                <w:lang w:val="zh-CN" w:eastAsia="zh-CN"/>
              </w:rPr>
              <w:t>2025年8月，组建区域AI教学能力评测专家组，细化试点区建设顶层设计方案；</w:t>
            </w:r>
            <w:r>
              <w:rPr>
                <w:rFonts w:hint="eastAsia"/>
                <w:lang w:val="zh-CN" w:eastAsia="zh-CN"/>
              </w:rPr>
              <w:br w:type="textWrapping"/>
            </w:r>
            <w:r>
              <w:rPr>
                <w:rFonts w:hint="eastAsia"/>
                <w:lang w:val="zh-CN" w:eastAsia="zh-CN"/>
              </w:rPr>
              <w:t>2025年9～12月，开展区域AI教学能力评测活动，孵化精品教研资源，生成基于学科的课堂教学行为分析报告，形成具有区域特色的教师专业发展常模分析报告，培育创新应用案例，孵化创新团队和卓越教师；</w:t>
            </w:r>
            <w:r>
              <w:rPr>
                <w:rFonts w:hint="eastAsia"/>
                <w:lang w:val="zh-CN" w:eastAsia="zh-CN"/>
              </w:rPr>
              <w:br w:type="textWrapping"/>
            </w:r>
            <w:r>
              <w:rPr>
                <w:rFonts w:hint="eastAsia"/>
                <w:lang w:val="zh-CN" w:eastAsia="zh-CN"/>
              </w:rPr>
              <w:t>2026年3月，总结和汇编创新应用成果和案例，上报教育部AI教学能力评测应用项目工作组，进行优秀试点区、优秀教师评比。</w:t>
            </w:r>
            <w:r>
              <w:rPr>
                <w:rFonts w:hint="eastAsia"/>
                <w:lang w:val="zh-CN" w:eastAsia="zh-CN"/>
              </w:rPr>
              <w:br w:type="textWrapping"/>
            </w:r>
            <w:r>
              <w:rPr>
                <w:rFonts w:hint="eastAsia"/>
                <w:lang w:val="zh-CN" w:eastAsia="zh-CN"/>
              </w:rPr>
              <w:t>2026年4～10月，开展区域AI教学能力评测活动，孵化精品教研资源，生成基于学科的课堂教学行为分析报告，形成具有区域特色的教师专业发展常模分析报告，培育创新应用案例，孵化创新团队和卓越教师；</w:t>
            </w:r>
            <w:r>
              <w:rPr>
                <w:rFonts w:hint="eastAsia"/>
                <w:lang w:val="zh-CN" w:eastAsia="zh-CN"/>
              </w:rPr>
              <w:br w:type="textWrapping"/>
            </w:r>
            <w:r>
              <w:rPr>
                <w:rFonts w:hint="eastAsia"/>
                <w:lang w:val="zh-CN" w:eastAsia="zh-CN"/>
              </w:rPr>
              <w:t>2026年12月，总结和汇编创新应用成果和案例，上报教育部AI教学能力评测应用项目工作组，进行优秀试点区、优秀教师评比。</w:t>
            </w:r>
            <w:r>
              <w:rPr>
                <w:rFonts w:hint="eastAsia"/>
                <w:lang w:val="zh-CN" w:eastAsia="zh-CN"/>
              </w:rPr>
              <w:br w:type="textWrapping"/>
            </w:r>
            <w:r>
              <w:rPr>
                <w:rFonts w:hint="eastAsia"/>
                <w:lang w:val="zh-CN" w:eastAsia="zh-CN"/>
              </w:rPr>
              <w:t>此需求为基础的服务要求，厂家需提供优于以上描述的服务事项。</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5506E88">
            <w:pPr>
              <w:pStyle w:val="13"/>
              <w:rPr>
                <w:rFonts w:hint="eastAsia"/>
                <w:lang w:val="zh-CN" w:eastAsia="zh-CN"/>
              </w:rPr>
            </w:pPr>
            <w:r>
              <w:rPr>
                <w:rFonts w:hint="eastAsia"/>
                <w:lang w:val="zh-CN" w:eastAsia="zh-CN"/>
              </w:rPr>
              <w:t>1</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6DC97387">
            <w:pPr>
              <w:pStyle w:val="13"/>
              <w:rPr>
                <w:rFonts w:hint="eastAsia"/>
                <w:lang w:val="zh-CN" w:eastAsia="zh-CN"/>
              </w:rPr>
            </w:pPr>
            <w:r>
              <w:rPr>
                <w:rFonts w:hint="eastAsia"/>
                <w:lang w:val="zh-CN" w:eastAsia="zh-CN"/>
              </w:rPr>
              <w:t>项</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67BF699E">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236BD11A">
            <w:pPr>
              <w:pStyle w:val="13"/>
              <w:rPr>
                <w:rFonts w:hint="eastAsia"/>
                <w:lang w:val="zh-CN" w:eastAsia="zh-CN"/>
              </w:rPr>
            </w:pPr>
          </w:p>
        </w:tc>
      </w:tr>
      <w:tr w14:paraId="75494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5"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640C0">
            <w:pPr>
              <w:pStyle w:val="13"/>
              <w:rPr>
                <w:rFonts w:hint="eastAsia"/>
                <w:lang w:val="zh-CN" w:eastAsia="zh-CN"/>
              </w:rPr>
            </w:pPr>
            <w:r>
              <w:rPr>
                <w:rFonts w:hint="eastAsia"/>
                <w:lang w:val="zh-CN" w:eastAsia="zh-CN"/>
              </w:rPr>
              <w:t>5</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61B3DB56">
            <w:pPr>
              <w:pStyle w:val="13"/>
              <w:rPr>
                <w:rFonts w:hint="eastAsia"/>
                <w:lang w:val="zh-CN" w:eastAsia="zh-CN"/>
              </w:rPr>
            </w:pPr>
            <w:r>
              <w:rPr>
                <w:rFonts w:hint="eastAsia"/>
                <w:lang w:val="zh-CN" w:eastAsia="zh-CN"/>
              </w:rPr>
              <w:t>智慧黑板</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7B3C0574">
            <w:pPr>
              <w:pStyle w:val="13"/>
              <w:numPr>
                <w:ilvl w:val="0"/>
                <w:numId w:val="9"/>
              </w:numPr>
              <w:rPr>
                <w:rFonts w:hint="eastAsia"/>
                <w:lang w:val="zh-CN" w:eastAsia="zh-CN"/>
              </w:rPr>
            </w:pPr>
            <w:r>
              <w:rPr>
                <w:rFonts w:hint="eastAsia"/>
                <w:lang w:val="zh-CN" w:eastAsia="zh-CN"/>
              </w:rPr>
              <w:t>整机采用全金属外壳设计，三拼接平面一体化设计，边角采用弧形设计，表面无尖锐边缘或凸起；屏幕边缘采用金属圆角包边防护，整机背板采用金属材质，有效屏蔽内部电路器件辐射。整体外观尺寸：宽≥4200mm，高≥1100mm，厚≥85mm。采用三拼接平面</w:t>
            </w:r>
            <w:r>
              <w:rPr>
                <w:rFonts w:hint="eastAsia"/>
                <w:highlight w:val="none"/>
                <w:lang w:val="zh-CN" w:eastAsia="zh-CN"/>
              </w:rPr>
              <w:t>一体化设计，外观简洁无推拉式结构及外露连接线；</w:t>
            </w:r>
            <w:r>
              <w:rPr>
                <w:rFonts w:hint="eastAsia"/>
                <w:highlight w:val="none"/>
                <w:lang w:val="zh-CN" w:eastAsia="zh-CN"/>
              </w:rPr>
              <w:br w:type="textWrapping"/>
            </w:r>
            <w:r>
              <w:rPr>
                <w:rFonts w:hint="eastAsia"/>
                <w:highlight w:val="none"/>
                <w:lang w:val="zh-CN" w:eastAsia="zh-CN"/>
              </w:rPr>
              <w:t>2.★整机主副屏过渡平滑并在同一平面，中间无单独边框阻隔，主屏支持普通粉笔直接书写，两侧副屏可支持多种媒介（普通粉笔、液体粉笔、成膜笔）进行板书书写。</w:t>
            </w:r>
            <w:r>
              <w:rPr>
                <w:rFonts w:hint="eastAsia"/>
                <w:highlight w:val="none"/>
                <w:lang w:val="zh-CN" w:eastAsia="zh-CN"/>
              </w:rPr>
              <w:br w:type="textWrapping"/>
            </w:r>
            <w:r>
              <w:rPr>
                <w:rFonts w:hint="eastAsia"/>
                <w:highlight w:val="none"/>
                <w:lang w:val="zh-CN" w:eastAsia="zh-CN"/>
              </w:rPr>
              <w:t>3.★整机设备副屏支持磁吸附功能，可以满足带有磁吸的板擦等教具进行吸附在副屏上。</w:t>
            </w:r>
            <w:r>
              <w:rPr>
                <w:rFonts w:hint="eastAsia"/>
                <w:highlight w:val="none"/>
                <w:lang w:val="zh-CN" w:eastAsia="zh-CN"/>
              </w:rPr>
              <w:br w:type="textWrapping"/>
            </w:r>
            <w:r>
              <w:rPr>
                <w:rFonts w:hint="eastAsia"/>
                <w:highlight w:val="none"/>
                <w:lang w:val="zh-CN" w:eastAsia="zh-CN"/>
              </w:rPr>
              <w:t>4.★屏幕采用不小于86英寸国产液晶面板（对角线），采用UHD超高清液晶屏，显示比例16:9，分辨率3840(H)*2160(Z)，可视角度≥178°；400cd/m²＞屏幕亮度＞300cd/m²，符合国家GB40070T-2021YX《儿童青少年学习用品近视防控卫生要求》。（提供证明相关材料）</w:t>
            </w:r>
            <w:r>
              <w:rPr>
                <w:rFonts w:hint="eastAsia"/>
                <w:highlight w:val="none"/>
                <w:lang w:val="zh-CN" w:eastAsia="zh-CN"/>
              </w:rPr>
              <w:br w:type="textWrapping"/>
            </w:r>
            <w:r>
              <w:rPr>
                <w:rFonts w:hint="eastAsia"/>
                <w:highlight w:val="none"/>
                <w:lang w:val="zh-CN" w:eastAsia="zh-CN"/>
              </w:rPr>
              <w:t>5.整机支持全通道4K高清显示，全通道OSD菜单及整机内置系统均支持4K图像显示。</w:t>
            </w:r>
            <w:r>
              <w:rPr>
                <w:rFonts w:hint="eastAsia"/>
                <w:highlight w:val="none"/>
                <w:lang w:val="zh-CN" w:eastAsia="zh-CN"/>
              </w:rPr>
              <w:br w:type="textWrapping"/>
            </w:r>
            <w:r>
              <w:rPr>
                <w:rFonts w:hint="eastAsia"/>
                <w:highlight w:val="none"/>
                <w:lang w:val="zh-CN" w:eastAsia="zh-CN"/>
              </w:rPr>
              <w:t>6.★整机屏幕采用直流背光源，保证显示画面无频闪，有效避免视觉疲劳，呵护师生用眼健康。</w:t>
            </w:r>
            <w:r>
              <w:rPr>
                <w:rFonts w:hint="eastAsia"/>
                <w:highlight w:val="none"/>
                <w:lang w:val="zh-CN" w:eastAsia="zh-CN"/>
              </w:rPr>
              <w:br w:type="textWrapping"/>
            </w:r>
            <w:r>
              <w:rPr>
                <w:rFonts w:hint="eastAsia"/>
                <w:highlight w:val="none"/>
                <w:lang w:val="zh-CN" w:eastAsia="zh-CN"/>
              </w:rPr>
              <w:t>7.★整机采用硬件低蓝光背光技术，在源头减少有害蓝光波段能量，蓝光占比（有害蓝光415～455nm能量综合）/（整体蓝光400～500能量综合）＜50%，低蓝光保护显示不偏色、不泛黄。</w:t>
            </w:r>
            <w:r>
              <w:rPr>
                <w:rFonts w:hint="eastAsia"/>
                <w:highlight w:val="none"/>
                <w:lang w:val="zh-CN" w:eastAsia="zh-CN"/>
              </w:rPr>
              <w:br w:type="textWrapping"/>
            </w:r>
            <w:r>
              <w:rPr>
                <w:rFonts w:hint="eastAsia"/>
                <w:highlight w:val="none"/>
                <w:lang w:val="zh-CN" w:eastAsia="zh-CN"/>
              </w:rPr>
              <w:t>8.★</w:t>
            </w:r>
            <w:r>
              <w:rPr>
                <w:rFonts w:hint="eastAsia"/>
                <w:lang w:val="zh-CN" w:eastAsia="zh-CN"/>
              </w:rPr>
              <w:t>整机画面对比度及色彩还原真实，画面细节及Gamma无损失，确保师生观看画面不会因显示损耗导致视觉偏差。</w:t>
            </w:r>
            <w:r>
              <w:rPr>
                <w:rFonts w:hint="eastAsia"/>
                <w:lang w:val="zh-CN" w:eastAsia="zh-CN"/>
              </w:rPr>
              <w:br w:type="textWrapping"/>
            </w:r>
            <w:r>
              <w:rPr>
                <w:rFonts w:hint="eastAsia"/>
                <w:lang w:val="zh-CN" w:eastAsia="zh-CN"/>
              </w:rPr>
              <w:t>9.屏幕结合光感调节，屏幕亮度与环境亮度的匹配曲线更加合理，能有效减轻视疲劳。</w:t>
            </w:r>
            <w:r>
              <w:rPr>
                <w:rFonts w:hint="eastAsia"/>
                <w:lang w:val="zh-CN" w:eastAsia="zh-CN"/>
              </w:rPr>
              <w:br w:type="textWrapping"/>
            </w:r>
            <w:r>
              <w:rPr>
                <w:rFonts w:hint="eastAsia"/>
                <w:lang w:val="zh-CN" w:eastAsia="zh-CN"/>
              </w:rPr>
              <w:t>整机支持多种智能护眼功能，可通过两侧触控按键及前置物理按键进行护眼模式切换，护眼模式下，整机显示画面更加柔和，有效保护视力。</w:t>
            </w:r>
            <w:r>
              <w:rPr>
                <w:rFonts w:hint="eastAsia"/>
                <w:lang w:val="zh-CN" w:eastAsia="zh-CN"/>
              </w:rPr>
              <w:br w:type="textWrapping"/>
            </w:r>
            <w:r>
              <w:rPr>
                <w:rFonts w:hint="eastAsia"/>
                <w:highlight w:val="none"/>
                <w:lang w:val="zh-CN" w:eastAsia="zh-CN"/>
              </w:rPr>
              <w:t>10.★</w:t>
            </w:r>
            <w:r>
              <w:rPr>
                <w:rFonts w:hint="eastAsia"/>
                <w:lang w:val="zh-CN" w:eastAsia="zh-CN"/>
              </w:rPr>
              <w:t>整机金属材质，屏幕采用防眩光全物理钢化玻璃，有效保护屏幕显示画面。钢化玻璃表面硬度≥9H。防爆玻璃面板，面板的碎片状态、表面应力、抗冲击性、霰弹袋冲击性能、耐热冲击性能均通过国家强制玻璃标准，适应学校复杂环境，保障教学安全。钢化玻璃采用低反射防眩光（AGLR）技术，吸光率7%，有效防止眩光的同时还能吸收部分环境光，进一步降低环境光对显示的干扰，保障在明亮教室中暗场画面的清晰显示。</w:t>
            </w:r>
            <w:r>
              <w:rPr>
                <w:rFonts w:hint="eastAsia"/>
                <w:lang w:val="zh-CN" w:eastAsia="zh-CN"/>
              </w:rPr>
              <w:br w:type="textWrapping"/>
            </w:r>
            <w:r>
              <w:rPr>
                <w:rFonts w:hint="eastAsia"/>
                <w:lang w:val="zh-CN" w:eastAsia="zh-CN"/>
              </w:rPr>
              <w:t>11.整机具备自动光感功能，能感应并自动调节屏幕亮度来达到在不同光照环境下的最佳显示效果，此功能可设置开启或关闭。</w:t>
            </w:r>
          </w:p>
          <w:p w14:paraId="75BFCAAC">
            <w:pPr>
              <w:numPr>
                <w:ilvl w:val="0"/>
                <w:numId w:val="0"/>
              </w:numPr>
              <w:rPr>
                <w:rFonts w:hint="eastAsia"/>
                <w:lang w:val="zh-CN" w:eastAsia="zh-CN"/>
              </w:rPr>
            </w:pPr>
          </w:p>
          <w:p w14:paraId="4B32C4A9">
            <w:pPr>
              <w:pStyle w:val="13"/>
              <w:rPr>
                <w:rFonts w:hint="eastAsia"/>
                <w:lang w:val="zh-CN" w:eastAsia="zh-CN"/>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33875B9">
            <w:pPr>
              <w:pStyle w:val="13"/>
              <w:rPr>
                <w:rFonts w:hint="eastAsia"/>
                <w:lang w:val="zh-CN" w:eastAsia="zh-CN"/>
              </w:rPr>
            </w:pPr>
            <w:r>
              <w:rPr>
                <w:rFonts w:hint="eastAsia"/>
                <w:lang w:val="zh-CN" w:eastAsia="zh-CN"/>
              </w:rPr>
              <w:t>1</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4063F58C">
            <w:pPr>
              <w:pStyle w:val="13"/>
              <w:rPr>
                <w:rFonts w:hint="eastAsia"/>
                <w:lang w:val="zh-CN" w:eastAsia="zh-CN"/>
              </w:rPr>
            </w:pPr>
            <w:r>
              <w:rPr>
                <w:rFonts w:hint="eastAsia"/>
                <w:lang w:val="zh-CN" w:eastAsia="zh-CN"/>
              </w:rPr>
              <w:t xml:space="preserve">台 </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4B685314">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71B92DB2">
            <w:pPr>
              <w:pStyle w:val="13"/>
              <w:rPr>
                <w:rFonts w:hint="eastAsia"/>
                <w:lang w:val="zh-CN" w:eastAsia="zh-CN"/>
              </w:rPr>
            </w:pPr>
          </w:p>
        </w:tc>
      </w:tr>
      <w:tr w14:paraId="0223E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5"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95ACD">
            <w:pPr>
              <w:pStyle w:val="13"/>
              <w:rPr>
                <w:rFonts w:hint="eastAsia"/>
                <w:lang w:val="zh-CN" w:eastAsia="zh-CN"/>
              </w:rPr>
            </w:pPr>
            <w:r>
              <w:rPr>
                <w:rFonts w:hint="eastAsia"/>
                <w:lang w:val="zh-CN" w:eastAsia="zh-CN"/>
              </w:rPr>
              <w:t>6</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3785E">
            <w:pPr>
              <w:pStyle w:val="13"/>
              <w:rPr>
                <w:rFonts w:hint="eastAsia"/>
                <w:lang w:val="zh-CN" w:eastAsia="zh-CN"/>
              </w:rPr>
            </w:pPr>
            <w:r>
              <w:rPr>
                <w:rFonts w:hint="eastAsia"/>
                <w:lang w:val="zh-CN" w:eastAsia="zh-CN"/>
              </w:rPr>
              <w:t>嵌入式录播工作站</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29877865">
            <w:pPr>
              <w:pStyle w:val="13"/>
              <w:numPr>
                <w:ilvl w:val="0"/>
                <w:numId w:val="10"/>
              </w:numPr>
              <w:rPr>
                <w:rFonts w:hint="eastAsia"/>
                <w:lang w:val="zh-CN" w:eastAsia="zh-CN"/>
              </w:rPr>
            </w:pPr>
            <w:r>
              <w:rPr>
                <w:rFonts w:hint="eastAsia"/>
                <w:highlight w:val="none"/>
                <w:lang w:val="zh-CN" w:eastAsia="zh-CN"/>
              </w:rPr>
              <w:t>★采用嵌入式架构设计，支持音视频信号采集、编码、导播、录制、直播、互动等功能于一体；</w:t>
            </w:r>
            <w:r>
              <w:rPr>
                <w:rFonts w:hint="eastAsia"/>
                <w:highlight w:val="none"/>
                <w:lang w:val="zh-CN" w:eastAsia="zh-CN"/>
              </w:rPr>
              <w:br w:type="textWrapping"/>
            </w:r>
            <w:r>
              <w:rPr>
                <w:rFonts w:hint="eastAsia"/>
                <w:highlight w:val="none"/>
                <w:lang w:val="zh-CN" w:eastAsia="zh-CN"/>
              </w:rPr>
              <w:t>2）内置16核ARM嵌入式处理器，内置2TB硬盘；</w:t>
            </w:r>
            <w:r>
              <w:rPr>
                <w:rFonts w:hint="eastAsia"/>
                <w:highlight w:val="none"/>
                <w:lang w:val="zh-CN" w:eastAsia="zh-CN"/>
              </w:rPr>
              <w:br w:type="textWrapping"/>
            </w:r>
            <w:r>
              <w:rPr>
                <w:rFonts w:hint="eastAsia"/>
                <w:highlight w:val="none"/>
                <w:lang w:val="zh-CN" w:eastAsia="zh-CN"/>
              </w:rPr>
              <w:t>3）★采用1U标准机架式机箱设计，内嵌3英寸彩色液晶触控屏，内置彩色触控液晶屏支持设置主机IP地址、导出录像文件，支持查看系统信息、基本信息、通道信息、云平台信息等；</w:t>
            </w:r>
            <w:r>
              <w:rPr>
                <w:rFonts w:hint="eastAsia"/>
                <w:highlight w:val="none"/>
                <w:lang w:val="zh-CN" w:eastAsia="zh-CN"/>
              </w:rPr>
              <w:br w:type="textWrapping"/>
            </w:r>
            <w:r>
              <w:rPr>
                <w:rFonts w:hint="eastAsia"/>
                <w:highlight w:val="none"/>
                <w:lang w:val="zh-CN" w:eastAsia="zh-CN"/>
              </w:rPr>
              <w:t>4）★内嵌8路4K-HDMI输入接口、3路HDMI输出接口；</w:t>
            </w:r>
            <w:r>
              <w:rPr>
                <w:rFonts w:hint="eastAsia"/>
                <w:highlight w:val="none"/>
                <w:lang w:val="zh-CN" w:eastAsia="zh-CN"/>
              </w:rPr>
              <w:br w:type="textWrapping"/>
            </w:r>
            <w:r>
              <w:rPr>
                <w:rFonts w:hint="eastAsia"/>
                <w:highlight w:val="none"/>
                <w:lang w:val="zh-CN" w:eastAsia="zh-CN"/>
              </w:rPr>
              <w:t>5）采用硬件采集、编码方式，支持H.265、H.264视频编码,分辨率支持3840×2160P@30fps、1920×1080P@30fps；</w:t>
            </w:r>
            <w:r>
              <w:rPr>
                <w:rFonts w:hint="eastAsia"/>
                <w:highlight w:val="none"/>
                <w:lang w:val="zh-CN" w:eastAsia="zh-CN"/>
              </w:rPr>
              <w:br w:type="textWrapping"/>
            </w:r>
            <w:r>
              <w:rPr>
                <w:rFonts w:hint="eastAsia"/>
                <w:highlight w:val="none"/>
                <w:lang w:val="zh-CN" w:eastAsia="zh-CN"/>
              </w:rPr>
              <w:t>6）支持3840×2160@P30的HDMI视频输入，并向下兼容1920×1080@P60、1920×1080@P50、1920×1080@P30、1920×1080@P25；</w:t>
            </w:r>
            <w:r>
              <w:rPr>
                <w:rFonts w:hint="eastAsia"/>
                <w:highlight w:val="none"/>
                <w:lang w:val="zh-CN" w:eastAsia="zh-CN"/>
              </w:rPr>
              <w:br w:type="textWrapping"/>
            </w:r>
            <w:r>
              <w:rPr>
                <w:rFonts w:hint="eastAsia"/>
                <w:highlight w:val="none"/>
                <w:lang w:val="zh-CN" w:eastAsia="zh-CN"/>
              </w:rPr>
              <w:t>7）支持输出主副码流，主码流支持1Mbps～40Mbps可调，副码流支持256Kbps～4Mbps可调；</w:t>
            </w:r>
            <w:r>
              <w:rPr>
                <w:rFonts w:hint="eastAsia"/>
                <w:highlight w:val="none"/>
                <w:lang w:val="zh-CN" w:eastAsia="zh-CN"/>
              </w:rPr>
              <w:br w:type="textWrapping"/>
            </w:r>
            <w:r>
              <w:rPr>
                <w:rFonts w:hint="eastAsia"/>
                <w:highlight w:val="none"/>
                <w:lang w:val="zh-CN" w:eastAsia="zh-CN"/>
              </w:rPr>
              <w:t>8）内置音频采集模块，内嵌6路Line in音频输入接口，4路Line out音频输出接口；</w:t>
            </w:r>
            <w:r>
              <w:rPr>
                <w:rFonts w:hint="eastAsia"/>
                <w:highlight w:val="none"/>
                <w:lang w:val="zh-CN" w:eastAsia="zh-CN"/>
              </w:rPr>
              <w:br w:type="textWrapping"/>
            </w:r>
            <w:r>
              <w:rPr>
                <w:rFonts w:hint="eastAsia"/>
                <w:highlight w:val="none"/>
                <w:lang w:val="zh-CN" w:eastAsia="zh-CN"/>
              </w:rPr>
              <w:t>9）★内嵌9路RS-232串口、1路控制面板接口；</w:t>
            </w:r>
            <w:r>
              <w:rPr>
                <w:rFonts w:hint="eastAsia"/>
                <w:highlight w:val="none"/>
                <w:lang w:val="zh-CN" w:eastAsia="zh-CN"/>
              </w:rPr>
              <w:br w:type="textWrapping"/>
            </w:r>
            <w:r>
              <w:rPr>
                <w:rFonts w:hint="eastAsia"/>
                <w:highlight w:val="none"/>
                <w:lang w:val="zh-CN" w:eastAsia="zh-CN"/>
              </w:rPr>
              <w:t>10）内嵌1个10/100/1000Mbps自适应网口；</w:t>
            </w:r>
            <w:r>
              <w:rPr>
                <w:rFonts w:hint="eastAsia"/>
                <w:highlight w:val="none"/>
                <w:lang w:val="zh-CN" w:eastAsia="zh-CN"/>
              </w:rPr>
              <w:br w:type="textWrapping"/>
            </w:r>
            <w:r>
              <w:rPr>
                <w:rFonts w:hint="eastAsia"/>
                <w:highlight w:val="none"/>
                <w:lang w:val="zh-CN" w:eastAsia="zh-CN"/>
              </w:rPr>
              <w:t>11）支持标准的RTMP直播协议，支持RTSP实时协议流，网络协议支持TCP、UDP、RTMP、RTSP、FTP协议等；</w:t>
            </w:r>
            <w:r>
              <w:rPr>
                <w:rFonts w:hint="eastAsia"/>
                <w:highlight w:val="none"/>
                <w:lang w:val="zh-CN" w:eastAsia="zh-CN"/>
              </w:rPr>
              <w:br w:type="textWrapping"/>
            </w:r>
            <w:r>
              <w:rPr>
                <w:rFonts w:hint="eastAsia"/>
                <w:highlight w:val="none"/>
                <w:lang w:val="zh-CN" w:eastAsia="zh-CN"/>
              </w:rPr>
              <w:t>12）★</w:t>
            </w:r>
            <w:r>
              <w:rPr>
                <w:rFonts w:hint="eastAsia"/>
                <w:lang w:val="zh-CN" w:eastAsia="zh-CN"/>
              </w:rPr>
              <w:t>支持本地及远程网页 Web 导播，支持本地和远程参数设置，支持本地和远程导播控制，具备录播开始、暂停、停止控制功能，支持按照课表自动开启录播；支持主机插上显示屏、鼠标键盘完成本地无延迟导播；</w:t>
            </w:r>
            <w:r>
              <w:rPr>
                <w:rFonts w:hint="eastAsia"/>
                <w:lang w:val="zh-CN" w:eastAsia="zh-CN"/>
              </w:rPr>
              <w:br w:type="textWrapping"/>
            </w:r>
            <w:r>
              <w:rPr>
                <w:rFonts w:hint="eastAsia"/>
                <w:highlight w:val="none"/>
                <w:lang w:val="zh-CN" w:eastAsia="zh-CN"/>
              </w:rPr>
              <w:t>13)★支持扩展内置教学互动功能，可通过红外遥控器控制1vN的教学互动，遥控器至少具备方向键、返回键、取消键、数字键、删除键、呼叫键、菜单键、静音键、投屏键、首页键、确认键、音量控制键、云台控制键、电源键等；支持设备与设备直接进行教学互动；</w:t>
            </w:r>
            <w:r>
              <w:rPr>
                <w:rFonts w:hint="eastAsia"/>
                <w:highlight w:val="none"/>
                <w:lang w:val="zh-CN" w:eastAsia="zh-CN"/>
              </w:rPr>
              <w:br w:type="textWrapping"/>
            </w:r>
            <w:r>
              <w:rPr>
                <w:rFonts w:hint="eastAsia"/>
                <w:highlight w:val="none"/>
                <w:lang w:val="zh-CN" w:eastAsia="zh-CN"/>
              </w:rPr>
              <w:t>14）★内置1路USB3.0，3路USB2.0接口；</w:t>
            </w:r>
            <w:r>
              <w:rPr>
                <w:rFonts w:hint="eastAsia"/>
                <w:highlight w:val="none"/>
                <w:lang w:val="zh-CN" w:eastAsia="zh-CN"/>
              </w:rPr>
              <w:br w:type="textWrapping"/>
            </w:r>
            <w:r>
              <w:rPr>
                <w:rFonts w:hint="eastAsia"/>
                <w:highlight w:val="none"/>
                <w:lang w:val="zh-CN" w:eastAsia="zh-CN"/>
              </w:rPr>
              <w:t>15）采用D</w:t>
            </w:r>
            <w:r>
              <w:rPr>
                <w:rFonts w:hint="eastAsia"/>
                <w:lang w:val="zh-CN" w:eastAsia="zh-CN"/>
              </w:rPr>
              <w:t>C 48V电源供电。</w:t>
            </w:r>
            <w:r>
              <w:rPr>
                <w:rFonts w:hint="eastAsia"/>
                <w:lang w:val="zh-CN" w:eastAsia="zh-CN"/>
              </w:rPr>
              <w:br w:type="textWrapping"/>
            </w:r>
            <w:r>
              <w:rPr>
                <w:rFonts w:hint="eastAsia"/>
                <w:lang w:val="zh-CN" w:eastAsia="zh-CN"/>
              </w:rPr>
              <w:t>16)支持内置AI模块的功能自诊断，提供实时分析和人脸训练两种运行模式，支持通过平台远程控制AI模块运行模式切换；</w:t>
            </w:r>
            <w:r>
              <w:rPr>
                <w:rFonts w:hint="eastAsia"/>
                <w:lang w:val="zh-CN" w:eastAsia="zh-CN"/>
              </w:rPr>
              <w:br w:type="textWrapping"/>
            </w:r>
            <w:r>
              <w:rPr>
                <w:rFonts w:hint="eastAsia"/>
                <w:lang w:val="zh-CN" w:eastAsia="zh-CN"/>
              </w:rPr>
              <w:t>17)支持通过网页浏览器访问内置AI模块，查看教师和学生实时分析界面，实现教师及学生检测及行为分析，并可生成课堂分析报告；</w:t>
            </w:r>
            <w:r>
              <w:rPr>
                <w:rFonts w:hint="eastAsia"/>
                <w:lang w:val="zh-CN" w:eastAsia="zh-CN"/>
              </w:rPr>
              <w:br w:type="textWrapping"/>
            </w:r>
            <w:r>
              <w:rPr>
                <w:rFonts w:hint="eastAsia"/>
                <w:lang w:val="zh-CN" w:eastAsia="zh-CN"/>
              </w:rPr>
              <w:t xml:space="preserve">18)支持实时显示AI分析模块处理器、内存、硬盘使用率、温度信息，支持对分析状态、网络及视频通断状态进行检测； </w:t>
            </w:r>
            <w:r>
              <w:rPr>
                <w:rFonts w:hint="eastAsia"/>
                <w:lang w:val="zh-CN" w:eastAsia="zh-CN"/>
              </w:rPr>
              <w:br w:type="textWrapping"/>
            </w:r>
            <w:r>
              <w:rPr>
                <w:rFonts w:hint="eastAsia"/>
                <w:lang w:val="zh-CN" w:eastAsia="zh-CN"/>
              </w:rPr>
              <w:t>19)支持自定义设置时间服务器地址，自动同步系统时间；</w:t>
            </w:r>
            <w:r>
              <w:rPr>
                <w:rFonts w:hint="eastAsia"/>
                <w:lang w:val="zh-CN" w:eastAsia="zh-CN"/>
              </w:rPr>
              <w:br w:type="textWrapping"/>
            </w:r>
            <w:r>
              <w:rPr>
                <w:rFonts w:hint="eastAsia"/>
                <w:lang w:val="zh-CN" w:eastAsia="zh-CN"/>
              </w:rPr>
              <w:t>20)支持设定课程分析计划后自动执行分析；</w:t>
            </w:r>
            <w:r>
              <w:rPr>
                <w:rFonts w:hint="eastAsia"/>
                <w:lang w:val="zh-CN" w:eastAsia="zh-CN"/>
              </w:rPr>
              <w:br w:type="textWrapping"/>
            </w:r>
            <w:r>
              <w:rPr>
                <w:rFonts w:hint="eastAsia"/>
                <w:lang w:val="zh-CN" w:eastAsia="zh-CN"/>
              </w:rPr>
              <w:t>21)支持自定义配置AI分析模块网络信息、教师区摄像机及学生区摄像机网络视频流信息，自定义设置教师摄像机和≥学生摄像机分析的区域范围；</w:t>
            </w:r>
            <w:r>
              <w:rPr>
                <w:rFonts w:hint="eastAsia"/>
                <w:lang w:val="zh-CN" w:eastAsia="zh-CN"/>
              </w:rPr>
              <w:br w:type="textWrapping"/>
            </w:r>
            <w:r>
              <w:rPr>
                <w:rFonts w:hint="eastAsia"/>
                <w:lang w:val="zh-CN" w:eastAsia="zh-CN"/>
              </w:rPr>
              <w:t>22)支持音量状态及分析时长监控，支持≥9种行为分析的自定义显示控制；至少支持教师讲授、板书、巡视、师生互动、学生听讲、举手、读写、应答、生生互动等行为分析；</w:t>
            </w:r>
            <w:r>
              <w:rPr>
                <w:rFonts w:hint="eastAsia"/>
                <w:lang w:val="zh-CN" w:eastAsia="zh-CN"/>
              </w:rPr>
              <w:br w:type="textWrapping"/>
            </w:r>
            <w:r>
              <w:rPr>
                <w:rFonts w:hint="eastAsia"/>
                <w:lang w:val="zh-CN" w:eastAsia="zh-CN"/>
              </w:rPr>
              <w:t>23)支持系统调试过程，自定义开关师生头部识别框、开关课堂行为百分比信息呈现、开关系统自动框选的学生分析范围等，支持以多种颜色进行识别行为的分类标记，支持课堂教学场景VGA画面状态监测；</w:t>
            </w:r>
            <w:r>
              <w:rPr>
                <w:rFonts w:hint="eastAsia"/>
                <w:lang w:val="zh-CN" w:eastAsia="zh-CN"/>
              </w:rPr>
              <w:br w:type="textWrapping"/>
            </w:r>
            <w:r>
              <w:rPr>
                <w:rFonts w:hint="eastAsia"/>
                <w:lang w:val="zh-CN" w:eastAsia="zh-CN"/>
              </w:rPr>
              <w:t>24)支持自动生成系统运行日志。</w:t>
            </w:r>
          </w:p>
          <w:p w14:paraId="1AEB56E7">
            <w:pPr>
              <w:widowControl w:val="0"/>
              <w:numPr>
                <w:ilvl w:val="0"/>
                <w:numId w:val="0"/>
              </w:numPr>
              <w:jc w:val="both"/>
              <w:rPr>
                <w:rFonts w:hint="eastAsia"/>
                <w:lang w:val="zh-CN" w:eastAsia="zh-CN"/>
              </w:rPr>
            </w:pPr>
          </w:p>
          <w:p w14:paraId="2B88216C">
            <w:pPr>
              <w:pStyle w:val="13"/>
              <w:rPr>
                <w:rFonts w:hint="eastAsia"/>
                <w:lang w:val="zh-CN" w:eastAsia="zh-CN"/>
              </w:rPr>
            </w:pPr>
            <w:r>
              <w:rPr>
                <w:rFonts w:hint="eastAsia"/>
                <w:lang w:val="zh-CN" w:eastAsia="zh-CN"/>
              </w:rPr>
              <w:br w:type="textWrapping"/>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293F531">
            <w:pPr>
              <w:pStyle w:val="13"/>
              <w:rPr>
                <w:rFonts w:hint="eastAsia"/>
                <w:lang w:val="zh-CN" w:eastAsia="zh-CN"/>
              </w:rPr>
            </w:pPr>
            <w:r>
              <w:rPr>
                <w:rFonts w:hint="eastAsia"/>
                <w:lang w:val="zh-CN" w:eastAsia="zh-CN"/>
              </w:rPr>
              <w:t>1</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3866A83A">
            <w:pPr>
              <w:pStyle w:val="13"/>
              <w:rPr>
                <w:rFonts w:hint="eastAsia"/>
                <w:lang w:val="zh-CN" w:eastAsia="zh-CN"/>
              </w:rPr>
            </w:pPr>
            <w:r>
              <w:rPr>
                <w:rFonts w:hint="eastAsia"/>
                <w:lang w:val="zh-CN" w:eastAsia="zh-CN"/>
              </w:rPr>
              <w:t>台</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655DD661">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E7B1ECD">
            <w:pPr>
              <w:pStyle w:val="13"/>
              <w:rPr>
                <w:rFonts w:hint="eastAsia"/>
                <w:lang w:val="zh-CN" w:eastAsia="zh-CN"/>
              </w:rPr>
            </w:pPr>
          </w:p>
        </w:tc>
      </w:tr>
      <w:tr w14:paraId="5066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5"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2D5E7">
            <w:pPr>
              <w:pStyle w:val="13"/>
              <w:rPr>
                <w:rFonts w:hint="eastAsia"/>
                <w:lang w:val="zh-CN" w:eastAsia="zh-CN"/>
              </w:rPr>
            </w:pPr>
            <w:r>
              <w:rPr>
                <w:rFonts w:hint="eastAsia"/>
                <w:lang w:val="zh-CN" w:eastAsia="zh-CN"/>
              </w:rPr>
              <w:t>7</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3A902">
            <w:pPr>
              <w:pStyle w:val="13"/>
              <w:rPr>
                <w:rFonts w:hint="eastAsia"/>
                <w:lang w:val="zh-CN" w:eastAsia="zh-CN"/>
              </w:rPr>
            </w:pPr>
            <w:r>
              <w:rPr>
                <w:rFonts w:hint="eastAsia"/>
                <w:lang w:val="zh-CN" w:eastAsia="zh-CN"/>
              </w:rPr>
              <w:t>全高清录播系统</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5879C686">
            <w:pPr>
              <w:pStyle w:val="13"/>
              <w:numPr>
                <w:ilvl w:val="0"/>
                <w:numId w:val="11"/>
              </w:numPr>
              <w:rPr>
                <w:rFonts w:hint="eastAsia"/>
                <w:lang w:val="zh-CN" w:eastAsia="zh-CN"/>
              </w:rPr>
            </w:pPr>
            <w:r>
              <w:rPr>
                <w:rFonts w:hint="eastAsia"/>
                <w:highlight w:val="none"/>
                <w:lang w:val="zh-CN" w:eastAsia="zh-CN"/>
              </w:rPr>
              <w:t>★须支持对设备的录制编码、帧率、IP地址、内置时间、视频输出、互动功能等参数进行设置；</w:t>
            </w:r>
            <w:r>
              <w:rPr>
                <w:rFonts w:hint="eastAsia"/>
                <w:highlight w:val="none"/>
                <w:lang w:val="zh-CN" w:eastAsia="zh-CN"/>
              </w:rPr>
              <w:br w:type="textWrapping"/>
            </w:r>
            <w:r>
              <w:rPr>
                <w:rFonts w:hint="eastAsia"/>
                <w:highlight w:val="none"/>
                <w:lang w:val="zh-CN" w:eastAsia="zh-CN"/>
              </w:rPr>
              <w:t>2)★须支持本地导播和web远程导播两种导播方式，两种导播方式中设置操作及相关信息一致；须支持云台控制、画中画设置、特效切换、台标字幕及片头片尾设置、录播开始、暂停、停止等设置操作；</w:t>
            </w:r>
            <w:r>
              <w:rPr>
                <w:rFonts w:hint="eastAsia"/>
                <w:highlight w:val="none"/>
                <w:lang w:val="zh-CN" w:eastAsia="zh-CN"/>
              </w:rPr>
              <w:br w:type="textWrapping"/>
            </w:r>
            <w:r>
              <w:rPr>
                <w:rFonts w:hint="eastAsia"/>
                <w:highlight w:val="none"/>
                <w:lang w:val="zh-CN" w:eastAsia="zh-CN"/>
              </w:rPr>
              <w:t>3)★须支持电影模式、资源模式及“电影+资源”模式三种直播模式，其中资源模式最多须支持6路视频图像，“电影+资源”模式最多支持7路视频图像，包含6路资源模式视频图像及1路电影模式视频图像；直播采用Flash Player进行播放，须支持多用户操作；支持标准的RTMP直播协议，可推送服务器进行大规模的直播观看；</w:t>
            </w:r>
            <w:r>
              <w:rPr>
                <w:rFonts w:hint="eastAsia"/>
                <w:highlight w:val="none"/>
                <w:lang w:val="zh-CN" w:eastAsia="zh-CN"/>
              </w:rPr>
              <w:br w:type="textWrapping"/>
            </w:r>
            <w:r>
              <w:rPr>
                <w:rFonts w:hint="eastAsia"/>
                <w:highlight w:val="none"/>
                <w:lang w:val="zh-CN" w:eastAsia="zh-CN"/>
              </w:rPr>
              <w:t>4)★须支持单流单画面的电影模式、多流多画面的资源模式以及单流多画面的“电影+资源”模式，可以单独录制也可以同时录制；须支持在同一设备完成6路视频同时录制，所生成文件在同一文件夹。</w:t>
            </w:r>
            <w:r>
              <w:rPr>
                <w:rFonts w:hint="eastAsia"/>
                <w:highlight w:val="none"/>
                <w:lang w:val="zh-CN" w:eastAsia="zh-CN"/>
              </w:rPr>
              <w:br w:type="textWrapping"/>
            </w:r>
            <w:r>
              <w:rPr>
                <w:rFonts w:hint="eastAsia"/>
                <w:highlight w:val="none"/>
                <w:lang w:val="zh-CN" w:eastAsia="zh-CN"/>
              </w:rPr>
              <w:t>5)★</w:t>
            </w:r>
            <w:r>
              <w:rPr>
                <w:rFonts w:hint="eastAsia"/>
                <w:lang w:val="zh-CN" w:eastAsia="zh-CN"/>
              </w:rPr>
              <w:t>须具备独立的页面可以显示系统当前的录像模式、录像状态、录像时间、直播状态、磁盘空间信息、视频源是否启用等信息，此页面亦包含电影模式画面、VGA信号及5路SDI视频信号的分辨率、录制编码、录制帧率、I帧间隔及直播地址等信息，满足管理人员基于一个页面即可查询到上述信息。</w:t>
            </w:r>
            <w:r>
              <w:rPr>
                <w:rFonts w:hint="eastAsia"/>
                <w:lang w:val="zh-CN" w:eastAsia="zh-CN"/>
              </w:rPr>
              <w:br w:type="textWrapping"/>
            </w:r>
            <w:r>
              <w:rPr>
                <w:rFonts w:hint="eastAsia"/>
                <w:lang w:val="zh-CN" w:eastAsia="zh-CN"/>
              </w:rPr>
              <w:t>6)须支持在电影画面中添加台标、字幕，可以插入片头、片尾；支持台标更换及台标位置选择；支持图片、视频等格式文件的片头片尾，支持片头片尾时间选择：1-5s；</w:t>
            </w:r>
            <w:r>
              <w:rPr>
                <w:rFonts w:hint="eastAsia"/>
                <w:lang w:val="zh-CN" w:eastAsia="zh-CN"/>
              </w:rPr>
              <w:br w:type="textWrapping"/>
            </w:r>
            <w:r>
              <w:rPr>
                <w:rFonts w:hint="eastAsia"/>
                <w:lang w:val="zh-CN" w:eastAsia="zh-CN"/>
              </w:rPr>
              <w:t>7)可以提供多种画中画模式，须支持提供15种已设定好的画中画模式，如大小、左右、平铺、三分屏、四分屏、全景等画中画模式，支持交换功能，方便画面快速对调；</w:t>
            </w:r>
            <w:r>
              <w:rPr>
                <w:rFonts w:hint="eastAsia"/>
                <w:lang w:val="zh-CN" w:eastAsia="zh-CN"/>
              </w:rPr>
              <w:br w:type="textWrapping"/>
            </w:r>
            <w:r>
              <w:rPr>
                <w:rFonts w:hint="eastAsia"/>
                <w:lang w:val="zh-CN" w:eastAsia="zh-CN"/>
              </w:rPr>
              <w:t>8)须支持直切、擦除、覆盖、推拉模式的特效，每种模式提供8种特效；系统亦具备提供4种不同上述方式的特效，所有特效为系统自带，无须手动定义；特效的过</w:t>
            </w:r>
            <w:r>
              <w:rPr>
                <w:rFonts w:hint="eastAsia"/>
                <w:highlight w:val="none"/>
                <w:lang w:val="zh-CN" w:eastAsia="zh-CN"/>
              </w:rPr>
              <w:t>渡时间支持不同的设置</w:t>
            </w:r>
            <w:r>
              <w:rPr>
                <w:rFonts w:hint="eastAsia"/>
                <w:highlight w:val="none"/>
                <w:lang w:val="zh-CN" w:eastAsia="zh-CN"/>
              </w:rPr>
              <w:br w:type="textWrapping"/>
            </w:r>
            <w:r>
              <w:rPr>
                <w:rFonts w:hint="eastAsia"/>
                <w:highlight w:val="none"/>
                <w:lang w:val="zh-CN" w:eastAsia="zh-CN"/>
              </w:rPr>
              <w:t>9)★须提供预编辑录制窗口（PVW）和录制窗口（PGM），录制时辅助人员可在预编辑窗口完成对视频的编辑，如添加字幕、台标、设置画中画等，设置完成后可直接推送到直播/电影模式窗口，进行录制及直播。</w:t>
            </w:r>
            <w:r>
              <w:rPr>
                <w:rFonts w:hint="eastAsia"/>
                <w:highlight w:val="none"/>
                <w:lang w:val="zh-CN" w:eastAsia="zh-CN"/>
              </w:rPr>
              <w:br w:type="textWrapping"/>
            </w:r>
            <w:r>
              <w:rPr>
                <w:rFonts w:hint="eastAsia"/>
                <w:highlight w:val="none"/>
                <w:lang w:val="zh-CN" w:eastAsia="zh-CN"/>
              </w:rPr>
              <w:t>10)★</w:t>
            </w:r>
            <w:r>
              <w:rPr>
                <w:rFonts w:hint="eastAsia"/>
                <w:lang w:val="zh-CN" w:eastAsia="zh-CN"/>
              </w:rPr>
              <w:t>只需要一根VGA或HDMI线缆即可完成教师机画面采集与侦测，无需安装辅助软件。</w:t>
            </w:r>
            <w:r>
              <w:rPr>
                <w:rFonts w:hint="eastAsia"/>
                <w:lang w:val="zh-CN" w:eastAsia="zh-CN"/>
              </w:rPr>
              <w:br w:type="textWrapping"/>
            </w:r>
            <w:r>
              <w:rPr>
                <w:rFonts w:hint="eastAsia"/>
                <w:lang w:val="zh-CN" w:eastAsia="zh-CN"/>
              </w:rPr>
              <w:t>11)录像文件支持设置对应的学年学期、课程名称、学校院系、授课地点、学校代码、学科名称、授课教师、开课时间、授课年级、授课课时及课程描述等教学信息。</w:t>
            </w:r>
            <w:r>
              <w:rPr>
                <w:rFonts w:hint="eastAsia"/>
                <w:lang w:val="zh-CN" w:eastAsia="zh-CN"/>
              </w:rPr>
              <w:br w:type="textWrapping"/>
            </w:r>
            <w:r>
              <w:rPr>
                <w:rFonts w:hint="eastAsia"/>
                <w:lang w:val="zh-CN" w:eastAsia="zh-CN"/>
              </w:rPr>
              <w:t>12)具备录像管理功能，支持显示已有文件的列表，并进行点播、下载、修改属性、删除等操作；录制后的视频可支持自动上传云平台个人空间且自动删除本地文件；支持磁盘格式化、磁盘满载后不录制或覆盖。</w:t>
            </w:r>
            <w:r>
              <w:rPr>
                <w:rFonts w:hint="eastAsia"/>
                <w:lang w:val="zh-CN" w:eastAsia="zh-CN"/>
              </w:rPr>
              <w:br w:type="textWrapping"/>
            </w:r>
            <w:r>
              <w:rPr>
                <w:rFonts w:hint="eastAsia"/>
                <w:lang w:val="zh-CN" w:eastAsia="zh-CN"/>
              </w:rPr>
              <w:t>13)须支持5路摄像机云台控制，可对摄像机进行上下左右、变倍、聚焦、光圈控制，系统针对每路摄像机均提供5种固定位变焦，用户可以直接调用，无需手动调节；每个摄像机可设置8个预置位；摄像机光圈和聚焦设置提供手动和自动设置按钮。</w:t>
            </w:r>
            <w:r>
              <w:rPr>
                <w:rFonts w:hint="eastAsia"/>
                <w:lang w:val="zh-CN" w:eastAsia="zh-CN"/>
              </w:rPr>
              <w:br w:type="textWrapping"/>
            </w:r>
            <w:r>
              <w:rPr>
                <w:rFonts w:hint="eastAsia"/>
                <w:lang w:val="zh-CN" w:eastAsia="zh-CN"/>
              </w:rPr>
              <w:t>14)跟踪功能支持自动、手动及半自动三种跟踪模式；</w:t>
            </w:r>
            <w:r>
              <w:rPr>
                <w:rFonts w:hint="eastAsia"/>
                <w:lang w:val="zh-CN" w:eastAsia="zh-CN"/>
              </w:rPr>
              <w:br w:type="textWrapping"/>
            </w:r>
            <w:r>
              <w:rPr>
                <w:rFonts w:hint="eastAsia"/>
                <w:lang w:val="zh-CN" w:eastAsia="zh-CN"/>
              </w:rPr>
              <w:t>15)须具备互动设置功能，可以实现录播工作站之间直接进行教学互动，支持开展1VN的教学互动。</w:t>
            </w:r>
          </w:p>
          <w:p w14:paraId="08CE48D3">
            <w:pPr>
              <w:widowControl w:val="0"/>
              <w:numPr>
                <w:ilvl w:val="0"/>
                <w:numId w:val="0"/>
              </w:numPr>
              <w:jc w:val="both"/>
              <w:rPr>
                <w:rFonts w:hint="eastAsia"/>
                <w:lang w:val="zh-CN" w:eastAsia="zh-CN"/>
              </w:rPr>
            </w:pPr>
          </w:p>
          <w:p w14:paraId="6F0402CD">
            <w:pPr>
              <w:pStyle w:val="13"/>
              <w:rPr>
                <w:rFonts w:hint="eastAsia"/>
                <w:lang w:val="zh-CN" w:eastAsia="zh-CN"/>
              </w:rPr>
            </w:pPr>
          </w:p>
          <w:p w14:paraId="7C215ABB">
            <w:pPr>
              <w:rPr>
                <w:rFonts w:hint="eastAsia"/>
                <w:lang w:val="zh-CN" w:eastAsia="zh-CN"/>
              </w:rPr>
            </w:pPr>
            <w:r>
              <w:rPr>
                <w:rFonts w:hint="eastAsia"/>
                <w:lang w:val="zh-CN" w:eastAsia="zh-CN"/>
              </w:rPr>
              <w:br w:type="textWrapping"/>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69EB970">
            <w:pPr>
              <w:pStyle w:val="13"/>
              <w:rPr>
                <w:rFonts w:hint="eastAsia"/>
                <w:lang w:val="zh-CN" w:eastAsia="zh-CN"/>
              </w:rPr>
            </w:pPr>
            <w:r>
              <w:rPr>
                <w:rFonts w:hint="eastAsia"/>
                <w:lang w:val="zh-CN" w:eastAsia="zh-CN"/>
              </w:rPr>
              <w:t>1</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267839B2">
            <w:pPr>
              <w:pStyle w:val="13"/>
              <w:rPr>
                <w:rFonts w:hint="eastAsia"/>
                <w:lang w:val="zh-CN" w:eastAsia="zh-CN"/>
              </w:rPr>
            </w:pPr>
            <w:r>
              <w:rPr>
                <w:rFonts w:hint="eastAsia"/>
                <w:lang w:val="zh-CN" w:eastAsia="zh-CN"/>
              </w:rPr>
              <w:t>套</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08792E68">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2D48504F">
            <w:pPr>
              <w:pStyle w:val="13"/>
              <w:rPr>
                <w:rFonts w:hint="eastAsia"/>
                <w:lang w:val="zh-CN" w:eastAsia="zh-CN"/>
              </w:rPr>
            </w:pPr>
          </w:p>
        </w:tc>
      </w:tr>
      <w:tr w14:paraId="5D2F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3"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7CECD">
            <w:pPr>
              <w:pStyle w:val="13"/>
              <w:rPr>
                <w:rFonts w:hint="eastAsia"/>
                <w:lang w:val="zh-CN" w:eastAsia="zh-CN"/>
              </w:rPr>
            </w:pPr>
            <w:r>
              <w:rPr>
                <w:rFonts w:hint="eastAsia"/>
                <w:lang w:val="zh-CN" w:eastAsia="zh-CN"/>
              </w:rPr>
              <w:t>9</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53E5E">
            <w:pPr>
              <w:pStyle w:val="13"/>
              <w:rPr>
                <w:rFonts w:hint="eastAsia"/>
                <w:lang w:val="zh-CN" w:eastAsia="zh-CN"/>
              </w:rPr>
            </w:pPr>
            <w:r>
              <w:rPr>
                <w:rFonts w:hint="eastAsia"/>
                <w:lang w:val="zh-CN" w:eastAsia="zh-CN"/>
              </w:rPr>
              <w:t>智能跟踪系统软件</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539F6268">
            <w:pPr>
              <w:pStyle w:val="13"/>
              <w:rPr>
                <w:rFonts w:hint="eastAsia"/>
                <w:lang w:val="zh-CN" w:eastAsia="zh-CN"/>
              </w:rPr>
            </w:pPr>
            <w:r>
              <w:rPr>
                <w:rFonts w:hint="eastAsia"/>
                <w:lang w:val="zh-CN" w:eastAsia="zh-CN"/>
              </w:rPr>
              <w:t>协同自动跟踪设备可实现以下主要功能：</w:t>
            </w:r>
            <w:r>
              <w:rPr>
                <w:rFonts w:hint="eastAsia"/>
                <w:lang w:val="zh-CN" w:eastAsia="zh-CN"/>
              </w:rPr>
              <w:br w:type="textWrapping"/>
            </w:r>
            <w:r>
              <w:rPr>
                <w:rFonts w:hint="eastAsia"/>
                <w:lang w:val="zh-CN" w:eastAsia="zh-CN"/>
              </w:rPr>
              <w:t>1、采用当前主流的图像识别定位技术，通过图像分析算法，教师、学生无需佩戴、操作任何辅助定位设备，实时自动跟踪。</w:t>
            </w:r>
            <w:r>
              <w:rPr>
                <w:rFonts w:hint="eastAsia"/>
                <w:lang w:val="zh-CN" w:eastAsia="zh-CN"/>
              </w:rPr>
              <w:br w:type="textWrapping"/>
            </w:r>
            <w:r>
              <w:rPr>
                <w:rFonts w:hint="eastAsia"/>
                <w:lang w:val="zh-CN" w:eastAsia="zh-CN"/>
              </w:rPr>
              <w:t>2、教师讲台区、板书区、学生区跟踪定位采用模块化设计，便于系统维护和故障判断，当某一区域出现故障时不会影响其他区域。</w:t>
            </w:r>
            <w:r>
              <w:rPr>
                <w:rFonts w:hint="eastAsia"/>
                <w:lang w:val="zh-CN" w:eastAsia="zh-CN"/>
              </w:rPr>
              <w:br w:type="textWrapping"/>
            </w:r>
            <w:r>
              <w:rPr>
                <w:rFonts w:hint="eastAsia"/>
                <w:lang w:val="zh-CN" w:eastAsia="zh-CN"/>
              </w:rPr>
              <w:t>3、跟踪距离范围不得低于：2.5M～45M（摄像机的可视范围）；跟踪角度范围不得低于：0°～350°；最小跟踪目标：≥4*4像素。</w:t>
            </w:r>
            <w:r>
              <w:rPr>
                <w:rFonts w:hint="eastAsia"/>
                <w:lang w:val="zh-CN" w:eastAsia="zh-CN"/>
              </w:rPr>
              <w:br w:type="textWrapping"/>
            </w:r>
            <w:r>
              <w:rPr>
                <w:rFonts w:hint="eastAsia"/>
                <w:lang w:val="zh-CN" w:eastAsia="zh-CN"/>
              </w:rPr>
              <w:t>4、抗干扰能力：采用防抖动人体特征跟踪算法，不易受室内光线、声音、电磁等外在的环境影响。</w:t>
            </w:r>
            <w:r>
              <w:rPr>
                <w:rFonts w:hint="eastAsia"/>
                <w:lang w:val="zh-CN" w:eastAsia="zh-CN"/>
              </w:rPr>
              <w:br w:type="textWrapping"/>
            </w:r>
            <w:r>
              <w:rPr>
                <w:rFonts w:hint="eastAsia"/>
                <w:lang w:val="zh-CN" w:eastAsia="zh-CN"/>
              </w:rPr>
              <w:t>5、智能跟踪机制和切换策略可根据用户需求自定义，既支持“切”的策略也支持“跟”的策略，并可进行切换、升级，支持通过网络进行软件升级。</w:t>
            </w:r>
            <w:r>
              <w:rPr>
                <w:rFonts w:hint="eastAsia"/>
                <w:lang w:val="zh-CN" w:eastAsia="zh-CN"/>
              </w:rPr>
              <w:br w:type="textWrapping"/>
            </w:r>
            <w:r>
              <w:rPr>
                <w:rFonts w:hint="eastAsia"/>
                <w:lang w:val="zh-CN" w:eastAsia="zh-CN"/>
              </w:rPr>
              <w:t>6、为避免观察窗玻璃反光引起的定位误判问题，学生区采用4点图像定位方式。</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62DE47F">
            <w:pPr>
              <w:pStyle w:val="13"/>
              <w:rPr>
                <w:rFonts w:hint="eastAsia"/>
                <w:lang w:val="zh-CN" w:eastAsia="zh-CN"/>
              </w:rPr>
            </w:pPr>
            <w:r>
              <w:rPr>
                <w:rFonts w:hint="eastAsia"/>
                <w:lang w:val="zh-CN" w:eastAsia="zh-CN"/>
              </w:rPr>
              <w:t>1</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1B48E3B0">
            <w:pPr>
              <w:pStyle w:val="13"/>
              <w:rPr>
                <w:rFonts w:hint="eastAsia"/>
                <w:lang w:val="zh-CN" w:eastAsia="zh-CN"/>
              </w:rPr>
            </w:pPr>
            <w:r>
              <w:rPr>
                <w:rFonts w:hint="eastAsia"/>
                <w:lang w:val="zh-CN" w:eastAsia="zh-CN"/>
              </w:rPr>
              <w:t>套</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1558339A">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19912C7E">
            <w:pPr>
              <w:pStyle w:val="13"/>
              <w:rPr>
                <w:rFonts w:hint="eastAsia"/>
                <w:lang w:val="zh-CN" w:eastAsia="zh-CN"/>
              </w:rPr>
            </w:pPr>
          </w:p>
        </w:tc>
      </w:tr>
      <w:tr w14:paraId="7B5AA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7"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9164A">
            <w:pPr>
              <w:pStyle w:val="13"/>
              <w:rPr>
                <w:rFonts w:hint="eastAsia"/>
                <w:lang w:val="zh-CN" w:eastAsia="zh-CN"/>
              </w:rPr>
            </w:pPr>
            <w:r>
              <w:rPr>
                <w:rFonts w:hint="eastAsia"/>
                <w:lang w:val="zh-CN" w:eastAsia="zh-CN"/>
              </w:rPr>
              <w:t>10</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C86FB">
            <w:pPr>
              <w:pStyle w:val="13"/>
              <w:rPr>
                <w:rFonts w:hint="eastAsia"/>
                <w:lang w:val="zh-CN" w:eastAsia="zh-CN"/>
              </w:rPr>
            </w:pPr>
            <w:r>
              <w:rPr>
                <w:rFonts w:hint="eastAsia"/>
                <w:lang w:val="zh-CN" w:eastAsia="zh-CN"/>
              </w:rPr>
              <w:t>图像探测器</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695787B1">
            <w:pPr>
              <w:pStyle w:val="13"/>
              <w:rPr>
                <w:rFonts w:hint="eastAsia"/>
                <w:lang w:val="zh-CN" w:eastAsia="zh-CN"/>
              </w:rPr>
            </w:pPr>
            <w:r>
              <w:rPr>
                <w:rFonts w:hint="eastAsia"/>
                <w:lang w:val="zh-CN" w:eastAsia="zh-CN"/>
              </w:rPr>
              <w:t>1)为了避免设备被破坏，采用86盒式嵌入墙壁安装的图像探测器；</w:t>
            </w:r>
            <w:r>
              <w:rPr>
                <w:rFonts w:hint="eastAsia"/>
                <w:lang w:val="zh-CN" w:eastAsia="zh-CN"/>
              </w:rPr>
              <w:br w:type="textWrapping"/>
            </w:r>
            <w:r>
              <w:rPr>
                <w:rFonts w:hint="eastAsia"/>
                <w:lang w:val="zh-CN" w:eastAsia="zh-CN"/>
              </w:rPr>
              <w:t>2)成像器件：1/3英寸高清CMOS；</w:t>
            </w:r>
            <w:r>
              <w:rPr>
                <w:rFonts w:hint="eastAsia"/>
                <w:lang w:val="zh-CN" w:eastAsia="zh-CN"/>
              </w:rPr>
              <w:br w:type="textWrapping"/>
            </w:r>
            <w:r>
              <w:rPr>
                <w:rFonts w:hint="eastAsia"/>
                <w:lang w:val="zh-CN" w:eastAsia="zh-CN"/>
              </w:rPr>
              <w:t>3)有效像素：≥207万；</w:t>
            </w:r>
            <w:r>
              <w:rPr>
                <w:rFonts w:hint="eastAsia"/>
                <w:lang w:val="zh-CN" w:eastAsia="zh-CN"/>
              </w:rPr>
              <w:br w:type="textWrapping"/>
            </w:r>
            <w:r>
              <w:rPr>
                <w:rFonts w:hint="eastAsia"/>
                <w:lang w:val="zh-CN" w:eastAsia="zh-CN"/>
              </w:rPr>
              <w:t>4)信噪比：≥50db（AGC OFF）；</w:t>
            </w:r>
            <w:r>
              <w:rPr>
                <w:rFonts w:hint="eastAsia"/>
                <w:lang w:val="zh-CN" w:eastAsia="zh-CN"/>
              </w:rPr>
              <w:br w:type="textWrapping"/>
            </w:r>
            <w:r>
              <w:rPr>
                <w:rFonts w:hint="eastAsia"/>
                <w:lang w:val="zh-CN" w:eastAsia="zh-CN"/>
              </w:rPr>
              <w:t>5)网络接口：10/100Mbps网络自适应，RJ45适配器；</w:t>
            </w:r>
            <w:r>
              <w:rPr>
                <w:rFonts w:hint="eastAsia"/>
                <w:lang w:val="zh-CN" w:eastAsia="zh-CN"/>
              </w:rPr>
              <w:br w:type="textWrapping"/>
            </w:r>
            <w:r>
              <w:rPr>
                <w:rFonts w:hint="eastAsia"/>
                <w:lang w:val="zh-CN" w:eastAsia="zh-CN"/>
              </w:rPr>
              <w:t>6)视频编码：H.264 Main Profile、Baseline、MJPEG编码；</w:t>
            </w:r>
            <w:r>
              <w:rPr>
                <w:rFonts w:hint="eastAsia"/>
                <w:lang w:val="zh-CN" w:eastAsia="zh-CN"/>
              </w:rPr>
              <w:br w:type="textWrapping"/>
            </w:r>
            <w:r>
              <w:rPr>
                <w:rFonts w:hint="eastAsia"/>
                <w:lang w:val="zh-CN" w:eastAsia="zh-CN"/>
              </w:rPr>
              <w:t>7)供电方式：DC 12V、POE供电；</w:t>
            </w:r>
            <w:r>
              <w:rPr>
                <w:rFonts w:hint="eastAsia"/>
                <w:lang w:val="zh-CN" w:eastAsia="zh-CN"/>
              </w:rPr>
              <w:br w:type="textWrapping"/>
            </w:r>
            <w:r>
              <w:rPr>
                <w:rFonts w:hint="eastAsia"/>
                <w:lang w:val="zh-CN" w:eastAsia="zh-CN"/>
              </w:rPr>
              <w:t>8)协议支持：TCP/IP、UDP、RTP、RTSP；</w:t>
            </w:r>
            <w:r>
              <w:rPr>
                <w:rFonts w:hint="eastAsia"/>
                <w:lang w:val="zh-CN" w:eastAsia="zh-CN"/>
              </w:rPr>
              <w:br w:type="textWrapping"/>
            </w:r>
            <w:r>
              <w:rPr>
                <w:rFonts w:hint="eastAsia"/>
                <w:lang w:val="zh-CN" w:eastAsia="zh-CN"/>
              </w:rPr>
              <w:t>设备功率：2W。</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99B3854">
            <w:pPr>
              <w:pStyle w:val="13"/>
              <w:rPr>
                <w:rFonts w:hint="eastAsia"/>
                <w:lang w:val="zh-CN" w:eastAsia="zh-CN"/>
              </w:rPr>
            </w:pPr>
            <w:r>
              <w:rPr>
                <w:rFonts w:hint="eastAsia"/>
                <w:lang w:val="zh-CN" w:eastAsia="zh-CN"/>
              </w:rPr>
              <w:t>3</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7F01A238">
            <w:pPr>
              <w:pStyle w:val="13"/>
              <w:rPr>
                <w:rFonts w:hint="eastAsia"/>
                <w:lang w:val="zh-CN" w:eastAsia="zh-CN"/>
              </w:rPr>
            </w:pPr>
            <w:r>
              <w:rPr>
                <w:rFonts w:hint="eastAsia"/>
                <w:lang w:val="zh-CN" w:eastAsia="zh-CN"/>
              </w:rPr>
              <w:t>台</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49B944E9">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3EA1DCA">
            <w:pPr>
              <w:pStyle w:val="13"/>
              <w:rPr>
                <w:rFonts w:hint="eastAsia"/>
                <w:lang w:val="zh-CN" w:eastAsia="zh-CN"/>
              </w:rPr>
            </w:pPr>
          </w:p>
        </w:tc>
      </w:tr>
      <w:tr w14:paraId="38C4A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4"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8A4A9">
            <w:pPr>
              <w:pStyle w:val="13"/>
              <w:rPr>
                <w:rFonts w:hint="eastAsia"/>
                <w:lang w:val="zh-CN" w:eastAsia="zh-CN"/>
              </w:rPr>
            </w:pPr>
            <w:r>
              <w:rPr>
                <w:rFonts w:hint="eastAsia"/>
                <w:lang w:val="zh-CN" w:eastAsia="zh-CN"/>
              </w:rPr>
              <w:t>11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C2763">
            <w:pPr>
              <w:pStyle w:val="13"/>
              <w:rPr>
                <w:rFonts w:hint="eastAsia"/>
                <w:lang w:val="zh-CN" w:eastAsia="zh-CN"/>
              </w:rPr>
            </w:pPr>
            <w:r>
              <w:rPr>
                <w:rFonts w:hint="eastAsia"/>
                <w:lang w:val="zh-CN" w:eastAsia="zh-CN"/>
              </w:rPr>
              <w:t>图像定位系统</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0883521D">
            <w:pPr>
              <w:pStyle w:val="13"/>
              <w:rPr>
                <w:rFonts w:hint="eastAsia"/>
                <w:lang w:val="zh-CN" w:eastAsia="zh-CN"/>
              </w:rPr>
            </w:pPr>
            <w:r>
              <w:rPr>
                <w:rFonts w:hint="eastAsia"/>
                <w:lang w:val="zh-CN" w:eastAsia="zh-CN"/>
              </w:rPr>
              <w:t xml:space="preserve">1）支持实时获取师生视频图像、跟踪主机里设定的跟踪区域坐标参数，支持设置检测图像区域； </w:t>
            </w:r>
            <w:r>
              <w:rPr>
                <w:rFonts w:hint="eastAsia"/>
                <w:lang w:val="zh-CN" w:eastAsia="zh-CN"/>
              </w:rPr>
              <w:br w:type="textWrapping"/>
            </w:r>
            <w:r>
              <w:rPr>
                <w:rFonts w:hint="eastAsia"/>
                <w:lang w:val="zh-CN" w:eastAsia="zh-CN"/>
              </w:rPr>
              <w:t xml:space="preserve">2）支持实时显示检测到的学生目标及教师目标对应的坐标； </w:t>
            </w:r>
            <w:r>
              <w:rPr>
                <w:rFonts w:hint="eastAsia"/>
                <w:lang w:val="zh-CN" w:eastAsia="zh-CN"/>
              </w:rPr>
              <w:br w:type="textWrapping"/>
            </w:r>
            <w:r>
              <w:rPr>
                <w:rFonts w:hint="eastAsia"/>
                <w:lang w:val="zh-CN" w:eastAsia="zh-CN"/>
              </w:rPr>
              <w:t>3）支持显示调试过程状态信息，直观显示学生和教师的跟踪框体；</w:t>
            </w:r>
            <w:r>
              <w:rPr>
                <w:rFonts w:hint="eastAsia"/>
                <w:lang w:val="zh-CN" w:eastAsia="zh-CN"/>
              </w:rPr>
              <w:br w:type="textWrapping"/>
            </w:r>
            <w:r>
              <w:rPr>
                <w:rFonts w:hint="eastAsia"/>
                <w:lang w:val="zh-CN" w:eastAsia="zh-CN"/>
              </w:rPr>
              <w:t>4）支持通过鼠标调整检测图像探测区域；</w:t>
            </w:r>
            <w:r>
              <w:rPr>
                <w:rFonts w:hint="eastAsia"/>
                <w:lang w:val="zh-CN" w:eastAsia="zh-CN"/>
              </w:rPr>
              <w:br w:type="textWrapping"/>
            </w:r>
            <w:r>
              <w:rPr>
                <w:rFonts w:hint="eastAsia"/>
                <w:lang w:val="zh-CN" w:eastAsia="zh-CN"/>
              </w:rPr>
              <w:t xml:space="preserve">5）支持控制调试输出的视频是教师或学生目标的视频； </w:t>
            </w:r>
            <w:r>
              <w:rPr>
                <w:rFonts w:hint="eastAsia"/>
                <w:lang w:val="zh-CN" w:eastAsia="zh-CN"/>
              </w:rPr>
              <w:br w:type="textWrapping"/>
            </w:r>
            <w:r>
              <w:rPr>
                <w:rFonts w:hint="eastAsia"/>
                <w:lang w:val="zh-CN" w:eastAsia="zh-CN"/>
              </w:rPr>
              <w:t>6）支持一键初始化跟踪主机配置，恢复出厂设置；</w:t>
            </w:r>
            <w:r>
              <w:rPr>
                <w:rFonts w:hint="eastAsia"/>
                <w:lang w:val="zh-CN" w:eastAsia="zh-CN"/>
              </w:rPr>
              <w:br w:type="textWrapping"/>
            </w:r>
            <w:r>
              <w:rPr>
                <w:rFonts w:hint="eastAsia"/>
                <w:lang w:val="zh-CN" w:eastAsia="zh-CN"/>
              </w:rPr>
              <w:t>7）支持自定义保存用户设定的图像跟踪参数。</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A847C0D">
            <w:pPr>
              <w:pStyle w:val="13"/>
              <w:rPr>
                <w:rFonts w:hint="eastAsia"/>
                <w:lang w:val="zh-CN" w:eastAsia="zh-CN"/>
              </w:rPr>
            </w:pPr>
            <w:r>
              <w:rPr>
                <w:rFonts w:hint="eastAsia"/>
                <w:lang w:val="zh-CN" w:eastAsia="zh-CN"/>
              </w:rPr>
              <w:t>1</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3AE936E1">
            <w:pPr>
              <w:pStyle w:val="13"/>
              <w:rPr>
                <w:rFonts w:hint="eastAsia"/>
                <w:lang w:val="zh-CN" w:eastAsia="zh-CN"/>
              </w:rPr>
            </w:pPr>
            <w:r>
              <w:rPr>
                <w:rFonts w:hint="eastAsia"/>
                <w:lang w:val="zh-CN" w:eastAsia="zh-CN"/>
              </w:rPr>
              <w:t>套</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5ED88707">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50C462B7">
            <w:pPr>
              <w:pStyle w:val="13"/>
              <w:rPr>
                <w:rFonts w:hint="eastAsia"/>
                <w:lang w:val="zh-CN" w:eastAsia="zh-CN"/>
              </w:rPr>
            </w:pPr>
          </w:p>
        </w:tc>
      </w:tr>
      <w:tr w14:paraId="509B8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5"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697C1">
            <w:pPr>
              <w:pStyle w:val="13"/>
              <w:rPr>
                <w:rFonts w:hint="eastAsia"/>
                <w:lang w:val="zh-CN" w:eastAsia="zh-CN"/>
              </w:rPr>
            </w:pPr>
            <w:r>
              <w:rPr>
                <w:rFonts w:hint="eastAsia"/>
                <w:lang w:val="zh-CN" w:eastAsia="zh-CN"/>
              </w:rPr>
              <w:t>12</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3A0A8981">
            <w:pPr>
              <w:pStyle w:val="13"/>
              <w:rPr>
                <w:rFonts w:hint="eastAsia"/>
                <w:lang w:val="zh-CN" w:eastAsia="zh-CN"/>
              </w:rPr>
            </w:pPr>
            <w:r>
              <w:rPr>
                <w:rFonts w:hint="eastAsia"/>
                <w:lang w:val="zh-CN" w:eastAsia="zh-CN"/>
              </w:rPr>
              <w:t>高清摄像机</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26E490D8">
            <w:pPr>
              <w:pStyle w:val="13"/>
              <w:rPr>
                <w:rFonts w:hint="eastAsia"/>
                <w:lang w:val="zh-CN" w:eastAsia="zh-CN"/>
              </w:rPr>
            </w:pPr>
            <w:r>
              <w:rPr>
                <w:rFonts w:hint="eastAsia"/>
                <w:lang w:val="zh-CN" w:eastAsia="zh-CN"/>
              </w:rPr>
              <w:t>1) 成像器件：1/2.5英寸CMOS，有效像素：851万；</w:t>
            </w:r>
            <w:r>
              <w:rPr>
                <w:rFonts w:hint="eastAsia"/>
                <w:lang w:val="zh-CN" w:eastAsia="zh-CN"/>
              </w:rPr>
              <w:br w:type="textWrapping"/>
            </w:r>
            <w:r>
              <w:rPr>
                <w:rFonts w:hint="eastAsia"/>
                <w:lang w:val="zh-CN" w:eastAsia="zh-CN"/>
              </w:rPr>
              <w:t>2) 镜头：12倍光学，f=4.4mm～52.8mm， F1.8～F2.6，数字变焦：≥16倍；</w:t>
            </w:r>
            <w:r>
              <w:rPr>
                <w:rFonts w:hint="eastAsia"/>
                <w:lang w:val="zh-CN" w:eastAsia="zh-CN"/>
              </w:rPr>
              <w:br w:type="textWrapping"/>
            </w:r>
            <w:r>
              <w:rPr>
                <w:rFonts w:hint="eastAsia"/>
                <w:lang w:val="zh-CN" w:eastAsia="zh-CN"/>
              </w:rPr>
              <w:t>3) 最低照度：0.5Lux@（F1.8，AGC ON）；</w:t>
            </w:r>
            <w:r>
              <w:rPr>
                <w:rFonts w:hint="eastAsia"/>
                <w:lang w:val="zh-CN" w:eastAsia="zh-CN"/>
              </w:rPr>
              <w:br w:type="textWrapping"/>
            </w:r>
            <w:r>
              <w:rPr>
                <w:rFonts w:hint="eastAsia"/>
                <w:lang w:val="zh-CN" w:eastAsia="zh-CN"/>
              </w:rPr>
              <w:t>4) 数字降噪：3D数字降噪；</w:t>
            </w:r>
            <w:r>
              <w:rPr>
                <w:rFonts w:hint="eastAsia"/>
                <w:lang w:val="zh-CN" w:eastAsia="zh-CN"/>
              </w:rPr>
              <w:br w:type="textWrapping"/>
            </w:r>
            <w:r>
              <w:rPr>
                <w:rFonts w:hint="eastAsia"/>
                <w:lang w:val="zh-CN" w:eastAsia="zh-CN"/>
              </w:rPr>
              <w:t>5) 支持水平、垂直翻转，水平视场角71°～8.2°，垂直视场角42.7°～4.5°，水平转动范围±170°，垂直转动范围-30°～+90°，水平转动速度范围1.7°～100°/s，垂直转动速度范围1.7°～69.9°/s；</w:t>
            </w:r>
            <w:r>
              <w:rPr>
                <w:rFonts w:hint="eastAsia"/>
                <w:lang w:val="zh-CN" w:eastAsia="zh-CN"/>
              </w:rPr>
              <w:br w:type="textWrapping"/>
            </w:r>
            <w:r>
              <w:rPr>
                <w:rFonts w:hint="eastAsia"/>
                <w:lang w:val="zh-CN" w:eastAsia="zh-CN"/>
              </w:rPr>
              <w:t>6) 图像冻结：支持；</w:t>
            </w:r>
            <w:r>
              <w:rPr>
                <w:rFonts w:hint="eastAsia"/>
                <w:lang w:val="zh-CN" w:eastAsia="zh-CN"/>
              </w:rPr>
              <w:br w:type="textWrapping"/>
            </w:r>
            <w:r>
              <w:rPr>
                <w:rFonts w:hint="eastAsia"/>
                <w:lang w:val="zh-CN" w:eastAsia="zh-CN"/>
              </w:rPr>
              <w:t>7) 预置位数量：255；</w:t>
            </w:r>
            <w:r>
              <w:rPr>
                <w:rFonts w:hint="eastAsia"/>
                <w:lang w:val="zh-CN" w:eastAsia="zh-CN"/>
              </w:rPr>
              <w:br w:type="textWrapping"/>
            </w:r>
            <w:r>
              <w:rPr>
                <w:rFonts w:hint="eastAsia"/>
                <w:lang w:val="zh-CN" w:eastAsia="zh-CN"/>
              </w:rPr>
              <w:t>8) 预置位精度：0.1°；</w:t>
            </w:r>
            <w:r>
              <w:rPr>
                <w:rFonts w:hint="eastAsia"/>
                <w:lang w:val="zh-CN" w:eastAsia="zh-CN"/>
              </w:rPr>
              <w:br w:type="textWrapping"/>
            </w:r>
            <w:r>
              <w:rPr>
                <w:rFonts w:hint="eastAsia"/>
                <w:lang w:val="zh-CN" w:eastAsia="zh-CN"/>
              </w:rPr>
              <w:t>9) 视频编码标准：H.265、H.264、MJPEG；</w:t>
            </w:r>
            <w:r>
              <w:rPr>
                <w:rFonts w:hint="eastAsia"/>
                <w:lang w:val="zh-CN" w:eastAsia="zh-CN"/>
              </w:rPr>
              <w:br w:type="textWrapping"/>
            </w:r>
            <w:r>
              <w:rPr>
                <w:rFonts w:hint="eastAsia"/>
                <w:lang w:val="zh-CN" w:eastAsia="zh-CN"/>
              </w:rPr>
              <w:t>10) 视频码率：32Kbps～51200Kbps；</w:t>
            </w:r>
            <w:r>
              <w:rPr>
                <w:rFonts w:hint="eastAsia"/>
                <w:lang w:val="zh-CN" w:eastAsia="zh-CN"/>
              </w:rPr>
              <w:br w:type="textWrapping"/>
            </w:r>
            <w:r>
              <w:rPr>
                <w:rFonts w:hint="eastAsia"/>
                <w:lang w:val="zh-CN" w:eastAsia="zh-CN"/>
              </w:rPr>
              <w:t>11) 主码流分辨率：3840×2160、1920×1080、1280×720、1024×576、720×480、720×408、640×480、640×360等；辅码流分辨率：720×480、720×408、640×480、640×360、480×320、320×240等；</w:t>
            </w:r>
            <w:r>
              <w:rPr>
                <w:rFonts w:hint="eastAsia"/>
                <w:lang w:val="zh-CN" w:eastAsia="zh-CN"/>
              </w:rPr>
              <w:br w:type="textWrapping"/>
            </w:r>
            <w:r>
              <w:rPr>
                <w:rFonts w:hint="eastAsia"/>
                <w:lang w:val="zh-CN" w:eastAsia="zh-CN"/>
              </w:rPr>
              <w:t>12) 音频压缩标准：AAC、G711A；</w:t>
            </w:r>
            <w:r>
              <w:rPr>
                <w:rFonts w:hint="eastAsia"/>
                <w:lang w:val="zh-CN" w:eastAsia="zh-CN"/>
              </w:rPr>
              <w:br w:type="textWrapping"/>
            </w:r>
            <w:r>
              <w:rPr>
                <w:rFonts w:hint="eastAsia"/>
                <w:lang w:val="zh-CN" w:eastAsia="zh-CN"/>
              </w:rPr>
              <w:t>13) 音频码率：96Kbps、128Kbps；</w:t>
            </w:r>
            <w:r>
              <w:rPr>
                <w:rFonts w:hint="eastAsia"/>
                <w:lang w:val="zh-CN" w:eastAsia="zh-CN"/>
              </w:rPr>
              <w:br w:type="textWrapping"/>
            </w:r>
            <w:r>
              <w:rPr>
                <w:rFonts w:hint="eastAsia"/>
                <w:lang w:val="zh-CN" w:eastAsia="zh-CN"/>
              </w:rPr>
              <w:t>14) 支持NDI®|HX2、SRT、TCP/IP、HTTP、RTSP、RTMP（s）、Onvif、DHCP、组播、GB/T 28181等协议；</w:t>
            </w:r>
            <w:r>
              <w:rPr>
                <w:rFonts w:hint="eastAsia"/>
                <w:lang w:val="zh-CN" w:eastAsia="zh-CN"/>
              </w:rPr>
              <w:br w:type="textWrapping"/>
            </w:r>
            <w:r>
              <w:rPr>
                <w:rFonts w:hint="eastAsia"/>
                <w:lang w:val="zh-CN" w:eastAsia="zh-CN"/>
              </w:rPr>
              <w:t xml:space="preserve">15) 具备1路3G-SDI接口，1路HDMI接口； </w:t>
            </w:r>
            <w:r>
              <w:rPr>
                <w:rFonts w:hint="eastAsia"/>
                <w:lang w:val="zh-CN" w:eastAsia="zh-CN"/>
              </w:rPr>
              <w:br w:type="textWrapping"/>
            </w:r>
            <w:r>
              <w:rPr>
                <w:rFonts w:hint="eastAsia"/>
                <w:lang w:val="zh-CN" w:eastAsia="zh-CN"/>
              </w:rPr>
              <w:t>16) 具备1路USB 3.0和1路USB 2.0接口，支持USB音视频及USB PTZ控制；</w:t>
            </w:r>
            <w:r>
              <w:rPr>
                <w:rFonts w:hint="eastAsia"/>
                <w:lang w:val="zh-CN" w:eastAsia="zh-CN"/>
              </w:rPr>
              <w:br w:type="textWrapping"/>
            </w:r>
            <w:r>
              <w:rPr>
                <w:rFonts w:hint="eastAsia"/>
                <w:lang w:val="zh-CN" w:eastAsia="zh-CN"/>
              </w:rPr>
              <w:t>17) 支持SDI或HDMI、RJ45接口同时输出2路高清数字信号；</w:t>
            </w:r>
            <w:r>
              <w:rPr>
                <w:rFonts w:hint="eastAsia"/>
                <w:lang w:val="zh-CN" w:eastAsia="zh-CN"/>
              </w:rPr>
              <w:br w:type="textWrapping"/>
            </w:r>
            <w:r>
              <w:rPr>
                <w:rFonts w:hint="eastAsia"/>
                <w:lang w:val="zh-CN" w:eastAsia="zh-CN"/>
              </w:rPr>
              <w:t>18) 音频接口：1路 Line In和1路Line Out，3.5mm音频接口；</w:t>
            </w:r>
            <w:r>
              <w:rPr>
                <w:rFonts w:hint="eastAsia"/>
                <w:lang w:val="zh-CN" w:eastAsia="zh-CN"/>
              </w:rPr>
              <w:br w:type="textWrapping"/>
            </w:r>
            <w:r>
              <w:rPr>
                <w:rFonts w:hint="eastAsia"/>
                <w:lang w:val="zh-CN" w:eastAsia="zh-CN"/>
              </w:rPr>
              <w:t>19) 具备1路RS232输入和输出接口，1路RS485接口；</w:t>
            </w:r>
            <w:r>
              <w:rPr>
                <w:rFonts w:hint="eastAsia"/>
                <w:lang w:val="zh-CN" w:eastAsia="zh-CN"/>
              </w:rPr>
              <w:br w:type="textWrapping"/>
            </w:r>
            <w:r>
              <w:rPr>
                <w:rFonts w:hint="eastAsia"/>
                <w:lang w:val="zh-CN" w:eastAsia="zh-CN"/>
              </w:rPr>
              <w:t>20) 具备源指示灯、状态指示灯，具备RESTORE按键；</w:t>
            </w:r>
            <w:r>
              <w:rPr>
                <w:rFonts w:hint="eastAsia"/>
                <w:lang w:val="zh-CN" w:eastAsia="zh-CN"/>
              </w:rPr>
              <w:br w:type="textWrapping"/>
            </w:r>
            <w:r>
              <w:rPr>
                <w:rFonts w:hint="eastAsia"/>
                <w:lang w:val="zh-CN" w:eastAsia="zh-CN"/>
              </w:rPr>
              <w:t>21) 供电方式：DC 12V、POE。</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521B6B3">
            <w:pPr>
              <w:pStyle w:val="13"/>
              <w:rPr>
                <w:rFonts w:hint="eastAsia"/>
                <w:lang w:val="zh-CN" w:eastAsia="zh-CN"/>
              </w:rPr>
            </w:pPr>
            <w:r>
              <w:rPr>
                <w:rFonts w:hint="eastAsia"/>
                <w:lang w:val="zh-CN" w:eastAsia="zh-CN"/>
              </w:rPr>
              <w:t>5</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1DA8ECD7">
            <w:pPr>
              <w:pStyle w:val="13"/>
              <w:rPr>
                <w:rFonts w:hint="eastAsia"/>
                <w:lang w:val="zh-CN" w:eastAsia="zh-CN"/>
              </w:rPr>
            </w:pPr>
            <w:r>
              <w:rPr>
                <w:rFonts w:hint="eastAsia"/>
                <w:lang w:val="zh-CN" w:eastAsia="zh-CN"/>
              </w:rPr>
              <w:t>台</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408579D7">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5A8C7FAC">
            <w:pPr>
              <w:pStyle w:val="13"/>
              <w:rPr>
                <w:rFonts w:hint="eastAsia"/>
                <w:lang w:val="zh-CN" w:eastAsia="zh-CN"/>
              </w:rPr>
            </w:pPr>
          </w:p>
        </w:tc>
      </w:tr>
      <w:tr w14:paraId="195C8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5"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E7FE0">
            <w:pPr>
              <w:pStyle w:val="13"/>
              <w:rPr>
                <w:rFonts w:hint="eastAsia"/>
                <w:lang w:val="zh-CN" w:eastAsia="zh-CN"/>
              </w:rPr>
            </w:pPr>
            <w:r>
              <w:rPr>
                <w:rFonts w:hint="eastAsia"/>
                <w:lang w:val="zh-CN" w:eastAsia="zh-CN"/>
              </w:rPr>
              <w:t>13</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C1BB7">
            <w:pPr>
              <w:pStyle w:val="13"/>
              <w:ind w:left="0" w:leftChars="0" w:firstLine="0" w:firstLineChars="0"/>
              <w:rPr>
                <w:rFonts w:hint="eastAsia"/>
                <w:lang w:val="zh-CN" w:eastAsia="zh-CN"/>
              </w:rPr>
            </w:pPr>
            <w:r>
              <w:rPr>
                <w:rFonts w:hint="eastAsia"/>
                <w:lang w:val="zh-CN" w:eastAsia="zh-CN"/>
              </w:rPr>
              <w:t>摄像机协议管理软件</w:t>
            </w:r>
          </w:p>
        </w:tc>
        <w:tc>
          <w:tcPr>
            <w:tcW w:w="5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C359F">
            <w:pPr>
              <w:pStyle w:val="13"/>
              <w:rPr>
                <w:rFonts w:hint="eastAsia"/>
                <w:lang w:val="zh-CN" w:eastAsia="zh-CN"/>
              </w:rPr>
            </w:pPr>
            <w:r>
              <w:rPr>
                <w:rFonts w:hint="eastAsia"/>
                <w:lang w:val="zh-CN" w:eastAsia="zh-CN"/>
              </w:rPr>
              <w:t>1) 控制摄像机镜头的上、下、左、右转动（云台摄像机）；镜头的推近、拉远；云台的转动速度（云台摄像机）以及镜头的变倍速度；</w:t>
            </w:r>
            <w:r>
              <w:rPr>
                <w:rFonts w:hint="eastAsia"/>
                <w:lang w:val="zh-CN" w:eastAsia="zh-CN"/>
              </w:rPr>
              <w:br w:type="textWrapping"/>
            </w:r>
            <w:r>
              <w:rPr>
                <w:rFonts w:hint="eastAsia"/>
                <w:lang w:val="zh-CN" w:eastAsia="zh-CN"/>
              </w:rPr>
              <w:t>2) 需要首页设置云台摄像机的预置位，以及一键恢复预置位；</w:t>
            </w:r>
            <w:r>
              <w:rPr>
                <w:rFonts w:hint="eastAsia"/>
                <w:lang w:val="zh-CN" w:eastAsia="zh-CN"/>
              </w:rPr>
              <w:br w:type="textWrapping"/>
            </w:r>
            <w:r>
              <w:rPr>
                <w:rFonts w:hint="eastAsia"/>
                <w:lang w:val="zh-CN" w:eastAsia="zh-CN"/>
              </w:rPr>
              <w:t>3) 支持设置摄像机管理软件的语言；</w:t>
            </w:r>
            <w:r>
              <w:rPr>
                <w:rFonts w:hint="eastAsia"/>
                <w:lang w:val="zh-CN" w:eastAsia="zh-CN"/>
              </w:rPr>
              <w:br w:type="textWrapping"/>
            </w:r>
            <w:r>
              <w:rPr>
                <w:rFonts w:hint="eastAsia"/>
                <w:lang w:val="zh-CN" w:eastAsia="zh-CN"/>
              </w:rPr>
              <w:t>4) 可查看摄像机的视频画面，并可对摄像机进行控制；</w:t>
            </w:r>
            <w:r>
              <w:rPr>
                <w:rFonts w:hint="eastAsia"/>
                <w:lang w:val="zh-CN" w:eastAsia="zh-CN"/>
              </w:rPr>
              <w:br w:type="textWrapping"/>
            </w:r>
            <w:r>
              <w:rPr>
                <w:rFonts w:hint="eastAsia"/>
                <w:lang w:val="zh-CN" w:eastAsia="zh-CN"/>
              </w:rPr>
              <w:t>5) 可对摄像机的视频选项进行配置，包含视频制式、编码等级；第一及第二码流的编码协议、分辨率、码率、帧率、帧间隔、码率控制、码率波动等；</w:t>
            </w:r>
            <w:r>
              <w:rPr>
                <w:rFonts w:hint="eastAsia"/>
                <w:lang w:val="zh-CN" w:eastAsia="zh-CN"/>
              </w:rPr>
              <w:br w:type="textWrapping"/>
            </w:r>
            <w:r>
              <w:rPr>
                <w:rFonts w:hint="eastAsia"/>
                <w:lang w:val="zh-CN" w:eastAsia="zh-CN"/>
              </w:rPr>
              <w:t>6) 支持摄像机画面进行亮度、饱和度、对比度、锐度、色度调节，并可设置画面的上下及左右翻转；</w:t>
            </w:r>
            <w:r>
              <w:rPr>
                <w:rFonts w:hint="eastAsia"/>
                <w:lang w:val="zh-CN" w:eastAsia="zh-CN"/>
              </w:rPr>
              <w:br w:type="textWrapping"/>
            </w:r>
            <w:r>
              <w:rPr>
                <w:rFonts w:hint="eastAsia"/>
                <w:lang w:val="zh-CN" w:eastAsia="zh-CN"/>
              </w:rPr>
              <w:t>7) 可设置摄像机的音频格式、采样率、码率、输入类型、输入音量R、输入音量L、ADTS开关控制等；</w:t>
            </w:r>
            <w:r>
              <w:rPr>
                <w:rFonts w:hint="eastAsia"/>
                <w:lang w:val="zh-CN" w:eastAsia="zh-CN"/>
              </w:rPr>
              <w:br w:type="textWrapping"/>
            </w:r>
            <w:r>
              <w:rPr>
                <w:rFonts w:hint="eastAsia"/>
                <w:lang w:val="zh-CN" w:eastAsia="zh-CN"/>
              </w:rPr>
              <w:t>8) 支持配置摄像机的工作模式、重启的控制，以及摄像机管理软件的登录用户名及密码；</w:t>
            </w:r>
            <w:r>
              <w:rPr>
                <w:rFonts w:hint="eastAsia"/>
                <w:lang w:val="zh-CN" w:eastAsia="zh-CN"/>
              </w:rPr>
              <w:br w:type="textWrapping"/>
            </w:r>
            <w:r>
              <w:rPr>
                <w:rFonts w:hint="eastAsia"/>
                <w:lang w:val="zh-CN" w:eastAsia="zh-CN"/>
              </w:rPr>
              <w:t>9) 支持以下网络配置：</w:t>
            </w:r>
            <w:r>
              <w:rPr>
                <w:rFonts w:hint="eastAsia"/>
                <w:lang w:val="zh-CN" w:eastAsia="zh-CN"/>
              </w:rPr>
              <w:br w:type="textWrapping"/>
            </w:r>
            <w:r>
              <w:rPr>
                <w:rFonts w:hint="eastAsia"/>
                <w:lang w:val="zh-CN" w:eastAsia="zh-CN"/>
              </w:rPr>
              <w:t> 可设置摄像机的IP获取模式、基础的IP信息及查看MAC地址；</w:t>
            </w:r>
            <w:r>
              <w:rPr>
                <w:rFonts w:hint="eastAsia"/>
                <w:lang w:val="zh-CN" w:eastAsia="zh-CN"/>
              </w:rPr>
              <w:br w:type="textWrapping"/>
            </w:r>
            <w:r>
              <w:rPr>
                <w:rFonts w:hint="eastAsia"/>
                <w:lang w:val="zh-CN" w:eastAsia="zh-CN"/>
              </w:rPr>
              <w:t> 可对HTTP、RTSP以及PTZ的端口进行设置；</w:t>
            </w:r>
            <w:r>
              <w:rPr>
                <w:rFonts w:hint="eastAsia"/>
                <w:lang w:val="zh-CN" w:eastAsia="zh-CN"/>
              </w:rPr>
              <w:br w:type="textWrapping"/>
            </w:r>
            <w:r>
              <w:rPr>
                <w:rFonts w:hint="eastAsia"/>
                <w:lang w:val="zh-CN" w:eastAsia="zh-CN"/>
              </w:rPr>
              <w:t> 可设置VISCA、Pelco-D以及Pelco-P的地址；</w:t>
            </w:r>
            <w:r>
              <w:rPr>
                <w:rFonts w:hint="eastAsia"/>
                <w:lang w:val="zh-CN" w:eastAsia="zh-CN"/>
              </w:rPr>
              <w:br w:type="textWrapping"/>
            </w:r>
            <w:r>
              <w:rPr>
                <w:rFonts w:hint="eastAsia"/>
                <w:lang w:val="zh-CN" w:eastAsia="zh-CN"/>
              </w:rPr>
              <w:t> 可控制RTMP内第一及第二码流的开启、关闭、视频、音频，以及配置MRL地址等；</w:t>
            </w:r>
            <w:r>
              <w:rPr>
                <w:rFonts w:hint="eastAsia"/>
                <w:lang w:val="zh-CN" w:eastAsia="zh-CN"/>
              </w:rPr>
              <w:br w:type="textWrapping"/>
            </w:r>
            <w:r>
              <w:rPr>
                <w:rFonts w:hint="eastAsia"/>
                <w:lang w:val="zh-CN" w:eastAsia="zh-CN"/>
              </w:rPr>
              <w:t> 可开启/关闭鉴权功能；</w:t>
            </w:r>
            <w:r>
              <w:rPr>
                <w:rFonts w:hint="eastAsia"/>
                <w:lang w:val="zh-CN" w:eastAsia="zh-CN"/>
              </w:rPr>
              <w:br w:type="textWrapping"/>
            </w:r>
            <w:r>
              <w:rPr>
                <w:rFonts w:hint="eastAsia"/>
                <w:lang w:val="zh-CN" w:eastAsia="zh-CN"/>
              </w:rPr>
              <w:t> 可开启/关闭ONVIF协议，以及控制鉴权功能的开关；</w:t>
            </w:r>
            <w:r>
              <w:rPr>
                <w:rFonts w:hint="eastAsia"/>
                <w:lang w:val="zh-CN" w:eastAsia="zh-CN"/>
              </w:rPr>
              <w:br w:type="textWrapping"/>
            </w:r>
            <w:r>
              <w:rPr>
                <w:rFonts w:hint="eastAsia"/>
                <w:lang w:val="zh-CN" w:eastAsia="zh-CN"/>
              </w:rPr>
              <w:t> 可开启/关闭组播功能，并可配置端口和地址；</w:t>
            </w:r>
            <w:r>
              <w:rPr>
                <w:rFonts w:hint="eastAsia"/>
                <w:lang w:val="zh-CN" w:eastAsia="zh-CN"/>
              </w:rPr>
              <w:br w:type="textWrapping"/>
            </w:r>
            <w:r>
              <w:rPr>
                <w:rFonts w:hint="eastAsia"/>
                <w:lang w:val="zh-CN" w:eastAsia="zh-CN"/>
              </w:rPr>
              <w:t> 可开启/关闭主动远程连接远程中心功能，并可配置端口和地址；</w:t>
            </w:r>
            <w:r>
              <w:rPr>
                <w:rFonts w:hint="eastAsia"/>
                <w:lang w:val="zh-CN" w:eastAsia="zh-CN"/>
              </w:rPr>
              <w:br w:type="textWrapping"/>
            </w:r>
            <w:r>
              <w:rPr>
                <w:rFonts w:hint="eastAsia"/>
                <w:lang w:val="zh-CN" w:eastAsia="zh-CN"/>
              </w:rPr>
              <w:t> 可以定义设备的名称，并查看当前设备的软件版本、设备型号以及网页版本。</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75593">
            <w:pPr>
              <w:pStyle w:val="13"/>
              <w:rPr>
                <w:rFonts w:hint="eastAsia"/>
                <w:lang w:val="zh-CN" w:eastAsia="zh-CN"/>
              </w:rPr>
            </w:pPr>
            <w:r>
              <w:rPr>
                <w:rFonts w:hint="eastAsia"/>
                <w:lang w:val="zh-CN" w:eastAsia="zh-CN"/>
              </w:rPr>
              <w:t>5</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4D2E13B2">
            <w:pPr>
              <w:pStyle w:val="13"/>
              <w:rPr>
                <w:rFonts w:hint="eastAsia"/>
                <w:lang w:val="zh-CN" w:eastAsia="zh-CN"/>
              </w:rPr>
            </w:pPr>
            <w:r>
              <w:rPr>
                <w:rFonts w:hint="eastAsia"/>
                <w:lang w:val="zh-CN" w:eastAsia="zh-CN"/>
              </w:rPr>
              <w:t>套</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5D76666C">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23165E3">
            <w:pPr>
              <w:pStyle w:val="13"/>
              <w:rPr>
                <w:rFonts w:hint="eastAsia"/>
                <w:lang w:val="zh-CN" w:eastAsia="zh-CN"/>
              </w:rPr>
            </w:pPr>
          </w:p>
        </w:tc>
      </w:tr>
      <w:tr w14:paraId="07B86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7BD3C2">
            <w:pPr>
              <w:pStyle w:val="13"/>
              <w:rPr>
                <w:rFonts w:hint="eastAsia"/>
                <w:lang w:val="zh-CN" w:eastAsia="zh-CN"/>
              </w:rPr>
            </w:pPr>
            <w:r>
              <w:rPr>
                <w:rFonts w:hint="eastAsia"/>
                <w:lang w:val="zh-CN" w:eastAsia="zh-CN"/>
              </w:rPr>
              <w:t>16</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10B00">
            <w:pPr>
              <w:pStyle w:val="13"/>
              <w:rPr>
                <w:rFonts w:hint="eastAsia"/>
                <w:lang w:val="zh-CN" w:eastAsia="zh-CN"/>
              </w:rPr>
            </w:pPr>
            <w:r>
              <w:rPr>
                <w:rFonts w:hint="eastAsia"/>
                <w:lang w:val="zh-CN" w:eastAsia="zh-CN"/>
              </w:rPr>
              <w:t>控制面板</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0B608C76">
            <w:pPr>
              <w:pStyle w:val="13"/>
              <w:rPr>
                <w:rFonts w:hint="eastAsia"/>
                <w:lang w:val="zh-CN" w:eastAsia="zh-CN"/>
              </w:rPr>
            </w:pPr>
            <w:r>
              <w:rPr>
                <w:rFonts w:hint="eastAsia"/>
                <w:lang w:val="zh-CN" w:eastAsia="zh-CN"/>
              </w:rPr>
              <w:t>主要技术参数不得低于：具备开始、暂停、停止三个按键，嵌入式安装于教室前端多媒体讲台上，与自动跟踪设备配合使用，在无控制室人员录制情况下，教师可自主控制课程录播开始、暂停、停止全过程。</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9560EB0">
            <w:pPr>
              <w:pStyle w:val="13"/>
              <w:rPr>
                <w:rFonts w:hint="eastAsia"/>
                <w:lang w:val="zh-CN" w:eastAsia="zh-CN"/>
              </w:rPr>
            </w:pPr>
            <w:r>
              <w:rPr>
                <w:rFonts w:hint="eastAsia"/>
                <w:lang w:val="zh-CN" w:eastAsia="zh-CN"/>
              </w:rPr>
              <w:t>1</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1C955810">
            <w:pPr>
              <w:pStyle w:val="13"/>
              <w:rPr>
                <w:rFonts w:hint="eastAsia"/>
                <w:lang w:val="zh-CN" w:eastAsia="zh-CN"/>
              </w:rPr>
            </w:pPr>
            <w:r>
              <w:rPr>
                <w:rFonts w:hint="eastAsia"/>
                <w:lang w:val="zh-CN" w:eastAsia="zh-CN"/>
              </w:rPr>
              <w:t>台</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6DCD71CA">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5FD9B04A">
            <w:pPr>
              <w:pStyle w:val="13"/>
              <w:rPr>
                <w:rFonts w:hint="eastAsia"/>
                <w:lang w:val="zh-CN" w:eastAsia="zh-CN"/>
              </w:rPr>
            </w:pPr>
          </w:p>
        </w:tc>
      </w:tr>
      <w:tr w14:paraId="1D963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5"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19772F">
            <w:pPr>
              <w:pStyle w:val="13"/>
              <w:rPr>
                <w:rFonts w:hint="eastAsia"/>
                <w:lang w:val="zh-CN" w:eastAsia="zh-CN"/>
              </w:rPr>
            </w:pPr>
            <w:r>
              <w:rPr>
                <w:rFonts w:hint="eastAsia"/>
                <w:lang w:val="zh-CN" w:eastAsia="zh-CN"/>
              </w:rPr>
              <w:t>17</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6D681">
            <w:pPr>
              <w:pStyle w:val="13"/>
              <w:rPr>
                <w:rFonts w:hint="eastAsia"/>
                <w:lang w:val="zh-CN" w:eastAsia="zh-CN"/>
              </w:rPr>
            </w:pPr>
            <w:r>
              <w:rPr>
                <w:rFonts w:hint="eastAsia"/>
                <w:lang w:val="zh-CN" w:eastAsia="zh-CN"/>
              </w:rPr>
              <w:t>吊装话筒</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420B40CE">
            <w:pPr>
              <w:pStyle w:val="13"/>
              <w:rPr>
                <w:rFonts w:hint="eastAsia"/>
                <w:lang w:val="zh-CN" w:eastAsia="zh-CN"/>
              </w:rPr>
            </w:pPr>
            <w:r>
              <w:rPr>
                <w:rFonts w:hint="eastAsia"/>
                <w:lang w:val="zh-CN" w:eastAsia="zh-CN"/>
              </w:rPr>
              <w:t>1)指向性：超窄指向；</w:t>
            </w:r>
            <w:r>
              <w:rPr>
                <w:rFonts w:hint="eastAsia"/>
                <w:lang w:val="zh-CN" w:eastAsia="zh-CN"/>
              </w:rPr>
              <w:br w:type="textWrapping"/>
            </w:r>
            <w:r>
              <w:rPr>
                <w:rFonts w:hint="eastAsia"/>
                <w:lang w:val="zh-CN" w:eastAsia="zh-CN"/>
              </w:rPr>
              <w:t>2)拾音角度：≤100°；</w:t>
            </w:r>
            <w:r>
              <w:rPr>
                <w:rFonts w:hint="eastAsia"/>
                <w:lang w:val="zh-CN" w:eastAsia="zh-CN"/>
              </w:rPr>
              <w:br w:type="textWrapping"/>
            </w:r>
            <w:r>
              <w:rPr>
                <w:rFonts w:hint="eastAsia"/>
                <w:lang w:val="zh-CN" w:eastAsia="zh-CN"/>
              </w:rPr>
              <w:t>3)频率范围：40Hz～18KHz；</w:t>
            </w:r>
            <w:r>
              <w:rPr>
                <w:rFonts w:hint="eastAsia"/>
                <w:lang w:val="zh-CN" w:eastAsia="zh-CN"/>
              </w:rPr>
              <w:br w:type="textWrapping"/>
            </w:r>
            <w:r>
              <w:rPr>
                <w:rFonts w:hint="eastAsia"/>
                <w:lang w:val="zh-CN" w:eastAsia="zh-CN"/>
              </w:rPr>
              <w:t>4)信噪比：≥70dB；</w:t>
            </w:r>
            <w:r>
              <w:rPr>
                <w:rFonts w:hint="eastAsia"/>
                <w:lang w:val="zh-CN" w:eastAsia="zh-CN"/>
              </w:rPr>
              <w:br w:type="textWrapping"/>
            </w:r>
            <w:r>
              <w:rPr>
                <w:rFonts w:hint="eastAsia"/>
                <w:lang w:val="zh-CN" w:eastAsia="zh-CN"/>
              </w:rPr>
              <w:t>5)等效噪声级：22.5dB（A）；</w:t>
            </w:r>
            <w:r>
              <w:rPr>
                <w:rFonts w:hint="eastAsia"/>
                <w:lang w:val="zh-CN" w:eastAsia="zh-CN"/>
              </w:rPr>
              <w:br w:type="textWrapping"/>
            </w:r>
            <w:r>
              <w:rPr>
                <w:rFonts w:hint="eastAsia"/>
                <w:lang w:val="zh-CN" w:eastAsia="zh-CN"/>
              </w:rPr>
              <w:t>6)灵敏度：≥-30dB（@1KHz）；</w:t>
            </w:r>
            <w:r>
              <w:rPr>
                <w:rFonts w:hint="eastAsia"/>
                <w:lang w:val="zh-CN" w:eastAsia="zh-CN"/>
              </w:rPr>
              <w:br w:type="textWrapping"/>
            </w:r>
            <w:r>
              <w:rPr>
                <w:rFonts w:hint="eastAsia"/>
                <w:lang w:val="zh-CN" w:eastAsia="zh-CN"/>
              </w:rPr>
              <w:t>7)最大声压级：132（@THD≤0.5%，1KHz）；</w:t>
            </w:r>
            <w:r>
              <w:rPr>
                <w:rFonts w:hint="eastAsia"/>
                <w:lang w:val="zh-CN" w:eastAsia="zh-CN"/>
              </w:rPr>
              <w:br w:type="textWrapping"/>
            </w:r>
            <w:r>
              <w:rPr>
                <w:rFonts w:hint="eastAsia"/>
                <w:lang w:val="zh-CN" w:eastAsia="zh-CN"/>
              </w:rPr>
              <w:t>8)动态范围：≥108dB；</w:t>
            </w:r>
            <w:r>
              <w:rPr>
                <w:rFonts w:hint="eastAsia"/>
                <w:lang w:val="zh-CN" w:eastAsia="zh-CN"/>
              </w:rPr>
              <w:br w:type="textWrapping"/>
            </w:r>
            <w:r>
              <w:rPr>
                <w:rFonts w:hint="eastAsia"/>
                <w:lang w:val="zh-CN" w:eastAsia="zh-CN"/>
              </w:rPr>
              <w:t>9)信号幅度：1Vrms；</w:t>
            </w:r>
            <w:r>
              <w:rPr>
                <w:rFonts w:hint="eastAsia"/>
                <w:lang w:val="zh-CN" w:eastAsia="zh-CN"/>
              </w:rPr>
              <w:br w:type="textWrapping"/>
            </w:r>
            <w:r>
              <w:rPr>
                <w:rFonts w:hint="eastAsia"/>
                <w:lang w:val="zh-CN" w:eastAsia="zh-CN"/>
              </w:rPr>
              <w:t>10)阻抗：≤200Ω；</w:t>
            </w:r>
            <w:r>
              <w:rPr>
                <w:rFonts w:hint="eastAsia"/>
                <w:lang w:val="zh-CN" w:eastAsia="zh-CN"/>
              </w:rPr>
              <w:br w:type="textWrapping"/>
            </w:r>
            <w:r>
              <w:rPr>
                <w:rFonts w:hint="eastAsia"/>
                <w:lang w:val="zh-CN" w:eastAsia="zh-CN"/>
              </w:rPr>
              <w:t>11)工作电压： 48V幻象供电；</w:t>
            </w:r>
            <w:r>
              <w:rPr>
                <w:rFonts w:hint="eastAsia"/>
                <w:lang w:val="zh-CN" w:eastAsia="zh-CN"/>
              </w:rPr>
              <w:br w:type="textWrapping"/>
            </w:r>
            <w:r>
              <w:rPr>
                <w:rFonts w:hint="eastAsia"/>
                <w:lang w:val="zh-CN" w:eastAsia="zh-CN"/>
              </w:rPr>
              <w:t>话筒直径：≤20mm，话筒长度（不含插头）：≤240mm。</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C69703B">
            <w:pPr>
              <w:pStyle w:val="13"/>
              <w:rPr>
                <w:rFonts w:hint="eastAsia"/>
                <w:lang w:val="zh-CN" w:eastAsia="zh-CN"/>
              </w:rPr>
            </w:pPr>
            <w:r>
              <w:rPr>
                <w:rFonts w:hint="eastAsia"/>
                <w:lang w:val="zh-CN" w:eastAsia="zh-CN"/>
              </w:rPr>
              <w:t>8</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49177644">
            <w:pPr>
              <w:pStyle w:val="13"/>
              <w:rPr>
                <w:rFonts w:hint="eastAsia"/>
                <w:lang w:val="zh-CN" w:eastAsia="zh-CN"/>
              </w:rPr>
            </w:pPr>
            <w:r>
              <w:rPr>
                <w:rFonts w:hint="eastAsia"/>
                <w:lang w:val="zh-CN" w:eastAsia="zh-CN"/>
              </w:rPr>
              <w:t>支</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66889D40">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F76CD4A">
            <w:pPr>
              <w:pStyle w:val="13"/>
              <w:rPr>
                <w:rFonts w:hint="eastAsia"/>
                <w:lang w:val="zh-CN" w:eastAsia="zh-CN"/>
              </w:rPr>
            </w:pPr>
          </w:p>
        </w:tc>
      </w:tr>
      <w:tr w14:paraId="1DAD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5"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23BE5">
            <w:pPr>
              <w:pStyle w:val="13"/>
              <w:rPr>
                <w:rFonts w:hint="eastAsia"/>
                <w:lang w:val="zh-CN" w:eastAsia="zh-CN"/>
              </w:rPr>
            </w:pPr>
            <w:r>
              <w:rPr>
                <w:rFonts w:hint="eastAsia"/>
                <w:lang w:val="zh-CN" w:eastAsia="zh-CN"/>
              </w:rPr>
              <w:t>19</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E6B0C">
            <w:pPr>
              <w:pStyle w:val="13"/>
              <w:rPr>
                <w:rFonts w:hint="eastAsia"/>
                <w:lang w:val="zh-CN" w:eastAsia="zh-CN"/>
              </w:rPr>
            </w:pPr>
            <w:r>
              <w:rPr>
                <w:rFonts w:hint="eastAsia"/>
                <w:lang w:val="zh-CN" w:eastAsia="zh-CN"/>
              </w:rPr>
              <w:t>音频处理器</w:t>
            </w:r>
          </w:p>
        </w:tc>
        <w:tc>
          <w:tcPr>
            <w:tcW w:w="5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FB3A2">
            <w:pPr>
              <w:pStyle w:val="13"/>
              <w:rPr>
                <w:rFonts w:hint="eastAsia"/>
                <w:lang w:val="zh-CN" w:eastAsia="zh-CN"/>
              </w:rPr>
            </w:pPr>
            <w:r>
              <w:rPr>
                <w:rFonts w:hint="eastAsia"/>
                <w:lang w:val="zh-CN" w:eastAsia="zh-CN"/>
              </w:rPr>
              <w:t>1）支持≥8路全频AEC回声抑制功能；</w:t>
            </w:r>
            <w:r>
              <w:rPr>
                <w:rFonts w:hint="eastAsia"/>
                <w:lang w:val="zh-CN" w:eastAsia="zh-CN"/>
              </w:rPr>
              <w:br w:type="textWrapping"/>
            </w:r>
            <w:r>
              <w:rPr>
                <w:rFonts w:hint="eastAsia"/>
                <w:lang w:val="zh-CN" w:eastAsia="zh-CN"/>
              </w:rPr>
              <w:t>2）支持≥8路平衡式话筒输入，≥4路平衡式线路输入，采用裸线接口端子；</w:t>
            </w:r>
            <w:r>
              <w:rPr>
                <w:rFonts w:hint="eastAsia"/>
                <w:lang w:val="zh-CN" w:eastAsia="zh-CN"/>
              </w:rPr>
              <w:br w:type="textWrapping"/>
            </w:r>
            <w:r>
              <w:rPr>
                <w:rFonts w:hint="eastAsia"/>
                <w:lang w:val="zh-CN" w:eastAsia="zh-CN"/>
              </w:rPr>
              <w:t>3）支持≥6路平衡式线路输出，采用裸线接口端子；</w:t>
            </w:r>
            <w:r>
              <w:rPr>
                <w:rFonts w:hint="eastAsia"/>
                <w:lang w:val="zh-CN" w:eastAsia="zh-CN"/>
              </w:rPr>
              <w:br w:type="textWrapping"/>
            </w:r>
            <w:r>
              <w:rPr>
                <w:rFonts w:hint="eastAsia"/>
                <w:lang w:val="zh-CN" w:eastAsia="zh-CN"/>
              </w:rPr>
              <w:t>4）支持48V幻象电源；</w:t>
            </w:r>
            <w:r>
              <w:rPr>
                <w:rFonts w:hint="eastAsia"/>
                <w:lang w:val="zh-CN" w:eastAsia="zh-CN"/>
              </w:rPr>
              <w:br w:type="textWrapping"/>
            </w:r>
            <w:r>
              <w:rPr>
                <w:rFonts w:hint="eastAsia"/>
                <w:lang w:val="zh-CN" w:eastAsia="zh-CN"/>
              </w:rPr>
              <w:t>5）支持≥1路3.5mm通用无线麦接口，≥1路3.5mm监听音频接口；</w:t>
            </w:r>
            <w:r>
              <w:rPr>
                <w:rFonts w:hint="eastAsia"/>
                <w:lang w:val="zh-CN" w:eastAsia="zh-CN"/>
              </w:rPr>
              <w:br w:type="textWrapping"/>
            </w:r>
            <w:r>
              <w:rPr>
                <w:rFonts w:hint="eastAsia"/>
                <w:lang w:val="zh-CN" w:eastAsia="zh-CN"/>
              </w:rPr>
              <w:t>6）具备用于软件设置/控制的以太网端口；</w:t>
            </w:r>
            <w:r>
              <w:rPr>
                <w:rFonts w:hint="eastAsia"/>
                <w:lang w:val="zh-CN" w:eastAsia="zh-CN"/>
              </w:rPr>
              <w:br w:type="textWrapping"/>
            </w:r>
            <w:r>
              <w:rPr>
                <w:rFonts w:hint="eastAsia"/>
                <w:lang w:val="zh-CN" w:eastAsia="zh-CN"/>
              </w:rPr>
              <w:t>7）支持以太网接口用于多台设备联机工作；</w:t>
            </w:r>
            <w:r>
              <w:rPr>
                <w:rFonts w:hint="eastAsia"/>
                <w:lang w:val="zh-CN" w:eastAsia="zh-CN"/>
              </w:rPr>
              <w:br w:type="textWrapping"/>
            </w:r>
            <w:r>
              <w:rPr>
                <w:rFonts w:hint="eastAsia"/>
                <w:lang w:val="zh-CN" w:eastAsia="zh-CN"/>
              </w:rPr>
              <w:t>8）具备串行端口用于第三方RS-232远程控制；</w:t>
            </w:r>
            <w:r>
              <w:rPr>
                <w:rFonts w:hint="eastAsia"/>
                <w:lang w:val="zh-CN" w:eastAsia="zh-CN"/>
              </w:rPr>
              <w:br w:type="textWrapping"/>
            </w:r>
            <w:r>
              <w:rPr>
                <w:rFonts w:hint="eastAsia"/>
                <w:lang w:val="zh-CN" w:eastAsia="zh-CN"/>
              </w:rPr>
              <w:t>9）具备信号路由功能，对音频信号进行切换和分配；</w:t>
            </w:r>
            <w:r>
              <w:rPr>
                <w:rFonts w:hint="eastAsia"/>
                <w:lang w:val="zh-CN" w:eastAsia="zh-CN"/>
              </w:rPr>
              <w:br w:type="textWrapping"/>
            </w:r>
            <w:r>
              <w:rPr>
                <w:rFonts w:hint="eastAsia"/>
                <w:lang w:val="zh-CN" w:eastAsia="zh-CN"/>
              </w:rPr>
              <w:t>10）提供RMS均值和Peak峰值两种电平表，监测当前音频信号幅度；</w:t>
            </w:r>
            <w:r>
              <w:rPr>
                <w:rFonts w:hint="eastAsia"/>
                <w:lang w:val="zh-CN" w:eastAsia="zh-CN"/>
              </w:rPr>
              <w:br w:type="textWrapping"/>
            </w:r>
            <w:r>
              <w:rPr>
                <w:rFonts w:hint="eastAsia"/>
                <w:lang w:val="zh-CN" w:eastAsia="zh-CN"/>
              </w:rPr>
              <w:t>11）信号处理模块具备：滤波模块：高通、低通；均衡器模块：10段图示均衡；音频处理模块：智能降噪、限幅器、压缩限制器、噪声门、增益控制、反馈抑制；混音模块：智能混音、矩阵混音；具备延时模块。</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9FFC7">
            <w:pPr>
              <w:pStyle w:val="13"/>
              <w:rPr>
                <w:rFonts w:hint="eastAsia"/>
                <w:lang w:val="zh-CN" w:eastAsia="zh-CN"/>
              </w:rPr>
            </w:pPr>
            <w:r>
              <w:rPr>
                <w:rFonts w:hint="eastAsia"/>
                <w:lang w:val="zh-CN" w:eastAsia="zh-CN"/>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CB372">
            <w:pPr>
              <w:pStyle w:val="13"/>
              <w:rPr>
                <w:rFonts w:hint="eastAsia"/>
                <w:lang w:val="zh-CN" w:eastAsia="zh-CN"/>
              </w:rPr>
            </w:pPr>
            <w:r>
              <w:rPr>
                <w:rFonts w:hint="eastAsia"/>
                <w:lang w:val="zh-CN" w:eastAsia="zh-CN"/>
              </w:rPr>
              <w:t>台</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800074">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804A75">
            <w:pPr>
              <w:pStyle w:val="13"/>
              <w:rPr>
                <w:rFonts w:hint="eastAsia"/>
                <w:lang w:val="zh-CN" w:eastAsia="zh-CN"/>
              </w:rPr>
            </w:pPr>
          </w:p>
        </w:tc>
      </w:tr>
      <w:tr w14:paraId="4411B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8"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0EF02">
            <w:pPr>
              <w:pStyle w:val="13"/>
              <w:rPr>
                <w:rFonts w:hint="eastAsia"/>
                <w:lang w:val="zh-CN" w:eastAsia="zh-CN"/>
              </w:rPr>
            </w:pPr>
            <w:r>
              <w:rPr>
                <w:rFonts w:hint="eastAsia"/>
                <w:lang w:val="zh-CN" w:eastAsia="zh-CN"/>
              </w:rPr>
              <w:t>20</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7AADE">
            <w:pPr>
              <w:pStyle w:val="13"/>
              <w:rPr>
                <w:rFonts w:hint="eastAsia"/>
                <w:lang w:val="zh-CN" w:eastAsia="zh-CN"/>
              </w:rPr>
            </w:pPr>
            <w:r>
              <w:rPr>
                <w:rFonts w:hint="eastAsia"/>
                <w:lang w:val="zh-CN" w:eastAsia="zh-CN"/>
              </w:rPr>
              <w:t>双通道数字功放</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4049EA4D">
            <w:pPr>
              <w:pStyle w:val="13"/>
              <w:rPr>
                <w:rFonts w:hint="eastAsia"/>
                <w:lang w:val="zh-CN" w:eastAsia="zh-CN"/>
              </w:rPr>
            </w:pPr>
            <w:r>
              <w:rPr>
                <w:rFonts w:hint="eastAsia"/>
                <w:lang w:val="zh-CN" w:eastAsia="zh-CN"/>
              </w:rPr>
              <w:t>1)采用≤1U标准机架式功放，双通道设计，内置≥2个不间断散热风扇；</w:t>
            </w:r>
            <w:r>
              <w:rPr>
                <w:rFonts w:hint="eastAsia"/>
                <w:lang w:val="zh-CN" w:eastAsia="zh-CN"/>
              </w:rPr>
              <w:br w:type="textWrapping"/>
            </w:r>
            <w:r>
              <w:rPr>
                <w:rFonts w:hint="eastAsia"/>
                <w:lang w:val="zh-CN" w:eastAsia="zh-CN"/>
              </w:rPr>
              <w:t>2)支持直流输出、过热保护、负载短路、过流、输出保护、过热保护、交流过流保护等；</w:t>
            </w:r>
            <w:r>
              <w:rPr>
                <w:rFonts w:hint="eastAsia"/>
                <w:lang w:val="zh-CN" w:eastAsia="zh-CN"/>
              </w:rPr>
              <w:br w:type="textWrapping"/>
            </w:r>
            <w:r>
              <w:rPr>
                <w:rFonts w:hint="eastAsia"/>
                <w:lang w:val="zh-CN" w:eastAsia="zh-CN"/>
              </w:rPr>
              <w:t>3)内置≥4路左右声道音频输入接口和≥4路功放音频输出接口；</w:t>
            </w:r>
            <w:r>
              <w:rPr>
                <w:rFonts w:hint="eastAsia"/>
                <w:lang w:val="zh-CN" w:eastAsia="zh-CN"/>
              </w:rPr>
              <w:br w:type="textWrapping"/>
            </w:r>
            <w:r>
              <w:rPr>
                <w:rFonts w:hint="eastAsia"/>
                <w:lang w:val="zh-CN" w:eastAsia="zh-CN"/>
              </w:rPr>
              <w:t>4)内置主功放和监听功放输出音量调节旋钮及音量指示灯；</w:t>
            </w:r>
            <w:r>
              <w:rPr>
                <w:rFonts w:hint="eastAsia"/>
                <w:lang w:val="zh-CN" w:eastAsia="zh-CN"/>
              </w:rPr>
              <w:br w:type="textWrapping"/>
            </w:r>
            <w:r>
              <w:rPr>
                <w:rFonts w:hint="eastAsia"/>
                <w:lang w:val="zh-CN" w:eastAsia="zh-CN"/>
              </w:rPr>
              <w:t>5)信噪比（加权）：&gt;90dB；</w:t>
            </w:r>
            <w:r>
              <w:rPr>
                <w:rFonts w:hint="eastAsia"/>
                <w:lang w:val="zh-CN" w:eastAsia="zh-CN"/>
              </w:rPr>
              <w:br w:type="textWrapping"/>
            </w:r>
            <w:r>
              <w:rPr>
                <w:rFonts w:hint="eastAsia"/>
                <w:lang w:val="zh-CN" w:eastAsia="zh-CN"/>
              </w:rPr>
              <w:t>6)电压增益：≥30dB；</w:t>
            </w:r>
            <w:r>
              <w:rPr>
                <w:rFonts w:hint="eastAsia"/>
                <w:lang w:val="zh-CN" w:eastAsia="zh-CN"/>
              </w:rPr>
              <w:br w:type="textWrapping"/>
            </w:r>
            <w:r>
              <w:rPr>
                <w:rFonts w:hint="eastAsia"/>
                <w:lang w:val="zh-CN" w:eastAsia="zh-CN"/>
              </w:rPr>
              <w:t>7)频率响应：22H～20KHz（-3dB）；</w:t>
            </w:r>
            <w:r>
              <w:rPr>
                <w:rFonts w:hint="eastAsia"/>
                <w:lang w:val="zh-CN" w:eastAsia="zh-CN"/>
              </w:rPr>
              <w:br w:type="textWrapping"/>
            </w:r>
            <w:r>
              <w:rPr>
                <w:rFonts w:hint="eastAsia"/>
                <w:lang w:val="zh-CN" w:eastAsia="zh-CN"/>
              </w:rPr>
              <w:t>8)失真率：＜1%（1KHz，额定功率）；</w:t>
            </w:r>
            <w:r>
              <w:rPr>
                <w:rFonts w:hint="eastAsia"/>
                <w:lang w:val="zh-CN" w:eastAsia="zh-CN"/>
              </w:rPr>
              <w:br w:type="textWrapping"/>
            </w:r>
            <w:r>
              <w:rPr>
                <w:rFonts w:hint="eastAsia"/>
                <w:lang w:val="zh-CN" w:eastAsia="zh-CN"/>
              </w:rPr>
              <w:t>9)声道系统：2.0 +2.0，电源输入：220V±10%/2A/50Hz，内置保险管；</w:t>
            </w:r>
            <w:r>
              <w:rPr>
                <w:rFonts w:hint="eastAsia"/>
                <w:lang w:val="zh-CN" w:eastAsia="zh-CN"/>
              </w:rPr>
              <w:br w:type="textWrapping"/>
            </w:r>
            <w:r>
              <w:rPr>
                <w:rFonts w:hint="eastAsia"/>
                <w:lang w:val="zh-CN" w:eastAsia="zh-CN"/>
              </w:rPr>
              <w:t>10)功放和电源总效率：&gt;83%，功放开关频率：≥500KHz；</w:t>
            </w:r>
            <w:r>
              <w:rPr>
                <w:rFonts w:hint="eastAsia"/>
                <w:lang w:val="zh-CN" w:eastAsia="zh-CN"/>
              </w:rPr>
              <w:br w:type="textWrapping"/>
            </w:r>
            <w:r>
              <w:rPr>
                <w:rFonts w:hint="eastAsia"/>
                <w:lang w:val="zh-CN" w:eastAsia="zh-CN"/>
              </w:rPr>
              <w:t>11)总功率：≥300W，主功放输出功率：≥200W，监听功放输出功率：≥100W；</w:t>
            </w:r>
            <w:r>
              <w:rPr>
                <w:rFonts w:hint="eastAsia"/>
                <w:lang w:val="zh-CN" w:eastAsia="zh-CN"/>
              </w:rPr>
              <w:br w:type="textWrapping"/>
            </w:r>
            <w:r>
              <w:rPr>
                <w:rFonts w:hint="eastAsia"/>
                <w:lang w:val="zh-CN" w:eastAsia="zh-CN"/>
              </w:rPr>
              <w:t>规避兼容性风险，采用音箱同品牌配套产品。</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1F51002">
            <w:pPr>
              <w:pStyle w:val="13"/>
              <w:rPr>
                <w:rFonts w:hint="eastAsia"/>
                <w:lang w:val="zh-CN" w:eastAsia="zh-CN"/>
              </w:rPr>
            </w:pPr>
            <w:r>
              <w:rPr>
                <w:rFonts w:hint="eastAsia"/>
                <w:lang w:val="zh-CN" w:eastAsia="zh-CN"/>
              </w:rPr>
              <w:t>1</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4CFF0A8F">
            <w:pPr>
              <w:pStyle w:val="13"/>
              <w:rPr>
                <w:rFonts w:hint="eastAsia"/>
                <w:lang w:val="zh-CN" w:eastAsia="zh-CN"/>
              </w:rPr>
            </w:pPr>
            <w:r>
              <w:rPr>
                <w:rFonts w:hint="eastAsia"/>
                <w:lang w:val="zh-CN" w:eastAsia="zh-CN"/>
              </w:rPr>
              <w:t>台</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5655D443">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6CCC59C0">
            <w:pPr>
              <w:pStyle w:val="13"/>
              <w:rPr>
                <w:rFonts w:hint="eastAsia"/>
                <w:lang w:val="zh-CN" w:eastAsia="zh-CN"/>
              </w:rPr>
            </w:pPr>
          </w:p>
        </w:tc>
      </w:tr>
      <w:tr w14:paraId="3B029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7"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20E58">
            <w:pPr>
              <w:pStyle w:val="13"/>
              <w:rPr>
                <w:rFonts w:hint="eastAsia"/>
                <w:lang w:val="zh-CN" w:eastAsia="zh-CN"/>
              </w:rPr>
            </w:pPr>
            <w:r>
              <w:rPr>
                <w:rFonts w:hint="eastAsia"/>
                <w:lang w:val="zh-CN" w:eastAsia="zh-CN"/>
              </w:rPr>
              <w:t>21</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35690">
            <w:pPr>
              <w:pStyle w:val="13"/>
              <w:rPr>
                <w:rFonts w:hint="eastAsia"/>
                <w:lang w:val="zh-CN" w:eastAsia="zh-CN"/>
              </w:rPr>
            </w:pPr>
            <w:r>
              <w:rPr>
                <w:rFonts w:hint="eastAsia"/>
                <w:lang w:val="zh-CN" w:eastAsia="zh-CN"/>
              </w:rPr>
              <w:t>线阵列音箱</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1164019B">
            <w:pPr>
              <w:pStyle w:val="13"/>
              <w:rPr>
                <w:rFonts w:hint="eastAsia"/>
                <w:lang w:val="zh-CN" w:eastAsia="zh-CN"/>
              </w:rPr>
            </w:pPr>
            <w:r>
              <w:rPr>
                <w:rFonts w:hint="eastAsia"/>
                <w:lang w:val="zh-CN" w:eastAsia="zh-CN"/>
              </w:rPr>
              <w:t>1、总体要求：采用线状音源理论的阵列式音箱，每只音箱包含6个扩音单元、阵列排列，扩音时声音不易向垂直方向扩散，只向水平方向扩散，不易被天花板和地面反射，不易引起啸叫，声音清晰度高。</w:t>
            </w:r>
            <w:r>
              <w:rPr>
                <w:rFonts w:hint="eastAsia"/>
                <w:lang w:val="zh-CN" w:eastAsia="zh-CN"/>
              </w:rPr>
              <w:br w:type="textWrapping"/>
            </w:r>
            <w:r>
              <w:rPr>
                <w:rFonts w:hint="eastAsia"/>
                <w:lang w:val="zh-CN" w:eastAsia="zh-CN"/>
              </w:rPr>
              <w:t>2、主要技术参数不得低于：最大功率60 W、额定功率30 W；声压级：1 W（1 kHz，1 米）时，92 dB (SPL)，有效频率范围(-10 dB)，190 Hz 至 18 kHz；开放角度1 kHz / 4 kHz (-6 dB)，水平210°/132°，垂直50°/22°，额定阻抗6 欧姆；机械指标：尺寸（高 x 宽 x 深）约为800 x 80 x 90 毫米；环境要求：操作温度-25°C 至 +55°C（-13°F 至 +131°F）；存储温度-40 ºC 至 +70 ºC（-40 ºF 至 +158 ºF）；相对湿度&lt;95%。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AE3D211">
            <w:pPr>
              <w:pStyle w:val="13"/>
              <w:rPr>
                <w:rFonts w:hint="eastAsia"/>
                <w:lang w:val="zh-CN" w:eastAsia="zh-CN"/>
              </w:rPr>
            </w:pPr>
            <w:r>
              <w:rPr>
                <w:rFonts w:hint="eastAsia"/>
                <w:lang w:val="zh-CN" w:eastAsia="zh-CN"/>
              </w:rPr>
              <w:t>2</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63370773">
            <w:pPr>
              <w:pStyle w:val="13"/>
              <w:rPr>
                <w:rFonts w:hint="eastAsia"/>
                <w:lang w:val="zh-CN" w:eastAsia="zh-CN"/>
              </w:rPr>
            </w:pPr>
            <w:r>
              <w:rPr>
                <w:rFonts w:hint="eastAsia"/>
                <w:lang w:val="zh-CN" w:eastAsia="zh-CN"/>
              </w:rPr>
              <w:t>台</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69728547">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08E7C85D">
            <w:pPr>
              <w:pStyle w:val="13"/>
              <w:rPr>
                <w:rFonts w:hint="eastAsia"/>
                <w:lang w:val="zh-CN" w:eastAsia="zh-CN"/>
              </w:rPr>
            </w:pPr>
          </w:p>
        </w:tc>
      </w:tr>
      <w:tr w14:paraId="7D4F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5"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5899E">
            <w:pPr>
              <w:pStyle w:val="13"/>
              <w:rPr>
                <w:rFonts w:hint="eastAsia"/>
                <w:lang w:val="zh-CN" w:eastAsia="zh-CN"/>
              </w:rPr>
            </w:pPr>
            <w:r>
              <w:rPr>
                <w:rFonts w:hint="eastAsia"/>
                <w:lang w:val="zh-CN" w:eastAsia="zh-CN"/>
              </w:rPr>
              <w:t>22</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32C480">
            <w:pPr>
              <w:pStyle w:val="13"/>
              <w:rPr>
                <w:rFonts w:hint="eastAsia"/>
                <w:lang w:val="zh-CN" w:eastAsia="zh-CN"/>
              </w:rPr>
            </w:pPr>
            <w:r>
              <w:rPr>
                <w:rFonts w:hint="eastAsia"/>
                <w:lang w:val="zh-CN" w:eastAsia="zh-CN"/>
              </w:rPr>
              <w:t>电源时序控制器</w:t>
            </w:r>
          </w:p>
        </w:tc>
        <w:tc>
          <w:tcPr>
            <w:tcW w:w="5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DB0DE">
            <w:pPr>
              <w:pStyle w:val="13"/>
              <w:rPr>
                <w:rFonts w:hint="eastAsia"/>
                <w:lang w:val="zh-CN" w:eastAsia="zh-CN"/>
              </w:rPr>
            </w:pPr>
            <w:r>
              <w:rPr>
                <w:rFonts w:hint="eastAsia"/>
                <w:lang w:val="zh-CN" w:eastAsia="zh-CN"/>
              </w:rPr>
              <w:t>1）采用≤1.5U标准机架式外观设计，支持AC 220V强电输入，输入电流≥15A；</w:t>
            </w:r>
            <w:r>
              <w:rPr>
                <w:rFonts w:hint="eastAsia"/>
                <w:lang w:val="zh-CN" w:eastAsia="zh-CN"/>
              </w:rPr>
              <w:br w:type="textWrapping"/>
            </w:r>
            <w:r>
              <w:rPr>
                <w:rFonts w:hint="eastAsia"/>
                <w:lang w:val="zh-CN" w:eastAsia="zh-CN"/>
              </w:rPr>
              <w:t>2）主机背板≥8个AC 220V电源输出接口，输出电流：每个端口：≤10A；总电流：≤15A；</w:t>
            </w:r>
            <w:r>
              <w:rPr>
                <w:rFonts w:hint="eastAsia"/>
                <w:lang w:val="zh-CN" w:eastAsia="zh-CN"/>
              </w:rPr>
              <w:br w:type="textWrapping"/>
            </w:r>
            <w:r>
              <w:rPr>
                <w:rFonts w:hint="eastAsia"/>
                <w:lang w:val="zh-CN" w:eastAsia="zh-CN"/>
              </w:rPr>
              <w:t>3）主机面板具备电源输出状态指示灯，与电源输出接口一一对应，通电后长亮；</w:t>
            </w:r>
            <w:r>
              <w:rPr>
                <w:rFonts w:hint="eastAsia"/>
                <w:lang w:val="zh-CN" w:eastAsia="zh-CN"/>
              </w:rPr>
              <w:br w:type="textWrapping"/>
            </w:r>
            <w:r>
              <w:rPr>
                <w:rFonts w:hint="eastAsia"/>
                <w:lang w:val="zh-CN" w:eastAsia="zh-CN"/>
              </w:rPr>
              <w:t>4）主机背板具备显示模块，支持实时循环显示主机IP地址和设备时间等；</w:t>
            </w:r>
            <w:r>
              <w:rPr>
                <w:rFonts w:hint="eastAsia"/>
                <w:lang w:val="zh-CN" w:eastAsia="zh-CN"/>
              </w:rPr>
              <w:br w:type="textWrapping"/>
            </w:r>
            <w:r>
              <w:rPr>
                <w:rFonts w:hint="eastAsia"/>
                <w:lang w:val="zh-CN" w:eastAsia="zh-CN"/>
              </w:rPr>
              <w:t>5）具备物理复位键，支持一键初始化设备IP地址；</w:t>
            </w:r>
            <w:r>
              <w:rPr>
                <w:rFonts w:hint="eastAsia"/>
                <w:lang w:val="zh-CN" w:eastAsia="zh-CN"/>
              </w:rPr>
              <w:br w:type="textWrapping"/>
            </w:r>
            <w:r>
              <w:rPr>
                <w:rFonts w:hint="eastAsia"/>
                <w:lang w:val="zh-CN" w:eastAsia="zh-CN"/>
              </w:rPr>
              <w:t>6）具备≥1路I/O接口，≥1路RS232控制接口，支持通过中控主机进行设备本地控制；</w:t>
            </w:r>
            <w:r>
              <w:rPr>
                <w:rFonts w:hint="eastAsia"/>
                <w:lang w:val="zh-CN" w:eastAsia="zh-CN"/>
              </w:rPr>
              <w:br w:type="textWrapping"/>
            </w:r>
            <w:r>
              <w:rPr>
                <w:rFonts w:hint="eastAsia"/>
                <w:lang w:val="zh-CN" w:eastAsia="zh-CN"/>
              </w:rPr>
              <w:t xml:space="preserve">7）具备≥1路RJ45网络接口，支持接入集控管理平台实现远程集中管控； </w:t>
            </w:r>
            <w:r>
              <w:rPr>
                <w:rFonts w:hint="eastAsia"/>
                <w:lang w:val="zh-CN" w:eastAsia="zh-CN"/>
              </w:rPr>
              <w:br w:type="textWrapping"/>
            </w:r>
            <w:r>
              <w:rPr>
                <w:rFonts w:hint="eastAsia"/>
                <w:lang w:val="zh-CN" w:eastAsia="zh-CN"/>
              </w:rPr>
              <w:t>8）内置电源时序控制软件，支持通过浏览器访问主机IP进入设备管理页面，进行主机参数设置及网络控制等；</w:t>
            </w:r>
            <w:r>
              <w:rPr>
                <w:rFonts w:hint="eastAsia"/>
                <w:lang w:val="zh-CN" w:eastAsia="zh-CN"/>
              </w:rPr>
              <w:br w:type="textWrapping"/>
            </w:r>
            <w:r>
              <w:rPr>
                <w:rFonts w:hint="eastAsia"/>
                <w:lang w:val="zh-CN" w:eastAsia="zh-CN"/>
              </w:rPr>
              <w:t>9）支持通过设备管理页面针对接入主机每个端口的设备分别选择实施开启、关闭、延时开启、延时关闭、延时重启；支持自定义设置延时时间；</w:t>
            </w:r>
            <w:r>
              <w:rPr>
                <w:rFonts w:hint="eastAsia"/>
                <w:lang w:val="zh-CN" w:eastAsia="zh-CN"/>
              </w:rPr>
              <w:br w:type="textWrapping"/>
            </w:r>
            <w:r>
              <w:rPr>
                <w:rFonts w:hint="eastAsia"/>
                <w:lang w:val="zh-CN" w:eastAsia="zh-CN"/>
              </w:rPr>
              <w:t>10）支持通过设备管理页面自定义选择电源输出接口添加或删除定时任务，支持按 “每天”、“每周”、或“每月”设置 “重启”、“开机”或“关机”任务；</w:t>
            </w:r>
            <w:r>
              <w:rPr>
                <w:rFonts w:hint="eastAsia"/>
                <w:lang w:val="zh-CN" w:eastAsia="zh-CN"/>
              </w:rPr>
              <w:br w:type="textWrapping"/>
            </w:r>
            <w:r>
              <w:rPr>
                <w:rFonts w:hint="eastAsia"/>
                <w:lang w:val="zh-CN" w:eastAsia="zh-CN"/>
              </w:rPr>
              <w:t>11）支持通过设备管理页面重置电源接口配置信息及主机网络配置信息；</w:t>
            </w:r>
            <w:r>
              <w:rPr>
                <w:rFonts w:hint="eastAsia"/>
                <w:lang w:val="zh-CN" w:eastAsia="zh-CN"/>
              </w:rPr>
              <w:br w:type="textWrapping"/>
            </w:r>
            <w:r>
              <w:rPr>
                <w:rFonts w:hint="eastAsia"/>
                <w:lang w:val="zh-CN" w:eastAsia="zh-CN"/>
              </w:rPr>
              <w:t>12) 主机接触电流、抗电强度及接地电阻等须符合GB 4943.1标准，</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36A99">
            <w:pPr>
              <w:pStyle w:val="13"/>
              <w:rPr>
                <w:rFonts w:hint="eastAsia"/>
                <w:lang w:val="zh-CN" w:eastAsia="zh-CN"/>
              </w:rPr>
            </w:pPr>
            <w:r>
              <w:rPr>
                <w:rFonts w:hint="eastAsia"/>
                <w:lang w:val="zh-CN" w:eastAsia="zh-CN"/>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2A54F">
            <w:pPr>
              <w:pStyle w:val="13"/>
              <w:rPr>
                <w:rFonts w:hint="eastAsia"/>
                <w:lang w:val="zh-CN" w:eastAsia="zh-CN"/>
              </w:rPr>
            </w:pPr>
            <w:r>
              <w:rPr>
                <w:rFonts w:hint="eastAsia"/>
                <w:lang w:val="zh-CN" w:eastAsia="zh-CN"/>
              </w:rPr>
              <w:t>台</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00E2B">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230DB">
            <w:pPr>
              <w:pStyle w:val="13"/>
              <w:rPr>
                <w:rFonts w:hint="eastAsia"/>
                <w:lang w:val="zh-CN" w:eastAsia="zh-CN"/>
              </w:rPr>
            </w:pPr>
          </w:p>
        </w:tc>
      </w:tr>
      <w:tr w14:paraId="7102E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6"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2C621">
            <w:pPr>
              <w:pStyle w:val="13"/>
              <w:rPr>
                <w:rFonts w:hint="eastAsia"/>
                <w:lang w:val="zh-CN" w:eastAsia="zh-CN"/>
              </w:rPr>
            </w:pPr>
            <w:r>
              <w:rPr>
                <w:rFonts w:hint="eastAsia"/>
                <w:lang w:val="zh-CN" w:eastAsia="zh-CN"/>
              </w:rPr>
              <w:t>23</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9B043">
            <w:pPr>
              <w:pStyle w:val="13"/>
              <w:ind w:left="0" w:leftChars="0" w:firstLine="0" w:firstLineChars="0"/>
              <w:rPr>
                <w:rFonts w:hint="eastAsia"/>
                <w:lang w:val="zh-CN" w:eastAsia="zh-CN"/>
              </w:rPr>
            </w:pPr>
            <w:r>
              <w:rPr>
                <w:rFonts w:hint="eastAsia"/>
                <w:lang w:val="zh-CN" w:eastAsia="zh-CN"/>
              </w:rPr>
              <w:t>录播机柜</w:t>
            </w:r>
          </w:p>
        </w:tc>
        <w:tc>
          <w:tcPr>
            <w:tcW w:w="5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1F0FE">
            <w:pPr>
              <w:pStyle w:val="13"/>
              <w:rPr>
                <w:rFonts w:hint="eastAsia"/>
                <w:lang w:val="zh-CN" w:eastAsia="zh-CN"/>
              </w:rPr>
            </w:pPr>
            <w:r>
              <w:rPr>
                <w:rFonts w:hint="eastAsia"/>
                <w:lang w:val="zh-CN" w:eastAsia="zh-CN"/>
              </w:rPr>
              <w:t>1）采用19英寸标准机柜设计，高度≥22U，主体材质采用SPCC冷轧钢板，柜体内置电源箱</w:t>
            </w:r>
            <w:r>
              <w:rPr>
                <w:rFonts w:hint="eastAsia"/>
                <w:lang w:val="zh-CN" w:eastAsia="zh-CN"/>
              </w:rPr>
              <w:br w:type="textWrapping"/>
            </w:r>
            <w:r>
              <w:rPr>
                <w:rFonts w:hint="eastAsia"/>
                <w:lang w:val="zh-CN" w:eastAsia="zh-CN"/>
              </w:rPr>
              <w:t>2）机柜顶部采用可操作台面设计，支持摆放显示器、导播台等设备进行本地导播控制；</w:t>
            </w:r>
            <w:r>
              <w:rPr>
                <w:rFonts w:hint="eastAsia"/>
                <w:lang w:val="zh-CN" w:eastAsia="zh-CN"/>
              </w:rPr>
              <w:br w:type="textWrapping"/>
            </w:r>
            <w:r>
              <w:rPr>
                <w:rFonts w:hint="eastAsia"/>
                <w:lang w:val="zh-CN" w:eastAsia="zh-CN"/>
              </w:rPr>
              <w:t>3）机柜内置电源箱具备≥4路包含2P和3P类型的AC 220V电源插座接口，具备≥4路包含圆孔插座和接线端子类型的DC 12V电源接口，支持为机柜内部模块及录播系统进行供电；</w:t>
            </w:r>
            <w:r>
              <w:rPr>
                <w:rFonts w:hint="eastAsia"/>
                <w:lang w:val="zh-CN" w:eastAsia="zh-CN"/>
              </w:rPr>
              <w:br w:type="textWrapping"/>
            </w:r>
            <w:r>
              <w:rPr>
                <w:rFonts w:hint="eastAsia"/>
                <w:lang w:val="zh-CN" w:eastAsia="zh-CN"/>
              </w:rPr>
              <w:t>4）机柜内置电源箱具备≥8路10M/100M/1000Mbps自适应的POE网络接口，实现机柜内网络互联互通；</w:t>
            </w:r>
            <w:r>
              <w:rPr>
                <w:rFonts w:hint="eastAsia"/>
                <w:lang w:val="zh-CN" w:eastAsia="zh-CN"/>
              </w:rPr>
              <w:br w:type="textWrapping"/>
            </w:r>
            <w:r>
              <w:rPr>
                <w:rFonts w:hint="eastAsia"/>
                <w:lang w:val="zh-CN" w:eastAsia="zh-CN"/>
              </w:rPr>
              <w:t>5）机柜内置电源箱电源开关采用AC 220V/10A空气开关设计，支持控制机柜总电源；</w:t>
            </w:r>
            <w:r>
              <w:rPr>
                <w:rFonts w:hint="eastAsia"/>
                <w:lang w:val="zh-CN" w:eastAsia="zh-CN"/>
              </w:rPr>
              <w:br w:type="textWrapping"/>
            </w:r>
            <w:r>
              <w:rPr>
                <w:rFonts w:hint="eastAsia"/>
                <w:lang w:val="zh-CN" w:eastAsia="zh-CN"/>
              </w:rPr>
              <w:t>6）机柜具备≥2个散热风口，前后柜门配备安全锁。</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CA311">
            <w:pPr>
              <w:pStyle w:val="13"/>
              <w:rPr>
                <w:rFonts w:hint="eastAsia"/>
                <w:lang w:val="zh-CN" w:eastAsia="zh-CN"/>
              </w:rPr>
            </w:pPr>
            <w:r>
              <w:rPr>
                <w:rFonts w:hint="eastAsia"/>
                <w:lang w:val="zh-CN" w:eastAsia="zh-CN"/>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93D47">
            <w:pPr>
              <w:pStyle w:val="13"/>
              <w:rPr>
                <w:rFonts w:hint="eastAsia"/>
                <w:lang w:val="zh-CN" w:eastAsia="zh-CN"/>
              </w:rPr>
            </w:pPr>
            <w:r>
              <w:rPr>
                <w:rFonts w:hint="eastAsia"/>
                <w:lang w:val="zh-CN" w:eastAsia="zh-CN"/>
              </w:rPr>
              <w:t>台</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B8CB2">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6B8195">
            <w:pPr>
              <w:pStyle w:val="13"/>
              <w:rPr>
                <w:rFonts w:hint="eastAsia"/>
                <w:lang w:val="zh-CN" w:eastAsia="zh-CN"/>
              </w:rPr>
            </w:pPr>
          </w:p>
        </w:tc>
      </w:tr>
      <w:tr w14:paraId="1A41E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5"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55377">
            <w:pPr>
              <w:pStyle w:val="13"/>
              <w:rPr>
                <w:rFonts w:hint="eastAsia"/>
                <w:lang w:val="zh-CN" w:eastAsia="zh-CN"/>
              </w:rPr>
            </w:pPr>
            <w:r>
              <w:rPr>
                <w:rFonts w:hint="eastAsia"/>
                <w:lang w:val="zh-CN" w:eastAsia="zh-CN"/>
              </w:rPr>
              <w:t>24</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01F3A">
            <w:pPr>
              <w:pStyle w:val="13"/>
              <w:ind w:left="0" w:leftChars="0" w:firstLine="0" w:firstLineChars="0"/>
              <w:rPr>
                <w:rFonts w:hint="eastAsia"/>
                <w:lang w:val="zh-CN" w:eastAsia="zh-CN"/>
              </w:rPr>
            </w:pPr>
            <w:r>
              <w:rPr>
                <w:rFonts w:hint="eastAsia"/>
                <w:lang w:val="zh-CN" w:eastAsia="zh-CN"/>
              </w:rPr>
              <w:t>高端多媒体讲台</w:t>
            </w:r>
          </w:p>
        </w:tc>
        <w:tc>
          <w:tcPr>
            <w:tcW w:w="5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747A9">
            <w:pPr>
              <w:pStyle w:val="13"/>
              <w:rPr>
                <w:rFonts w:hint="eastAsia"/>
                <w:lang w:val="zh-CN" w:eastAsia="zh-CN"/>
              </w:rPr>
            </w:pPr>
            <w:r>
              <w:rPr>
                <w:rFonts w:hint="eastAsia"/>
                <w:lang w:val="zh-CN" w:eastAsia="zh-CN"/>
              </w:rPr>
              <w:t>1、讲桌采用钢木结合构造，桌体上部分采用圆弧设计。讲台整体设计符合人体力学原理，提供左右木质扶手，供使用者扶用。重点部位须采用一次冲压成型技术；所有钣金部分均采用激光切割加工，所有尖角倒圆角不小于R3，保证使用者和维护者不划伤。讲桌尺寸：1150*780*1000mm（长宽高）。</w:t>
            </w:r>
            <w:r>
              <w:rPr>
                <w:rFonts w:hint="eastAsia"/>
                <w:lang w:val="zh-CN" w:eastAsia="zh-CN"/>
              </w:rPr>
              <w:br w:type="textWrapping"/>
            </w:r>
            <w:r>
              <w:rPr>
                <w:rFonts w:hint="eastAsia"/>
                <w:lang w:val="zh-CN" w:eastAsia="zh-CN"/>
              </w:rPr>
              <w:t>2、上柜体只需由一把机械锁控制，采用环环相扣设计，显示器盖板、键盘、中控和展示台抽屉逐步打开。操作更简易，使用更安全，可扩充IC卡电子锁。</w:t>
            </w:r>
            <w:r>
              <w:rPr>
                <w:rFonts w:hint="eastAsia"/>
                <w:lang w:val="zh-CN" w:eastAsia="zh-CN"/>
              </w:rPr>
              <w:br w:type="textWrapping"/>
            </w:r>
            <w:r>
              <w:rPr>
                <w:rFonts w:hint="eastAsia"/>
                <w:lang w:val="zh-CN" w:eastAsia="zh-CN"/>
              </w:rPr>
              <w:t>3、讲桌桌面采用木质耐划台面，闭合时讲台桌面为完整水平木台面，可作为教师演讲桌使用。满足室内装饰材料人造板及其制品中的甲醛释放量标准要求并能够提供检测报告。</w:t>
            </w:r>
            <w:r>
              <w:rPr>
                <w:rFonts w:hint="eastAsia"/>
                <w:lang w:val="zh-CN" w:eastAsia="zh-CN"/>
              </w:rPr>
              <w:br w:type="textWrapping"/>
            </w:r>
            <w:r>
              <w:rPr>
                <w:rFonts w:hint="eastAsia"/>
                <w:lang w:val="zh-CN" w:eastAsia="zh-CN"/>
              </w:rPr>
              <w:t>4、讲桌主体材料采用1.5mm冷轧钢板，其他辅助部门采用1.2mm冷轧钢板。表面涂层须通过ROHS检测，且提供检测报告。讲台正面配有留有LOGO木制面板。</w:t>
            </w:r>
            <w:r>
              <w:rPr>
                <w:rFonts w:hint="eastAsia"/>
                <w:lang w:val="zh-CN" w:eastAsia="zh-CN"/>
              </w:rPr>
              <w:br w:type="textWrapping"/>
            </w:r>
            <w:r>
              <w:rPr>
                <w:rFonts w:hint="eastAsia"/>
                <w:lang w:val="zh-CN" w:eastAsia="zh-CN"/>
              </w:rPr>
              <w:t>5、讲桌上下层采用分体式设计，桌面部分和桌体部分自成一体，方便进出设计比较窄的教室门。讲桌内置固定螺丝孔位，安装简单，安全防盗；独立包装，运输轻便。</w:t>
            </w:r>
            <w:r>
              <w:rPr>
                <w:rFonts w:hint="eastAsia"/>
                <w:lang w:val="zh-CN" w:eastAsia="zh-CN"/>
              </w:rPr>
              <w:br w:type="textWrapping"/>
            </w:r>
            <w:r>
              <w:rPr>
                <w:rFonts w:hint="eastAsia"/>
                <w:lang w:val="zh-CN" w:eastAsia="zh-CN"/>
              </w:rPr>
              <w:t>6、显示器盖板和键盘盖板均采用翻转式设计。显示器盖板可装置19-22寸液晶宽屏显示器，显示器可实现不同身高的老师，任意角度进行观看操作，且不存在反光现象。键盘下面放置一体中控或者分体中控系统。显示器盖板闭合时，台面恢复为完整的水平木台面。</w:t>
            </w:r>
            <w:r>
              <w:rPr>
                <w:rFonts w:hint="eastAsia"/>
                <w:lang w:val="zh-CN" w:eastAsia="zh-CN"/>
              </w:rPr>
              <w:br w:type="textWrapping"/>
            </w:r>
            <w:r>
              <w:rPr>
                <w:rFonts w:hint="eastAsia"/>
                <w:lang w:val="zh-CN" w:eastAsia="zh-CN"/>
              </w:rPr>
              <w:t>7、上柜右侧抽屉可放置实物展示台，关闭后,所有设备都隐藏在讲台内。</w:t>
            </w:r>
            <w:r>
              <w:rPr>
                <w:rFonts w:hint="eastAsia"/>
                <w:lang w:val="zh-CN" w:eastAsia="zh-CN"/>
              </w:rPr>
              <w:br w:type="textWrapping"/>
            </w:r>
            <w:r>
              <w:rPr>
                <w:rFonts w:hint="eastAsia"/>
                <w:lang w:val="zh-CN" w:eastAsia="zh-CN"/>
              </w:rPr>
              <w:t>8、可选配漏电保护器，接口面板；接口面板不少于电源接口*1，VGA接口*1，RJ45口*1，USB口*2，MIC*1，备用键*2。</w:t>
            </w:r>
            <w:r>
              <w:rPr>
                <w:rFonts w:hint="eastAsia"/>
                <w:lang w:val="zh-CN" w:eastAsia="zh-CN"/>
              </w:rPr>
              <w:br w:type="textWrapping"/>
            </w:r>
            <w:r>
              <w:rPr>
                <w:rFonts w:hint="eastAsia"/>
                <w:lang w:val="zh-CN" w:eastAsia="zh-CN"/>
              </w:rPr>
              <w:t>9、产品通过针对桌体钣金、桌面木板（含涂层）等部件甲醛释放量、重金属含量等6项有害物质的检测，其中产品重金属，甲醛符合GB18584-2001 检验标准；提供合法有效的，网络可查的检测报告并加盖公章，提供合法来源渠道证明材料和售后支持服务证明。</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5D09AA3">
            <w:pPr>
              <w:pStyle w:val="13"/>
              <w:rPr>
                <w:rFonts w:hint="eastAsia"/>
                <w:lang w:val="zh-CN" w:eastAsia="zh-CN"/>
              </w:rPr>
            </w:pPr>
            <w:r>
              <w:rPr>
                <w:rFonts w:hint="eastAsia"/>
                <w:lang w:val="zh-CN" w:eastAsia="zh-CN"/>
              </w:rPr>
              <w:t>1</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4A3395EA">
            <w:pPr>
              <w:pStyle w:val="13"/>
              <w:rPr>
                <w:rFonts w:hint="eastAsia"/>
                <w:lang w:val="zh-CN" w:eastAsia="zh-CN"/>
              </w:rPr>
            </w:pPr>
            <w:r>
              <w:rPr>
                <w:rFonts w:hint="eastAsia"/>
                <w:lang w:val="zh-CN" w:eastAsia="zh-CN"/>
              </w:rPr>
              <w:t>张</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76A08BF9">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1D9DD4A1">
            <w:pPr>
              <w:pStyle w:val="13"/>
              <w:rPr>
                <w:rFonts w:hint="eastAsia"/>
                <w:lang w:val="zh-CN" w:eastAsia="zh-CN"/>
              </w:rPr>
            </w:pPr>
          </w:p>
        </w:tc>
      </w:tr>
      <w:tr w14:paraId="340FA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4"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4EA9B">
            <w:pPr>
              <w:pStyle w:val="13"/>
              <w:rPr>
                <w:rFonts w:hint="eastAsia"/>
                <w:lang w:val="zh-CN" w:eastAsia="zh-CN"/>
              </w:rPr>
            </w:pPr>
            <w:r>
              <w:rPr>
                <w:rFonts w:hint="eastAsia"/>
                <w:lang w:val="zh-CN" w:eastAsia="zh-CN"/>
              </w:rPr>
              <w:t>26</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8FE2A">
            <w:pPr>
              <w:pStyle w:val="13"/>
              <w:ind w:left="0" w:leftChars="0" w:firstLine="0" w:firstLineChars="0"/>
              <w:rPr>
                <w:rFonts w:hint="eastAsia"/>
                <w:lang w:val="zh-CN" w:eastAsia="zh-CN"/>
              </w:rPr>
            </w:pPr>
            <w:r>
              <w:rPr>
                <w:rFonts w:hint="eastAsia"/>
                <w:lang w:val="zh-CN" w:eastAsia="zh-CN"/>
              </w:rPr>
              <w:t>学生桌</w:t>
            </w:r>
          </w:p>
        </w:tc>
        <w:tc>
          <w:tcPr>
            <w:tcW w:w="5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EAC1A">
            <w:pPr>
              <w:pStyle w:val="13"/>
              <w:rPr>
                <w:rFonts w:hint="eastAsia"/>
                <w:lang w:val="zh-CN" w:eastAsia="zh-CN"/>
              </w:rPr>
            </w:pPr>
            <w:r>
              <w:rPr>
                <w:rFonts w:hint="eastAsia"/>
                <w:lang w:val="zh-CN" w:eastAsia="zh-CN"/>
              </w:rPr>
              <w:t>1.桌子尺寸为：1400mm*500mm*750mm。台面采用优质E1级三聚氰胺板厚度25mm， PU胶边，前挡板采用优质E1级三聚氰胺板， 厚15mm，PU胶边，具耐磨、防污、牢固耐用2.底脚采用优质高精度冷轧钢板模具冲压而成，壁厚为2.0mm ，牢固耐用，美观大方， 抗变型。</w:t>
            </w:r>
            <w:r>
              <w:rPr>
                <w:rFonts w:hint="eastAsia"/>
                <w:lang w:val="zh-CN" w:eastAsia="zh-CN"/>
              </w:rPr>
              <w:br w:type="textWrapping"/>
            </w:r>
            <w:r>
              <w:rPr>
                <w:rFonts w:hint="eastAsia"/>
                <w:lang w:val="zh-CN" w:eastAsia="zh-CN"/>
              </w:rPr>
              <w:t>3. 脚管采用优质圆蛋型管工艺Th产前脚（30*50×1.5mm）,表面采用防锈静电喷涂处理。</w:t>
            </w:r>
            <w:r>
              <w:rPr>
                <w:rFonts w:hint="eastAsia"/>
                <w:lang w:val="zh-CN" w:eastAsia="zh-CN"/>
              </w:rPr>
              <w:br w:type="textWrapping"/>
            </w:r>
            <w:r>
              <w:rPr>
                <w:rFonts w:hint="eastAsia"/>
                <w:lang w:val="zh-CN" w:eastAsia="zh-CN"/>
              </w:rPr>
              <w:t>4. 横梁采用优质50圆管表面再经防锈静电喷涂处理，实用牢固，承受力大。</w:t>
            </w:r>
            <w:r>
              <w:rPr>
                <w:rFonts w:hint="eastAsia"/>
                <w:lang w:val="zh-CN" w:eastAsia="zh-CN"/>
              </w:rPr>
              <w:br w:type="textWrapping"/>
            </w:r>
            <w:r>
              <w:rPr>
                <w:rFonts w:hint="eastAsia"/>
                <w:lang w:val="zh-CN" w:eastAsia="zh-CN"/>
              </w:rPr>
              <w:t>5. 书网采用优质14圆管 (厚度为0.8mm)表面采用防锈静电喷涂处理。</w:t>
            </w:r>
            <w:r>
              <w:rPr>
                <w:rFonts w:hint="eastAsia"/>
                <w:lang w:val="zh-CN" w:eastAsia="zh-CN"/>
              </w:rPr>
              <w:br w:type="textWrapping"/>
            </w:r>
            <w:r>
              <w:rPr>
                <w:rFonts w:hint="eastAsia"/>
                <w:lang w:val="zh-CN" w:eastAsia="zh-CN"/>
              </w:rPr>
              <w:t>6. 桌子两侧设置旋钮开关，任何一侧只需轻轻一扭便可折叠。</w:t>
            </w:r>
            <w:r>
              <w:rPr>
                <w:rFonts w:hint="eastAsia"/>
                <w:lang w:val="zh-CN" w:eastAsia="zh-CN"/>
              </w:rPr>
              <w:br w:type="textWrapping"/>
            </w:r>
            <w:r>
              <w:rPr>
                <w:rFonts w:hint="eastAsia"/>
                <w:lang w:val="zh-CN" w:eastAsia="zh-CN"/>
              </w:rPr>
              <w:t>7. 脚轮旋钮可高低调节1.5厘米，确保拼接平整。</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9AE33F0">
            <w:pPr>
              <w:pStyle w:val="13"/>
              <w:rPr>
                <w:rFonts w:hint="eastAsia"/>
                <w:lang w:val="zh-CN" w:eastAsia="zh-CN"/>
              </w:rPr>
            </w:pPr>
            <w:r>
              <w:rPr>
                <w:rFonts w:hint="eastAsia"/>
                <w:lang w:val="zh-CN" w:eastAsia="zh-CN"/>
              </w:rPr>
              <w:t>25</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115F20C9">
            <w:pPr>
              <w:pStyle w:val="13"/>
              <w:rPr>
                <w:rFonts w:hint="eastAsia"/>
                <w:lang w:val="zh-CN" w:eastAsia="zh-CN"/>
              </w:rPr>
            </w:pPr>
            <w:r>
              <w:rPr>
                <w:rFonts w:hint="eastAsia"/>
                <w:lang w:val="zh-CN" w:eastAsia="zh-CN"/>
              </w:rPr>
              <w:t>张</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26979371">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4114A5A">
            <w:pPr>
              <w:pStyle w:val="13"/>
              <w:rPr>
                <w:rFonts w:hint="eastAsia"/>
                <w:lang w:val="zh-CN" w:eastAsia="zh-CN"/>
              </w:rPr>
            </w:pPr>
          </w:p>
        </w:tc>
      </w:tr>
      <w:tr w14:paraId="4FFB5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9"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2E6E73">
            <w:pPr>
              <w:pStyle w:val="13"/>
              <w:rPr>
                <w:rFonts w:hint="eastAsia"/>
                <w:lang w:val="zh-CN" w:eastAsia="zh-CN"/>
              </w:rPr>
            </w:pPr>
            <w:r>
              <w:rPr>
                <w:rFonts w:hint="eastAsia"/>
                <w:lang w:val="zh-CN" w:eastAsia="zh-CN"/>
              </w:rPr>
              <w:t>27</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B6BD3">
            <w:pPr>
              <w:pStyle w:val="13"/>
              <w:ind w:left="0" w:leftChars="0" w:firstLine="0" w:firstLineChars="0"/>
              <w:rPr>
                <w:rFonts w:hint="eastAsia"/>
                <w:lang w:val="zh-CN" w:eastAsia="zh-CN"/>
              </w:rPr>
            </w:pPr>
            <w:r>
              <w:rPr>
                <w:rFonts w:hint="eastAsia"/>
                <w:lang w:val="zh-CN" w:eastAsia="zh-CN"/>
              </w:rPr>
              <w:t>学生椅</w:t>
            </w:r>
          </w:p>
        </w:tc>
        <w:tc>
          <w:tcPr>
            <w:tcW w:w="5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8E9EA">
            <w:pPr>
              <w:pStyle w:val="13"/>
              <w:rPr>
                <w:rFonts w:hint="eastAsia"/>
                <w:lang w:val="zh-CN" w:eastAsia="zh-CN"/>
              </w:rPr>
            </w:pPr>
            <w:r>
              <w:rPr>
                <w:rFonts w:hint="eastAsia"/>
                <w:lang w:val="zh-CN" w:eastAsia="zh-CN"/>
              </w:rPr>
              <w:t>1.三星全新环保PP料，具有优异的抗弯曲性，抗冲击性，耐高温，耐磨；</w:t>
            </w:r>
            <w:r>
              <w:rPr>
                <w:rFonts w:hint="eastAsia"/>
                <w:lang w:val="zh-CN" w:eastAsia="zh-CN"/>
              </w:rPr>
              <w:br w:type="textWrapping"/>
            </w:r>
            <w:r>
              <w:rPr>
                <w:rFonts w:hint="eastAsia"/>
                <w:lang w:val="zh-CN" w:eastAsia="zh-CN"/>
              </w:rPr>
              <w:t>2.一体成型的椅背和坐垫，久坐不累；</w:t>
            </w:r>
            <w:r>
              <w:rPr>
                <w:rFonts w:hint="eastAsia"/>
                <w:lang w:val="zh-CN" w:eastAsia="zh-CN"/>
              </w:rPr>
              <w:br w:type="textWrapping"/>
            </w:r>
            <w:r>
              <w:rPr>
                <w:rFonts w:hint="eastAsia"/>
                <w:lang w:val="zh-CN" w:eastAsia="zh-CN"/>
              </w:rPr>
              <w:t>3.1.2mm钢架，承重160kg；</w:t>
            </w:r>
            <w:r>
              <w:rPr>
                <w:rFonts w:hint="eastAsia"/>
                <w:lang w:val="zh-CN" w:eastAsia="zh-CN"/>
              </w:rPr>
              <w:br w:type="textWrapping"/>
            </w:r>
            <w:r>
              <w:rPr>
                <w:rFonts w:hint="eastAsia"/>
                <w:lang w:val="zh-CN" w:eastAsia="zh-CN"/>
              </w:rPr>
              <w:t>4.PU尼龙脚垫</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2769B31">
            <w:pPr>
              <w:pStyle w:val="13"/>
              <w:rPr>
                <w:rFonts w:hint="eastAsia"/>
                <w:lang w:val="zh-CN" w:eastAsia="zh-CN"/>
              </w:rPr>
            </w:pPr>
            <w:r>
              <w:rPr>
                <w:rFonts w:hint="eastAsia"/>
                <w:lang w:val="zh-CN" w:eastAsia="zh-CN"/>
              </w:rPr>
              <w:t>50</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720FF673">
            <w:pPr>
              <w:pStyle w:val="13"/>
              <w:rPr>
                <w:rFonts w:hint="eastAsia"/>
                <w:lang w:val="zh-CN" w:eastAsia="zh-CN"/>
              </w:rPr>
            </w:pPr>
            <w:r>
              <w:rPr>
                <w:rFonts w:hint="eastAsia"/>
                <w:lang w:val="zh-CN" w:eastAsia="zh-CN"/>
              </w:rPr>
              <w:t>把</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2FC89483">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73CCECC9">
            <w:pPr>
              <w:pStyle w:val="13"/>
              <w:rPr>
                <w:rFonts w:hint="eastAsia"/>
                <w:lang w:val="zh-CN" w:eastAsia="zh-CN"/>
              </w:rPr>
            </w:pPr>
          </w:p>
        </w:tc>
      </w:tr>
      <w:tr w14:paraId="1E4FE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FBA7C">
            <w:pPr>
              <w:pStyle w:val="13"/>
              <w:rPr>
                <w:rFonts w:hint="eastAsia"/>
                <w:lang w:val="zh-CN" w:eastAsia="zh-CN"/>
              </w:rPr>
            </w:pPr>
            <w:r>
              <w:rPr>
                <w:rFonts w:hint="eastAsia"/>
                <w:lang w:val="zh-CN" w:eastAsia="zh-CN"/>
              </w:rPr>
              <w:t>29</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1B479">
            <w:pPr>
              <w:pStyle w:val="13"/>
              <w:rPr>
                <w:rFonts w:hint="eastAsia"/>
                <w:lang w:val="zh-CN" w:eastAsia="zh-CN"/>
              </w:rPr>
            </w:pPr>
            <w:r>
              <w:rPr>
                <w:rFonts w:hint="eastAsia"/>
                <w:lang w:val="zh-CN" w:eastAsia="zh-CN"/>
              </w:rPr>
              <w:t>线材及交换机配备</w:t>
            </w:r>
          </w:p>
        </w:tc>
        <w:tc>
          <w:tcPr>
            <w:tcW w:w="5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FCA89">
            <w:pPr>
              <w:pStyle w:val="13"/>
              <w:rPr>
                <w:rFonts w:hint="eastAsia"/>
                <w:lang w:val="zh-CN" w:eastAsia="zh-CN"/>
              </w:rPr>
            </w:pPr>
            <w:r>
              <w:rPr>
                <w:rFonts w:hint="eastAsia"/>
                <w:lang w:val="zh-CN" w:eastAsia="zh-CN"/>
              </w:rPr>
              <w:t>电源线、网线、音频线、视频线、交换机等全部配件，需满足整个教室使用需求。</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0B43F26">
            <w:pPr>
              <w:pStyle w:val="13"/>
              <w:rPr>
                <w:rFonts w:hint="eastAsia"/>
                <w:lang w:val="zh-CN" w:eastAsia="zh-CN"/>
              </w:rPr>
            </w:pPr>
            <w:r>
              <w:rPr>
                <w:rFonts w:hint="eastAsia"/>
                <w:lang w:val="zh-CN" w:eastAsia="zh-CN"/>
              </w:rPr>
              <w:t>1</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021CBEB2">
            <w:pPr>
              <w:pStyle w:val="13"/>
              <w:rPr>
                <w:rFonts w:hint="eastAsia"/>
                <w:lang w:val="zh-CN" w:eastAsia="zh-CN"/>
              </w:rPr>
            </w:pPr>
            <w:r>
              <w:rPr>
                <w:rFonts w:hint="eastAsia"/>
                <w:lang w:val="zh-CN" w:eastAsia="zh-CN"/>
              </w:rPr>
              <w:t>批</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666120EA">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2BFC4FB8">
            <w:pPr>
              <w:pStyle w:val="13"/>
              <w:rPr>
                <w:rFonts w:hint="eastAsia"/>
                <w:lang w:val="zh-CN" w:eastAsia="zh-CN"/>
              </w:rPr>
            </w:pPr>
          </w:p>
        </w:tc>
      </w:tr>
      <w:tr w14:paraId="5615C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D8AB55">
            <w:pPr>
              <w:pStyle w:val="13"/>
              <w:rPr>
                <w:rFonts w:hint="eastAsia"/>
                <w:lang w:val="zh-CN" w:eastAsia="zh-CN"/>
              </w:rPr>
            </w:pPr>
            <w:r>
              <w:rPr>
                <w:rFonts w:hint="eastAsia"/>
                <w:lang w:val="zh-CN" w:eastAsia="zh-CN"/>
              </w:rPr>
              <w:t>30</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831E8">
            <w:pPr>
              <w:pStyle w:val="13"/>
              <w:ind w:left="0" w:leftChars="0" w:firstLine="0" w:firstLineChars="0"/>
              <w:rPr>
                <w:rFonts w:hint="eastAsia"/>
                <w:lang w:val="zh-CN" w:eastAsia="zh-CN"/>
              </w:rPr>
            </w:pPr>
            <w:r>
              <w:rPr>
                <w:rFonts w:hint="eastAsia"/>
                <w:lang w:val="zh-CN" w:eastAsia="zh-CN"/>
              </w:rPr>
              <w:t>布线施工安装</w:t>
            </w:r>
          </w:p>
        </w:tc>
        <w:tc>
          <w:tcPr>
            <w:tcW w:w="59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8754E">
            <w:pPr>
              <w:pStyle w:val="13"/>
              <w:rPr>
                <w:rFonts w:hint="eastAsia"/>
                <w:lang w:val="zh-CN" w:eastAsia="zh-CN"/>
              </w:rPr>
            </w:pPr>
            <w:r>
              <w:rPr>
                <w:rFonts w:hint="eastAsia"/>
                <w:lang w:val="zh-CN" w:eastAsia="zh-CN"/>
              </w:rPr>
              <w:t>所有电子设备部署安装到位，满足整个教室使用。</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2D33A65">
            <w:pPr>
              <w:pStyle w:val="13"/>
              <w:rPr>
                <w:rFonts w:hint="eastAsia"/>
                <w:lang w:val="zh-CN" w:eastAsia="zh-CN"/>
              </w:rPr>
            </w:pPr>
            <w:r>
              <w:rPr>
                <w:rFonts w:hint="eastAsia"/>
                <w:lang w:val="zh-CN" w:eastAsia="zh-CN"/>
              </w:rPr>
              <w:t>1</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2CC153BE">
            <w:pPr>
              <w:pStyle w:val="13"/>
              <w:rPr>
                <w:rFonts w:hint="eastAsia"/>
                <w:lang w:val="zh-CN" w:eastAsia="zh-CN"/>
              </w:rPr>
            </w:pPr>
            <w:r>
              <w:rPr>
                <w:rFonts w:hint="eastAsia"/>
                <w:lang w:val="zh-CN" w:eastAsia="zh-CN"/>
              </w:rPr>
              <w:t>批</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221F2D6D">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21C2E8FA">
            <w:pPr>
              <w:pStyle w:val="13"/>
              <w:rPr>
                <w:rFonts w:hint="eastAsia"/>
                <w:lang w:val="zh-CN" w:eastAsia="zh-CN"/>
              </w:rPr>
            </w:pPr>
          </w:p>
        </w:tc>
      </w:tr>
      <w:tr w14:paraId="24711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3"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AF6BC1">
            <w:pPr>
              <w:pStyle w:val="13"/>
              <w:rPr>
                <w:rFonts w:hint="eastAsia"/>
                <w:lang w:val="zh-CN" w:eastAsia="zh-CN"/>
              </w:rPr>
            </w:pPr>
            <w:r>
              <w:rPr>
                <w:rFonts w:hint="eastAsia"/>
                <w:lang w:val="zh-CN" w:eastAsia="zh-CN"/>
              </w:rPr>
              <w:t>31</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7A98C1CA">
            <w:pPr>
              <w:pStyle w:val="13"/>
              <w:ind w:left="0" w:leftChars="0" w:firstLine="0" w:firstLineChars="0"/>
              <w:rPr>
                <w:rFonts w:hint="eastAsia"/>
                <w:lang w:val="zh-CN" w:eastAsia="zh-CN"/>
              </w:rPr>
            </w:pPr>
            <w:r>
              <w:rPr>
                <w:rFonts w:hint="eastAsia"/>
                <w:lang w:val="zh-CN" w:eastAsia="zh-CN"/>
              </w:rPr>
              <w:t>总体要求</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4F452C92">
            <w:pPr>
              <w:pStyle w:val="13"/>
              <w:rPr>
                <w:rFonts w:hint="eastAsia"/>
                <w:lang w:val="zh-CN" w:eastAsia="zh-CN"/>
              </w:rPr>
            </w:pPr>
            <w:r>
              <w:rPr>
                <w:rFonts w:hint="eastAsia"/>
                <w:lang w:val="zh-CN" w:eastAsia="zh-CN"/>
              </w:rPr>
              <w:t>本项目涉及的根据教室面积。根据远程直录播教室各种使用模式 需求， 以及远程直录播教室建设相关技术规范对现有教室进行全新 的空间环境改造，按照远程直录播教室各教学装备系统安装部署要 求，总体效果要达到和谐、大方、实用、美观。</w:t>
            </w:r>
          </w:p>
        </w:tc>
        <w:tc>
          <w:tcPr>
            <w:tcW w:w="1470" w:type="dxa"/>
            <w:vMerge w:val="restart"/>
            <w:tcBorders>
              <w:top w:val="single" w:color="000000" w:sz="4" w:space="0"/>
              <w:left w:val="single" w:color="000000" w:sz="4" w:space="0"/>
              <w:bottom w:val="single" w:color="000000" w:sz="4" w:space="0"/>
              <w:right w:val="single" w:color="000000" w:sz="4" w:space="0"/>
            </w:tcBorders>
            <w:noWrap/>
            <w:vAlign w:val="center"/>
          </w:tcPr>
          <w:p w14:paraId="2CAB9533">
            <w:pPr>
              <w:pStyle w:val="13"/>
              <w:rPr>
                <w:rFonts w:hint="eastAsia"/>
                <w:lang w:val="zh-CN" w:eastAsia="zh-CN"/>
              </w:rPr>
            </w:pPr>
            <w:r>
              <w:rPr>
                <w:rFonts w:hint="eastAsia"/>
                <w:lang w:val="zh-CN" w:eastAsia="zh-CN"/>
              </w:rPr>
              <w:t xml:space="preserve">1 </w:t>
            </w:r>
          </w:p>
        </w:tc>
        <w:tc>
          <w:tcPr>
            <w:tcW w:w="1293" w:type="dxa"/>
            <w:vMerge w:val="restart"/>
            <w:tcBorders>
              <w:top w:val="single" w:color="000000" w:sz="4" w:space="0"/>
              <w:left w:val="single" w:color="000000" w:sz="4" w:space="0"/>
              <w:bottom w:val="single" w:color="000000" w:sz="4" w:space="0"/>
              <w:right w:val="single" w:color="000000" w:sz="4" w:space="0"/>
            </w:tcBorders>
            <w:noWrap w:val="0"/>
            <w:vAlign w:val="center"/>
          </w:tcPr>
          <w:p w14:paraId="2D5F339A">
            <w:pPr>
              <w:pStyle w:val="13"/>
              <w:rPr>
                <w:rFonts w:hint="eastAsia"/>
                <w:lang w:val="zh-CN" w:eastAsia="zh-CN"/>
              </w:rPr>
            </w:pPr>
            <w:r>
              <w:rPr>
                <w:rFonts w:hint="eastAsia"/>
                <w:lang w:val="zh-CN" w:eastAsia="zh-CN"/>
              </w:rPr>
              <w:t>间</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60D409B3">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761F3075">
            <w:pPr>
              <w:pStyle w:val="13"/>
              <w:rPr>
                <w:rFonts w:hint="eastAsia"/>
                <w:lang w:val="zh-CN" w:eastAsia="zh-CN"/>
              </w:rPr>
            </w:pPr>
          </w:p>
        </w:tc>
      </w:tr>
      <w:tr w14:paraId="570B1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2"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0C53A">
            <w:pPr>
              <w:pStyle w:val="13"/>
              <w:rPr>
                <w:rFonts w:hint="eastAsia"/>
                <w:lang w:val="zh-CN" w:eastAsia="zh-CN"/>
              </w:rPr>
            </w:pPr>
            <w:r>
              <w:rPr>
                <w:rFonts w:hint="eastAsia"/>
                <w:lang w:val="zh-CN" w:eastAsia="zh-CN"/>
              </w:rPr>
              <w:t>32</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4B5FD188">
            <w:pPr>
              <w:pStyle w:val="13"/>
              <w:ind w:left="0" w:leftChars="0" w:firstLine="0" w:firstLineChars="0"/>
              <w:rPr>
                <w:rFonts w:hint="eastAsia"/>
                <w:lang w:val="zh-CN" w:eastAsia="zh-CN"/>
              </w:rPr>
            </w:pPr>
            <w:r>
              <w:rPr>
                <w:rFonts w:hint="eastAsia"/>
                <w:lang w:val="zh-CN" w:eastAsia="zh-CN"/>
              </w:rPr>
              <w:t>照明要求</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11A9C40E">
            <w:pPr>
              <w:pStyle w:val="13"/>
              <w:rPr>
                <w:rFonts w:hint="eastAsia"/>
                <w:lang w:val="zh-CN" w:eastAsia="zh-CN"/>
              </w:rPr>
            </w:pPr>
            <w:r>
              <w:rPr>
                <w:rFonts w:hint="eastAsia"/>
                <w:lang w:val="zh-CN" w:eastAsia="zh-CN"/>
              </w:rPr>
              <w:t>1.在教室环境建设过程中，为了录播系统智能化的整体效果，总原 则是：灯光要“均匀密布，均匀布光，宁亮勿暗 ；教室内部，布局简洁、色调保持浅色柔和色系。 讲台区灯光亮度必须达到700lux，学生区亮度必须达到500lux，灯光具体要求单独列出。</w:t>
            </w:r>
            <w:r>
              <w:rPr>
                <w:rFonts w:hint="eastAsia"/>
                <w:lang w:val="zh-CN" w:eastAsia="zh-CN"/>
              </w:rPr>
              <w:br w:type="textWrapping"/>
            </w:r>
            <w:r>
              <w:rPr>
                <w:rFonts w:hint="eastAsia"/>
                <w:lang w:val="zh-CN" w:eastAsia="zh-CN"/>
              </w:rPr>
              <w:t>2.教室灯光照明：灯管发热量低、辐射热少，满足摄像机对光源的技术要求。</w:t>
            </w:r>
          </w:p>
        </w:tc>
        <w:tc>
          <w:tcPr>
            <w:tcW w:w="1470" w:type="dxa"/>
            <w:vMerge w:val="continue"/>
            <w:tcBorders>
              <w:top w:val="single" w:color="000000" w:sz="4" w:space="0"/>
              <w:left w:val="single" w:color="000000" w:sz="4" w:space="0"/>
              <w:bottom w:val="single" w:color="000000" w:sz="4" w:space="0"/>
              <w:right w:val="single" w:color="000000" w:sz="4" w:space="0"/>
            </w:tcBorders>
            <w:noWrap/>
            <w:vAlign w:val="center"/>
          </w:tcPr>
          <w:p w14:paraId="7B0DCE0D">
            <w:pPr>
              <w:pStyle w:val="13"/>
              <w:rPr>
                <w:rFonts w:hint="eastAsia"/>
                <w:lang w:val="zh-CN" w:eastAsia="zh-CN"/>
              </w:rPr>
            </w:pPr>
          </w:p>
        </w:tc>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41E127">
            <w:pPr>
              <w:pStyle w:val="13"/>
              <w:rPr>
                <w:rFonts w:hint="eastAsia"/>
                <w:lang w:val="zh-CN" w:eastAsia="zh-CN"/>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2CD16074">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ABC4492">
            <w:pPr>
              <w:pStyle w:val="13"/>
              <w:rPr>
                <w:rFonts w:hint="eastAsia"/>
                <w:lang w:val="zh-CN" w:eastAsia="zh-CN"/>
              </w:rPr>
            </w:pPr>
          </w:p>
        </w:tc>
      </w:tr>
      <w:tr w14:paraId="46BB7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5"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BB297">
            <w:pPr>
              <w:pStyle w:val="13"/>
              <w:rPr>
                <w:rFonts w:hint="eastAsia"/>
                <w:lang w:val="zh-CN" w:eastAsia="zh-CN"/>
              </w:rPr>
            </w:pPr>
            <w:r>
              <w:rPr>
                <w:rFonts w:hint="eastAsia"/>
                <w:lang w:val="zh-CN" w:eastAsia="zh-CN"/>
              </w:rPr>
              <w:t>33</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37DDF76D">
            <w:pPr>
              <w:pStyle w:val="13"/>
              <w:ind w:left="0" w:leftChars="0" w:firstLine="0" w:firstLineChars="0"/>
              <w:rPr>
                <w:rFonts w:hint="eastAsia"/>
                <w:lang w:val="zh-CN" w:eastAsia="zh-CN"/>
              </w:rPr>
            </w:pPr>
            <w:r>
              <w:rPr>
                <w:rFonts w:hint="eastAsia"/>
                <w:lang w:val="zh-CN" w:eastAsia="zh-CN"/>
              </w:rPr>
              <w:t>墙面、地面及吊顶要求</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67035276">
            <w:pPr>
              <w:pStyle w:val="13"/>
              <w:rPr>
                <w:rFonts w:hint="eastAsia"/>
                <w:lang w:val="zh-CN" w:eastAsia="zh-CN"/>
              </w:rPr>
            </w:pPr>
            <w:r>
              <w:rPr>
                <w:rFonts w:hint="eastAsia"/>
                <w:lang w:val="zh-CN" w:eastAsia="zh-CN"/>
              </w:rPr>
              <w:t>1. 内墙墙面采用高效吸音材料装饰和保护，天花板采用矿棉吸音板  吊顶。窗台大理石台面。地脚线采用镜面不锈钢。暖气罩，绒布窗  帘，带遮光层，内层采用吸音布料，颜色搭配符合装修风格，遮光、</w:t>
            </w:r>
            <w:r>
              <w:rPr>
                <w:rFonts w:hint="eastAsia"/>
                <w:lang w:val="zh-CN" w:eastAsia="zh-CN"/>
              </w:rPr>
              <w:br w:type="textWrapping"/>
            </w:r>
            <w:r>
              <w:rPr>
                <w:rFonts w:hint="eastAsia"/>
                <w:lang w:val="zh-CN" w:eastAsia="zh-CN"/>
              </w:rPr>
              <w:t>吸音、阻燃。 建议：</w:t>
            </w:r>
            <w:r>
              <w:rPr>
                <w:rFonts w:hint="eastAsia"/>
                <w:lang w:val="zh-CN" w:eastAsia="zh-CN"/>
              </w:rPr>
              <w:br w:type="textWrapping"/>
            </w:r>
            <w:r>
              <w:rPr>
                <w:rFonts w:hint="eastAsia"/>
                <w:lang w:val="zh-CN" w:eastAsia="zh-CN"/>
              </w:rPr>
              <w:t>2. 内容适用于专业录播教室，从教室顶棚、墙壁、窗帘、地面、门、 灯光照明、讲台做全面的装修，可以更好的配合录播系统进行精品  课程的录制。</w:t>
            </w:r>
            <w:r>
              <w:rPr>
                <w:rFonts w:hint="eastAsia"/>
                <w:lang w:val="zh-CN" w:eastAsia="zh-CN"/>
              </w:rPr>
              <w:br w:type="textWrapping"/>
            </w:r>
            <w:r>
              <w:rPr>
                <w:rFonts w:hint="eastAsia"/>
                <w:lang w:val="zh-CN" w:eastAsia="zh-CN"/>
              </w:rPr>
              <w:t>3.具体规格数量尺寸方案应依据现场情况科学制定，并符合下列录 播教室装修</w:t>
            </w:r>
            <w:r>
              <w:rPr>
                <w:rFonts w:hint="eastAsia"/>
                <w:lang w:val="zh-CN" w:eastAsia="zh-CN"/>
              </w:rPr>
              <w:br w:type="textWrapping"/>
            </w:r>
            <w:r>
              <w:rPr>
                <w:rFonts w:hint="eastAsia"/>
                <w:lang w:val="zh-CN" w:eastAsia="zh-CN"/>
              </w:rPr>
              <w:t>4.基本原则：吸音吊顶，墙面贴吸音板具有阻燃防火性能且无味， 顶部 LED 开灯后教室照度不低于 500lx，教师面部不低于 800lx。监 控室和教学区用单向可视玻璃区隔。参考值如下：</w:t>
            </w:r>
            <w:r>
              <w:rPr>
                <w:rFonts w:hint="eastAsia"/>
                <w:lang w:val="zh-CN" w:eastAsia="zh-CN"/>
              </w:rPr>
              <w:br w:type="textWrapping"/>
            </w:r>
            <w:r>
              <w:rPr>
                <w:rFonts w:hint="eastAsia"/>
                <w:lang w:val="zh-CN" w:eastAsia="zh-CN"/>
              </w:rPr>
              <w:t>5.顶棚：顶棚吊天花板，采用具有吸音效果的矿棉吊顶吸音板。</w:t>
            </w:r>
            <w:r>
              <w:rPr>
                <w:rFonts w:hint="eastAsia"/>
                <w:lang w:val="zh-CN" w:eastAsia="zh-CN"/>
              </w:rPr>
              <w:br w:type="textWrapping"/>
            </w:r>
            <w:r>
              <w:rPr>
                <w:rFonts w:hint="eastAsia"/>
                <w:lang w:val="zh-CN" w:eastAsia="zh-CN"/>
              </w:rPr>
              <w:t>6.墙壁：采用5CM 宽坚纹吸音板进行包装，吸音板与墙面之间再增 加一层吸音棉。颜色采用米黄色墙面，墙面的装修用料颜色浅、无 反光。并且学生区域的墙面上不会安装黑板一类颜色比较暗的物体， 避免影响到跟踪效果。</w:t>
            </w:r>
            <w:r>
              <w:rPr>
                <w:rFonts w:hint="eastAsia"/>
                <w:lang w:val="zh-CN" w:eastAsia="zh-CN"/>
              </w:rPr>
              <w:br w:type="textWrapping"/>
            </w:r>
            <w:r>
              <w:rPr>
                <w:rFonts w:hint="eastAsia"/>
                <w:lang w:val="zh-CN" w:eastAsia="zh-CN"/>
              </w:rPr>
              <w:t>7.设置观摩控制室：观摩控制室与教室间选用单面玻璃透视窗 口， 窗口下沿距地面在 1～1.2 米之间，窗口采用二块 3.5 × 1.3 的钢化 玻璃，窗体采用普通白玻璃+覆膜喷绘。控制室配置操作台，放置硬 件设备方便进行控制、观摩。</w:t>
            </w:r>
            <w:r>
              <w:rPr>
                <w:rFonts w:hint="eastAsia"/>
                <w:lang w:val="zh-CN" w:eastAsia="zh-CN"/>
              </w:rPr>
              <w:br w:type="textWrapping"/>
            </w:r>
            <w:r>
              <w:rPr>
                <w:rFonts w:hint="eastAsia"/>
                <w:lang w:val="zh-CN" w:eastAsia="zh-CN"/>
              </w:rPr>
              <w:t>8.桌椅：讲台、教学桌和椅子、观摩椅均采用浅色。</w:t>
            </w:r>
          </w:p>
        </w:tc>
        <w:tc>
          <w:tcPr>
            <w:tcW w:w="1470" w:type="dxa"/>
            <w:vMerge w:val="continue"/>
            <w:tcBorders>
              <w:top w:val="single" w:color="000000" w:sz="4" w:space="0"/>
              <w:left w:val="single" w:color="000000" w:sz="4" w:space="0"/>
              <w:bottom w:val="single" w:color="000000" w:sz="4" w:space="0"/>
              <w:right w:val="single" w:color="000000" w:sz="4" w:space="0"/>
            </w:tcBorders>
            <w:noWrap/>
            <w:vAlign w:val="center"/>
          </w:tcPr>
          <w:p w14:paraId="516E4134">
            <w:pPr>
              <w:pStyle w:val="13"/>
              <w:rPr>
                <w:rFonts w:hint="eastAsia"/>
                <w:lang w:val="zh-CN" w:eastAsia="zh-CN"/>
              </w:rPr>
            </w:pPr>
          </w:p>
        </w:tc>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9A32D">
            <w:pPr>
              <w:pStyle w:val="13"/>
              <w:rPr>
                <w:rFonts w:hint="eastAsia"/>
                <w:lang w:val="zh-CN" w:eastAsia="zh-CN"/>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7740ED72">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4700EF8">
            <w:pPr>
              <w:pStyle w:val="13"/>
              <w:rPr>
                <w:rFonts w:hint="eastAsia"/>
                <w:lang w:val="zh-CN" w:eastAsia="zh-CN"/>
              </w:rPr>
            </w:pPr>
          </w:p>
        </w:tc>
      </w:tr>
      <w:tr w14:paraId="65122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14B6F">
            <w:pPr>
              <w:pStyle w:val="13"/>
              <w:rPr>
                <w:rFonts w:hint="eastAsia"/>
                <w:lang w:val="zh-CN" w:eastAsia="zh-CN"/>
              </w:rPr>
            </w:pPr>
            <w:r>
              <w:rPr>
                <w:rFonts w:hint="eastAsia"/>
                <w:lang w:val="zh-CN" w:eastAsia="zh-CN"/>
              </w:rPr>
              <w:t>34</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0418E4DD">
            <w:pPr>
              <w:pStyle w:val="13"/>
              <w:ind w:left="0" w:leftChars="0" w:firstLine="0" w:firstLineChars="0"/>
              <w:rPr>
                <w:rFonts w:hint="eastAsia"/>
                <w:lang w:val="zh-CN" w:eastAsia="zh-CN"/>
              </w:rPr>
            </w:pPr>
            <w:r>
              <w:rPr>
                <w:rFonts w:hint="eastAsia"/>
                <w:lang w:val="zh-CN" w:eastAsia="zh-CN"/>
              </w:rPr>
              <w:t>灯光布局</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6FF34873">
            <w:pPr>
              <w:pStyle w:val="13"/>
              <w:rPr>
                <w:rFonts w:hint="eastAsia"/>
                <w:lang w:val="zh-CN" w:eastAsia="zh-CN"/>
              </w:rPr>
            </w:pPr>
            <w:r>
              <w:rPr>
                <w:rFonts w:hint="eastAsia"/>
                <w:lang w:val="zh-CN" w:eastAsia="zh-CN"/>
              </w:rPr>
              <w:t>1.教师灯区：讲桌前安装一排射灯，在距离教室最前端2m 处开始安 装。横向每隔 1m 装一个。该装置为可选项，可根据教室中教师灯区的照度自行选择。</w:t>
            </w:r>
            <w:r>
              <w:rPr>
                <w:rFonts w:hint="eastAsia"/>
                <w:lang w:val="zh-CN" w:eastAsia="zh-CN"/>
              </w:rPr>
              <w:br w:type="textWrapping"/>
            </w:r>
            <w:r>
              <w:rPr>
                <w:rFonts w:hint="eastAsia"/>
                <w:lang w:val="zh-CN" w:eastAsia="zh-CN"/>
              </w:rPr>
              <w:t>2.学生灯区：在距离教室最前端 2m 处开始安装。纵向每隔 1.2m 装 一排，横向每隔 1.2m 装一排，每个点上装一组灯。</w:t>
            </w:r>
          </w:p>
        </w:tc>
        <w:tc>
          <w:tcPr>
            <w:tcW w:w="1470" w:type="dxa"/>
            <w:vMerge w:val="continue"/>
            <w:tcBorders>
              <w:top w:val="single" w:color="000000" w:sz="4" w:space="0"/>
              <w:left w:val="single" w:color="000000" w:sz="4" w:space="0"/>
              <w:bottom w:val="single" w:color="000000" w:sz="4" w:space="0"/>
              <w:right w:val="single" w:color="000000" w:sz="4" w:space="0"/>
            </w:tcBorders>
            <w:noWrap/>
            <w:vAlign w:val="center"/>
          </w:tcPr>
          <w:p w14:paraId="227CF7F3">
            <w:pPr>
              <w:pStyle w:val="13"/>
              <w:rPr>
                <w:rFonts w:hint="eastAsia"/>
                <w:lang w:val="zh-CN" w:eastAsia="zh-CN"/>
              </w:rPr>
            </w:pPr>
          </w:p>
        </w:tc>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E15E0C">
            <w:pPr>
              <w:pStyle w:val="13"/>
              <w:rPr>
                <w:rFonts w:hint="eastAsia"/>
                <w:lang w:val="zh-CN" w:eastAsia="zh-CN"/>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1A41D30A">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60732585">
            <w:pPr>
              <w:pStyle w:val="13"/>
              <w:rPr>
                <w:rFonts w:hint="eastAsia"/>
                <w:lang w:val="zh-CN" w:eastAsia="zh-CN"/>
              </w:rPr>
            </w:pPr>
          </w:p>
        </w:tc>
      </w:tr>
      <w:tr w14:paraId="24542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3940" w:type="dxa"/>
            <w:gridSpan w:val="7"/>
            <w:tcBorders>
              <w:top w:val="nil"/>
              <w:left w:val="single" w:color="000000" w:sz="4" w:space="0"/>
              <w:bottom w:val="single" w:color="000000" w:sz="4" w:space="0"/>
              <w:right w:val="nil"/>
            </w:tcBorders>
            <w:shd w:val="clear" w:color="auto" w:fill="auto"/>
            <w:noWrap w:val="0"/>
            <w:vAlign w:val="center"/>
          </w:tcPr>
          <w:p w14:paraId="47202682">
            <w:pPr>
              <w:pStyle w:val="13"/>
              <w:rPr>
                <w:rFonts w:hint="eastAsia"/>
                <w:color w:val="000000" w:themeColor="text1"/>
                <w:sz w:val="24"/>
                <w:shd w:val="clear" w:color="auto" w:fill="auto"/>
                <w:lang w:val="zh-CN" w:eastAsia="zh-CN"/>
                <w14:textFill>
                  <w14:solidFill>
                    <w14:schemeClr w14:val="tx1"/>
                  </w14:solidFill>
                </w14:textFill>
              </w:rPr>
            </w:pPr>
            <w:r>
              <w:rPr>
                <w:rFonts w:hint="eastAsia"/>
                <w:color w:val="000000" w:themeColor="text1"/>
                <w:sz w:val="24"/>
                <w:shd w:val="clear" w:color="auto" w:fill="auto"/>
                <w:lang w:val="zh-CN" w:eastAsia="zh-CN"/>
                <w14:textFill>
                  <w14:solidFill>
                    <w14:schemeClr w14:val="tx1"/>
                  </w14:solidFill>
                </w14:textFill>
              </w:rPr>
              <w:t>成本小计：</w:t>
            </w:r>
          </w:p>
        </w:tc>
      </w:tr>
      <w:tr w14:paraId="488FC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3940" w:type="dxa"/>
            <w:gridSpan w:val="7"/>
            <w:tcBorders>
              <w:top w:val="nil"/>
              <w:left w:val="single" w:color="000000" w:sz="4" w:space="0"/>
              <w:bottom w:val="single" w:color="000000" w:sz="4" w:space="0"/>
              <w:right w:val="nil"/>
            </w:tcBorders>
            <w:shd w:val="clear" w:color="auto" w:fill="auto"/>
            <w:noWrap w:val="0"/>
            <w:vAlign w:val="center"/>
          </w:tcPr>
          <w:p w14:paraId="5F71BCCB">
            <w:pPr>
              <w:pStyle w:val="13"/>
              <w:rPr>
                <w:rFonts w:hint="eastAsia"/>
                <w:color w:val="000000" w:themeColor="text1"/>
                <w:sz w:val="24"/>
                <w:shd w:val="clear" w:color="auto" w:fill="auto"/>
                <w:lang w:val="zh-CN" w:eastAsia="zh-CN"/>
                <w14:textFill>
                  <w14:solidFill>
                    <w14:schemeClr w14:val="tx1"/>
                  </w14:solidFill>
                </w14:textFill>
              </w:rPr>
            </w:pPr>
            <w:r>
              <w:rPr>
                <w:rFonts w:hint="eastAsia"/>
                <w:color w:val="000000" w:themeColor="text1"/>
                <w:sz w:val="24"/>
                <w:shd w:val="clear" w:color="auto" w:fill="auto"/>
                <w:lang w:val="zh-CN" w:eastAsia="zh-CN"/>
                <w14:textFill>
                  <w14:solidFill>
                    <w14:schemeClr w14:val="tx1"/>
                  </w14:solidFill>
                </w14:textFill>
              </w:rPr>
              <w:t>100间AI电子督学教室改造、精准教学诊断评估及教学质量提升部分</w:t>
            </w:r>
          </w:p>
        </w:tc>
      </w:tr>
      <w:tr w14:paraId="29C7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293" w:type="dxa"/>
            <w:tcBorders>
              <w:top w:val="nil"/>
              <w:left w:val="single" w:color="000000" w:sz="4" w:space="0"/>
              <w:bottom w:val="single" w:color="000000" w:sz="4" w:space="0"/>
              <w:right w:val="single" w:color="000000" w:sz="4" w:space="0"/>
            </w:tcBorders>
            <w:shd w:val="clear" w:color="auto" w:fill="auto"/>
            <w:noWrap w:val="0"/>
            <w:vAlign w:val="center"/>
          </w:tcPr>
          <w:p w14:paraId="22992BA2">
            <w:pPr>
              <w:pStyle w:val="13"/>
              <w:rPr>
                <w:rFonts w:hint="eastAsia"/>
                <w:color w:val="000000" w:themeColor="text1"/>
                <w:sz w:val="24"/>
                <w:shd w:val="clear" w:color="auto" w:fill="auto"/>
                <w:lang w:val="zh-CN" w:eastAsia="zh-CN"/>
                <w14:textFill>
                  <w14:solidFill>
                    <w14:schemeClr w14:val="tx1"/>
                  </w14:solidFill>
                </w14:textFill>
              </w:rPr>
            </w:pPr>
            <w:r>
              <w:rPr>
                <w:rFonts w:hint="eastAsia"/>
                <w:color w:val="000000" w:themeColor="text1"/>
                <w:sz w:val="24"/>
                <w:shd w:val="clear" w:color="auto" w:fill="auto"/>
                <w:lang w:val="zh-CN" w:eastAsia="zh-CN"/>
                <w14:textFill>
                  <w14:solidFill>
                    <w14:schemeClr w14:val="tx1"/>
                  </w14:solidFill>
                </w14:textFill>
              </w:rPr>
              <w:t>序号</w:t>
            </w:r>
          </w:p>
        </w:tc>
        <w:tc>
          <w:tcPr>
            <w:tcW w:w="1314" w:type="dxa"/>
            <w:tcBorders>
              <w:top w:val="nil"/>
              <w:left w:val="nil"/>
              <w:bottom w:val="single" w:color="000000" w:sz="4" w:space="0"/>
              <w:right w:val="single" w:color="000000" w:sz="4" w:space="0"/>
            </w:tcBorders>
            <w:shd w:val="clear" w:color="auto" w:fill="auto"/>
            <w:noWrap w:val="0"/>
            <w:vAlign w:val="center"/>
          </w:tcPr>
          <w:p w14:paraId="3EB4BE72">
            <w:pPr>
              <w:pStyle w:val="13"/>
              <w:rPr>
                <w:rFonts w:hint="eastAsia"/>
                <w:color w:val="000000" w:themeColor="text1"/>
                <w:sz w:val="24"/>
                <w:shd w:val="clear" w:color="auto" w:fill="auto"/>
                <w:lang w:val="zh-CN" w:eastAsia="zh-CN"/>
                <w14:textFill>
                  <w14:solidFill>
                    <w14:schemeClr w14:val="tx1"/>
                  </w14:solidFill>
                </w14:textFill>
              </w:rPr>
            </w:pPr>
          </w:p>
        </w:tc>
        <w:tc>
          <w:tcPr>
            <w:tcW w:w="5980" w:type="dxa"/>
            <w:tcBorders>
              <w:top w:val="nil"/>
              <w:left w:val="single" w:color="000000" w:sz="4" w:space="0"/>
              <w:bottom w:val="single" w:color="000000" w:sz="4" w:space="0"/>
              <w:right w:val="single" w:color="000000" w:sz="4" w:space="0"/>
            </w:tcBorders>
            <w:shd w:val="clear" w:color="auto" w:fill="auto"/>
            <w:noWrap w:val="0"/>
            <w:vAlign w:val="center"/>
          </w:tcPr>
          <w:p w14:paraId="32B645BA">
            <w:pPr>
              <w:pStyle w:val="13"/>
              <w:rPr>
                <w:rFonts w:hint="eastAsia"/>
                <w:color w:val="000000" w:themeColor="text1"/>
                <w:sz w:val="24"/>
                <w:shd w:val="clear" w:color="auto" w:fill="auto"/>
                <w:lang w:val="zh-CN" w:eastAsia="zh-CN"/>
                <w14:textFill>
                  <w14:solidFill>
                    <w14:schemeClr w14:val="tx1"/>
                  </w14:solidFill>
                </w14:textFill>
              </w:rPr>
            </w:pPr>
            <w:r>
              <w:rPr>
                <w:rFonts w:hint="eastAsia"/>
                <w:color w:val="000000" w:themeColor="text1"/>
                <w:sz w:val="24"/>
                <w:shd w:val="clear" w:color="auto" w:fill="auto"/>
                <w:lang w:val="zh-CN" w:eastAsia="zh-CN"/>
                <w14:textFill>
                  <w14:solidFill>
                    <w14:schemeClr w14:val="tx1"/>
                  </w14:solidFill>
                </w14:textFill>
              </w:rPr>
              <w:t>技术参数</w:t>
            </w:r>
          </w:p>
        </w:tc>
        <w:tc>
          <w:tcPr>
            <w:tcW w:w="1470" w:type="dxa"/>
            <w:tcBorders>
              <w:top w:val="nil"/>
              <w:left w:val="single" w:color="000000" w:sz="4" w:space="0"/>
              <w:bottom w:val="single" w:color="000000" w:sz="4" w:space="0"/>
              <w:right w:val="single" w:color="000000" w:sz="4" w:space="0"/>
            </w:tcBorders>
            <w:shd w:val="clear" w:color="auto" w:fill="auto"/>
            <w:noWrap w:val="0"/>
            <w:vAlign w:val="center"/>
          </w:tcPr>
          <w:p w14:paraId="678709C6">
            <w:pPr>
              <w:pStyle w:val="13"/>
              <w:rPr>
                <w:rFonts w:hint="eastAsia"/>
                <w:color w:val="000000" w:themeColor="text1"/>
                <w:sz w:val="24"/>
                <w:shd w:val="clear" w:color="auto" w:fill="auto"/>
                <w:lang w:val="zh-CN" w:eastAsia="zh-CN"/>
                <w14:textFill>
                  <w14:solidFill>
                    <w14:schemeClr w14:val="tx1"/>
                  </w14:solidFill>
                </w14:textFill>
              </w:rPr>
            </w:pPr>
            <w:r>
              <w:rPr>
                <w:rFonts w:hint="eastAsia"/>
                <w:color w:val="000000" w:themeColor="text1"/>
                <w:sz w:val="24"/>
                <w:shd w:val="clear" w:color="auto" w:fill="auto"/>
                <w:lang w:val="zh-CN" w:eastAsia="zh-CN"/>
                <w14:textFill>
                  <w14:solidFill>
                    <w14:schemeClr w14:val="tx1"/>
                  </w14:solidFill>
                </w14:textFill>
              </w:rPr>
              <w:t>数量</w:t>
            </w:r>
          </w:p>
        </w:tc>
        <w:tc>
          <w:tcPr>
            <w:tcW w:w="1293" w:type="dxa"/>
            <w:tcBorders>
              <w:top w:val="nil"/>
              <w:left w:val="single" w:color="000000" w:sz="4" w:space="0"/>
              <w:bottom w:val="single" w:color="000000" w:sz="4" w:space="0"/>
              <w:right w:val="single" w:color="000000" w:sz="4" w:space="0"/>
            </w:tcBorders>
            <w:shd w:val="clear" w:color="auto" w:fill="auto"/>
            <w:noWrap w:val="0"/>
            <w:vAlign w:val="center"/>
          </w:tcPr>
          <w:p w14:paraId="0F05AB50">
            <w:pPr>
              <w:pStyle w:val="13"/>
              <w:rPr>
                <w:rFonts w:hint="eastAsia"/>
                <w:color w:val="000000" w:themeColor="text1"/>
                <w:sz w:val="24"/>
                <w:shd w:val="clear" w:color="auto" w:fill="auto"/>
                <w:lang w:val="zh-CN" w:eastAsia="zh-CN"/>
                <w14:textFill>
                  <w14:solidFill>
                    <w14:schemeClr w14:val="tx1"/>
                  </w14:solidFill>
                </w14:textFill>
              </w:rPr>
            </w:pPr>
            <w:r>
              <w:rPr>
                <w:rFonts w:hint="eastAsia"/>
                <w:color w:val="000000" w:themeColor="text1"/>
                <w:sz w:val="24"/>
                <w:shd w:val="clear" w:color="auto" w:fill="auto"/>
                <w:lang w:val="zh-CN" w:eastAsia="zh-CN"/>
                <w14:textFill>
                  <w14:solidFill>
                    <w14:schemeClr w14:val="tx1"/>
                  </w14:solidFill>
                </w14:textFill>
              </w:rPr>
              <w:t>单位</w:t>
            </w:r>
          </w:p>
        </w:tc>
        <w:tc>
          <w:tcPr>
            <w:tcW w:w="1293" w:type="dxa"/>
            <w:tcBorders>
              <w:top w:val="nil"/>
              <w:left w:val="single" w:color="000000" w:sz="4" w:space="0"/>
              <w:bottom w:val="single" w:color="000000" w:sz="4" w:space="0"/>
              <w:right w:val="single" w:color="000000" w:sz="4" w:space="0"/>
            </w:tcBorders>
            <w:shd w:val="clear" w:color="auto" w:fill="auto"/>
            <w:noWrap w:val="0"/>
            <w:vAlign w:val="center"/>
          </w:tcPr>
          <w:p w14:paraId="5F0F8DCE">
            <w:pPr>
              <w:pStyle w:val="13"/>
              <w:rPr>
                <w:rFonts w:hint="eastAsia"/>
                <w:color w:val="000000" w:themeColor="text1"/>
                <w:sz w:val="24"/>
                <w:shd w:val="clear" w:color="auto" w:fill="auto"/>
                <w:lang w:val="zh-CN" w:eastAsia="zh-CN"/>
                <w14:textFill>
                  <w14:solidFill>
                    <w14:schemeClr w14:val="tx1"/>
                  </w14:solidFill>
                </w14:textFill>
              </w:rPr>
            </w:pPr>
          </w:p>
        </w:tc>
        <w:tc>
          <w:tcPr>
            <w:tcW w:w="1297" w:type="dxa"/>
            <w:tcBorders>
              <w:top w:val="nil"/>
              <w:left w:val="single" w:color="000000" w:sz="4" w:space="0"/>
              <w:bottom w:val="single" w:color="000000" w:sz="4" w:space="0"/>
              <w:right w:val="single" w:color="000000" w:sz="4" w:space="0"/>
            </w:tcBorders>
            <w:shd w:val="clear" w:color="auto" w:fill="auto"/>
            <w:noWrap w:val="0"/>
            <w:vAlign w:val="center"/>
          </w:tcPr>
          <w:p w14:paraId="69734E5E">
            <w:pPr>
              <w:pStyle w:val="13"/>
              <w:rPr>
                <w:rFonts w:hint="eastAsia"/>
                <w:color w:val="000000" w:themeColor="text1"/>
                <w:sz w:val="24"/>
                <w:shd w:val="clear" w:color="auto" w:fill="auto"/>
                <w:lang w:val="zh-CN" w:eastAsia="zh-CN"/>
                <w14:textFill>
                  <w14:solidFill>
                    <w14:schemeClr w14:val="tx1"/>
                  </w14:solidFill>
                </w14:textFill>
              </w:rPr>
            </w:pPr>
          </w:p>
        </w:tc>
      </w:tr>
      <w:tr w14:paraId="029F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5"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70586">
            <w:pPr>
              <w:pStyle w:val="13"/>
              <w:rPr>
                <w:rFonts w:hint="eastAsia"/>
                <w:lang w:val="zh-CN" w:eastAsia="zh-CN"/>
              </w:rPr>
            </w:pPr>
            <w:r>
              <w:rPr>
                <w:rFonts w:hint="eastAsia"/>
                <w:lang w:val="zh-CN" w:eastAsia="zh-CN"/>
              </w:rPr>
              <w:t>1</w:t>
            </w:r>
          </w:p>
        </w:tc>
        <w:tc>
          <w:tcPr>
            <w:tcW w:w="1314" w:type="dxa"/>
            <w:tcBorders>
              <w:top w:val="single" w:color="000000" w:sz="4" w:space="0"/>
              <w:left w:val="single" w:color="000000" w:sz="4" w:space="0"/>
              <w:bottom w:val="single" w:color="000000" w:sz="4" w:space="0"/>
              <w:right w:val="nil"/>
            </w:tcBorders>
            <w:noWrap w:val="0"/>
            <w:vAlign w:val="center"/>
          </w:tcPr>
          <w:p w14:paraId="0211A2D3">
            <w:pPr>
              <w:pStyle w:val="13"/>
              <w:rPr>
                <w:rFonts w:hint="eastAsia"/>
                <w:highlight w:val="none"/>
                <w:lang w:val="zh-CN" w:eastAsia="zh-CN"/>
              </w:rPr>
            </w:pPr>
            <w:r>
              <w:rPr>
                <w:rFonts w:hint="eastAsia"/>
                <w:highlight w:val="none"/>
                <w:lang w:val="zh-CN" w:eastAsia="zh-CN"/>
              </w:rPr>
              <w:t>AI电子督学分析主机</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0513CD48">
            <w:pPr>
              <w:pStyle w:val="13"/>
              <w:numPr>
                <w:ilvl w:val="0"/>
                <w:numId w:val="12"/>
              </w:numPr>
              <w:rPr>
                <w:rFonts w:hint="eastAsia"/>
                <w:highlight w:val="none"/>
                <w:lang w:val="zh-CN" w:eastAsia="zh-CN"/>
              </w:rPr>
            </w:pPr>
            <w:r>
              <w:rPr>
                <w:rFonts w:hint="eastAsia"/>
                <w:highlight w:val="none"/>
                <w:lang w:val="zh-CN" w:eastAsia="zh-CN"/>
              </w:rPr>
              <w:t>主机配置要求：</w:t>
            </w:r>
            <w:r>
              <w:rPr>
                <w:rFonts w:hint="eastAsia"/>
                <w:highlight w:val="none"/>
                <w:lang w:val="zh-CN" w:eastAsia="zh-CN"/>
              </w:rPr>
              <w:br w:type="textWrapping"/>
            </w:r>
            <w:r>
              <w:rPr>
                <w:rFonts w:hint="eastAsia"/>
                <w:highlight w:val="none"/>
                <w:lang w:val="zh-CN" w:eastAsia="zh-CN"/>
              </w:rPr>
              <w:t>1）★主机采用国产嵌入式 ARM 处理器，嵌入式架构，集成音视频信号采集、导播、自动跟踪、录制、直播、1vN远程互动、编辑、存储、点播等功能于一体，可扩展AI课堂实时分析；</w:t>
            </w:r>
            <w:r>
              <w:rPr>
                <w:rFonts w:hint="eastAsia"/>
                <w:highlight w:val="none"/>
                <w:lang w:val="zh-CN" w:eastAsia="zh-CN"/>
              </w:rPr>
              <w:br w:type="textWrapping"/>
            </w:r>
            <w:r>
              <w:rPr>
                <w:rFonts w:hint="eastAsia"/>
                <w:highlight w:val="none"/>
                <w:lang w:val="zh-CN" w:eastAsia="zh-CN"/>
              </w:rPr>
              <w:t>2）★采用壁挂式外观设计，机箱壁挂厚度≤5厘米，终端接口部分盖板可独立取下，方便终端接线；</w:t>
            </w:r>
            <w:r>
              <w:rPr>
                <w:rFonts w:hint="eastAsia"/>
                <w:highlight w:val="none"/>
                <w:lang w:val="zh-CN" w:eastAsia="zh-CN"/>
              </w:rPr>
              <w:br w:type="textWrapping"/>
            </w:r>
            <w:r>
              <w:rPr>
                <w:rFonts w:hint="eastAsia"/>
                <w:highlight w:val="none"/>
                <w:lang w:val="zh-CN" w:eastAsia="zh-CN"/>
              </w:rPr>
              <w:t>3）★主机机身具备≥5路10/100/1000Mbps自适应网口，包含≥4路POE网口，支持IPv4、IPv6双协议栈；机身具备≥2路USB接口（含USB3.0），插入USB存储设备后可拷贝录像资源；</w:t>
            </w:r>
            <w:r>
              <w:rPr>
                <w:rFonts w:hint="eastAsia"/>
                <w:highlight w:val="none"/>
                <w:lang w:val="zh-CN" w:eastAsia="zh-CN"/>
              </w:rPr>
              <w:br w:type="textWrapping"/>
            </w:r>
            <w:r>
              <w:rPr>
                <w:rFonts w:hint="eastAsia"/>
                <w:highlight w:val="none"/>
                <w:lang w:val="zh-CN" w:eastAsia="zh-CN"/>
              </w:rPr>
              <w:t>4）★主机机身具备≥1路4K HDMI输入接口、≥2路HDMI视频输出接口、≥4路凤凰端子音频输入接口、≥3路凤凰端子音频输出接口；</w:t>
            </w:r>
            <w:r>
              <w:rPr>
                <w:rFonts w:hint="eastAsia"/>
                <w:highlight w:val="none"/>
                <w:lang w:val="zh-CN" w:eastAsia="zh-CN"/>
              </w:rPr>
              <w:br w:type="textWrapping"/>
            </w:r>
            <w:r>
              <w:rPr>
                <w:rFonts w:hint="eastAsia"/>
                <w:highlight w:val="none"/>
                <w:lang w:val="zh-CN" w:eastAsia="zh-CN"/>
              </w:rPr>
              <w:t>5）★主机机身具备≥3路凤凰端子RS-232控制接口，可外接控制面板、高清摄像机云台等，机身具备≥1路凤凰端子弱电输出接口，支持为外接的控制面板进行供电，通过机身拨码开关支持实现 DC 5V或 DC 12V供电电压的切换输出；</w:t>
            </w:r>
            <w:r>
              <w:rPr>
                <w:rFonts w:hint="eastAsia"/>
                <w:highlight w:val="none"/>
                <w:lang w:val="zh-CN" w:eastAsia="zh-CN"/>
              </w:rPr>
              <w:br w:type="textWrapping"/>
            </w:r>
            <w:r>
              <w:rPr>
                <w:rFonts w:hint="eastAsia"/>
                <w:highlight w:val="none"/>
                <w:lang w:val="zh-CN" w:eastAsia="zh-CN"/>
              </w:rPr>
              <w:t>6）★主机采用硬件采集、编码方式，支持H.264、PCMA(G.711A)、PCMU(G.711U)、G.722、0PUS、AAC 等音视频编码方式；支持4K@30fps、1080P@60fps、1080P@30fps、1080P@25fps等格式视频输入，支持1080P@30fps、1080P@25fps、1080P@20fps、1080P@15fps、1080P@10fps、1080P@5fps等格式视频编码，支持4K、1080P画面输出等；</w:t>
            </w:r>
            <w:r>
              <w:rPr>
                <w:rFonts w:hint="eastAsia"/>
                <w:highlight w:val="none"/>
                <w:lang w:val="zh-CN" w:eastAsia="zh-CN"/>
              </w:rPr>
              <w:br w:type="textWrapping"/>
            </w:r>
            <w:r>
              <w:rPr>
                <w:rFonts w:hint="eastAsia"/>
                <w:highlight w:val="none"/>
                <w:lang w:val="zh-CN" w:eastAsia="zh-CN"/>
              </w:rPr>
              <w:t>7）主机视频编码码率支持256Kbps～8Mbps可调，主码流（录制）支持1Mbps～8Mbps可调，副码流（导播）支持256Kbps～1Mbps可调；音频采样率支持48KHz，码流支持96Kbps、128Kbps可调；</w:t>
            </w:r>
            <w:r>
              <w:rPr>
                <w:rFonts w:hint="eastAsia"/>
                <w:highlight w:val="none"/>
                <w:lang w:val="zh-CN" w:eastAsia="zh-CN"/>
              </w:rPr>
              <w:br w:type="textWrapping"/>
            </w:r>
            <w:r>
              <w:rPr>
                <w:rFonts w:hint="eastAsia"/>
                <w:highlight w:val="none"/>
                <w:lang w:val="zh-CN" w:eastAsia="zh-CN"/>
              </w:rPr>
              <w:t>8）支持TCP、UDP、RTMP、RTSP、FTP、MQTT等网络协议，支持VISCA云台控制协议，支持IPv4和IPv6双栈网络通信协议；</w:t>
            </w:r>
            <w:r>
              <w:rPr>
                <w:rFonts w:hint="eastAsia"/>
                <w:highlight w:val="none"/>
                <w:lang w:val="zh-CN" w:eastAsia="zh-CN"/>
              </w:rPr>
              <w:br w:type="textWrapping"/>
            </w:r>
            <w:r>
              <w:rPr>
                <w:rFonts w:hint="eastAsia"/>
                <w:highlight w:val="none"/>
                <w:lang w:val="zh-CN" w:eastAsia="zh-CN"/>
              </w:rPr>
              <w:t>9）支持主机直接上云，无需配置独立的代理服务器或映射公网IP地址，支持直接接入公有云部署的平台实现教室端本地化实时录制、直播、巡课、1vN远程互动管理等；</w:t>
            </w:r>
            <w:r>
              <w:rPr>
                <w:rFonts w:hint="eastAsia"/>
                <w:highlight w:val="none"/>
                <w:lang w:val="zh-CN" w:eastAsia="zh-CN"/>
              </w:rPr>
              <w:br w:type="textWrapping"/>
            </w:r>
            <w:r>
              <w:rPr>
                <w:rFonts w:hint="eastAsia"/>
                <w:highlight w:val="none"/>
                <w:lang w:val="zh-CN" w:eastAsia="zh-CN"/>
              </w:rPr>
              <w:t>10）支持通过POE网口为POE摄像机进行供电，通过以太网双绞线即可将摄像机视频信号、控制信号及供电电源复合一起传输；</w:t>
            </w:r>
            <w:r>
              <w:rPr>
                <w:rFonts w:hint="eastAsia"/>
                <w:highlight w:val="none"/>
                <w:lang w:val="zh-CN" w:eastAsia="zh-CN"/>
              </w:rPr>
              <w:br w:type="textWrapping"/>
            </w:r>
            <w:r>
              <w:rPr>
                <w:rFonts w:hint="eastAsia"/>
                <w:highlight w:val="none"/>
                <w:lang w:val="zh-CN" w:eastAsia="zh-CN"/>
              </w:rPr>
              <w:t>11）支持EPTZ电子云台，在采用两台4K高清摄像机的情况下，可实现教师全景、教师特写、学生全景、学生特写四个画面的拍摄；</w:t>
            </w:r>
            <w:r>
              <w:rPr>
                <w:rFonts w:hint="eastAsia"/>
                <w:highlight w:val="none"/>
                <w:lang w:val="zh-CN" w:eastAsia="zh-CN"/>
              </w:rPr>
              <w:br w:type="textWrapping"/>
            </w:r>
            <w:r>
              <w:rPr>
                <w:rFonts w:hint="eastAsia"/>
                <w:highlight w:val="none"/>
                <w:lang w:val="zh-CN" w:eastAsia="zh-CN"/>
              </w:rPr>
              <w:t>12）支持插上显示屏、鼠标键盘即可开展本地无延迟导播；</w:t>
            </w:r>
            <w:r>
              <w:rPr>
                <w:rFonts w:hint="eastAsia"/>
                <w:highlight w:val="none"/>
                <w:lang w:val="zh-CN" w:eastAsia="zh-CN"/>
              </w:rPr>
              <w:br w:type="textWrapping"/>
            </w:r>
            <w:r>
              <w:rPr>
                <w:rFonts w:hint="eastAsia"/>
                <w:highlight w:val="none"/>
                <w:lang w:val="zh-CN" w:eastAsia="zh-CN"/>
              </w:rPr>
              <w:t>13）★支持扩展内置1vN远程教学互动功能，可通过红外遥控器控制1vN的教学互动，遥控器至少具备方向键、返回键、取消键、数字键、删除键、呼叫键、菜单键、静音键、投屏键、首页键、确认键、音量控制键、云台控制键、电源键等，支持终端与终端直接进行教学互动；</w:t>
            </w:r>
            <w:r>
              <w:rPr>
                <w:rFonts w:hint="eastAsia"/>
                <w:highlight w:val="none"/>
                <w:lang w:val="zh-CN" w:eastAsia="zh-CN"/>
              </w:rPr>
              <w:br w:type="textWrapping"/>
            </w:r>
            <w:r>
              <w:rPr>
                <w:rFonts w:hint="eastAsia"/>
                <w:highlight w:val="none"/>
                <w:lang w:val="zh-CN" w:eastAsia="zh-CN"/>
              </w:rPr>
              <w:t>14）★支持自定义设置直播信号源、直播服务器信息，支持向≥3个直播服务器进行直播推流，支持≥6路RTMP视频流同步推流；</w:t>
            </w:r>
            <w:r>
              <w:rPr>
                <w:rFonts w:hint="eastAsia"/>
                <w:highlight w:val="none"/>
                <w:lang w:val="zh-CN" w:eastAsia="zh-CN"/>
              </w:rPr>
              <w:br w:type="textWrapping"/>
            </w:r>
            <w:r>
              <w:rPr>
                <w:rFonts w:hint="eastAsia"/>
                <w:highlight w:val="none"/>
                <w:lang w:val="zh-CN" w:eastAsia="zh-CN"/>
              </w:rPr>
              <w:t>15）★支持扩展AI硬件分析功能，采用分布式分析机制，实现教室端本地化AI实时分析，支持实时分析和人脸训练两种运行模式；</w:t>
            </w:r>
            <w:r>
              <w:rPr>
                <w:rFonts w:hint="eastAsia"/>
                <w:highlight w:val="none"/>
                <w:lang w:val="zh-CN" w:eastAsia="zh-CN"/>
              </w:rPr>
              <w:br w:type="textWrapping"/>
            </w:r>
            <w:r>
              <w:rPr>
                <w:rFonts w:hint="eastAsia"/>
                <w:highlight w:val="none"/>
                <w:lang w:val="zh-CN" w:eastAsia="zh-CN"/>
              </w:rPr>
              <w:t>16）★支持扩展实时分析，实现设定课程分析计划后自动执行分析，支持教师讲授、教师发言或观察、课件操作、教师板书、教师巡视、学生听讲、学生应答、学生展示、学生读写、学生举手、生生互动行为分析；支持教师迟到、缺课、调课（或代课）、学生罚站、到课率、前排就坐率、抬头率、趴桌率、话语讲授时长、课件讲授或操作时长、师生问答时长、教师巡视分析等；</w:t>
            </w:r>
            <w:r>
              <w:rPr>
                <w:rFonts w:hint="eastAsia"/>
                <w:highlight w:val="none"/>
                <w:lang w:val="zh-CN" w:eastAsia="zh-CN"/>
              </w:rPr>
              <w:br w:type="textWrapping"/>
            </w:r>
            <w:r>
              <w:rPr>
                <w:rFonts w:hint="eastAsia"/>
                <w:highlight w:val="none"/>
                <w:lang w:val="zh-CN" w:eastAsia="zh-CN"/>
              </w:rPr>
              <w:t>17）机身具备RESET物理按键，支持一键恢复出厂设置；</w:t>
            </w:r>
            <w:r>
              <w:rPr>
                <w:rFonts w:hint="eastAsia"/>
                <w:highlight w:val="none"/>
                <w:lang w:val="zh-CN" w:eastAsia="zh-CN"/>
              </w:rPr>
              <w:br w:type="textWrapping"/>
            </w:r>
            <w:r>
              <w:rPr>
                <w:rFonts w:hint="eastAsia"/>
                <w:highlight w:val="none"/>
                <w:lang w:val="zh-CN" w:eastAsia="zh-CN"/>
              </w:rPr>
              <w:t>18）采用≤DC 48V电源供电，支持通电自动开机。</w:t>
            </w:r>
          </w:p>
          <w:p w14:paraId="3CFB5BBC">
            <w:pPr>
              <w:widowControl w:val="0"/>
              <w:numPr>
                <w:ilvl w:val="0"/>
                <w:numId w:val="0"/>
              </w:numPr>
              <w:jc w:val="both"/>
              <w:rPr>
                <w:rFonts w:hint="eastAsia"/>
                <w:highlight w:val="none"/>
                <w:lang w:val="zh-CN" w:eastAsia="zh-CN"/>
              </w:rPr>
            </w:pPr>
          </w:p>
          <w:p w14:paraId="1B3B58CF">
            <w:pPr>
              <w:pStyle w:val="13"/>
              <w:rPr>
                <w:rFonts w:hint="eastAsia"/>
                <w:highlight w:val="none"/>
                <w:lang w:val="zh-CN" w:eastAsia="zh-CN"/>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182E79B">
            <w:pPr>
              <w:pStyle w:val="13"/>
              <w:rPr>
                <w:rFonts w:hint="eastAsia"/>
                <w:lang w:val="zh-CN" w:eastAsia="zh-CN"/>
              </w:rPr>
            </w:pPr>
            <w:r>
              <w:rPr>
                <w:rFonts w:hint="eastAsia"/>
                <w:lang w:val="zh-CN" w:eastAsia="zh-CN"/>
              </w:rPr>
              <w:t>100</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658710B6">
            <w:pPr>
              <w:pStyle w:val="13"/>
              <w:rPr>
                <w:rFonts w:hint="eastAsia"/>
                <w:lang w:val="zh-CN" w:eastAsia="zh-CN"/>
              </w:rPr>
            </w:pPr>
            <w:r>
              <w:rPr>
                <w:rFonts w:hint="eastAsia"/>
                <w:lang w:val="zh-CN" w:eastAsia="zh-CN"/>
              </w:rPr>
              <w:t>台</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16611A6D">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3C64C95A">
            <w:pPr>
              <w:pStyle w:val="13"/>
              <w:rPr>
                <w:rFonts w:hint="eastAsia"/>
                <w:lang w:val="zh-CN" w:eastAsia="zh-CN"/>
              </w:rPr>
            </w:pPr>
          </w:p>
        </w:tc>
      </w:tr>
      <w:tr w14:paraId="3E129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FC28D">
            <w:pPr>
              <w:pStyle w:val="13"/>
              <w:rPr>
                <w:rFonts w:hint="eastAsia"/>
                <w:lang w:val="zh-CN" w:eastAsia="zh-CN"/>
              </w:rPr>
            </w:pPr>
            <w:r>
              <w:rPr>
                <w:rFonts w:hint="eastAsia"/>
                <w:lang w:val="zh-CN" w:eastAsia="zh-CN"/>
              </w:rPr>
              <w:t>2</w:t>
            </w:r>
          </w:p>
        </w:tc>
        <w:tc>
          <w:tcPr>
            <w:tcW w:w="1314" w:type="dxa"/>
            <w:tcBorders>
              <w:top w:val="single" w:color="000000" w:sz="4" w:space="0"/>
              <w:left w:val="single" w:color="000000" w:sz="4" w:space="0"/>
              <w:bottom w:val="single" w:color="000000" w:sz="4" w:space="0"/>
              <w:right w:val="nil"/>
            </w:tcBorders>
            <w:noWrap w:val="0"/>
            <w:vAlign w:val="center"/>
          </w:tcPr>
          <w:p w14:paraId="37910416">
            <w:pPr>
              <w:pStyle w:val="13"/>
              <w:rPr>
                <w:rFonts w:hint="eastAsia"/>
                <w:lang w:val="zh-CN" w:eastAsia="zh-CN"/>
              </w:rPr>
            </w:pPr>
            <w:r>
              <w:rPr>
                <w:rFonts w:hint="eastAsia"/>
                <w:lang w:val="zh-CN" w:eastAsia="zh-CN"/>
              </w:rPr>
              <w:t>布线施工安装</w:t>
            </w:r>
          </w:p>
        </w:tc>
        <w:tc>
          <w:tcPr>
            <w:tcW w:w="5980" w:type="dxa"/>
            <w:tcBorders>
              <w:top w:val="single" w:color="000000" w:sz="4" w:space="0"/>
              <w:left w:val="single" w:color="000000" w:sz="4" w:space="0"/>
              <w:bottom w:val="single" w:color="000000" w:sz="4" w:space="0"/>
              <w:right w:val="single" w:color="000000" w:sz="4" w:space="0"/>
            </w:tcBorders>
            <w:noWrap w:val="0"/>
            <w:vAlign w:val="center"/>
          </w:tcPr>
          <w:p w14:paraId="3F0B5F34">
            <w:pPr>
              <w:pStyle w:val="13"/>
              <w:rPr>
                <w:rFonts w:hint="eastAsia"/>
                <w:lang w:val="zh-CN" w:eastAsia="zh-CN"/>
              </w:rPr>
            </w:pPr>
            <w:r>
              <w:rPr>
                <w:rFonts w:hint="eastAsia"/>
                <w:lang w:val="zh-CN" w:eastAsia="zh-CN"/>
              </w:rPr>
              <w:t>满足整个教室布线施工需求，网线、电源线、音频线等线材，整间教室线槽线管铺设、安装。设备测试及培训。</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4B5B165">
            <w:pPr>
              <w:pStyle w:val="13"/>
              <w:rPr>
                <w:rFonts w:hint="eastAsia"/>
                <w:lang w:val="zh-CN" w:eastAsia="zh-CN"/>
              </w:rPr>
            </w:pPr>
            <w:r>
              <w:rPr>
                <w:rFonts w:hint="eastAsia"/>
                <w:lang w:val="zh-CN" w:eastAsia="zh-CN"/>
              </w:rPr>
              <w:t>100</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4DABFBF8">
            <w:pPr>
              <w:pStyle w:val="13"/>
              <w:rPr>
                <w:rFonts w:hint="eastAsia"/>
                <w:lang w:val="zh-CN" w:eastAsia="zh-CN"/>
              </w:rPr>
            </w:pPr>
            <w:r>
              <w:rPr>
                <w:rFonts w:hint="eastAsia"/>
                <w:lang w:val="zh-CN" w:eastAsia="zh-CN"/>
              </w:rPr>
              <w:t>间</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592E4FEE">
            <w:pPr>
              <w:pStyle w:val="13"/>
              <w:rPr>
                <w:rFonts w:hint="eastAsia"/>
                <w:lang w:val="zh-CN" w:eastAsia="zh-CN"/>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283DE836">
            <w:pPr>
              <w:pStyle w:val="13"/>
              <w:rPr>
                <w:rFonts w:hint="eastAsia"/>
                <w:lang w:val="zh-CN" w:eastAsia="zh-CN"/>
              </w:rPr>
            </w:pPr>
          </w:p>
        </w:tc>
      </w:tr>
      <w:tr w14:paraId="31BA2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3940" w:type="dxa"/>
            <w:gridSpan w:val="7"/>
            <w:tcBorders>
              <w:top w:val="nil"/>
              <w:left w:val="single" w:color="000000" w:sz="4" w:space="0"/>
              <w:bottom w:val="single" w:color="000000" w:sz="4" w:space="0"/>
              <w:right w:val="nil"/>
            </w:tcBorders>
            <w:shd w:val="clear" w:color="auto" w:fill="auto"/>
            <w:noWrap w:val="0"/>
            <w:vAlign w:val="center"/>
          </w:tcPr>
          <w:p w14:paraId="278C4CE7">
            <w:pPr>
              <w:pStyle w:val="13"/>
              <w:rPr>
                <w:rFonts w:hint="eastAsia"/>
                <w:lang w:val="zh-CN" w:eastAsia="zh-CN"/>
              </w:rPr>
            </w:pPr>
            <w:r>
              <w:rPr>
                <w:rFonts w:hint="eastAsia"/>
                <w:lang w:val="zh-CN" w:eastAsia="zh-CN"/>
              </w:rPr>
              <w:t>成本小计：</w:t>
            </w:r>
          </w:p>
        </w:tc>
      </w:tr>
      <w:tr w14:paraId="7703B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94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9B9FA">
            <w:pPr>
              <w:pStyle w:val="13"/>
              <w:rPr>
                <w:rFonts w:hint="eastAsia"/>
                <w:lang w:val="zh-CN" w:eastAsia="zh-CN"/>
              </w:rPr>
            </w:pPr>
            <w:r>
              <w:rPr>
                <w:rFonts w:hint="eastAsia"/>
                <w:lang w:val="zh-CN" w:eastAsia="zh-CN"/>
              </w:rPr>
              <w:t>所有清单合价：</w:t>
            </w:r>
          </w:p>
        </w:tc>
      </w:tr>
    </w:tbl>
    <w:p w14:paraId="3A824375">
      <w:pPr>
        <w:ind w:left="-420" w:leftChars="-200" w:firstLine="420" w:firstLineChars="200"/>
        <w:rPr>
          <w:color w:val="auto"/>
          <w:highlight w:val="none"/>
        </w:rPr>
      </w:pPr>
    </w:p>
    <w:p w14:paraId="4F5E936F">
      <w:pPr>
        <w:rPr>
          <w:rFonts w:hint="eastAsia"/>
          <w:color w:val="auto"/>
          <w:highlight w:val="none"/>
        </w:rPr>
      </w:pPr>
    </w:p>
    <w:p w14:paraId="75C83079">
      <w:pPr>
        <w:pStyle w:val="40"/>
        <w:shd w:val="clear" w:color="auto" w:fill="FDFEFF"/>
        <w:spacing w:before="0" w:beforeAutospacing="0" w:after="0" w:afterAutospacing="0" w:line="540" w:lineRule="exact"/>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特别说明：</w:t>
      </w:r>
    </w:p>
    <w:p w14:paraId="46693490">
      <w:pPr>
        <w:pStyle w:val="40"/>
        <w:shd w:val="clear" w:color="auto" w:fill="FDFEFF"/>
        <w:spacing w:before="0" w:beforeAutospacing="0" w:after="0" w:afterAutospacing="0" w:line="540" w:lineRule="exact"/>
        <w:ind w:firstLine="482" w:firstLineChars="200"/>
        <w:rPr>
          <w:rFonts w:hint="eastAsia" w:ascii="仿宋" w:hAnsi="仿宋" w:eastAsia="仿宋" w:cs="仿宋"/>
          <w:b/>
          <w:bCs/>
          <w:color w:val="auto"/>
          <w:highlight w:val="none"/>
          <w:shd w:val="clear" w:color="auto" w:fill="FDFEFF"/>
        </w:rPr>
      </w:pPr>
      <w:r>
        <w:rPr>
          <w:rFonts w:hint="eastAsia" w:ascii="仿宋" w:hAnsi="仿宋" w:eastAsia="仿宋" w:cs="仿宋"/>
          <w:b/>
          <w:bCs/>
          <w:color w:val="auto"/>
          <w:highlight w:val="none"/>
          <w:shd w:val="clear" w:color="auto" w:fill="FDFEFF"/>
        </w:rPr>
        <w:t>1</w:t>
      </w:r>
      <w:r>
        <w:rPr>
          <w:rFonts w:hint="eastAsia" w:ascii="仿宋" w:hAnsi="仿宋" w:eastAsia="仿宋" w:cs="仿宋"/>
          <w:b/>
          <w:bCs/>
          <w:color w:val="auto"/>
          <w:highlight w:val="none"/>
          <w:shd w:val="clear" w:color="auto" w:fill="FDFEFF"/>
          <w:lang w:val="en-US" w:eastAsia="zh-CN"/>
        </w:rPr>
        <w:t>.</w:t>
      </w:r>
      <w:r>
        <w:rPr>
          <w:rFonts w:hint="eastAsia" w:ascii="仿宋" w:hAnsi="仿宋" w:eastAsia="仿宋" w:cs="仿宋"/>
          <w:b/>
          <w:bCs/>
          <w:color w:val="auto"/>
          <w:highlight w:val="none"/>
          <w:shd w:val="clear" w:color="auto" w:fill="FDFEFF"/>
        </w:rPr>
        <w:t>中标供应商均不得转让或分包给他人，一经发现，取消其供货资格，由此产生的一切经济损失由中标供应商自行承担。</w:t>
      </w:r>
    </w:p>
    <w:p w14:paraId="6DE25070">
      <w:pPr>
        <w:pStyle w:val="40"/>
        <w:shd w:val="clear" w:color="auto" w:fill="FDFEFF"/>
        <w:spacing w:before="0" w:beforeAutospacing="0" w:after="0" w:afterAutospacing="0" w:line="540" w:lineRule="exact"/>
        <w:ind w:firstLine="482" w:firstLineChars="200"/>
        <w:rPr>
          <w:rFonts w:hint="eastAsia" w:ascii="仿宋" w:hAnsi="仿宋" w:eastAsia="仿宋" w:cs="仿宋"/>
          <w:b/>
          <w:bCs/>
          <w:color w:val="auto"/>
          <w:highlight w:val="none"/>
          <w:shd w:val="clear" w:color="auto" w:fill="FDFEFF"/>
          <w:lang w:val="en-US" w:eastAsia="zh-CN"/>
        </w:rPr>
      </w:pPr>
      <w:r>
        <w:rPr>
          <w:rFonts w:hint="eastAsia" w:ascii="仿宋" w:hAnsi="仿宋" w:eastAsia="仿宋" w:cs="仿宋"/>
          <w:b/>
          <w:bCs/>
          <w:color w:val="auto"/>
          <w:highlight w:val="none"/>
          <w:shd w:val="clear" w:color="auto" w:fill="FDFEFF"/>
          <w:lang w:val="en-US" w:eastAsia="zh-CN"/>
        </w:rPr>
        <w:t>2.招标文件未尽事宜，由采购人与中标供应商签订合同补充执行。</w:t>
      </w:r>
    </w:p>
    <w:p w14:paraId="193447B2">
      <w:pPr>
        <w:pStyle w:val="40"/>
        <w:shd w:val="clear" w:color="auto" w:fill="FDFEFF"/>
        <w:spacing w:before="0" w:beforeAutospacing="0" w:after="0" w:afterAutospacing="0" w:line="540" w:lineRule="exact"/>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bCs/>
          <w:color w:val="auto"/>
          <w:highlight w:val="none"/>
          <w:shd w:val="clear" w:color="auto" w:fill="FDFEFF"/>
          <w:lang w:val="en-US" w:eastAsia="zh-CN"/>
        </w:rPr>
        <w:t>3.</w:t>
      </w:r>
      <w:r>
        <w:rPr>
          <w:rFonts w:hint="eastAsia" w:ascii="仿宋" w:hAnsi="仿宋" w:eastAsia="仿宋" w:cs="仿宋"/>
          <w:b/>
          <w:bCs/>
          <w:color w:val="auto"/>
          <w:highlight w:val="none"/>
          <w:shd w:val="clear" w:color="auto" w:fill="FDFEFF"/>
        </w:rPr>
        <w:t>以上参数中</w:t>
      </w:r>
      <w:r>
        <w:rPr>
          <w:rFonts w:hint="eastAsia" w:ascii="仿宋" w:hAnsi="仿宋" w:eastAsia="仿宋" w:cs="仿宋"/>
          <w:b/>
          <w:bCs/>
          <w:color w:val="auto"/>
          <w:highlight w:val="none"/>
          <w:shd w:val="clear" w:color="auto" w:fill="FDFEFF"/>
          <w:lang w:val="en-US" w:eastAsia="zh-CN"/>
        </w:rPr>
        <w:t>产品单价为最高限价，供应商报价时需认真查看比对，如投标报价中的单价高于以上参数中的单价视为无效报价作废标处理</w:t>
      </w:r>
      <w:r>
        <w:rPr>
          <w:rFonts w:hint="eastAsia" w:ascii="仿宋" w:hAnsi="仿宋" w:eastAsia="仿宋" w:cs="仿宋"/>
          <w:b/>
          <w:bCs/>
          <w:color w:val="auto"/>
          <w:highlight w:val="none"/>
          <w:shd w:val="clear" w:color="auto" w:fill="FDFEFF"/>
        </w:rPr>
        <w:t>。</w:t>
      </w:r>
    </w:p>
    <w:p w14:paraId="55C22EEE">
      <w:pPr>
        <w:numPr>
          <w:ilvl w:val="0"/>
          <w:numId w:val="13"/>
        </w:numPr>
        <w:ind w:firstLine="482" w:firstLineChars="200"/>
        <w:rPr>
          <w:rFonts w:hint="default"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lang w:val="en-US" w:eastAsia="zh-CN"/>
        </w:rPr>
        <w:t>请各供应商按照技术参数中及评分办法中的要求提供相应的证明材料。</w:t>
      </w:r>
    </w:p>
    <w:p w14:paraId="76EFD4EC">
      <w:pPr>
        <w:pStyle w:val="40"/>
        <w:shd w:val="clear" w:color="auto" w:fill="FDFEFF"/>
        <w:spacing w:before="0" w:beforeAutospacing="0" w:after="0" w:afterAutospacing="0" w:line="540" w:lineRule="exact"/>
        <w:ind w:firstLine="482" w:firstLineChars="200"/>
        <w:rPr>
          <w:rFonts w:hint="eastAsia" w:ascii="仿宋" w:hAnsi="仿宋" w:eastAsia="仿宋" w:cs="仿宋"/>
          <w:b/>
          <w:bCs/>
          <w:color w:val="auto"/>
          <w:highlight w:val="none"/>
          <w:shd w:val="clear" w:color="auto" w:fill="FDFEFF"/>
          <w:lang w:val="en-US" w:eastAsia="zh-CN"/>
        </w:rPr>
      </w:pPr>
      <w:r>
        <w:rPr>
          <w:rFonts w:hint="eastAsia" w:ascii="仿宋" w:hAnsi="仿宋" w:eastAsia="仿宋" w:cs="仿宋"/>
          <w:b/>
          <w:bCs/>
          <w:color w:val="auto"/>
          <w:highlight w:val="none"/>
          <w:shd w:val="clear" w:color="auto" w:fill="FDFEFF"/>
          <w:lang w:val="en-US" w:eastAsia="zh-CN"/>
        </w:rPr>
        <w:t>5.带参考图片版清单详见其他文件中的附件（excel表格版清单）</w:t>
      </w:r>
    </w:p>
    <w:p w14:paraId="13CD6638">
      <w:pPr>
        <w:pStyle w:val="40"/>
        <w:shd w:val="clear" w:color="auto" w:fill="FDFEFF"/>
        <w:spacing w:before="0" w:beforeAutospacing="0" w:after="0" w:afterAutospacing="0" w:line="540" w:lineRule="exact"/>
        <w:ind w:firstLine="482" w:firstLineChars="200"/>
        <w:rPr>
          <w:rFonts w:hint="eastAsia" w:ascii="仿宋" w:hAnsi="仿宋" w:eastAsia="仿宋" w:cs="仿宋"/>
          <w:b/>
          <w:bCs/>
          <w:color w:val="auto"/>
          <w:highlight w:val="none"/>
          <w:shd w:val="clear" w:color="auto" w:fill="FDFEFF"/>
          <w:lang w:val="en-US" w:eastAsia="zh-CN"/>
        </w:rPr>
      </w:pPr>
      <w:r>
        <w:rPr>
          <w:rFonts w:hint="eastAsia" w:ascii="仿宋" w:hAnsi="仿宋" w:eastAsia="仿宋" w:cs="仿宋"/>
          <w:b/>
          <w:bCs/>
          <w:color w:val="auto"/>
          <w:highlight w:val="none"/>
          <w:shd w:val="clear" w:color="auto" w:fill="FDFEFF"/>
          <w:lang w:val="en-US" w:eastAsia="zh-CN"/>
        </w:rPr>
        <w:t>6.此项目参数为最低标准，投标人或投标厂商提供优于此参数的产品，并对应检测报告者优先考虑。</w:t>
      </w:r>
    </w:p>
    <w:p w14:paraId="54451A80">
      <w:pPr>
        <w:pStyle w:val="40"/>
        <w:shd w:val="clear" w:color="auto" w:fill="FDFEFF"/>
        <w:spacing w:before="0" w:beforeAutospacing="0" w:after="0" w:afterAutospacing="0" w:line="540" w:lineRule="exact"/>
        <w:ind w:firstLine="482" w:firstLineChars="200"/>
        <w:rPr>
          <w:rFonts w:hint="eastAsia" w:ascii="仿宋" w:hAnsi="仿宋" w:eastAsia="仿宋" w:cs="仿宋"/>
          <w:b/>
          <w:bCs/>
          <w:color w:val="auto"/>
          <w:highlight w:val="none"/>
          <w:shd w:val="clear" w:color="auto" w:fill="FDFEFF"/>
          <w:lang w:val="zh-CN" w:eastAsia="zh-CN"/>
        </w:rPr>
      </w:pPr>
      <w:r>
        <w:rPr>
          <w:rFonts w:hint="eastAsia" w:ascii="仿宋" w:hAnsi="仿宋" w:eastAsia="仿宋" w:cs="仿宋"/>
          <w:b/>
          <w:bCs/>
          <w:color w:val="auto"/>
          <w:highlight w:val="none"/>
          <w:shd w:val="clear" w:color="auto" w:fill="FDFEFF"/>
          <w:lang w:val="zh-CN" w:eastAsia="zh-CN"/>
        </w:rPr>
        <w:t>▲以上标星号项属于重要功能</w:t>
      </w:r>
      <w:r>
        <w:rPr>
          <w:rFonts w:hint="eastAsia" w:ascii="仿宋" w:hAnsi="仿宋" w:eastAsia="仿宋" w:cs="仿宋"/>
          <w:b/>
          <w:bCs/>
          <w:color w:val="auto"/>
          <w:highlight w:val="none"/>
          <w:shd w:val="clear" w:color="auto" w:fill="FDFEFF"/>
          <w:lang w:val="en-US" w:eastAsia="zh-CN"/>
        </w:rPr>
        <w:t>且为最低标准</w:t>
      </w:r>
      <w:r>
        <w:rPr>
          <w:rFonts w:hint="eastAsia" w:ascii="仿宋" w:hAnsi="仿宋" w:eastAsia="仿宋" w:cs="仿宋"/>
          <w:b/>
          <w:bCs/>
          <w:color w:val="auto"/>
          <w:highlight w:val="none"/>
          <w:shd w:val="clear" w:color="auto" w:fill="FDFEFF"/>
          <w:lang w:val="zh-CN" w:eastAsia="zh-CN"/>
        </w:rPr>
        <w:t>，生产厂家需在功能上</w:t>
      </w:r>
      <w:r>
        <w:rPr>
          <w:rFonts w:hint="eastAsia" w:ascii="仿宋" w:hAnsi="仿宋" w:eastAsia="仿宋" w:cs="仿宋"/>
          <w:b/>
          <w:bCs/>
          <w:color w:val="auto"/>
          <w:highlight w:val="none"/>
          <w:shd w:val="clear" w:color="auto" w:fill="FDFEFF"/>
          <w:lang w:val="en-US" w:eastAsia="zh-CN"/>
        </w:rPr>
        <w:t>明显</w:t>
      </w:r>
      <w:r>
        <w:rPr>
          <w:rFonts w:hint="eastAsia" w:ascii="仿宋" w:hAnsi="仿宋" w:eastAsia="仿宋" w:cs="仿宋"/>
          <w:b/>
          <w:bCs/>
          <w:color w:val="auto"/>
          <w:highlight w:val="none"/>
          <w:shd w:val="clear" w:color="auto" w:fill="FDFEFF"/>
          <w:lang w:val="zh-CN" w:eastAsia="zh-CN"/>
        </w:rPr>
        <w:t>优于此参数。为保证软件使用的可靠性且不存在任何专利纠纷，需提供第三方权威检测机构出具的满足以上功能内容的检测报告复印件并加盖原厂公章。</w:t>
      </w:r>
      <w:bookmarkStart w:id="96" w:name="OLE_LINK4"/>
    </w:p>
    <w:p w14:paraId="4DF8FFA7">
      <w:pPr>
        <w:pStyle w:val="40"/>
        <w:shd w:val="clear" w:color="auto" w:fill="FDFEFF"/>
        <w:spacing w:before="0" w:beforeAutospacing="0" w:after="0" w:afterAutospacing="0" w:line="540" w:lineRule="exact"/>
        <w:ind w:firstLine="482" w:firstLineChars="200"/>
        <w:rPr>
          <w:rFonts w:hint="default" w:ascii="仿宋" w:hAnsi="仿宋" w:eastAsia="仿宋" w:cs="仿宋"/>
          <w:b/>
          <w:bCs/>
          <w:color w:val="auto"/>
          <w:highlight w:val="none"/>
          <w:shd w:val="clear" w:color="auto" w:fill="FDFEFF"/>
          <w:lang w:val="en-US" w:eastAsia="zh-CN"/>
        </w:rPr>
      </w:pPr>
      <w:r>
        <w:rPr>
          <w:rFonts w:hint="eastAsia" w:ascii="仿宋" w:hAnsi="仿宋" w:eastAsia="仿宋" w:cs="仿宋"/>
          <w:b/>
          <w:bCs/>
          <w:color w:val="auto"/>
          <w:highlight w:val="none"/>
          <w:shd w:val="clear" w:color="auto" w:fill="FDFEFF"/>
          <w:lang w:val="zh-CN" w:eastAsia="zh-CN"/>
        </w:rPr>
        <w:t>★以上标星号项属于重要功能</w:t>
      </w:r>
      <w:r>
        <w:rPr>
          <w:rFonts w:hint="eastAsia" w:ascii="仿宋" w:hAnsi="仿宋" w:eastAsia="仿宋" w:cs="仿宋"/>
          <w:b/>
          <w:bCs/>
          <w:color w:val="auto"/>
          <w:highlight w:val="none"/>
          <w:shd w:val="clear" w:color="auto" w:fill="FDFEFF"/>
          <w:lang w:val="en-US" w:eastAsia="zh-CN"/>
        </w:rPr>
        <w:t>且为最低标准</w:t>
      </w:r>
      <w:r>
        <w:rPr>
          <w:rFonts w:hint="eastAsia" w:ascii="仿宋" w:hAnsi="仿宋" w:eastAsia="仿宋" w:cs="仿宋"/>
          <w:b/>
          <w:bCs/>
          <w:color w:val="auto"/>
          <w:highlight w:val="none"/>
          <w:shd w:val="clear" w:color="auto" w:fill="FDFEFF"/>
          <w:lang w:val="zh-CN" w:eastAsia="zh-CN"/>
        </w:rPr>
        <w:t>，生产厂家需在功能上</w:t>
      </w:r>
      <w:r>
        <w:rPr>
          <w:rFonts w:hint="eastAsia" w:ascii="仿宋" w:hAnsi="仿宋" w:eastAsia="仿宋" w:cs="仿宋"/>
          <w:b/>
          <w:bCs/>
          <w:color w:val="auto"/>
          <w:highlight w:val="none"/>
          <w:shd w:val="clear" w:color="auto" w:fill="FDFEFF"/>
          <w:lang w:val="en-US" w:eastAsia="zh-CN"/>
        </w:rPr>
        <w:t>明显</w:t>
      </w:r>
      <w:r>
        <w:rPr>
          <w:rFonts w:hint="eastAsia" w:ascii="仿宋" w:hAnsi="仿宋" w:eastAsia="仿宋" w:cs="仿宋"/>
          <w:b/>
          <w:bCs/>
          <w:color w:val="auto"/>
          <w:highlight w:val="none"/>
          <w:shd w:val="clear" w:color="auto" w:fill="FDFEFF"/>
          <w:lang w:val="zh-CN" w:eastAsia="zh-CN"/>
        </w:rPr>
        <w:t>优于此参数。为保证软件使用的可靠性且不存在任何专利纠纷，需提供第三方权威检测机构出具的满足以上功能内容的检测报告复印件并加盖原厂公章。</w:t>
      </w:r>
      <w:bookmarkEnd w:id="96"/>
    </w:p>
    <w:p w14:paraId="3E620568">
      <w:pPr>
        <w:pStyle w:val="40"/>
        <w:shd w:val="clear" w:color="auto" w:fill="FDFEFF"/>
        <w:spacing w:before="0" w:beforeAutospacing="0" w:after="0" w:afterAutospacing="0" w:line="540" w:lineRule="exact"/>
        <w:ind w:firstLine="482" w:firstLineChars="200"/>
        <w:rPr>
          <w:rFonts w:hint="eastAsia" w:ascii="仿宋" w:hAnsi="仿宋" w:eastAsia="仿宋" w:cs="仿宋"/>
          <w:b/>
          <w:bCs/>
          <w:color w:val="auto"/>
          <w:highlight w:val="none"/>
          <w:shd w:val="clear" w:color="auto" w:fill="FDFEFF"/>
          <w:lang w:val="en-US" w:eastAsia="zh-CN"/>
        </w:rPr>
      </w:pPr>
    </w:p>
    <w:p w14:paraId="39EE1CCB">
      <w:pPr>
        <w:pStyle w:val="40"/>
        <w:shd w:val="clear" w:color="auto" w:fill="FDFEFF"/>
        <w:spacing w:before="0" w:beforeAutospacing="0" w:after="0" w:afterAutospacing="0" w:line="540" w:lineRule="exact"/>
        <w:ind w:firstLine="482" w:firstLineChars="200"/>
        <w:rPr>
          <w:rFonts w:hint="default" w:ascii="仿宋" w:hAnsi="仿宋" w:eastAsia="仿宋" w:cs="仿宋"/>
          <w:b/>
          <w:bCs/>
          <w:color w:val="auto"/>
          <w:highlight w:val="none"/>
          <w:shd w:val="clear" w:color="auto" w:fill="FDFEFF"/>
          <w:lang w:val="en-US" w:eastAsia="zh-CN"/>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4DEC37BC">
      <w:pPr>
        <w:spacing w:line="360" w:lineRule="auto"/>
        <w:jc w:val="center"/>
        <w:outlineLvl w:val="0"/>
        <w:rPr>
          <w:rFonts w:hint="eastAsia" w:ascii="仿宋" w:hAnsi="仿宋" w:eastAsia="仿宋" w:cs="仿宋"/>
          <w:b/>
          <w:bCs/>
          <w:color w:val="auto"/>
          <w:sz w:val="48"/>
          <w:szCs w:val="56"/>
          <w:highlight w:val="none"/>
        </w:rPr>
      </w:pPr>
    </w:p>
    <w:p w14:paraId="721EA049">
      <w:pPr>
        <w:spacing w:line="360" w:lineRule="auto"/>
        <w:jc w:val="center"/>
        <w:outlineLvl w:val="0"/>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第</w:t>
      </w:r>
      <w:r>
        <w:rPr>
          <w:rFonts w:hint="eastAsia" w:ascii="仿宋" w:hAnsi="仿宋" w:eastAsia="仿宋" w:cs="仿宋"/>
          <w:b/>
          <w:bCs/>
          <w:color w:val="auto"/>
          <w:sz w:val="36"/>
          <w:szCs w:val="36"/>
          <w:highlight w:val="none"/>
          <w:lang w:val="en-US" w:eastAsia="zh-CN"/>
        </w:rPr>
        <w:t>四</w:t>
      </w:r>
      <w:r>
        <w:rPr>
          <w:rFonts w:hint="eastAsia" w:ascii="仿宋" w:hAnsi="仿宋" w:eastAsia="仿宋" w:cs="仿宋"/>
          <w:b/>
          <w:bCs/>
          <w:color w:val="auto"/>
          <w:sz w:val="36"/>
          <w:szCs w:val="36"/>
          <w:highlight w:val="none"/>
        </w:rPr>
        <w:t xml:space="preserve">章   </w:t>
      </w:r>
      <w:bookmarkEnd w:id="82"/>
      <w:bookmarkEnd w:id="83"/>
      <w:r>
        <w:rPr>
          <w:rFonts w:hint="eastAsia" w:ascii="仿宋" w:hAnsi="仿宋" w:eastAsia="仿宋" w:cs="仿宋"/>
          <w:b/>
          <w:bCs/>
          <w:color w:val="auto"/>
          <w:sz w:val="36"/>
          <w:szCs w:val="36"/>
          <w:highlight w:val="none"/>
          <w:lang w:eastAsia="zh-CN"/>
        </w:rPr>
        <w:t>采购合同范本</w:t>
      </w:r>
      <w:r>
        <w:rPr>
          <w:rFonts w:hint="eastAsia" w:ascii="仿宋" w:hAnsi="仿宋" w:eastAsia="仿宋" w:cs="仿宋"/>
          <w:b/>
          <w:bCs/>
          <w:color w:val="auto"/>
          <w:sz w:val="36"/>
          <w:szCs w:val="36"/>
          <w:highlight w:val="none"/>
        </w:rPr>
        <w:t>（仅供参考）</w:t>
      </w:r>
      <w:bookmarkEnd w:id="84"/>
      <w:bookmarkEnd w:id="85"/>
      <w:bookmarkEnd w:id="86"/>
      <w:bookmarkEnd w:id="87"/>
      <w:bookmarkEnd w:id="88"/>
      <w:bookmarkEnd w:id="89"/>
      <w:bookmarkEnd w:id="90"/>
      <w:bookmarkEnd w:id="91"/>
      <w:bookmarkEnd w:id="92"/>
      <w:bookmarkEnd w:id="93"/>
      <w:bookmarkEnd w:id="94"/>
    </w:p>
    <w:p w14:paraId="72729706">
      <w:pPr>
        <w:widowControl/>
        <w:tabs>
          <w:tab w:val="left" w:pos="724"/>
        </w:tabs>
        <w:spacing w:line="460" w:lineRule="exact"/>
        <w:ind w:firstLine="480" w:firstLineChars="200"/>
        <w:jc w:val="left"/>
        <w:rPr>
          <w:rFonts w:hint="eastAsia" w:ascii="仿宋" w:hAnsi="仿宋" w:eastAsia="仿宋" w:cs="仿宋"/>
          <w:color w:val="auto"/>
          <w:sz w:val="24"/>
          <w:szCs w:val="24"/>
          <w:highlight w:val="none"/>
        </w:rPr>
      </w:pPr>
      <w:bookmarkStart w:id="97" w:name="_Toc381970843"/>
      <w:bookmarkStart w:id="98" w:name="_Toc17546"/>
      <w:bookmarkStart w:id="99" w:name="_Toc25217"/>
      <w:bookmarkStart w:id="100" w:name="_Toc29040"/>
    </w:p>
    <w:p w14:paraId="074DCCDA">
      <w:pPr>
        <w:spacing w:line="360" w:lineRule="auto"/>
        <w:ind w:firstLine="480" w:firstLineChars="200"/>
        <w:rPr>
          <w:rFonts w:hint="eastAsia" w:ascii="仿宋" w:hAnsi="仿宋" w:eastAsia="仿宋" w:cs="仿宋"/>
          <w:color w:val="auto"/>
          <w:sz w:val="24"/>
          <w:szCs w:val="24"/>
          <w:highlight w:val="none"/>
        </w:rPr>
      </w:pPr>
    </w:p>
    <w:p w14:paraId="71640388">
      <w:pPr>
        <w:spacing w:line="360" w:lineRule="auto"/>
        <w:ind w:firstLine="482" w:firstLineChars="200"/>
        <w:rPr>
          <w:rFonts w:hint="eastAsia" w:ascii="仿宋" w:hAnsi="仿宋" w:eastAsia="仿宋" w:cs="仿宋"/>
          <w:b/>
          <w:bCs/>
          <w:color w:val="auto"/>
          <w:sz w:val="24"/>
          <w:szCs w:val="24"/>
          <w:highlight w:val="none"/>
        </w:rPr>
      </w:pPr>
    </w:p>
    <w:p w14:paraId="1309EB6A">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一、合同格式：</w:t>
      </w:r>
    </w:p>
    <w:p w14:paraId="68BA8458">
      <w:pPr>
        <w:spacing w:line="360" w:lineRule="auto"/>
        <w:ind w:firstLine="482" w:firstLineChars="200"/>
        <w:rPr>
          <w:rFonts w:hint="eastAsia" w:ascii="仿宋" w:hAnsi="仿宋" w:eastAsia="仿宋" w:cs="仿宋"/>
          <w:b/>
          <w:bCs/>
          <w:color w:val="auto"/>
          <w:sz w:val="24"/>
          <w:szCs w:val="24"/>
          <w:highlight w:val="none"/>
        </w:rPr>
      </w:pPr>
    </w:p>
    <w:p w14:paraId="0AAA7CFF">
      <w:pPr>
        <w:pStyle w:val="21"/>
        <w:rPr>
          <w:rFonts w:hint="eastAsia" w:ascii="仿宋" w:hAnsi="仿宋" w:eastAsia="仿宋" w:cs="仿宋"/>
          <w:b/>
          <w:bCs/>
          <w:color w:val="auto"/>
          <w:sz w:val="24"/>
          <w:szCs w:val="24"/>
          <w:highlight w:val="none"/>
        </w:rPr>
      </w:pPr>
    </w:p>
    <w:p w14:paraId="171EB8FC">
      <w:pPr>
        <w:rPr>
          <w:rFonts w:hint="eastAsia" w:ascii="仿宋" w:hAnsi="仿宋" w:eastAsia="仿宋" w:cs="仿宋"/>
          <w:b/>
          <w:bCs/>
          <w:color w:val="auto"/>
          <w:sz w:val="24"/>
          <w:szCs w:val="24"/>
          <w:highlight w:val="none"/>
        </w:rPr>
      </w:pPr>
    </w:p>
    <w:p w14:paraId="4111189C">
      <w:pPr>
        <w:pStyle w:val="21"/>
        <w:rPr>
          <w:rFonts w:hint="eastAsia" w:ascii="仿宋" w:hAnsi="仿宋" w:eastAsia="仿宋" w:cs="仿宋"/>
          <w:b/>
          <w:bCs/>
          <w:color w:val="auto"/>
          <w:sz w:val="24"/>
          <w:szCs w:val="24"/>
          <w:highlight w:val="none"/>
        </w:rPr>
      </w:pPr>
    </w:p>
    <w:p w14:paraId="0D9DAA39">
      <w:pPr>
        <w:rPr>
          <w:rFonts w:hint="eastAsia"/>
          <w:color w:val="auto"/>
          <w:highlight w:val="none"/>
        </w:rPr>
      </w:pPr>
    </w:p>
    <w:p w14:paraId="0930A93A">
      <w:pPr>
        <w:spacing w:line="360" w:lineRule="auto"/>
        <w:ind w:firstLine="562" w:firstLineChars="2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政府采购合同</w:t>
      </w:r>
    </w:p>
    <w:p w14:paraId="2EC9335E">
      <w:pPr>
        <w:spacing w:line="360" w:lineRule="auto"/>
        <w:ind w:firstLine="482" w:firstLineChars="200"/>
        <w:rPr>
          <w:rFonts w:hint="eastAsia" w:ascii="仿宋" w:hAnsi="仿宋" w:eastAsia="仿宋" w:cs="仿宋"/>
          <w:b/>
          <w:bCs/>
          <w:color w:val="auto"/>
          <w:sz w:val="24"/>
          <w:szCs w:val="24"/>
          <w:highlight w:val="none"/>
        </w:rPr>
      </w:pPr>
    </w:p>
    <w:p w14:paraId="2514CA6F">
      <w:pPr>
        <w:pStyle w:val="4"/>
        <w:numPr>
          <w:ilvl w:val="0"/>
          <w:numId w:val="0"/>
        </w:numPr>
        <w:ind w:leftChars="0"/>
        <w:rPr>
          <w:rFonts w:hint="eastAsia" w:ascii="仿宋" w:hAnsi="仿宋" w:eastAsia="仿宋" w:cs="仿宋"/>
          <w:b/>
          <w:bCs/>
          <w:color w:val="auto"/>
          <w:sz w:val="24"/>
          <w:szCs w:val="24"/>
          <w:highlight w:val="none"/>
        </w:rPr>
      </w:pPr>
    </w:p>
    <w:p w14:paraId="515D985F">
      <w:pPr>
        <w:pStyle w:val="21"/>
        <w:rPr>
          <w:rFonts w:hint="eastAsia" w:ascii="仿宋" w:hAnsi="仿宋" w:eastAsia="仿宋" w:cs="仿宋"/>
          <w:b/>
          <w:bCs/>
          <w:color w:val="auto"/>
          <w:sz w:val="24"/>
          <w:szCs w:val="24"/>
          <w:highlight w:val="none"/>
        </w:rPr>
      </w:pPr>
    </w:p>
    <w:p w14:paraId="1D4FBCAE">
      <w:pPr>
        <w:rPr>
          <w:rFonts w:hint="eastAsia" w:ascii="仿宋" w:hAnsi="仿宋" w:eastAsia="仿宋" w:cs="仿宋"/>
          <w:b/>
          <w:bCs/>
          <w:color w:val="auto"/>
          <w:sz w:val="24"/>
          <w:szCs w:val="24"/>
          <w:highlight w:val="none"/>
        </w:rPr>
      </w:pPr>
    </w:p>
    <w:p w14:paraId="48885B09">
      <w:pPr>
        <w:pStyle w:val="21"/>
        <w:rPr>
          <w:rFonts w:hint="eastAsia"/>
          <w:color w:val="auto"/>
          <w:highlight w:val="none"/>
        </w:rPr>
      </w:pPr>
    </w:p>
    <w:p w14:paraId="63CADEEB">
      <w:pPr>
        <w:rPr>
          <w:rFonts w:hint="eastAsia" w:ascii="仿宋" w:hAnsi="仿宋" w:eastAsia="仿宋" w:cs="仿宋"/>
          <w:color w:val="auto"/>
          <w:sz w:val="24"/>
          <w:szCs w:val="24"/>
          <w:highlight w:val="none"/>
        </w:rPr>
      </w:pPr>
    </w:p>
    <w:p w14:paraId="3F0BC59B">
      <w:pPr>
        <w:spacing w:line="360" w:lineRule="auto"/>
        <w:ind w:firstLine="482" w:firstLineChars="200"/>
        <w:rPr>
          <w:rFonts w:hint="eastAsia" w:ascii="仿宋" w:hAnsi="仿宋" w:eastAsia="仿宋" w:cs="仿宋"/>
          <w:b/>
          <w:bCs/>
          <w:color w:val="auto"/>
          <w:sz w:val="24"/>
          <w:szCs w:val="24"/>
          <w:highlight w:val="none"/>
        </w:rPr>
      </w:pPr>
    </w:p>
    <w:p w14:paraId="7F4ACB8A">
      <w:pPr>
        <w:spacing w:line="360" w:lineRule="auto"/>
        <w:ind w:firstLine="1205" w:firstLineChars="500"/>
        <w:jc w:val="left"/>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项目名称</w:t>
      </w:r>
      <w:r>
        <w:rPr>
          <w:rFonts w:hint="eastAsia" w:ascii="仿宋" w:hAnsi="仿宋" w:eastAsia="仿宋" w:cs="仿宋"/>
          <w:b/>
          <w:bCs/>
          <w:color w:val="auto"/>
          <w:sz w:val="24"/>
          <w:szCs w:val="24"/>
          <w:highlight w:val="none"/>
          <w:u w:val="none"/>
        </w:rPr>
        <w:t>:</w:t>
      </w:r>
      <w:r>
        <w:rPr>
          <w:rFonts w:hint="eastAsia" w:ascii="仿宋" w:hAnsi="仿宋" w:eastAsia="仿宋" w:cs="仿宋"/>
          <w:b/>
          <w:bCs/>
          <w:color w:val="auto"/>
          <w:sz w:val="24"/>
          <w:szCs w:val="24"/>
          <w:highlight w:val="none"/>
          <w:u w:val="none"/>
          <w:lang w:val="en-US" w:eastAsia="zh-CN"/>
        </w:rPr>
        <w:t xml:space="preserve"> </w:t>
      </w:r>
      <w:r>
        <w:rPr>
          <w:rFonts w:hint="eastAsia" w:ascii="仿宋" w:hAnsi="仿宋" w:eastAsia="仿宋" w:cs="仿宋"/>
          <w:b/>
          <w:bCs/>
          <w:color w:val="auto"/>
          <w:sz w:val="24"/>
          <w:szCs w:val="24"/>
          <w:highlight w:val="none"/>
          <w:u w:val="single"/>
          <w:lang w:val="en-US" w:eastAsia="zh-CN"/>
        </w:rPr>
        <w:t xml:space="preserve">           </w:t>
      </w:r>
    </w:p>
    <w:p w14:paraId="16FB0BCF">
      <w:pPr>
        <w:spacing w:line="360" w:lineRule="auto"/>
        <w:ind w:firstLine="1205" w:firstLineChars="500"/>
        <w:jc w:val="left"/>
        <w:rPr>
          <w:rFonts w:hint="eastAsia" w:ascii="仿宋" w:hAnsi="仿宋" w:eastAsia="仿宋" w:cs="仿宋"/>
          <w:color w:val="auto"/>
          <w:sz w:val="24"/>
          <w:szCs w:val="24"/>
          <w:highlight w:val="none"/>
          <w:u w:val="single"/>
          <w:lang w:val="en-US"/>
        </w:rPr>
      </w:pPr>
      <w:r>
        <w:rPr>
          <w:rFonts w:hint="eastAsia" w:ascii="仿宋" w:hAnsi="仿宋" w:eastAsia="仿宋" w:cs="仿宋"/>
          <w:b/>
          <w:bCs/>
          <w:color w:val="auto"/>
          <w:sz w:val="24"/>
          <w:szCs w:val="24"/>
          <w:highlight w:val="none"/>
        </w:rPr>
        <w:t>项目编号:</w:t>
      </w:r>
      <w:r>
        <w:rPr>
          <w:rFonts w:hint="eastAsia" w:ascii="仿宋" w:hAnsi="仿宋" w:eastAsia="仿宋" w:cs="仿宋"/>
          <w:b/>
          <w:bCs/>
          <w:color w:val="auto"/>
          <w:sz w:val="24"/>
          <w:szCs w:val="24"/>
          <w:highlight w:val="none"/>
          <w:u w:val="single"/>
          <w:lang w:val="en-US" w:eastAsia="zh-CN"/>
        </w:rPr>
        <w:t xml:space="preserve">            </w:t>
      </w:r>
    </w:p>
    <w:p w14:paraId="7A6BBB0D">
      <w:pPr>
        <w:spacing w:line="360" w:lineRule="auto"/>
        <w:ind w:firstLine="1205" w:firstLineChars="500"/>
        <w:jc w:val="left"/>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合同编号:</w:t>
      </w:r>
      <w:r>
        <w:rPr>
          <w:rFonts w:hint="eastAsia" w:ascii="仿宋" w:hAnsi="仿宋" w:eastAsia="仿宋" w:cs="仿宋"/>
          <w:b/>
          <w:bCs/>
          <w:color w:val="auto"/>
          <w:sz w:val="24"/>
          <w:szCs w:val="24"/>
          <w:highlight w:val="none"/>
          <w:u w:val="single"/>
          <w:lang w:val="en-US" w:eastAsia="zh-CN"/>
        </w:rPr>
        <w:t xml:space="preserve">            </w:t>
      </w:r>
    </w:p>
    <w:p w14:paraId="074DB91F">
      <w:pPr>
        <w:spacing w:line="360" w:lineRule="auto"/>
        <w:ind w:firstLine="482" w:firstLineChars="200"/>
        <w:jc w:val="left"/>
        <w:rPr>
          <w:rFonts w:hint="eastAsia" w:ascii="仿宋" w:hAnsi="仿宋" w:eastAsia="仿宋" w:cs="仿宋"/>
          <w:b/>
          <w:bCs/>
          <w:color w:val="auto"/>
          <w:sz w:val="24"/>
          <w:szCs w:val="24"/>
          <w:highlight w:val="none"/>
        </w:rPr>
      </w:pPr>
    </w:p>
    <w:p w14:paraId="20E94418">
      <w:pPr>
        <w:spacing w:line="360" w:lineRule="auto"/>
        <w:ind w:firstLine="482" w:firstLineChars="200"/>
        <w:jc w:val="left"/>
        <w:rPr>
          <w:rFonts w:hint="eastAsia" w:ascii="仿宋" w:hAnsi="仿宋" w:eastAsia="仿宋" w:cs="仿宋"/>
          <w:b/>
          <w:bCs/>
          <w:color w:val="auto"/>
          <w:sz w:val="24"/>
          <w:szCs w:val="24"/>
          <w:highlight w:val="none"/>
        </w:rPr>
      </w:pPr>
    </w:p>
    <w:p w14:paraId="0A401034">
      <w:pPr>
        <w:spacing w:line="360" w:lineRule="auto"/>
        <w:ind w:firstLine="482" w:firstLineChars="200"/>
        <w:jc w:val="left"/>
        <w:rPr>
          <w:rFonts w:hint="eastAsia" w:ascii="仿宋" w:hAnsi="仿宋" w:eastAsia="仿宋" w:cs="仿宋"/>
          <w:b/>
          <w:bCs/>
          <w:color w:val="auto"/>
          <w:sz w:val="24"/>
          <w:szCs w:val="24"/>
          <w:highlight w:val="none"/>
        </w:rPr>
      </w:pPr>
    </w:p>
    <w:p w14:paraId="50EF8267">
      <w:pPr>
        <w:spacing w:line="360" w:lineRule="auto"/>
        <w:ind w:firstLine="482" w:firstLineChars="200"/>
        <w:jc w:val="left"/>
        <w:rPr>
          <w:rFonts w:hint="eastAsia" w:ascii="仿宋" w:hAnsi="仿宋" w:eastAsia="仿宋" w:cs="仿宋"/>
          <w:b/>
          <w:bCs/>
          <w:color w:val="auto"/>
          <w:sz w:val="24"/>
          <w:szCs w:val="24"/>
          <w:highlight w:val="none"/>
        </w:rPr>
      </w:pPr>
    </w:p>
    <w:p w14:paraId="22478727">
      <w:pPr>
        <w:spacing w:line="360" w:lineRule="auto"/>
        <w:ind w:firstLine="1205" w:firstLineChars="500"/>
        <w:jc w:val="left"/>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rPr>
        <w:t>甲    方:</w:t>
      </w:r>
      <w:r>
        <w:rPr>
          <w:rFonts w:hint="eastAsia" w:ascii="仿宋" w:hAnsi="仿宋" w:eastAsia="仿宋" w:cs="仿宋"/>
          <w:b/>
          <w:bCs/>
          <w:color w:val="auto"/>
          <w:sz w:val="24"/>
          <w:szCs w:val="24"/>
          <w:highlight w:val="none"/>
          <w:u w:val="single"/>
          <w:lang w:val="en-US" w:eastAsia="zh-CN"/>
        </w:rPr>
        <w:t xml:space="preserve">            </w:t>
      </w:r>
    </w:p>
    <w:p w14:paraId="6DFC580C">
      <w:pPr>
        <w:spacing w:line="360" w:lineRule="auto"/>
        <w:ind w:firstLine="1205" w:firstLineChars="500"/>
        <w:jc w:val="left"/>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乙    方:</w:t>
      </w:r>
      <w:r>
        <w:rPr>
          <w:rFonts w:hint="eastAsia" w:ascii="仿宋" w:hAnsi="仿宋" w:eastAsia="仿宋" w:cs="仿宋"/>
          <w:b/>
          <w:bCs/>
          <w:color w:val="auto"/>
          <w:sz w:val="24"/>
          <w:szCs w:val="24"/>
          <w:highlight w:val="none"/>
          <w:u w:val="single"/>
          <w:lang w:val="en-US" w:eastAsia="zh-CN"/>
        </w:rPr>
        <w:t xml:space="preserve">            </w:t>
      </w:r>
    </w:p>
    <w:p w14:paraId="43A66C60">
      <w:pPr>
        <w:spacing w:line="360" w:lineRule="auto"/>
        <w:ind w:firstLine="480" w:firstLineChars="200"/>
        <w:jc w:val="left"/>
        <w:rPr>
          <w:rFonts w:hint="eastAsia" w:ascii="仿宋" w:hAnsi="仿宋" w:eastAsia="仿宋" w:cs="仿宋"/>
          <w:color w:val="auto"/>
          <w:sz w:val="24"/>
          <w:szCs w:val="24"/>
          <w:highlight w:val="none"/>
        </w:rPr>
      </w:pPr>
    </w:p>
    <w:p w14:paraId="177710EC">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（甲方）所需</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项目名称)经{同供应商须知前附表}以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（项目编号）招标文件在国内以公开招标方式进行采购。经评标委员会确定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（乙方）为中标人。甲、乙双方根据《中华人民共和国政府采购法》、《中华人民共和国合同法》等相关法律以及本项目招标文件的规定，经平等协商达成合同如下：</w:t>
      </w:r>
    </w:p>
    <w:p w14:paraId="7E42A1C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一、合同文件</w:t>
      </w:r>
    </w:p>
    <w:p w14:paraId="1D03C6B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本合同所附下列文件是构成本合同不可分割的部分：</w:t>
      </w:r>
    </w:p>
    <w:p w14:paraId="2675660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（一）本项目招标文件</w:t>
      </w:r>
    </w:p>
    <w:p w14:paraId="1508850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（二）中标人投标文件</w:t>
      </w:r>
    </w:p>
    <w:p w14:paraId="40A958A5">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（三）合同格式、合同条款</w:t>
      </w:r>
    </w:p>
    <w:p w14:paraId="7896E1F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（四）中标人在评标过程中做出的有关澄清、说明或者补正文件</w:t>
      </w:r>
    </w:p>
    <w:p w14:paraId="543CE62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（五）中标通知书</w:t>
      </w:r>
    </w:p>
    <w:p w14:paraId="4C4B4CF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（六）本合同附件</w:t>
      </w:r>
    </w:p>
    <w:p w14:paraId="2D507C1C">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二、合同的范围和条件</w:t>
      </w:r>
    </w:p>
    <w:p w14:paraId="0E7888E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本合同的范围和条件应与上述合同文件的规定相一致。</w:t>
      </w:r>
    </w:p>
    <w:p w14:paraId="2795B73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三、货物、数量及规格</w:t>
      </w:r>
    </w:p>
    <w:p w14:paraId="0B655DC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本合同所提供的货物、数量及规格详见合同货物清单（同招标文件及投标文件中报价明细表，下同）。</w:t>
      </w:r>
    </w:p>
    <w:p w14:paraId="731B126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四、合同金额</w:t>
      </w:r>
    </w:p>
    <w:p w14:paraId="4306DE5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根据上述合同文件要求，合同金额为人民币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。（分项价格详见合同货物清单）。</w:t>
      </w:r>
    </w:p>
    <w:p w14:paraId="5437B1A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乙方开户单位：</w:t>
      </w:r>
    </w:p>
    <w:p w14:paraId="47BCAF9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14:paraId="1A84E2E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五、付款途径</w:t>
      </w:r>
    </w:p>
    <w:p w14:paraId="7194BF3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国库集中支付   □甲方支付    □ 国库与甲方共同支付</w:t>
      </w:r>
    </w:p>
    <w:p w14:paraId="78B51A95">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财政性资金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          □ 自筹性资金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03C6EB4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属国库集中支付的财政性资金，甲方应按合同约定的付款期限，及时向财政部门报送资金支付申请，财政部门对支付申请审核无误后，将货款直接支付至乙方账户。</w:t>
      </w:r>
    </w:p>
    <w:p w14:paraId="5DCCEA6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六、付款方式</w:t>
      </w:r>
    </w:p>
    <w:p w14:paraId="7FF3D3A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付款方式：                                                    </w:t>
      </w:r>
    </w:p>
    <w:p w14:paraId="2FC0259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七、交付日期、地点</w:t>
      </w:r>
    </w:p>
    <w:p w14:paraId="068E3347">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1、交付日期：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DF553C3">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2、交付地点：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7B2CE4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八、履约保证金</w:t>
      </w:r>
    </w:p>
    <w:p w14:paraId="679103F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履约保证金在项目交付验收合格无质量问题后，填写《项目验收单》和资金往来收款收据交采购人后20个工作日内退还。</w:t>
      </w:r>
    </w:p>
    <w:p w14:paraId="4ED4A42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九、合同生效</w:t>
      </w:r>
    </w:p>
    <w:p w14:paraId="0A23D0D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本合同经甲乙双方签字盖章，乙方提交履约保证金后生效。</w:t>
      </w:r>
    </w:p>
    <w:p w14:paraId="493B2A8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十、合同保存</w:t>
      </w:r>
    </w:p>
    <w:p w14:paraId="5B706D2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本合同一式五份，甲方一份，乙方一份，交易中心一份，甲方同级财政部门一份，采购代理一份。</w:t>
      </w:r>
    </w:p>
    <w:p w14:paraId="37ECD2AA">
      <w:pPr>
        <w:spacing w:line="360" w:lineRule="auto"/>
        <w:ind w:firstLine="480" w:firstLineChars="200"/>
        <w:rPr>
          <w:rFonts w:hint="eastAsia" w:ascii="仿宋" w:hAnsi="仿宋" w:eastAsia="仿宋" w:cs="仿宋"/>
          <w:color w:val="auto"/>
          <w:sz w:val="24"/>
          <w:szCs w:val="24"/>
          <w:highlight w:val="none"/>
        </w:rPr>
      </w:pPr>
    </w:p>
    <w:p w14:paraId="299799DF">
      <w:pPr>
        <w:spacing w:line="360" w:lineRule="auto"/>
        <w:ind w:firstLine="480" w:firstLineChars="200"/>
        <w:rPr>
          <w:rFonts w:hint="eastAsia" w:ascii="仿宋" w:hAnsi="仿宋" w:eastAsia="仿宋" w:cs="仿宋"/>
          <w:color w:val="auto"/>
          <w:sz w:val="24"/>
          <w:szCs w:val="24"/>
          <w:highlight w:val="none"/>
        </w:rPr>
      </w:pPr>
    </w:p>
    <w:p w14:paraId="2DF77035">
      <w:pPr>
        <w:pStyle w:val="21"/>
        <w:rPr>
          <w:rFonts w:hint="eastAsia"/>
          <w:color w:val="auto"/>
          <w:highlight w:val="none"/>
        </w:rPr>
      </w:pPr>
    </w:p>
    <w:p w14:paraId="2E043AB1">
      <w:pPr>
        <w:spacing w:line="360" w:lineRule="auto"/>
        <w:ind w:firstLine="480" w:firstLineChars="200"/>
        <w:rPr>
          <w:rFonts w:hint="eastAsia" w:ascii="仿宋" w:hAnsi="仿宋" w:eastAsia="仿宋" w:cs="仿宋"/>
          <w:color w:val="auto"/>
          <w:sz w:val="24"/>
          <w:szCs w:val="24"/>
          <w:highlight w:val="none"/>
        </w:rPr>
      </w:pPr>
    </w:p>
    <w:p w14:paraId="0E8CFA34">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                            乙    方：</w:t>
      </w:r>
    </w:p>
    <w:p w14:paraId="5FB387E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                      单位名称(公章)：</w:t>
      </w:r>
    </w:p>
    <w:p w14:paraId="666293B6">
      <w:pPr>
        <w:spacing w:line="360" w:lineRule="auto"/>
        <w:ind w:firstLine="480" w:firstLineChars="200"/>
        <w:rPr>
          <w:rFonts w:hint="eastAsia" w:ascii="仿宋" w:hAnsi="仿宋" w:eastAsia="仿宋" w:cs="仿宋"/>
          <w:color w:val="auto"/>
          <w:sz w:val="24"/>
          <w:szCs w:val="24"/>
          <w:highlight w:val="none"/>
        </w:rPr>
      </w:pPr>
    </w:p>
    <w:p w14:paraId="3968029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法定代表人或授权代理人：（签字）       法定代表人或授权代理人：（签字）</w:t>
      </w:r>
    </w:p>
    <w:p w14:paraId="0DE2E40A">
      <w:pPr>
        <w:spacing w:line="360" w:lineRule="auto"/>
        <w:ind w:firstLine="480" w:firstLineChars="200"/>
        <w:rPr>
          <w:rFonts w:hint="eastAsia" w:ascii="仿宋" w:hAnsi="仿宋" w:eastAsia="仿宋" w:cs="仿宋"/>
          <w:color w:val="auto"/>
          <w:sz w:val="24"/>
          <w:szCs w:val="24"/>
          <w:highlight w:val="none"/>
        </w:rPr>
      </w:pPr>
    </w:p>
    <w:p w14:paraId="0D1149C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    话：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    话：</w:t>
      </w:r>
    </w:p>
    <w:p w14:paraId="775E9555">
      <w:pPr>
        <w:rPr>
          <w:rFonts w:hint="eastAsia"/>
          <w:color w:val="auto"/>
          <w:highlight w:val="none"/>
        </w:rPr>
      </w:pPr>
    </w:p>
    <w:p w14:paraId="6CB7D8EA">
      <w:pPr>
        <w:pStyle w:val="21"/>
        <w:rPr>
          <w:rFonts w:hint="eastAsia"/>
          <w:color w:val="auto"/>
          <w:highlight w:val="none"/>
        </w:rPr>
      </w:pPr>
    </w:p>
    <w:p w14:paraId="0A1BFFE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签订日期：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签订日期：</w:t>
      </w:r>
    </w:p>
    <w:p w14:paraId="63FA0495">
      <w:pPr>
        <w:spacing w:line="360" w:lineRule="auto"/>
        <w:ind w:firstLine="480" w:firstLineChars="200"/>
        <w:rPr>
          <w:rFonts w:hint="eastAsia" w:ascii="仿宋" w:hAnsi="仿宋" w:eastAsia="仿宋" w:cs="仿宋"/>
          <w:color w:val="auto"/>
          <w:sz w:val="24"/>
          <w:szCs w:val="24"/>
          <w:highlight w:val="none"/>
        </w:rPr>
      </w:pPr>
    </w:p>
    <w:p w14:paraId="1481401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二、合同条款</w:t>
      </w:r>
    </w:p>
    <w:p w14:paraId="59FFE0C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在本项目中所需货物和服务由{同供应商须知前附表第3项}在国内进行公开招标，经评标委员会评定，确定乙方为中标人。甲乙双方根据《中华人民共和国政府采购法》、《中华人民共和国合同法》等相关法律法规以及本项目招标文件的规定，经平等协商达成合同如下： </w:t>
      </w:r>
      <w:bookmarkStart w:id="101" w:name="_Toc175644041"/>
      <w:bookmarkStart w:id="102" w:name="_Toc86202594"/>
    </w:p>
    <w:p w14:paraId="353B3C0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一、定义</w:t>
      </w:r>
      <w:bookmarkEnd w:id="101"/>
      <w:bookmarkEnd w:id="102"/>
    </w:p>
    <w:p w14:paraId="35B5E79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除非另有特别解释或说明，在本合同及与本合同相关的，双方另行签署的其他文件（包括但不限于本合同的附件）中，下述词语均依如下定义进行解释：</w:t>
      </w:r>
    </w:p>
    <w:p w14:paraId="48E8D1F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1、“合同”指甲乙双方签署的，与本项目相关的协议、附件、附录和其他一切文件，还包括招标文件、投标文件中的相关内容及其有效补充文件。</w:t>
      </w:r>
    </w:p>
    <w:p w14:paraId="64A23DD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2、“附件”是指与本合同的订立、履行有关的，经甲乙双方认可的，对本合同约定的内容进行细化、补充、修改、变更的文件、图纸、音像制品等资料。</w:t>
      </w:r>
    </w:p>
    <w:p w14:paraId="3370BD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3、“货物”指合同货物清单（附件1）（同投标文件中货物明细表，下同）中所规定的硬件、软件、安装材料、备件及专用器具、文件资料等内容。</w:t>
      </w:r>
    </w:p>
    <w:p w14:paraId="7FEDD06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6503175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5、“检验”指按照本合同约定的标准对合同货物进行的检测与查验。</w:t>
      </w:r>
    </w:p>
    <w:p w14:paraId="4C2B1BD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6、“项目验收单”指甲、乙双方验收完成后由合同双方签署的最终验收确认书。</w:t>
      </w:r>
    </w:p>
    <w:p w14:paraId="5292776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7、“技术资料”指安装、调试、使用、维修合同货物所应具备的产品使用说明书或使用指南、操作手册、维修指南、服务手册、电路图、产品演示等文件。</w:t>
      </w:r>
    </w:p>
    <w:p w14:paraId="0602A34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8、“保修期”指自验收单签署之日起，乙方免费对所卖给甲方货物更换整件或零部件，维修、保养及技术支持、产品升级并以自担费用方式保证项目正常运行的时期。</w:t>
      </w:r>
    </w:p>
    <w:p w14:paraId="3282449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9、“第三人”是指本合同双方以外的任何中国境内、外的自然人、法人或其他经济组织。</w:t>
      </w:r>
    </w:p>
    <w:p w14:paraId="7F6F9D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10、“法律、法规”是指由中国有关部门制定的法律、行政法规、地方性法规、规章及其他规范性文件以及经全国人民代表大会常务委员会批准的中国缔结、参加的国际条（公）约的有关规定。</w:t>
      </w:r>
    </w:p>
    <w:p w14:paraId="7BDFA2A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11、“招标文件”指采购代理机构发布的本项目招标文件。</w:t>
      </w:r>
    </w:p>
    <w:p w14:paraId="312763D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12、“投标文件”指乙方按照本项目招标文件的要求编制和投递，并最终经采购代理机构接收的投标文件。</w:t>
      </w:r>
    </w:p>
    <w:p w14:paraId="2DBAB2AE">
      <w:pPr>
        <w:spacing w:line="360" w:lineRule="auto"/>
        <w:ind w:firstLine="480" w:firstLineChars="200"/>
        <w:rPr>
          <w:rFonts w:hint="eastAsia" w:ascii="仿宋" w:hAnsi="仿宋" w:eastAsia="仿宋" w:cs="仿宋"/>
          <w:color w:val="auto"/>
          <w:sz w:val="24"/>
          <w:szCs w:val="24"/>
          <w:highlight w:val="none"/>
        </w:rPr>
      </w:pPr>
      <w:bookmarkStart w:id="103" w:name="_Toc175644043"/>
      <w:bookmarkStart w:id="104" w:name="_Toc86202595"/>
      <w:r>
        <w:rPr>
          <w:rFonts w:hint="eastAsia" w:ascii="仿宋" w:hAnsi="仿宋" w:eastAsia="仿宋" w:cs="仿宋"/>
          <w:color w:val="auto"/>
          <w:sz w:val="24"/>
          <w:szCs w:val="24"/>
          <w:highlight w:val="none"/>
        </w:rPr>
        <w:t>二、货物、数量及规格</w:t>
      </w:r>
    </w:p>
    <w:p w14:paraId="367D9FA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本合同所提供的货物、数量及规格详见合同货物清单（同招标文件及投标文件中报价明细表）。</w:t>
      </w:r>
    </w:p>
    <w:p w14:paraId="1D2402F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三、合同价格</w:t>
      </w:r>
      <w:bookmarkEnd w:id="103"/>
      <w:bookmarkEnd w:id="104"/>
    </w:p>
    <w:p w14:paraId="166107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1、合同金额详见合同格式。</w:t>
      </w:r>
    </w:p>
    <w:p w14:paraId="69F11A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2、除有另行规定外，本合同价格包括</w:t>
      </w:r>
      <w:r>
        <w:rPr>
          <w:rFonts w:hint="eastAsia" w:ascii="仿宋" w:hAnsi="仿宋" w:eastAsia="仿宋" w:cs="仿宋"/>
          <w:color w:val="auto"/>
          <w:sz w:val="24"/>
          <w:szCs w:val="24"/>
          <w:highlight w:val="none"/>
          <w:lang w:eastAsia="zh-CN"/>
        </w:rPr>
        <w:t>设施</w:t>
      </w:r>
      <w:r>
        <w:rPr>
          <w:rFonts w:hint="eastAsia" w:ascii="仿宋" w:hAnsi="仿宋" w:eastAsia="仿宋" w:cs="仿宋"/>
          <w:color w:val="auto"/>
          <w:sz w:val="24"/>
          <w:szCs w:val="24"/>
          <w:highlight w:val="none"/>
        </w:rPr>
        <w:t>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14:paraId="0C81114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3、合同货物详细目录及销售价格详见合同格式附件1合同货物清单（同投标文件中报价明细表）。</w:t>
      </w:r>
      <w:bookmarkStart w:id="105" w:name="_Toc86202596"/>
      <w:bookmarkStart w:id="106" w:name="_Toc175644044"/>
    </w:p>
    <w:p w14:paraId="4897EA4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bookmarkEnd w:id="105"/>
      <w:bookmarkEnd w:id="106"/>
      <w:r>
        <w:rPr>
          <w:rFonts w:hint="eastAsia" w:ascii="仿宋" w:hAnsi="仿宋" w:eastAsia="仿宋" w:cs="仿宋"/>
          <w:color w:val="auto"/>
          <w:sz w:val="24"/>
          <w:szCs w:val="24"/>
          <w:highlight w:val="none"/>
        </w:rPr>
        <w:t>付款</w:t>
      </w:r>
    </w:p>
    <w:p w14:paraId="153D9FB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1、双方因本合同发生的一切费用均以人民币结算及支付。</w:t>
      </w:r>
    </w:p>
    <w:p w14:paraId="6267208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2、双方的帐户名称、开户银行及帐号以本合同提供的为准。</w:t>
      </w:r>
    </w:p>
    <w:p w14:paraId="52A7033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3、付款途径：按照招标文件第二部分“投标人须知前附表”第26项的规定。</w:t>
      </w:r>
    </w:p>
    <w:p w14:paraId="248EA09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4、付款方式：按照招标文件第二部分“投标人须知前附表”第27项的规定。</w:t>
      </w:r>
    </w:p>
    <w:p w14:paraId="2DF6DCED">
      <w:pPr>
        <w:spacing w:line="360" w:lineRule="auto"/>
        <w:ind w:firstLine="480" w:firstLineChars="200"/>
        <w:rPr>
          <w:rFonts w:hint="eastAsia" w:ascii="仿宋" w:hAnsi="仿宋" w:eastAsia="仿宋" w:cs="仿宋"/>
          <w:color w:val="auto"/>
          <w:sz w:val="24"/>
          <w:szCs w:val="24"/>
          <w:highlight w:val="none"/>
        </w:rPr>
      </w:pPr>
      <w:bookmarkStart w:id="107" w:name="_Toc86202597"/>
      <w:r>
        <w:rPr>
          <w:rFonts w:hint="eastAsia" w:ascii="仿宋" w:hAnsi="仿宋" w:eastAsia="仿宋" w:cs="仿宋"/>
          <w:color w:val="auto"/>
          <w:sz w:val="24"/>
          <w:szCs w:val="24"/>
          <w:highlight w:val="none"/>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75ED8AB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6、甲方直接与乙方付款结算，采购代理机构不对其付款承担连带责任或任何其它责任，在任何情形下乙方亦只能直接向甲方追索而不应当向采购代理机构追索。</w:t>
      </w:r>
    </w:p>
    <w:p w14:paraId="2009B32A">
      <w:pPr>
        <w:spacing w:line="360" w:lineRule="auto"/>
        <w:ind w:firstLine="480" w:firstLineChars="200"/>
        <w:rPr>
          <w:rFonts w:hint="eastAsia" w:ascii="仿宋" w:hAnsi="仿宋" w:eastAsia="仿宋" w:cs="仿宋"/>
          <w:color w:val="auto"/>
          <w:sz w:val="24"/>
          <w:szCs w:val="24"/>
          <w:highlight w:val="none"/>
        </w:rPr>
      </w:pPr>
      <w:bookmarkStart w:id="108" w:name="_Toc175644045"/>
      <w:r>
        <w:rPr>
          <w:rFonts w:hint="eastAsia" w:ascii="仿宋" w:hAnsi="仿宋" w:eastAsia="仿宋" w:cs="仿宋"/>
          <w:color w:val="auto"/>
          <w:sz w:val="24"/>
          <w:szCs w:val="24"/>
          <w:highlight w:val="none"/>
        </w:rPr>
        <w:t>五、</w:t>
      </w:r>
      <w:bookmarkEnd w:id="107"/>
      <w:bookmarkEnd w:id="108"/>
      <w:r>
        <w:rPr>
          <w:rFonts w:hint="eastAsia" w:ascii="仿宋" w:hAnsi="仿宋" w:eastAsia="仿宋" w:cs="仿宋"/>
          <w:color w:val="auto"/>
          <w:sz w:val="24"/>
          <w:szCs w:val="24"/>
          <w:highlight w:val="none"/>
        </w:rPr>
        <w:t>交付</w:t>
      </w:r>
    </w:p>
    <w:p w14:paraId="2FC2E7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1、乙方负责办理运输和保险，将货物运抵交货地点。有关运输、保险和装卸等一切相关的费用由乙方承担。</w:t>
      </w:r>
    </w:p>
    <w:p w14:paraId="19E75C5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2、货物应运至甲方指定地点，并卸至甲方指定位置，开箱清点及初步检验时双方应派人员参加。</w:t>
      </w:r>
    </w:p>
    <w:p w14:paraId="2169222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3、所有货物运抵现场并且安装完毕经检验合格交付甲方，该日期为交付日期。双方签署交付收货单后为交付完毕。交付完毕货物所有权发生转移，此前货物毁坏的风险由乙方承担。</w:t>
      </w:r>
    </w:p>
    <w:p w14:paraId="1EACD24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4、交付日期：按照招标文件第二部分“投标人须知前附表”第28项的规定。</w:t>
      </w:r>
    </w:p>
    <w:p w14:paraId="39047C3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5、交付地点</w:t>
      </w:r>
      <w:bookmarkStart w:id="109" w:name="_Toc86202598"/>
      <w:bookmarkStart w:id="110" w:name="_Toc175644046"/>
      <w:r>
        <w:rPr>
          <w:rFonts w:hint="eastAsia" w:ascii="仿宋" w:hAnsi="仿宋" w:eastAsia="仿宋" w:cs="仿宋"/>
          <w:color w:val="auto"/>
          <w:sz w:val="24"/>
          <w:szCs w:val="24"/>
          <w:highlight w:val="none"/>
        </w:rPr>
        <w:t>：按照招标文件第二部分“投标人须知前附表”第29项的规定。</w:t>
      </w:r>
    </w:p>
    <w:p w14:paraId="7A02A1F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六、包装和标记</w:t>
      </w:r>
      <w:bookmarkEnd w:id="109"/>
      <w:bookmarkEnd w:id="110"/>
    </w:p>
    <w:p w14:paraId="47D1D66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1、乙方交付的所有合同货物应具有适于运输的坚固包装，并且乙方应根据合同货物的不同特性和要求采取防潮、防雨、防锈、防震、防腐等保护措施，以确保合同货物安全无损地送达交货地点。</w:t>
      </w:r>
    </w:p>
    <w:p w14:paraId="10831DD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2、凡由于乙方对合同货物包装不善、标记不明、防护措施不当或在合同货物装箱前保管不良，致使合同货物遭到损坏或丢失，乙方应负责免费修理或更换，并承担由此给甲方造成的一切损失。</w:t>
      </w:r>
      <w:bookmarkStart w:id="111" w:name="_Toc86202599"/>
      <w:bookmarkStart w:id="112" w:name="_Toc175644047"/>
    </w:p>
    <w:p w14:paraId="53C83CF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七、质量标准和检验</w:t>
      </w:r>
      <w:bookmarkEnd w:id="111"/>
      <w:r>
        <w:rPr>
          <w:rFonts w:hint="eastAsia" w:ascii="仿宋" w:hAnsi="仿宋" w:eastAsia="仿宋" w:cs="仿宋"/>
          <w:color w:val="auto"/>
          <w:sz w:val="24"/>
          <w:szCs w:val="24"/>
          <w:highlight w:val="none"/>
        </w:rPr>
        <w:t>方式</w:t>
      </w:r>
      <w:bookmarkEnd w:id="112"/>
    </w:p>
    <w:p w14:paraId="59B3F5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1、乙方应保证提供给甲方的合同货物是货物生产厂商原造的，全新、未使用过的，是用一流的工艺和优质材料制造而成的，并完全符合本项目招标文件规定的质量、性能和规格的要求。</w:t>
      </w:r>
    </w:p>
    <w:p w14:paraId="1095B2B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给甲方的合同货物应通过货物制造厂商的出厂检验，并提供质量合格证书。乙方承诺提供给甲方的合同货物的技术规范应与本项目招标文件中《采购需求》部分中的规定及投标文件中《技术规范偏离表》(如果被采购人接受) 相一致，同时，乙方提供的货物质量应符合中华人民共和国相关标准及相应的技术规范、本次采购相关文件中的全部相关要求及相关标准及相应的技术规范中之较高者。</w:t>
      </w:r>
    </w:p>
    <w:p w14:paraId="5C1C36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4887A76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4、乙方应保证所提供的货物经正确安装、合理操作和维护保养在其使用寿命期内具有令甲方满意的性能，并对由于合同货物的设计、工艺或材料的缺陷而发生的任何故障负责。</w:t>
      </w:r>
    </w:p>
    <w:p w14:paraId="1067CFF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采购项目验收单》，以此作为乙方履约进度的依据。</w:t>
      </w:r>
    </w:p>
    <w:p w14:paraId="7BB835D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6、甲方对合同货物的数量、规格和质量的检验，应依据本项目招标文件中的有关规定进行。</w:t>
      </w:r>
    </w:p>
    <w:p w14:paraId="2DFA238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7、若检验时发现货物数量不足、规格与合同要求不符或开箱时虽然货物外包装完好无损，但箱内货物短缺或损伤，双方应签署书面形式证明，乙方应根据该证明及时补足或更换。</w:t>
      </w:r>
    </w:p>
    <w:p w14:paraId="1A5DC0B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09613F44">
      <w:pPr>
        <w:spacing w:line="360" w:lineRule="auto"/>
        <w:ind w:firstLine="480" w:firstLineChars="200"/>
        <w:rPr>
          <w:rFonts w:hint="eastAsia" w:ascii="仿宋" w:hAnsi="仿宋" w:eastAsia="仿宋" w:cs="仿宋"/>
          <w:color w:val="auto"/>
          <w:sz w:val="24"/>
          <w:szCs w:val="24"/>
          <w:highlight w:val="none"/>
        </w:rPr>
      </w:pPr>
      <w:bookmarkStart w:id="113" w:name="_Toc175644048"/>
      <w:bookmarkStart w:id="114" w:name="_Toc86202601"/>
      <w:r>
        <w:rPr>
          <w:rFonts w:hint="eastAsia" w:ascii="仿宋" w:hAnsi="仿宋" w:eastAsia="仿宋" w:cs="仿宋"/>
          <w:color w:val="auto"/>
          <w:sz w:val="24"/>
          <w:szCs w:val="24"/>
          <w:highlight w:val="none"/>
        </w:rPr>
        <w:t>八、技术服务和保修责任</w:t>
      </w:r>
      <w:bookmarkEnd w:id="113"/>
      <w:bookmarkEnd w:id="114"/>
    </w:p>
    <w:p w14:paraId="06A168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对合同货物、服务的保修期按照招标文件第二部分“投标人须知前附表”第30项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14:paraId="1AF33CF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5D51BDA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14:paraId="7CB539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4、在免费保修期内，如果由于乙方更换、修理和续补货物或更换服务，而造成本合同不得不停止运行，保修期应依照停止运行的实际时间加以延长，如因此给甲方造成损失，乙方应负责赔偿。</w:t>
      </w:r>
    </w:p>
    <w:p w14:paraId="6DA18E7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5、在免费保修期届满后，乙方保证继续为甲方提供</w:t>
      </w:r>
      <w:r>
        <w:rPr>
          <w:rFonts w:hint="eastAsia" w:ascii="仿宋" w:hAnsi="仿宋" w:eastAsia="仿宋" w:cs="仿宋"/>
          <w:color w:val="auto"/>
          <w:sz w:val="24"/>
          <w:szCs w:val="24"/>
          <w:highlight w:val="none"/>
          <w:lang w:eastAsia="zh-CN"/>
        </w:rPr>
        <w:t>设施</w:t>
      </w:r>
      <w:r>
        <w:rPr>
          <w:rFonts w:hint="eastAsia" w:ascii="仿宋" w:hAnsi="仿宋" w:eastAsia="仿宋" w:cs="仿宋"/>
          <w:color w:val="auto"/>
          <w:sz w:val="24"/>
          <w:szCs w:val="24"/>
          <w:highlight w:val="none"/>
        </w:rPr>
        <w:t>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1AD0FC1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1F8783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7、若由于甲方提出增加并不涉及安全性的新功能而引起的软件升级，相关成本费由甲方承担，乙方不得赚取利润或拒绝、拖延。</w:t>
      </w:r>
    </w:p>
    <w:p w14:paraId="0C84F4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8、若由于乙方增加并不涉及安全性的新功能引起软件升级，而且甲方愿意增加该新功能时，由双方协商解决。</w:t>
      </w:r>
    </w:p>
    <w:p w14:paraId="1FC6858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14:paraId="60FF506C">
      <w:pPr>
        <w:spacing w:line="360" w:lineRule="auto"/>
        <w:ind w:firstLine="480" w:firstLineChars="200"/>
        <w:rPr>
          <w:rFonts w:hint="eastAsia" w:ascii="仿宋" w:hAnsi="仿宋" w:eastAsia="仿宋" w:cs="仿宋"/>
          <w:color w:val="auto"/>
          <w:sz w:val="24"/>
          <w:szCs w:val="24"/>
          <w:highlight w:val="none"/>
        </w:rPr>
      </w:pPr>
      <w:bookmarkStart w:id="115" w:name="_Toc86202602"/>
      <w:bookmarkStart w:id="116" w:name="_Toc175644049"/>
      <w:r>
        <w:rPr>
          <w:rFonts w:hint="eastAsia" w:ascii="仿宋" w:hAnsi="仿宋" w:eastAsia="仿宋" w:cs="仿宋"/>
          <w:color w:val="auto"/>
          <w:sz w:val="24"/>
          <w:szCs w:val="24"/>
          <w:highlight w:val="none"/>
        </w:rPr>
        <w:t>九、违约责任</w:t>
      </w:r>
      <w:bookmarkEnd w:id="115"/>
      <w:bookmarkEnd w:id="116"/>
    </w:p>
    <w:p w14:paraId="6F02597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68300A0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14:paraId="5C02A84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1）在甲方同意延长的期限内交付全部货物、提供服务并承担由此给甲方造成的直接损失及甲方因此产生的对第三方的责任。</w:t>
      </w:r>
    </w:p>
    <w:p w14:paraId="67A281B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2A03630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3）根据货物、服务低劣程度、损坏程度以及使甲方所遭受的损失及甲方因此产生的对第三方的责任，经双方商定降低货物、服务的价格或赔偿甲方所遭受的损失及甲方因此产生的对第三方的责任。</w:t>
      </w:r>
    </w:p>
    <w:p w14:paraId="0BB626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4）按合同规定的同种货币将甲方所退货物已支付的货款全部退还给甲方，并承担由此发生的直接损失和相关费用及甲方因此产生的对第三方的责任。</w:t>
      </w:r>
    </w:p>
    <w:p w14:paraId="5A54ABC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5）甲方有权部分或全部解除合同并要求乙方赔偿由此造成的损失及甲方因此产生的对第三方的责任。此时甲方可采取必要的补救措施，相关费用由乙方承担。</w:t>
      </w:r>
    </w:p>
    <w:p w14:paraId="1137E5F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6）此外，上述情形下甲方为采取必要的补救措施或因防止损失扩大而支出的合理费用应由乙方承担。</w:t>
      </w:r>
    </w:p>
    <w:p w14:paraId="2CC9D85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47FE95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4、除有另行约定外，甲方如延期付款，每逾期1日，按应付金额0.3‰支付违约金；乙方如延期交付，每延迟1日，按应交付货物总额0.3‰支付违约金。</w:t>
      </w:r>
    </w:p>
    <w:p w14:paraId="7CDA037D">
      <w:pPr>
        <w:spacing w:line="360" w:lineRule="auto"/>
        <w:ind w:firstLine="480" w:firstLineChars="200"/>
        <w:rPr>
          <w:rFonts w:hint="eastAsia" w:ascii="仿宋" w:hAnsi="仿宋" w:eastAsia="仿宋" w:cs="仿宋"/>
          <w:color w:val="auto"/>
          <w:sz w:val="24"/>
          <w:szCs w:val="24"/>
          <w:highlight w:val="none"/>
        </w:rPr>
      </w:pPr>
      <w:bookmarkStart w:id="117" w:name="_Toc86202603"/>
      <w:r>
        <w:rPr>
          <w:rFonts w:hint="eastAsia" w:ascii="仿宋" w:hAnsi="仿宋" w:eastAsia="仿宋" w:cs="仿宋"/>
          <w:color w:val="auto"/>
          <w:sz w:val="24"/>
          <w:szCs w:val="24"/>
          <w:highlight w:val="none"/>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14:paraId="341C39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7、以上各项交付的违约金并不影响违约方履行合同的各项义务。</w:t>
      </w:r>
    </w:p>
    <w:p w14:paraId="487C1D8A">
      <w:pPr>
        <w:spacing w:line="360" w:lineRule="auto"/>
        <w:ind w:firstLine="480" w:firstLineChars="200"/>
        <w:rPr>
          <w:rFonts w:hint="eastAsia" w:ascii="仿宋" w:hAnsi="仿宋" w:eastAsia="仿宋" w:cs="仿宋"/>
          <w:color w:val="auto"/>
          <w:sz w:val="24"/>
          <w:szCs w:val="24"/>
          <w:highlight w:val="none"/>
        </w:rPr>
      </w:pPr>
      <w:bookmarkStart w:id="118" w:name="_Toc175644050"/>
      <w:r>
        <w:rPr>
          <w:rFonts w:hint="eastAsia" w:ascii="仿宋" w:hAnsi="仿宋" w:eastAsia="仿宋" w:cs="仿宋"/>
          <w:color w:val="auto"/>
          <w:sz w:val="24"/>
          <w:szCs w:val="24"/>
          <w:highlight w:val="none"/>
        </w:rPr>
        <w:t>十、不可抗力</w:t>
      </w:r>
      <w:bookmarkEnd w:id="117"/>
      <w:bookmarkEnd w:id="118"/>
    </w:p>
    <w:p w14:paraId="695378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1、不可抗力指下列事件：战争、动乱、瘟疫、严重火灾、洪水、地震、风暴或其他自然灾害，以及本合同各方不可预见、不可防止并不能避免或克服的一切其他因素及事件。</w:t>
      </w:r>
    </w:p>
    <w:p w14:paraId="00A12FB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14:paraId="7C9674D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0E8E832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4、合同各方应根据不可抗力对本合同履行的影响程度，协商确定是否终止本合同，或是继续履行本合同。</w:t>
      </w:r>
      <w:bookmarkStart w:id="119" w:name="_Toc175644051"/>
      <w:bookmarkStart w:id="120" w:name="_Toc86202604"/>
    </w:p>
    <w:p w14:paraId="417026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十一、联系方式</w:t>
      </w:r>
      <w:bookmarkEnd w:id="119"/>
      <w:bookmarkEnd w:id="120"/>
    </w:p>
    <w:p w14:paraId="2716F4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34A2662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14:paraId="0B311A5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3、上述发出通知、回复的费用由发出一方承担。</w:t>
      </w:r>
    </w:p>
    <w:p w14:paraId="22E384F9">
      <w:pPr>
        <w:spacing w:line="360" w:lineRule="auto"/>
        <w:ind w:firstLine="480" w:firstLineChars="200"/>
        <w:rPr>
          <w:rFonts w:hint="eastAsia" w:ascii="仿宋" w:hAnsi="仿宋" w:eastAsia="仿宋" w:cs="仿宋"/>
          <w:color w:val="auto"/>
          <w:sz w:val="24"/>
          <w:szCs w:val="24"/>
          <w:highlight w:val="none"/>
        </w:rPr>
      </w:pPr>
      <w:bookmarkStart w:id="121" w:name="_Toc175644052"/>
      <w:bookmarkStart w:id="122" w:name="_Toc86202605"/>
      <w:r>
        <w:rPr>
          <w:rFonts w:hint="eastAsia" w:ascii="仿宋" w:hAnsi="仿宋" w:eastAsia="仿宋" w:cs="仿宋"/>
          <w:color w:val="auto"/>
          <w:sz w:val="24"/>
          <w:szCs w:val="24"/>
          <w:highlight w:val="none"/>
        </w:rPr>
        <w:t>十二、保密条款</w:t>
      </w:r>
      <w:bookmarkEnd w:id="121"/>
      <w:bookmarkEnd w:id="122"/>
    </w:p>
    <w:p w14:paraId="7445D69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1、任何一方对其获知的本合同及附件中其他各方的商业秘密和国家秘密负有保密义务。</w:t>
      </w:r>
    </w:p>
    <w:p w14:paraId="77828DC7">
      <w:pPr>
        <w:spacing w:line="360" w:lineRule="auto"/>
        <w:ind w:firstLine="480" w:firstLineChars="200"/>
        <w:rPr>
          <w:rFonts w:hint="eastAsia" w:ascii="仿宋" w:hAnsi="仿宋" w:eastAsia="仿宋" w:cs="仿宋"/>
          <w:color w:val="auto"/>
          <w:sz w:val="24"/>
          <w:szCs w:val="24"/>
          <w:highlight w:val="none"/>
        </w:rPr>
      </w:pPr>
      <w:bookmarkStart w:id="123" w:name="_Toc86202606"/>
      <w:r>
        <w:rPr>
          <w:rFonts w:hint="eastAsia" w:ascii="仿宋" w:hAnsi="仿宋" w:eastAsia="仿宋" w:cs="仿宋"/>
          <w:color w:val="auto"/>
          <w:sz w:val="24"/>
          <w:szCs w:val="24"/>
          <w:highlight w:val="none"/>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14:paraId="5DBCC5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3D69EFD2">
      <w:pPr>
        <w:spacing w:line="360" w:lineRule="auto"/>
        <w:ind w:firstLine="480" w:firstLineChars="200"/>
        <w:rPr>
          <w:rFonts w:hint="eastAsia" w:ascii="仿宋" w:hAnsi="仿宋" w:eastAsia="仿宋" w:cs="仿宋"/>
          <w:color w:val="auto"/>
          <w:sz w:val="24"/>
          <w:szCs w:val="24"/>
          <w:highlight w:val="none"/>
        </w:rPr>
      </w:pPr>
      <w:bookmarkStart w:id="124" w:name="_Toc175644053"/>
      <w:r>
        <w:rPr>
          <w:rFonts w:hint="eastAsia" w:ascii="仿宋" w:hAnsi="仿宋" w:eastAsia="仿宋" w:cs="仿宋"/>
          <w:color w:val="auto"/>
          <w:sz w:val="24"/>
          <w:szCs w:val="24"/>
          <w:highlight w:val="none"/>
        </w:rPr>
        <w:t>十三、合同的解释</w:t>
      </w:r>
      <w:bookmarkEnd w:id="123"/>
      <w:bookmarkEnd w:id="124"/>
    </w:p>
    <w:p w14:paraId="595A581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1、任何一方对本合同及其附件的解释均应遵循诚实信用原则,依照本合同签订时有效的中国法律、法规以及通常的理解进行。</w:t>
      </w:r>
    </w:p>
    <w:p w14:paraId="38CA61D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2、本合同标题仅供查阅方便，并非对本合同的诠释或解释；本合同中以日表述的时间期限均指自然日。</w:t>
      </w:r>
    </w:p>
    <w:p w14:paraId="2C22212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3、对本合同的任何解释均应以书面做出。</w:t>
      </w:r>
    </w:p>
    <w:p w14:paraId="340E2294">
      <w:pPr>
        <w:spacing w:line="360" w:lineRule="auto"/>
        <w:ind w:firstLine="480" w:firstLineChars="200"/>
        <w:rPr>
          <w:rFonts w:hint="eastAsia" w:ascii="仿宋" w:hAnsi="仿宋" w:eastAsia="仿宋" w:cs="仿宋"/>
          <w:color w:val="auto"/>
          <w:sz w:val="24"/>
          <w:szCs w:val="24"/>
          <w:highlight w:val="none"/>
        </w:rPr>
      </w:pPr>
      <w:bookmarkStart w:id="125" w:name="_Toc175644054"/>
      <w:bookmarkStart w:id="126" w:name="_Toc86202607"/>
      <w:r>
        <w:rPr>
          <w:rFonts w:hint="eastAsia" w:ascii="仿宋" w:hAnsi="仿宋" w:eastAsia="仿宋" w:cs="仿宋"/>
          <w:color w:val="auto"/>
          <w:sz w:val="24"/>
          <w:szCs w:val="24"/>
          <w:highlight w:val="none"/>
        </w:rPr>
        <w:t>十四、合同的终止</w:t>
      </w:r>
      <w:bookmarkEnd w:id="125"/>
      <w:bookmarkEnd w:id="126"/>
    </w:p>
    <w:p w14:paraId="6FB92A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1、本合同因下列原因而终止：</w:t>
      </w:r>
    </w:p>
    <w:p w14:paraId="5AF7EBD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1）本合同正常履行完毕；</w:t>
      </w:r>
    </w:p>
    <w:p w14:paraId="5F4A74F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2）合同双方协议终止本合同的履行；</w:t>
      </w:r>
    </w:p>
    <w:p w14:paraId="4AD8371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3）不可抗力事件导致本合同无法履行或履行不必要；</w:t>
      </w:r>
    </w:p>
    <w:p w14:paraId="1F1700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4）任何一方行使解除权，解除本合同。</w:t>
      </w:r>
    </w:p>
    <w:p w14:paraId="5BC4138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2、对本合同终止有过错的一方应赔偿另一方因合同终止而受到的损失。对合同终止双方均无过错的，则各自承担所受到的损失。</w:t>
      </w:r>
    </w:p>
    <w:p w14:paraId="4A3E7EB4">
      <w:pPr>
        <w:spacing w:line="360" w:lineRule="auto"/>
        <w:ind w:firstLine="480" w:firstLineChars="200"/>
        <w:rPr>
          <w:rFonts w:hint="eastAsia" w:ascii="仿宋" w:hAnsi="仿宋" w:eastAsia="仿宋" w:cs="仿宋"/>
          <w:color w:val="auto"/>
          <w:sz w:val="24"/>
          <w:szCs w:val="24"/>
          <w:highlight w:val="none"/>
        </w:rPr>
      </w:pPr>
      <w:bookmarkStart w:id="127" w:name="_Toc175644055"/>
      <w:bookmarkStart w:id="128" w:name="_Toc86202608"/>
      <w:r>
        <w:rPr>
          <w:rFonts w:hint="eastAsia" w:ascii="仿宋" w:hAnsi="仿宋" w:eastAsia="仿宋" w:cs="仿宋"/>
          <w:color w:val="auto"/>
          <w:sz w:val="24"/>
          <w:szCs w:val="24"/>
          <w:highlight w:val="none"/>
        </w:rPr>
        <w:t>十五、法律适用</w:t>
      </w:r>
      <w:bookmarkEnd w:id="127"/>
    </w:p>
    <w:p w14:paraId="4C821CF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1、本合同及附件的订立、效力、解释、履行、争议的解决等适用本合同签订时有效的中华人民共和国法律、法规的有关规定。</w:t>
      </w:r>
    </w:p>
    <w:p w14:paraId="11513E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14:paraId="31C1F71D">
      <w:pPr>
        <w:spacing w:line="360" w:lineRule="auto"/>
        <w:ind w:firstLine="480" w:firstLineChars="200"/>
        <w:rPr>
          <w:rFonts w:hint="eastAsia" w:ascii="仿宋" w:hAnsi="仿宋" w:eastAsia="仿宋" w:cs="仿宋"/>
          <w:color w:val="auto"/>
          <w:sz w:val="24"/>
          <w:szCs w:val="24"/>
          <w:highlight w:val="none"/>
        </w:rPr>
      </w:pPr>
      <w:bookmarkStart w:id="129" w:name="_Toc175644056"/>
      <w:r>
        <w:rPr>
          <w:rFonts w:hint="eastAsia" w:ascii="仿宋" w:hAnsi="仿宋" w:eastAsia="仿宋" w:cs="仿宋"/>
          <w:color w:val="auto"/>
          <w:sz w:val="24"/>
          <w:szCs w:val="24"/>
          <w:highlight w:val="none"/>
        </w:rPr>
        <w:t>十六、权利的保留</w:t>
      </w:r>
      <w:bookmarkEnd w:id="128"/>
      <w:bookmarkEnd w:id="129"/>
    </w:p>
    <w:p w14:paraId="64E3266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73742EC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340A2E95">
      <w:pPr>
        <w:spacing w:line="360" w:lineRule="auto"/>
        <w:ind w:firstLine="480" w:firstLineChars="200"/>
        <w:rPr>
          <w:rFonts w:hint="eastAsia" w:ascii="仿宋" w:hAnsi="仿宋" w:eastAsia="仿宋" w:cs="仿宋"/>
          <w:color w:val="auto"/>
          <w:sz w:val="24"/>
          <w:szCs w:val="24"/>
          <w:highlight w:val="none"/>
        </w:rPr>
      </w:pPr>
      <w:bookmarkStart w:id="130" w:name="_Toc86202609"/>
      <w:bookmarkStart w:id="131" w:name="_Toc175644057"/>
      <w:r>
        <w:rPr>
          <w:rFonts w:hint="eastAsia" w:ascii="仿宋" w:hAnsi="仿宋" w:eastAsia="仿宋" w:cs="仿宋"/>
          <w:color w:val="auto"/>
          <w:sz w:val="24"/>
          <w:szCs w:val="24"/>
          <w:highlight w:val="none"/>
        </w:rPr>
        <w:t>十七、争议的解决</w:t>
      </w:r>
      <w:bookmarkEnd w:id="130"/>
      <w:bookmarkEnd w:id="131"/>
    </w:p>
    <w:p w14:paraId="6C3138E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双方应通过友好协商解决因解释﹑执行本合同所发生的和本合同有关的一切争议。如果经协商不能达成协议，可以采用以下方式解决（按照招标文件第二部分“投标人须知前附表”第31项的规定）：向甲方所在地人民法院起诉。</w:t>
      </w:r>
    </w:p>
    <w:p w14:paraId="763D3CB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69DE999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3、在争议解决期间，除了诉讼或仲裁进行过程中正在解决的那部分问题外，合同其余部分应继续履行。</w:t>
      </w:r>
    </w:p>
    <w:p w14:paraId="63DBF684">
      <w:pPr>
        <w:spacing w:line="360" w:lineRule="auto"/>
        <w:ind w:firstLine="480" w:firstLineChars="200"/>
        <w:rPr>
          <w:rFonts w:hint="eastAsia" w:ascii="仿宋" w:hAnsi="仿宋" w:eastAsia="仿宋" w:cs="仿宋"/>
          <w:color w:val="auto"/>
          <w:sz w:val="24"/>
          <w:szCs w:val="24"/>
          <w:highlight w:val="none"/>
        </w:rPr>
      </w:pPr>
      <w:bookmarkStart w:id="132" w:name="_Toc86202611"/>
      <w:bookmarkStart w:id="133" w:name="_Toc175644059"/>
      <w:r>
        <w:rPr>
          <w:rFonts w:hint="eastAsia" w:ascii="仿宋" w:hAnsi="仿宋" w:eastAsia="仿宋" w:cs="仿宋"/>
          <w:color w:val="auto"/>
          <w:sz w:val="24"/>
          <w:szCs w:val="24"/>
          <w:highlight w:val="none"/>
        </w:rPr>
        <w:t>十八、合同的生效</w:t>
      </w:r>
      <w:bookmarkEnd w:id="132"/>
      <w:bookmarkEnd w:id="133"/>
    </w:p>
    <w:p w14:paraId="14D45D4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本合同经甲乙双方法定代表人或授权代理人签字加盖单位公章，乙方按时、足额提交履约保证金，政府采购中心备案后生效。</w:t>
      </w:r>
    </w:p>
    <w:p w14:paraId="35288302">
      <w:pPr>
        <w:spacing w:line="360" w:lineRule="auto"/>
        <w:ind w:firstLine="480" w:firstLineChars="200"/>
        <w:rPr>
          <w:rFonts w:hint="eastAsia" w:ascii="仿宋" w:hAnsi="仿宋" w:eastAsia="仿宋" w:cs="仿宋"/>
          <w:color w:val="auto"/>
          <w:sz w:val="24"/>
          <w:szCs w:val="24"/>
          <w:highlight w:val="none"/>
        </w:rPr>
      </w:pPr>
      <w:bookmarkStart w:id="134" w:name="_Toc175644060"/>
      <w:bookmarkStart w:id="135" w:name="_Toc86202612"/>
      <w:r>
        <w:rPr>
          <w:rFonts w:hint="eastAsia" w:ascii="仿宋" w:hAnsi="仿宋" w:eastAsia="仿宋" w:cs="仿宋"/>
          <w:color w:val="auto"/>
          <w:sz w:val="24"/>
          <w:szCs w:val="24"/>
          <w:highlight w:val="none"/>
        </w:rPr>
        <w:t>十九、其他约定事项</w:t>
      </w:r>
      <w:bookmarkEnd w:id="134"/>
      <w:bookmarkEnd w:id="135"/>
    </w:p>
    <w:p w14:paraId="1E34F59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1、本合同中的附件均为本合同不可分割的部分，与本合同具有相同的法律效力。</w:t>
      </w:r>
    </w:p>
    <w:p w14:paraId="4310C67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2、不得将合同转让给第三人，有关分包事项或服务委托等须事先取得甲方和采购代理机构书面同意并且须遵守相关法律、法规；有关联合投标须在本次招标允许的情况下并须符合本次招标的全部规定。</w:t>
      </w:r>
    </w:p>
    <w:p w14:paraId="6609CDE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3、本合同一式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份，具有同等法律效力。</w:t>
      </w:r>
    </w:p>
    <w:bookmarkEnd w:id="97"/>
    <w:bookmarkEnd w:id="98"/>
    <w:bookmarkEnd w:id="99"/>
    <w:bookmarkEnd w:id="100"/>
    <w:p w14:paraId="5C462C95">
      <w:pPr>
        <w:jc w:val="both"/>
        <w:rPr>
          <w:rFonts w:hint="eastAsia" w:ascii="仿宋" w:hAnsi="仿宋" w:eastAsia="仿宋" w:cs="仿宋"/>
          <w:b/>
          <w:color w:val="auto"/>
          <w:sz w:val="24"/>
          <w:szCs w:val="24"/>
          <w:highlight w:val="none"/>
        </w:rPr>
      </w:pPr>
    </w:p>
    <w:p w14:paraId="079CAE2F">
      <w:pPr>
        <w:jc w:val="center"/>
        <w:rPr>
          <w:rFonts w:hint="eastAsia" w:ascii="仿宋" w:hAnsi="仿宋" w:eastAsia="仿宋" w:cs="仿宋"/>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lang w:eastAsia="zh-CN"/>
        </w:rPr>
        <w:t>章</w:t>
      </w:r>
      <w:r>
        <w:rPr>
          <w:rFonts w:hint="eastAsia" w:ascii="仿宋" w:hAnsi="仿宋" w:eastAsia="仿宋" w:cs="仿宋"/>
          <w:b/>
          <w:color w:val="auto"/>
          <w:sz w:val="36"/>
          <w:szCs w:val="36"/>
          <w:highlight w:val="none"/>
        </w:rPr>
        <w:t xml:space="preserve">  投标文件内容及格式</w:t>
      </w:r>
    </w:p>
    <w:p w14:paraId="27180E85">
      <w:pPr>
        <w:pStyle w:val="2"/>
        <w:numPr>
          <w:ilvl w:val="0"/>
          <w:numId w:val="0"/>
        </w:numPr>
        <w:ind w:leftChars="0"/>
        <w:jc w:val="right"/>
        <w:rPr>
          <w:rFonts w:hint="eastAsia" w:ascii="仿宋" w:hAnsi="仿宋" w:eastAsia="仿宋" w:cs="仿宋"/>
          <w:color w:val="auto"/>
          <w:highlight w:val="none"/>
        </w:rPr>
      </w:pPr>
      <w:r>
        <w:rPr>
          <w:rFonts w:hint="eastAsia" w:ascii="仿宋" w:hAnsi="仿宋" w:eastAsia="仿宋" w:cs="仿宋"/>
          <w:color w:val="auto"/>
          <w:sz w:val="28"/>
          <w:szCs w:val="28"/>
          <w:highlight w:val="none"/>
        </w:rPr>
        <w:t xml:space="preserve">                     </w:t>
      </w:r>
    </w:p>
    <w:p w14:paraId="69A0E54A">
      <w:pPr>
        <w:spacing w:line="360" w:lineRule="auto"/>
        <w:ind w:firstLine="480" w:firstLineChars="200"/>
        <w:rPr>
          <w:rFonts w:hint="eastAsia" w:ascii="仿宋" w:hAnsi="仿宋" w:eastAsia="仿宋" w:cs="仿宋"/>
          <w:color w:val="auto"/>
          <w:sz w:val="24"/>
          <w:szCs w:val="24"/>
          <w:highlight w:val="none"/>
        </w:rPr>
      </w:pPr>
    </w:p>
    <w:p w14:paraId="66A09215">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（项目名称）</w:t>
      </w:r>
    </w:p>
    <w:p w14:paraId="2460F904">
      <w:pPr>
        <w:spacing w:line="360" w:lineRule="auto"/>
        <w:ind w:firstLine="480" w:firstLineChars="200"/>
        <w:rPr>
          <w:rFonts w:hint="eastAsia" w:ascii="仿宋" w:hAnsi="仿宋" w:eastAsia="仿宋" w:cs="仿宋"/>
          <w:b w:val="0"/>
          <w:bCs w:val="0"/>
          <w:i/>
          <w:iCs/>
          <w:color w:val="auto"/>
          <w:sz w:val="24"/>
          <w:szCs w:val="24"/>
          <w:highlight w:val="none"/>
          <w:u w:val="single"/>
        </w:rPr>
      </w:pPr>
    </w:p>
    <w:p w14:paraId="046ADF5A">
      <w:pPr>
        <w:spacing w:line="360" w:lineRule="auto"/>
        <w:ind w:firstLine="1680" w:firstLineChars="700"/>
        <w:rPr>
          <w:rFonts w:hint="eastAsia" w:ascii="仿宋" w:hAnsi="仿宋" w:eastAsia="仿宋" w:cs="仿宋"/>
          <w:b w:val="0"/>
          <w:bCs w:val="0"/>
          <w:color w:val="auto"/>
          <w:sz w:val="24"/>
          <w:szCs w:val="24"/>
          <w:highlight w:val="none"/>
        </w:rPr>
      </w:pPr>
      <w:r>
        <w:rPr>
          <w:rFonts w:hint="eastAsia" w:ascii="仿宋" w:hAnsi="仿宋" w:eastAsia="仿宋" w:cs="仿宋"/>
          <w:b w:val="0"/>
          <w:bCs w:val="0"/>
          <w:i/>
          <w:iCs/>
          <w:color w:val="auto"/>
          <w:sz w:val="24"/>
          <w:szCs w:val="24"/>
          <w:highlight w:val="none"/>
          <w:u w:val="single"/>
        </w:rPr>
        <w:t xml:space="preserve">            </w:t>
      </w:r>
      <w:r>
        <w:rPr>
          <w:rFonts w:hint="eastAsia" w:ascii="仿宋" w:hAnsi="仿宋" w:eastAsia="仿宋" w:cs="仿宋"/>
          <w:b w:val="0"/>
          <w:bCs w:val="0"/>
          <w:i/>
          <w:iCs/>
          <w:color w:val="auto"/>
          <w:sz w:val="24"/>
          <w:szCs w:val="24"/>
          <w:highlight w:val="none"/>
          <w:u w:val="single"/>
          <w:lang w:val="en-US" w:eastAsia="zh-CN"/>
        </w:rPr>
        <w:t xml:space="preserve">            </w:t>
      </w:r>
      <w:r>
        <w:rPr>
          <w:rFonts w:hint="eastAsia" w:ascii="仿宋" w:hAnsi="仿宋" w:eastAsia="仿宋" w:cs="仿宋"/>
          <w:b w:val="0"/>
          <w:bCs w:val="0"/>
          <w:i/>
          <w:iCs/>
          <w:color w:val="auto"/>
          <w:sz w:val="24"/>
          <w:szCs w:val="24"/>
          <w:highlight w:val="none"/>
          <w:u w:val="single"/>
        </w:rPr>
        <w:t xml:space="preserve">  </w:t>
      </w:r>
      <w:r>
        <w:rPr>
          <w:rFonts w:hint="eastAsia" w:ascii="仿宋" w:hAnsi="仿宋" w:eastAsia="仿宋" w:cs="仿宋"/>
          <w:b w:val="0"/>
          <w:bCs w:val="0"/>
          <w:i/>
          <w:iCs/>
          <w:color w:val="auto"/>
          <w:sz w:val="24"/>
          <w:szCs w:val="24"/>
          <w:highlight w:val="none"/>
          <w:u w:val="single"/>
          <w:lang w:val="en-US" w:eastAsia="zh-CN"/>
        </w:rPr>
        <w:t xml:space="preserve">   </w:t>
      </w:r>
      <w:r>
        <w:rPr>
          <w:rFonts w:hint="eastAsia" w:ascii="仿宋" w:hAnsi="仿宋" w:eastAsia="仿宋" w:cs="仿宋"/>
          <w:b w:val="0"/>
          <w:bCs w:val="0"/>
          <w:i/>
          <w:iCs/>
          <w:color w:val="auto"/>
          <w:sz w:val="24"/>
          <w:szCs w:val="24"/>
          <w:highlight w:val="none"/>
          <w:u w:val="single"/>
        </w:rPr>
        <w:t xml:space="preserve">       </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项目编号</w:t>
      </w:r>
      <w:r>
        <w:rPr>
          <w:rFonts w:hint="eastAsia" w:ascii="仿宋" w:hAnsi="仿宋" w:eastAsia="仿宋" w:cs="仿宋"/>
          <w:b w:val="0"/>
          <w:bCs w:val="0"/>
          <w:color w:val="auto"/>
          <w:sz w:val="24"/>
          <w:szCs w:val="24"/>
          <w:highlight w:val="none"/>
        </w:rPr>
        <w:t>）</w:t>
      </w:r>
    </w:p>
    <w:p w14:paraId="10A26EB4">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w:t>
      </w:r>
    </w:p>
    <w:p w14:paraId="174690CA">
      <w:pPr>
        <w:rPr>
          <w:rFonts w:hint="eastAsia" w:ascii="仿宋" w:hAnsi="仿宋" w:eastAsia="仿宋" w:cs="仿宋"/>
          <w:color w:val="auto"/>
          <w:sz w:val="24"/>
          <w:highlight w:val="none"/>
          <w:u w:val="none"/>
        </w:rPr>
      </w:pPr>
    </w:p>
    <w:p w14:paraId="5B1EFF56">
      <w:pPr>
        <w:rPr>
          <w:rFonts w:hint="eastAsia" w:ascii="仿宋" w:hAnsi="仿宋" w:eastAsia="仿宋" w:cs="仿宋"/>
          <w:color w:val="auto"/>
          <w:sz w:val="32"/>
          <w:szCs w:val="32"/>
          <w:highlight w:val="none"/>
        </w:rPr>
      </w:pPr>
    </w:p>
    <w:p w14:paraId="748E1175">
      <w:pPr>
        <w:rPr>
          <w:rFonts w:hint="eastAsia" w:ascii="仿宋" w:hAnsi="仿宋" w:eastAsia="仿宋" w:cs="仿宋"/>
          <w:color w:val="auto"/>
          <w:sz w:val="32"/>
          <w:szCs w:val="32"/>
          <w:highlight w:val="none"/>
        </w:rPr>
      </w:pPr>
    </w:p>
    <w:p w14:paraId="222FB84E">
      <w:pPr>
        <w:rPr>
          <w:rFonts w:hint="eastAsia" w:ascii="仿宋" w:hAnsi="仿宋" w:eastAsia="仿宋" w:cs="仿宋"/>
          <w:color w:val="auto"/>
          <w:sz w:val="28"/>
          <w:szCs w:val="28"/>
          <w:highlight w:val="none"/>
        </w:rPr>
      </w:pPr>
    </w:p>
    <w:p w14:paraId="024F5C24">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投  标  文  件</w:t>
      </w:r>
    </w:p>
    <w:p w14:paraId="68E71441">
      <w:pPr>
        <w:rPr>
          <w:rFonts w:hint="eastAsia" w:ascii="仿宋" w:hAnsi="仿宋" w:eastAsia="仿宋" w:cs="仿宋"/>
          <w:b/>
          <w:color w:val="auto"/>
          <w:sz w:val="32"/>
          <w:szCs w:val="32"/>
          <w:highlight w:val="none"/>
        </w:rPr>
      </w:pPr>
    </w:p>
    <w:p w14:paraId="4BA60794">
      <w:pPr>
        <w:rPr>
          <w:rFonts w:hint="eastAsia" w:ascii="仿宋" w:hAnsi="仿宋" w:eastAsia="仿宋" w:cs="仿宋"/>
          <w:b/>
          <w:color w:val="auto"/>
          <w:sz w:val="32"/>
          <w:szCs w:val="32"/>
          <w:highlight w:val="none"/>
        </w:rPr>
      </w:pPr>
    </w:p>
    <w:p w14:paraId="7D4EFB4E">
      <w:pPr>
        <w:rPr>
          <w:rFonts w:hint="eastAsia" w:ascii="仿宋" w:hAnsi="仿宋" w:eastAsia="仿宋" w:cs="仿宋"/>
          <w:b/>
          <w:color w:val="auto"/>
          <w:sz w:val="32"/>
          <w:szCs w:val="32"/>
          <w:highlight w:val="none"/>
        </w:rPr>
      </w:pPr>
    </w:p>
    <w:p w14:paraId="37F3825C">
      <w:pPr>
        <w:rPr>
          <w:rFonts w:hint="eastAsia" w:ascii="仿宋" w:hAnsi="仿宋" w:eastAsia="仿宋" w:cs="仿宋"/>
          <w:b/>
          <w:color w:val="auto"/>
          <w:sz w:val="32"/>
          <w:szCs w:val="32"/>
          <w:highlight w:val="none"/>
        </w:rPr>
      </w:pPr>
    </w:p>
    <w:p w14:paraId="1D568079">
      <w:pPr>
        <w:rPr>
          <w:rFonts w:hint="eastAsia" w:ascii="仿宋" w:hAnsi="仿宋" w:eastAsia="仿宋" w:cs="仿宋"/>
          <w:color w:val="auto"/>
          <w:sz w:val="24"/>
          <w:szCs w:val="24"/>
          <w:highlight w:val="none"/>
        </w:rPr>
      </w:pPr>
      <w:r>
        <w:rPr>
          <w:rFonts w:hint="eastAsia" w:ascii="仿宋" w:hAnsi="仿宋" w:eastAsia="仿宋" w:cs="仿宋"/>
          <w:b/>
          <w:color w:val="auto"/>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（单位公章）</w:t>
      </w:r>
    </w:p>
    <w:p w14:paraId="5681900C">
      <w:pPr>
        <w:rPr>
          <w:rFonts w:hint="eastAsia" w:ascii="仿宋" w:hAnsi="仿宋" w:eastAsia="仿宋" w:cs="仿宋"/>
          <w:color w:val="auto"/>
          <w:sz w:val="24"/>
          <w:szCs w:val="24"/>
          <w:highlight w:val="none"/>
        </w:rPr>
      </w:pPr>
    </w:p>
    <w:p w14:paraId="04365C9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3BF3C58D">
      <w:pPr>
        <w:rPr>
          <w:rFonts w:hint="eastAsia" w:ascii="仿宋" w:hAnsi="仿宋" w:eastAsia="仿宋" w:cs="仿宋"/>
          <w:color w:val="auto"/>
          <w:sz w:val="24"/>
          <w:szCs w:val="24"/>
          <w:highlight w:val="none"/>
        </w:rPr>
      </w:pPr>
    </w:p>
    <w:p w14:paraId="589D51E7">
      <w:pPr>
        <w:rPr>
          <w:rFonts w:hint="eastAsia" w:ascii="仿宋" w:hAnsi="仿宋" w:eastAsia="仿宋" w:cs="仿宋"/>
          <w:color w:val="auto"/>
          <w:sz w:val="24"/>
          <w:szCs w:val="24"/>
          <w:highlight w:val="none"/>
        </w:rPr>
      </w:pPr>
    </w:p>
    <w:p w14:paraId="7B5162DC">
      <w:pPr>
        <w:rPr>
          <w:rFonts w:hint="eastAsia" w:ascii="仿宋" w:hAnsi="仿宋" w:eastAsia="仿宋" w:cs="仿宋"/>
          <w:color w:val="auto"/>
          <w:sz w:val="24"/>
          <w:szCs w:val="24"/>
          <w:highlight w:val="none"/>
        </w:rPr>
      </w:pPr>
    </w:p>
    <w:p w14:paraId="4936F2BF">
      <w:pPr>
        <w:rPr>
          <w:rFonts w:hint="eastAsia" w:ascii="仿宋" w:hAnsi="仿宋" w:eastAsia="仿宋" w:cs="仿宋"/>
          <w:color w:val="auto"/>
          <w:sz w:val="24"/>
          <w:szCs w:val="24"/>
          <w:highlight w:val="none"/>
        </w:rPr>
      </w:pPr>
    </w:p>
    <w:p w14:paraId="0F2755F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2CFF1973">
      <w:pPr>
        <w:jc w:val="left"/>
        <w:rPr>
          <w:rFonts w:hint="eastAsia" w:ascii="仿宋" w:hAnsi="仿宋" w:eastAsia="仿宋" w:cs="仿宋"/>
          <w:color w:val="auto"/>
          <w:sz w:val="24"/>
          <w:highlight w:val="none"/>
        </w:rPr>
      </w:pPr>
      <w:r>
        <w:rPr>
          <w:rFonts w:hint="eastAsia" w:ascii="仿宋" w:hAnsi="仿宋" w:eastAsia="仿宋" w:cs="仿宋"/>
          <w:color w:val="auto"/>
          <w:highlight w:val="none"/>
        </w:rPr>
        <w:br w:type="page"/>
      </w:r>
    </w:p>
    <w:p w14:paraId="627EAA29">
      <w:pPr>
        <w:spacing w:line="72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   录</w:t>
      </w:r>
    </w:p>
    <w:p w14:paraId="39586819">
      <w:pPr>
        <w:numPr>
          <w:ilvl w:val="0"/>
          <w:numId w:val="0"/>
        </w:numPr>
        <w:jc w:val="left"/>
        <w:rPr>
          <w:rFonts w:hint="eastAsia" w:ascii="仿宋" w:hAnsi="仿宋" w:eastAsia="仿宋" w:cs="仿宋"/>
          <w:b w:val="0"/>
          <w:bCs w:val="0"/>
          <w:color w:val="auto"/>
          <w:sz w:val="24"/>
          <w:szCs w:val="24"/>
          <w:highlight w:val="none"/>
          <w:lang w:eastAsia="zh-CN"/>
        </w:rPr>
      </w:pPr>
      <w:bookmarkStart w:id="136" w:name="_Toc17339"/>
      <w:bookmarkStart w:id="137" w:name="_Toc8540"/>
      <w:bookmarkStart w:id="138" w:name="_Toc19403"/>
      <w:bookmarkStart w:id="139" w:name="_Toc23287"/>
      <w:bookmarkStart w:id="140" w:name="_Toc22085"/>
      <w:r>
        <w:rPr>
          <w:rFonts w:hint="eastAsia" w:ascii="仿宋" w:hAnsi="仿宋" w:eastAsia="仿宋" w:cs="仿宋"/>
          <w:b w:val="0"/>
          <w:bCs w:val="0"/>
          <w:color w:val="auto"/>
          <w:sz w:val="24"/>
          <w:szCs w:val="24"/>
          <w:highlight w:val="none"/>
          <w:lang w:val="en-US" w:eastAsia="zh-CN"/>
        </w:rPr>
        <w:t>一、</w:t>
      </w:r>
      <w:r>
        <w:rPr>
          <w:rFonts w:hint="eastAsia" w:ascii="仿宋" w:hAnsi="仿宋" w:eastAsia="仿宋" w:cs="仿宋"/>
          <w:b w:val="0"/>
          <w:bCs w:val="0"/>
          <w:color w:val="auto"/>
          <w:sz w:val="24"/>
          <w:szCs w:val="24"/>
          <w:highlight w:val="none"/>
        </w:rPr>
        <w:t xml:space="preserve">投 标 </w:t>
      </w:r>
      <w:r>
        <w:rPr>
          <w:rFonts w:hint="eastAsia" w:ascii="仿宋" w:hAnsi="仿宋" w:eastAsia="仿宋" w:cs="仿宋"/>
          <w:b w:val="0"/>
          <w:bCs w:val="0"/>
          <w:color w:val="auto"/>
          <w:sz w:val="24"/>
          <w:szCs w:val="24"/>
          <w:highlight w:val="none"/>
          <w:lang w:val="en-US" w:eastAsia="zh-CN"/>
        </w:rPr>
        <w:t>函</w:t>
      </w:r>
    </w:p>
    <w:p w14:paraId="16BD9D24">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二、</w:t>
      </w:r>
      <w:r>
        <w:rPr>
          <w:rFonts w:hint="eastAsia" w:ascii="仿宋" w:hAnsi="仿宋" w:eastAsia="仿宋" w:cs="仿宋"/>
          <w:b w:val="0"/>
          <w:bCs w:val="0"/>
          <w:color w:val="auto"/>
          <w:sz w:val="24"/>
          <w:szCs w:val="24"/>
          <w:highlight w:val="none"/>
        </w:rPr>
        <w:t>投标文件真实性和不存在限制投标情形的声明</w:t>
      </w:r>
    </w:p>
    <w:p w14:paraId="5682F36F">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三、开标</w:t>
      </w:r>
      <w:r>
        <w:rPr>
          <w:rFonts w:hint="eastAsia" w:ascii="仿宋" w:hAnsi="仿宋" w:eastAsia="仿宋" w:cs="仿宋"/>
          <w:b w:val="0"/>
          <w:bCs w:val="0"/>
          <w:color w:val="auto"/>
          <w:sz w:val="24"/>
          <w:szCs w:val="24"/>
          <w:highlight w:val="none"/>
        </w:rPr>
        <w:t>一览表</w:t>
      </w:r>
    </w:p>
    <w:p w14:paraId="25346249">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四</w:t>
      </w:r>
      <w:r>
        <w:rPr>
          <w:rFonts w:hint="eastAsia" w:ascii="仿宋" w:hAnsi="仿宋" w:eastAsia="仿宋" w:cs="仿宋"/>
          <w:b w:val="0"/>
          <w:bCs w:val="0"/>
          <w:color w:val="auto"/>
          <w:sz w:val="24"/>
          <w:szCs w:val="24"/>
          <w:highlight w:val="none"/>
        </w:rPr>
        <w:t>、经年审合格（三证合一）的营业执照或（统一社会信用代码证书）；</w:t>
      </w:r>
    </w:p>
    <w:p w14:paraId="6D0187D2">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五</w:t>
      </w:r>
      <w:r>
        <w:rPr>
          <w:rFonts w:hint="eastAsia" w:ascii="仿宋" w:hAnsi="仿宋" w:eastAsia="仿宋" w:cs="仿宋"/>
          <w:b w:val="0"/>
          <w:bCs w:val="0"/>
          <w:color w:val="auto"/>
          <w:sz w:val="24"/>
          <w:szCs w:val="24"/>
          <w:highlight w:val="none"/>
        </w:rPr>
        <w:t>、法定代表人身份证明、法定代表人授权委托书</w:t>
      </w:r>
    </w:p>
    <w:p w14:paraId="0778C275">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六、2024年度由第三方财务审计机构出具的财务审计报告（2025年新成立的公司可不提供但需提供银行出具的近三个月的资信证明）；</w:t>
      </w:r>
    </w:p>
    <w:p w14:paraId="442D7073">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七、本单位2025年2月至2025年6月社保缴费凭证，成立不足五个月的按实际提供，提供税务机关出具近五个月（2025年2月至2025年6</w:t>
      </w:r>
      <w:bookmarkStart w:id="177" w:name="_GoBack"/>
      <w:bookmarkEnd w:id="177"/>
      <w:r>
        <w:rPr>
          <w:rFonts w:hint="eastAsia" w:ascii="仿宋" w:hAnsi="仿宋" w:eastAsia="仿宋" w:cs="仿宋"/>
          <w:b w:val="0"/>
          <w:bCs w:val="0"/>
          <w:color w:val="auto"/>
          <w:sz w:val="24"/>
          <w:szCs w:val="24"/>
          <w:highlight w:val="none"/>
          <w:lang w:val="en-US" w:eastAsia="zh-CN"/>
        </w:rPr>
        <w:t>月）的完税证明（新成立不足五个月的，按实际情况发生提供）</w:t>
      </w:r>
    </w:p>
    <w:p w14:paraId="6E329CF4">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八、①“信用中国”网站（www.creditchina.gov.cn）；②中国政府采购网（www.ccgp.gov.cn）网站查询截图；</w:t>
      </w:r>
    </w:p>
    <w:p w14:paraId="6E1E17E0">
      <w:pPr>
        <w:numPr>
          <w:ilvl w:val="0"/>
          <w:numId w:val="0"/>
        </w:numPr>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九、</w:t>
      </w:r>
      <w:r>
        <w:rPr>
          <w:rFonts w:hint="default" w:ascii="仿宋" w:hAnsi="仿宋" w:eastAsia="仿宋" w:cs="仿宋"/>
          <w:b w:val="0"/>
          <w:bCs w:val="0"/>
          <w:color w:val="auto"/>
          <w:sz w:val="24"/>
          <w:szCs w:val="24"/>
          <w:highlight w:val="none"/>
          <w:lang w:val="en-US" w:eastAsia="zh-CN"/>
        </w:rPr>
        <w:t>提供参加政府采购活动前三年内，在经营活动中没有重大违法记录的书面声明；</w:t>
      </w:r>
    </w:p>
    <w:p w14:paraId="3F5E2824">
      <w:pPr>
        <w:numPr>
          <w:ilvl w:val="0"/>
          <w:numId w:val="0"/>
        </w:numPr>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十、投标保证金汇款凭证及投标保证金收据</w:t>
      </w:r>
    </w:p>
    <w:p w14:paraId="7423CE4A">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十一、</w:t>
      </w:r>
      <w:r>
        <w:rPr>
          <w:rFonts w:hint="eastAsia" w:ascii="仿宋" w:hAnsi="仿宋" w:eastAsia="仿宋" w:cs="仿宋"/>
          <w:b w:val="0"/>
          <w:bCs w:val="0"/>
          <w:color w:val="auto"/>
          <w:sz w:val="24"/>
          <w:szCs w:val="24"/>
          <w:highlight w:val="none"/>
        </w:rPr>
        <w:t>商务条款偏离表</w:t>
      </w:r>
    </w:p>
    <w:p w14:paraId="45EA6ACE">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十二、</w:t>
      </w:r>
      <w:r>
        <w:rPr>
          <w:rFonts w:hint="eastAsia" w:ascii="仿宋" w:hAnsi="仿宋" w:eastAsia="仿宋" w:cs="仿宋"/>
          <w:b w:val="0"/>
          <w:bCs w:val="0"/>
          <w:color w:val="auto"/>
          <w:sz w:val="24"/>
          <w:szCs w:val="24"/>
          <w:highlight w:val="none"/>
        </w:rPr>
        <w:t>投标单位（供应商）承诺书</w:t>
      </w:r>
    </w:p>
    <w:p w14:paraId="61D54874">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十三、中小企业声明函</w:t>
      </w:r>
    </w:p>
    <w:p w14:paraId="61BE33BC">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十四、商务评分证明材料（本项目核心产品成熟度）</w:t>
      </w:r>
    </w:p>
    <w:p w14:paraId="7412B344">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十五、</w:t>
      </w:r>
      <w:r>
        <w:rPr>
          <w:rFonts w:hint="eastAsia" w:ascii="仿宋" w:hAnsi="仿宋" w:eastAsia="仿宋" w:cs="仿宋"/>
          <w:b w:val="0"/>
          <w:bCs w:val="0"/>
          <w:color w:val="auto"/>
          <w:sz w:val="24"/>
          <w:szCs w:val="24"/>
          <w:highlight w:val="none"/>
        </w:rPr>
        <w:t>技术参数、功能偏离表</w:t>
      </w:r>
    </w:p>
    <w:p w14:paraId="12A4A164">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十六、</w:t>
      </w:r>
      <w:r>
        <w:rPr>
          <w:rFonts w:hint="eastAsia" w:ascii="仿宋" w:hAnsi="仿宋" w:eastAsia="仿宋" w:cs="仿宋"/>
          <w:b w:val="0"/>
          <w:bCs w:val="0"/>
          <w:color w:val="auto"/>
          <w:sz w:val="24"/>
          <w:szCs w:val="24"/>
          <w:highlight w:val="none"/>
        </w:rPr>
        <w:t>项目需求理解程度</w:t>
      </w:r>
    </w:p>
    <w:p w14:paraId="31DC9230">
      <w:pPr>
        <w:numPr>
          <w:ilvl w:val="0"/>
          <w:numId w:val="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十七、</w:t>
      </w:r>
      <w:r>
        <w:rPr>
          <w:rFonts w:hint="eastAsia" w:ascii="仿宋" w:hAnsi="仿宋" w:eastAsia="仿宋" w:cs="仿宋"/>
          <w:b w:val="0"/>
          <w:bCs w:val="0"/>
          <w:color w:val="auto"/>
          <w:sz w:val="24"/>
          <w:szCs w:val="24"/>
          <w:highlight w:val="none"/>
        </w:rPr>
        <w:t>售后服务方案及应急预案</w:t>
      </w:r>
    </w:p>
    <w:p w14:paraId="541703E5">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十八、培训方案</w:t>
      </w:r>
    </w:p>
    <w:p w14:paraId="6967C11F">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十九、节能、环保产品证明（如有）</w:t>
      </w:r>
    </w:p>
    <w:p w14:paraId="3362077D">
      <w:pPr>
        <w:numPr>
          <w:ilvl w:val="0"/>
          <w:numId w:val="0"/>
        </w:num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二十、投标人认为需要提供的其他资料</w:t>
      </w:r>
    </w:p>
    <w:p w14:paraId="000542B8">
      <w:pPr>
        <w:numPr>
          <w:ilvl w:val="0"/>
          <w:numId w:val="0"/>
        </w:numPr>
        <w:rPr>
          <w:rFonts w:hint="eastAsia" w:ascii="仿宋" w:hAnsi="仿宋" w:eastAsia="仿宋" w:cs="仿宋"/>
          <w:color w:val="auto"/>
          <w:sz w:val="28"/>
          <w:szCs w:val="28"/>
          <w:highlight w:val="none"/>
          <w:lang w:val="en-US" w:eastAsia="zh-CN"/>
        </w:rPr>
      </w:pPr>
    </w:p>
    <w:p w14:paraId="62230B74">
      <w:pPr>
        <w:pStyle w:val="44"/>
        <w:ind w:left="0" w:leftChars="0" w:firstLine="0" w:firstLineChars="0"/>
        <w:rPr>
          <w:rFonts w:hint="eastAsia" w:ascii="仿宋" w:hAnsi="仿宋" w:eastAsia="仿宋" w:cs="仿宋"/>
          <w:color w:val="auto"/>
          <w:highlight w:val="none"/>
          <w:lang w:val="en-US" w:eastAsia="zh-CN"/>
        </w:rPr>
      </w:pPr>
    </w:p>
    <w:p w14:paraId="6A12B9F5">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14:paraId="18107598">
      <w:pPr>
        <w:numPr>
          <w:ilvl w:val="0"/>
          <w:numId w:val="0"/>
        </w:numPr>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 xml:space="preserve">投 标 </w:t>
      </w:r>
      <w:bookmarkEnd w:id="136"/>
      <w:bookmarkEnd w:id="137"/>
      <w:bookmarkEnd w:id="138"/>
      <w:bookmarkEnd w:id="139"/>
      <w:r>
        <w:rPr>
          <w:rFonts w:hint="eastAsia" w:ascii="仿宋" w:hAnsi="仿宋" w:eastAsia="仿宋" w:cs="仿宋"/>
          <w:b/>
          <w:bCs/>
          <w:color w:val="auto"/>
          <w:sz w:val="28"/>
          <w:szCs w:val="28"/>
          <w:highlight w:val="none"/>
          <w:lang w:val="en-US" w:eastAsia="zh-CN"/>
        </w:rPr>
        <w:t>函</w:t>
      </w:r>
    </w:p>
    <w:p w14:paraId="54A03F46">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（招标单位）</w:t>
      </w:r>
      <w:r>
        <w:rPr>
          <w:rFonts w:hint="eastAsia" w:ascii="仿宋" w:hAnsi="仿宋" w:eastAsia="仿宋" w:cs="仿宋"/>
          <w:color w:val="auto"/>
          <w:sz w:val="24"/>
          <w:szCs w:val="24"/>
          <w:highlight w:val="none"/>
        </w:rPr>
        <w:t>：</w:t>
      </w:r>
    </w:p>
    <w:p w14:paraId="69A8474F">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收到你们的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（招标文件编号）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（项目名称），经认真研究，我们决定参加投标。</w:t>
      </w:r>
    </w:p>
    <w:p w14:paraId="2B5C6307">
      <w:pPr>
        <w:numPr>
          <w:ilvl w:val="0"/>
          <w:numId w:val="14"/>
        </w:numPr>
        <w:spacing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按照招标文件中的一切要求，提供招标</w:t>
      </w:r>
      <w:r>
        <w:rPr>
          <w:rFonts w:hint="eastAsia" w:ascii="仿宋" w:hAnsi="仿宋" w:eastAsia="仿宋" w:cs="仿宋"/>
          <w:color w:val="auto"/>
          <w:sz w:val="24"/>
          <w:szCs w:val="24"/>
          <w:highlight w:val="none"/>
          <w:lang w:eastAsia="zh-CN"/>
        </w:rPr>
        <w:t>货物的采购、供应、安装、运输装卸费、保险费、税费和相关售后服务等费用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总价为￥：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元（用阿拉伯数字书写）人民币大写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，明细见投标报价表。</w:t>
      </w:r>
    </w:p>
    <w:p w14:paraId="3B747232">
      <w:pPr>
        <w:numPr>
          <w:ilvl w:val="0"/>
          <w:numId w:val="14"/>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如果我们的投标书被接受，我们将履行招标文件中规定的每一项义务和要求，按期、按质、按量完成交货。</w:t>
      </w:r>
    </w:p>
    <w:p w14:paraId="5D229F3C">
      <w:pPr>
        <w:numPr>
          <w:ilvl w:val="0"/>
          <w:numId w:val="14"/>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我们同意按招标文件的规定，本标书的有效期为开标后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天。</w:t>
      </w:r>
    </w:p>
    <w:p w14:paraId="03AE0053">
      <w:pPr>
        <w:numPr>
          <w:ilvl w:val="0"/>
          <w:numId w:val="14"/>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我们愿意提供招标人在招标文件中要求的所有资料。</w:t>
      </w:r>
    </w:p>
    <w:p w14:paraId="3A73E928">
      <w:pPr>
        <w:numPr>
          <w:ilvl w:val="0"/>
          <w:numId w:val="14"/>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我们认为你们有选择或拒绝任何投标者中标的权利。我们理解，最低报价不是中标的唯一条件。</w:t>
      </w:r>
    </w:p>
    <w:p w14:paraId="052F9773">
      <w:pPr>
        <w:numPr>
          <w:ilvl w:val="0"/>
          <w:numId w:val="14"/>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我们愿意按合同履行自己的全部责任。</w:t>
      </w:r>
    </w:p>
    <w:p w14:paraId="3D0C66B5">
      <w:pPr>
        <w:numPr>
          <w:ilvl w:val="0"/>
          <w:numId w:val="14"/>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我们愿意遵守国家有关规定和招标文件中规定的收费标准，承付中标服务费。</w:t>
      </w:r>
    </w:p>
    <w:p w14:paraId="59A04ADD">
      <w:pPr>
        <w:numPr>
          <w:ilvl w:val="0"/>
          <w:numId w:val="14"/>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该项投标在开标后全过程中保持有效，不做任何更改和变动。</w:t>
      </w:r>
    </w:p>
    <w:p w14:paraId="2C05ABA9">
      <w:pPr>
        <w:numPr>
          <w:ilvl w:val="0"/>
          <w:numId w:val="14"/>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我们同意按招标文件规定，缴纳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元投标保证金。</w:t>
      </w:r>
    </w:p>
    <w:p w14:paraId="32BEFBC5">
      <w:pPr>
        <w:spacing w:line="440" w:lineRule="exact"/>
        <w:ind w:left="721" w:leftChars="229"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10我们保证投标文件中的所有证件和内容真实有效，否则我们愿意承担一切法律责任。</w:t>
      </w:r>
    </w:p>
    <w:p w14:paraId="528ED631">
      <w:pPr>
        <w:spacing w:line="440" w:lineRule="exact"/>
        <w:ind w:left="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11、其他说明。</w:t>
      </w:r>
    </w:p>
    <w:p w14:paraId="5093DAB5">
      <w:pPr>
        <w:spacing w:line="440" w:lineRule="exact"/>
        <w:ind w:left="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12、所有有关本标书的函电，请按下列地址联系：</w:t>
      </w:r>
    </w:p>
    <w:p w14:paraId="06776315">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 xml:space="preserve">(单位公章) ：                       </w:t>
      </w:r>
    </w:p>
    <w:p w14:paraId="4185FD35">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112E1B01">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5BEAF790">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6AF6882D">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14:paraId="3165253D">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3E410C04">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7D65B9B5">
      <w:pPr>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2A023B41">
      <w:pPr>
        <w:spacing w:line="440" w:lineRule="exact"/>
        <w:rPr>
          <w:rFonts w:hint="eastAsia" w:ascii="仿宋" w:hAnsi="仿宋" w:eastAsia="仿宋" w:cs="仿宋"/>
          <w:b/>
          <w:bCs/>
          <w:color w:val="auto"/>
          <w:sz w:val="30"/>
          <w:szCs w:val="30"/>
          <w:highlight w:val="none"/>
        </w:rPr>
      </w:pPr>
    </w:p>
    <w:p w14:paraId="0A4ADF7A">
      <w:pPr>
        <w:spacing w:line="440" w:lineRule="exact"/>
        <w:ind w:firstLine="480"/>
        <w:jc w:val="center"/>
        <w:rPr>
          <w:rFonts w:hint="eastAsia" w:ascii="仿宋" w:hAnsi="仿宋" w:eastAsia="仿宋" w:cs="仿宋"/>
          <w:b/>
          <w:bCs/>
          <w:color w:val="auto"/>
          <w:sz w:val="30"/>
          <w:szCs w:val="30"/>
          <w:highlight w:val="none"/>
          <w:lang w:val="en-US" w:eastAsia="zh-CN"/>
        </w:rPr>
      </w:pPr>
    </w:p>
    <w:p w14:paraId="6E9C321D">
      <w:pPr>
        <w:pStyle w:val="21"/>
        <w:rPr>
          <w:rFonts w:hint="eastAsia"/>
          <w:color w:val="auto"/>
          <w:highlight w:val="none"/>
          <w:lang w:val="en-US" w:eastAsia="zh-CN"/>
        </w:rPr>
      </w:pPr>
    </w:p>
    <w:p w14:paraId="65C0229B">
      <w:pPr>
        <w:spacing w:line="440" w:lineRule="exact"/>
        <w:ind w:firstLine="480"/>
        <w:jc w:val="center"/>
        <w:rPr>
          <w:rFonts w:hint="eastAsia" w:ascii="仿宋" w:hAnsi="仿宋" w:eastAsia="仿宋" w:cs="仿宋"/>
          <w:b/>
          <w:bCs/>
          <w:color w:val="auto"/>
          <w:sz w:val="30"/>
          <w:szCs w:val="30"/>
          <w:highlight w:val="none"/>
          <w:lang w:val="en-US" w:eastAsia="zh-CN"/>
        </w:rPr>
      </w:pPr>
    </w:p>
    <w:p w14:paraId="7D983055">
      <w:pPr>
        <w:numPr>
          <w:ilvl w:val="0"/>
          <w:numId w:val="15"/>
        </w:numPr>
        <w:spacing w:line="440" w:lineRule="exact"/>
        <w:ind w:left="0" w:leftChars="0"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投标文件真实性和不存在限制投标情形的声明</w:t>
      </w:r>
    </w:p>
    <w:p w14:paraId="39BFC089">
      <w:pPr>
        <w:pStyle w:val="21"/>
        <w:numPr>
          <w:ilvl w:val="0"/>
          <w:numId w:val="0"/>
        </w:numPr>
        <w:spacing w:line="240" w:lineRule="auto"/>
        <w:ind w:leftChars="0"/>
        <w:rPr>
          <w:rFonts w:hint="eastAsia"/>
          <w:color w:val="auto"/>
          <w:highlight w:val="none"/>
        </w:rPr>
      </w:pPr>
    </w:p>
    <w:p w14:paraId="399C0168">
      <w:pPr>
        <w:spacing w:line="200" w:lineRule="exact"/>
        <w:rPr>
          <w:rFonts w:hint="eastAsia" w:ascii="仿宋" w:hAnsi="仿宋" w:eastAsia="仿宋" w:cs="仿宋"/>
          <w:color w:val="auto"/>
          <w:highlight w:val="none"/>
        </w:rPr>
      </w:pPr>
    </w:p>
    <w:p w14:paraId="6DFC14B7">
      <w:pPr>
        <w:spacing w:line="600" w:lineRule="auto"/>
        <w:ind w:firstLine="240" w:firstLineChars="1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（招标单位）：</w:t>
      </w:r>
    </w:p>
    <w:p w14:paraId="2C4715FA">
      <w:pPr>
        <w:spacing w:line="60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我方在仔细阅读本项目招标文件后，未在招标文件中发现任何限制投标的相关规定及要求</w:t>
      </w:r>
      <w:r>
        <w:rPr>
          <w:rFonts w:hint="eastAsia" w:ascii="仿宋" w:hAnsi="仿宋" w:eastAsia="仿宋" w:cs="仿宋"/>
          <w:color w:val="auto"/>
          <w:sz w:val="24"/>
          <w:szCs w:val="24"/>
          <w:highlight w:val="none"/>
        </w:rPr>
        <w:t>。</w:t>
      </w:r>
    </w:p>
    <w:p w14:paraId="2BD0D81E">
      <w:pPr>
        <w:spacing w:line="60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我方在此声明，所递交的（项目名称）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的投标文件（包括有关资料、澄清）真实可信，不存在虚假（包括隐瞒）。</w:t>
      </w:r>
    </w:p>
    <w:p w14:paraId="70E8C918">
      <w:pPr>
        <w:spacing w:line="60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我方承诺，如存在虚假投标行为，我方自愿承担</w:t>
      </w:r>
      <w:r>
        <w:rPr>
          <w:rFonts w:hint="eastAsia" w:ascii="仿宋" w:hAnsi="仿宋" w:eastAsia="仿宋" w:cs="仿宋"/>
          <w:color w:val="auto"/>
          <w:sz w:val="24"/>
          <w:szCs w:val="24"/>
          <w:highlight w:val="none"/>
          <w:lang w:val="en-US" w:eastAsia="zh-CN"/>
        </w:rPr>
        <w:t>一切法律</w:t>
      </w:r>
      <w:r>
        <w:rPr>
          <w:rFonts w:hint="eastAsia" w:ascii="仿宋" w:hAnsi="仿宋" w:eastAsia="仿宋" w:cs="仿宋"/>
          <w:color w:val="auto"/>
          <w:sz w:val="24"/>
          <w:szCs w:val="24"/>
          <w:highlight w:val="none"/>
        </w:rPr>
        <w:t>责任。</w:t>
      </w:r>
    </w:p>
    <w:p w14:paraId="2BDE277A">
      <w:pPr>
        <w:rPr>
          <w:rFonts w:hint="eastAsia" w:ascii="仿宋" w:hAnsi="仿宋" w:eastAsia="仿宋" w:cs="仿宋"/>
          <w:color w:val="auto"/>
          <w:sz w:val="24"/>
          <w:szCs w:val="24"/>
          <w:highlight w:val="none"/>
        </w:rPr>
      </w:pPr>
    </w:p>
    <w:p w14:paraId="5AF9A48D">
      <w:pPr>
        <w:pStyle w:val="43"/>
        <w:rPr>
          <w:rFonts w:hint="eastAsia" w:ascii="仿宋" w:hAnsi="仿宋" w:eastAsia="仿宋" w:cs="仿宋"/>
          <w:color w:val="auto"/>
          <w:sz w:val="24"/>
          <w:szCs w:val="24"/>
          <w:highlight w:val="none"/>
        </w:rPr>
      </w:pPr>
    </w:p>
    <w:p w14:paraId="30CDA8A2">
      <w:pPr>
        <w:pStyle w:val="43"/>
        <w:rPr>
          <w:rFonts w:hint="eastAsia" w:ascii="仿宋" w:hAnsi="仿宋" w:eastAsia="仿宋" w:cs="仿宋"/>
          <w:color w:val="auto"/>
          <w:sz w:val="24"/>
          <w:szCs w:val="24"/>
          <w:highlight w:val="none"/>
        </w:rPr>
      </w:pPr>
    </w:p>
    <w:p w14:paraId="3CCDFDE7">
      <w:pPr>
        <w:pStyle w:val="43"/>
        <w:rPr>
          <w:rFonts w:hint="eastAsia" w:ascii="仿宋" w:hAnsi="仿宋" w:eastAsia="仿宋" w:cs="仿宋"/>
          <w:color w:val="auto"/>
          <w:sz w:val="24"/>
          <w:szCs w:val="24"/>
          <w:highlight w:val="none"/>
        </w:rPr>
      </w:pPr>
    </w:p>
    <w:p w14:paraId="22E6D210">
      <w:pPr>
        <w:pStyle w:val="43"/>
        <w:rPr>
          <w:rFonts w:hint="eastAsia" w:ascii="仿宋" w:hAnsi="仿宋" w:eastAsia="仿宋" w:cs="仿宋"/>
          <w:color w:val="auto"/>
          <w:sz w:val="24"/>
          <w:szCs w:val="24"/>
          <w:highlight w:val="none"/>
        </w:rPr>
      </w:pPr>
    </w:p>
    <w:p w14:paraId="62569430">
      <w:pPr>
        <w:pStyle w:val="43"/>
        <w:rPr>
          <w:rFonts w:hint="eastAsia" w:ascii="仿宋" w:hAnsi="仿宋" w:eastAsia="仿宋" w:cs="仿宋"/>
          <w:color w:val="auto"/>
          <w:sz w:val="24"/>
          <w:szCs w:val="24"/>
          <w:highlight w:val="none"/>
        </w:rPr>
      </w:pPr>
    </w:p>
    <w:p w14:paraId="6FE74B74">
      <w:pPr>
        <w:pStyle w:val="43"/>
        <w:rPr>
          <w:rFonts w:hint="eastAsia" w:ascii="仿宋" w:hAnsi="仿宋" w:eastAsia="仿宋" w:cs="仿宋"/>
          <w:color w:val="auto"/>
          <w:sz w:val="24"/>
          <w:szCs w:val="24"/>
          <w:highlight w:val="none"/>
        </w:rPr>
      </w:pPr>
    </w:p>
    <w:p w14:paraId="1712C2BC">
      <w:pPr>
        <w:pStyle w:val="43"/>
        <w:rPr>
          <w:rFonts w:hint="eastAsia" w:ascii="仿宋" w:hAnsi="仿宋" w:eastAsia="仿宋" w:cs="仿宋"/>
          <w:color w:val="auto"/>
          <w:sz w:val="24"/>
          <w:szCs w:val="24"/>
          <w:highlight w:val="none"/>
        </w:rPr>
      </w:pPr>
    </w:p>
    <w:p w14:paraId="1965CE81">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 ：</w:t>
      </w:r>
    </w:p>
    <w:p w14:paraId="3698908A">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40A7AFE">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1335D821">
      <w:pPr>
        <w:spacing w:line="360" w:lineRule="auto"/>
        <w:ind w:firstLine="3360" w:firstLineChars="1400"/>
        <w:rPr>
          <w:rFonts w:hint="eastAsia" w:ascii="仿宋" w:hAnsi="仿宋" w:eastAsia="仿宋" w:cs="仿宋"/>
          <w:color w:val="auto"/>
          <w:sz w:val="24"/>
          <w:szCs w:val="24"/>
          <w:highlight w:val="none"/>
        </w:rPr>
      </w:pPr>
    </w:p>
    <w:p w14:paraId="6CD189C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bookmarkStart w:id="141" w:name="_Toc21652"/>
      <w:bookmarkStart w:id="142" w:name="_Toc21183"/>
      <w:bookmarkStart w:id="143" w:name="_Toc7164"/>
      <w:bookmarkStart w:id="144" w:name="_Toc22822"/>
      <w:bookmarkStart w:id="145" w:name="_Toc2775"/>
    </w:p>
    <w:p w14:paraId="66BA6403">
      <w:pPr>
        <w:spacing w:line="360" w:lineRule="auto"/>
        <w:ind w:firstLine="480" w:firstLineChars="200"/>
        <w:rPr>
          <w:rFonts w:hint="eastAsia" w:ascii="仿宋" w:hAnsi="仿宋" w:eastAsia="仿宋" w:cs="仿宋"/>
          <w:color w:val="auto"/>
          <w:sz w:val="24"/>
          <w:szCs w:val="24"/>
          <w:highlight w:val="none"/>
        </w:rPr>
      </w:pPr>
    </w:p>
    <w:p w14:paraId="2D68C489">
      <w:pPr>
        <w:spacing w:line="360" w:lineRule="auto"/>
        <w:ind w:firstLine="480" w:firstLineChars="200"/>
        <w:rPr>
          <w:rFonts w:hint="eastAsia" w:ascii="仿宋" w:hAnsi="仿宋" w:eastAsia="仿宋" w:cs="仿宋"/>
          <w:color w:val="auto"/>
          <w:sz w:val="24"/>
          <w:highlight w:val="none"/>
        </w:rPr>
      </w:pPr>
    </w:p>
    <w:p w14:paraId="0B86FF95">
      <w:pPr>
        <w:spacing w:line="360" w:lineRule="auto"/>
        <w:ind w:firstLine="480" w:firstLineChars="200"/>
        <w:rPr>
          <w:rFonts w:hint="eastAsia" w:ascii="仿宋" w:hAnsi="仿宋" w:eastAsia="仿宋" w:cs="仿宋"/>
          <w:color w:val="auto"/>
          <w:sz w:val="24"/>
          <w:highlight w:val="none"/>
        </w:rPr>
      </w:pPr>
    </w:p>
    <w:p w14:paraId="76A70C92">
      <w:pPr>
        <w:spacing w:line="360" w:lineRule="auto"/>
        <w:ind w:firstLine="480" w:firstLineChars="200"/>
        <w:rPr>
          <w:rFonts w:hint="eastAsia" w:ascii="仿宋" w:hAnsi="仿宋" w:eastAsia="仿宋" w:cs="仿宋"/>
          <w:color w:val="auto"/>
          <w:sz w:val="24"/>
          <w:highlight w:val="none"/>
        </w:rPr>
      </w:pPr>
    </w:p>
    <w:p w14:paraId="53AB6133">
      <w:pPr>
        <w:spacing w:line="360" w:lineRule="auto"/>
        <w:ind w:firstLine="480" w:firstLineChars="200"/>
        <w:rPr>
          <w:rFonts w:hint="eastAsia" w:ascii="仿宋" w:hAnsi="仿宋" w:eastAsia="仿宋" w:cs="仿宋"/>
          <w:color w:val="auto"/>
          <w:sz w:val="24"/>
          <w:highlight w:val="none"/>
        </w:rPr>
      </w:pPr>
    </w:p>
    <w:p w14:paraId="408BBA4F">
      <w:pPr>
        <w:spacing w:line="360" w:lineRule="auto"/>
        <w:ind w:firstLine="480" w:firstLineChars="200"/>
        <w:rPr>
          <w:rFonts w:hint="eastAsia" w:ascii="仿宋" w:hAnsi="仿宋" w:eastAsia="仿宋" w:cs="仿宋"/>
          <w:color w:val="auto"/>
          <w:sz w:val="24"/>
          <w:highlight w:val="none"/>
        </w:rPr>
      </w:pPr>
    </w:p>
    <w:p w14:paraId="01D4725A">
      <w:pPr>
        <w:spacing w:line="360" w:lineRule="auto"/>
        <w:ind w:firstLine="480" w:firstLineChars="200"/>
        <w:rPr>
          <w:rFonts w:hint="eastAsia" w:ascii="仿宋" w:hAnsi="仿宋" w:eastAsia="仿宋" w:cs="仿宋"/>
          <w:color w:val="auto"/>
          <w:sz w:val="24"/>
          <w:highlight w:val="none"/>
        </w:rPr>
      </w:pPr>
    </w:p>
    <w:p w14:paraId="16284D4F">
      <w:pPr>
        <w:spacing w:line="360" w:lineRule="auto"/>
        <w:ind w:firstLine="480" w:firstLineChars="200"/>
        <w:rPr>
          <w:rFonts w:hint="eastAsia" w:ascii="仿宋" w:hAnsi="仿宋" w:eastAsia="仿宋" w:cs="仿宋"/>
          <w:color w:val="auto"/>
          <w:sz w:val="24"/>
          <w:highlight w:val="none"/>
        </w:rPr>
      </w:pPr>
    </w:p>
    <w:p w14:paraId="2EA059F2">
      <w:pPr>
        <w:spacing w:line="600" w:lineRule="auto"/>
        <w:jc w:val="both"/>
        <w:rPr>
          <w:rFonts w:hint="eastAsia" w:ascii="仿宋" w:hAnsi="仿宋" w:eastAsia="仿宋" w:cs="仿宋"/>
          <w:b/>
          <w:bCs/>
          <w:color w:val="auto"/>
          <w:sz w:val="28"/>
          <w:szCs w:val="28"/>
          <w:highlight w:val="none"/>
          <w:lang w:val="en-US" w:eastAsia="zh-CN"/>
        </w:rPr>
      </w:pPr>
    </w:p>
    <w:p w14:paraId="24B2F8D1">
      <w:pPr>
        <w:spacing w:line="60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三、开标</w:t>
      </w:r>
      <w:r>
        <w:rPr>
          <w:rFonts w:hint="eastAsia" w:ascii="仿宋" w:hAnsi="仿宋" w:eastAsia="仿宋" w:cs="仿宋"/>
          <w:b/>
          <w:bCs/>
          <w:color w:val="auto"/>
          <w:sz w:val="28"/>
          <w:szCs w:val="28"/>
          <w:highlight w:val="none"/>
        </w:rPr>
        <w:t>一览表</w:t>
      </w:r>
      <w:bookmarkEnd w:id="141"/>
      <w:bookmarkEnd w:id="142"/>
      <w:bookmarkEnd w:id="143"/>
      <w:bookmarkEnd w:id="144"/>
      <w:bookmarkEnd w:id="145"/>
    </w:p>
    <w:p w14:paraId="1024AB2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1AC97DD8">
      <w:pPr>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rPr>
        <w:t xml:space="preserve">项目编号：     </w:t>
      </w:r>
    </w:p>
    <w:tbl>
      <w:tblPr>
        <w:tblStyle w:val="45"/>
        <w:tblW w:w="94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1"/>
        <w:gridCol w:w="2069"/>
        <w:gridCol w:w="5327"/>
        <w:gridCol w:w="996"/>
      </w:tblGrid>
      <w:tr w14:paraId="1BB7B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051" w:type="dxa"/>
            <w:tcBorders>
              <w:top w:val="single" w:color="auto" w:sz="4" w:space="0"/>
              <w:left w:val="single" w:color="auto" w:sz="4" w:space="0"/>
              <w:right w:val="single" w:color="auto" w:sz="4" w:space="0"/>
            </w:tcBorders>
            <w:noWrap w:val="0"/>
            <w:vAlign w:val="center"/>
          </w:tcPr>
          <w:p w14:paraId="505C3F3E">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7396" w:type="dxa"/>
            <w:gridSpan w:val="2"/>
            <w:tcBorders>
              <w:top w:val="single" w:color="auto" w:sz="4" w:space="0"/>
              <w:left w:val="single" w:color="auto" w:sz="4" w:space="0"/>
              <w:right w:val="single" w:color="auto" w:sz="4" w:space="0"/>
            </w:tcBorders>
            <w:noWrap w:val="0"/>
            <w:vAlign w:val="center"/>
          </w:tcPr>
          <w:p w14:paraId="06512CDE">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内</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容</w:t>
            </w:r>
          </w:p>
        </w:tc>
        <w:tc>
          <w:tcPr>
            <w:tcW w:w="996" w:type="dxa"/>
            <w:tcBorders>
              <w:top w:val="single" w:color="auto" w:sz="4" w:space="0"/>
              <w:left w:val="single" w:color="auto" w:sz="4" w:space="0"/>
              <w:right w:val="single" w:color="auto" w:sz="4" w:space="0"/>
            </w:tcBorders>
            <w:noWrap w:val="0"/>
            <w:vAlign w:val="center"/>
          </w:tcPr>
          <w:p w14:paraId="6ED591F5">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14:paraId="5641B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051" w:type="dxa"/>
            <w:tcBorders>
              <w:top w:val="single" w:color="auto" w:sz="4" w:space="0"/>
              <w:left w:val="single" w:color="auto" w:sz="4" w:space="0"/>
              <w:right w:val="single" w:color="auto" w:sz="4" w:space="0"/>
            </w:tcBorders>
            <w:noWrap w:val="0"/>
            <w:vAlign w:val="center"/>
          </w:tcPr>
          <w:p w14:paraId="535FF449">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069" w:type="dxa"/>
            <w:tcBorders>
              <w:top w:val="single" w:color="auto" w:sz="4" w:space="0"/>
              <w:left w:val="single" w:color="auto" w:sz="4" w:space="0"/>
              <w:right w:val="single" w:color="auto" w:sz="4" w:space="0"/>
            </w:tcBorders>
            <w:noWrap w:val="0"/>
            <w:vAlign w:val="center"/>
          </w:tcPr>
          <w:p w14:paraId="768D96C4">
            <w:pPr>
              <w:snapToGrid w:val="0"/>
              <w:spacing w:line="24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投标人名称</w:t>
            </w:r>
          </w:p>
        </w:tc>
        <w:tc>
          <w:tcPr>
            <w:tcW w:w="5327" w:type="dxa"/>
            <w:tcBorders>
              <w:top w:val="single" w:color="auto" w:sz="4" w:space="0"/>
              <w:left w:val="single" w:color="auto" w:sz="4" w:space="0"/>
              <w:right w:val="single" w:color="auto" w:sz="4" w:space="0"/>
            </w:tcBorders>
            <w:noWrap w:val="0"/>
            <w:vAlign w:val="center"/>
          </w:tcPr>
          <w:p w14:paraId="45FEB02D">
            <w:pPr>
              <w:snapToGrid w:val="0"/>
              <w:spacing w:line="400" w:lineRule="exact"/>
              <w:rPr>
                <w:rFonts w:hint="eastAsia" w:ascii="仿宋" w:hAnsi="仿宋" w:eastAsia="仿宋" w:cs="仿宋"/>
                <w:b w:val="0"/>
                <w:bCs/>
                <w:color w:val="auto"/>
                <w:sz w:val="24"/>
                <w:szCs w:val="24"/>
                <w:highlight w:val="none"/>
              </w:rPr>
            </w:pPr>
          </w:p>
        </w:tc>
        <w:tc>
          <w:tcPr>
            <w:tcW w:w="996" w:type="dxa"/>
            <w:tcBorders>
              <w:top w:val="single" w:color="auto" w:sz="4" w:space="0"/>
              <w:left w:val="single" w:color="auto" w:sz="4" w:space="0"/>
              <w:right w:val="single" w:color="auto" w:sz="4" w:space="0"/>
            </w:tcBorders>
            <w:noWrap w:val="0"/>
            <w:vAlign w:val="center"/>
          </w:tcPr>
          <w:p w14:paraId="5C7DF4F8">
            <w:pPr>
              <w:snapToGrid w:val="0"/>
              <w:spacing w:line="400" w:lineRule="exact"/>
              <w:jc w:val="center"/>
              <w:rPr>
                <w:rFonts w:hint="eastAsia" w:ascii="仿宋" w:hAnsi="仿宋" w:eastAsia="仿宋" w:cs="仿宋"/>
                <w:b w:val="0"/>
                <w:bCs/>
                <w:color w:val="auto"/>
                <w:sz w:val="24"/>
                <w:szCs w:val="24"/>
                <w:highlight w:val="none"/>
              </w:rPr>
            </w:pPr>
          </w:p>
        </w:tc>
      </w:tr>
      <w:tr w14:paraId="422D6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1" w:hRule="atLeast"/>
          <w:jc w:val="center"/>
        </w:trPr>
        <w:tc>
          <w:tcPr>
            <w:tcW w:w="1051" w:type="dxa"/>
            <w:tcBorders>
              <w:top w:val="single" w:color="auto" w:sz="4" w:space="0"/>
              <w:left w:val="single" w:color="auto" w:sz="4" w:space="0"/>
              <w:right w:val="single" w:color="auto" w:sz="4" w:space="0"/>
            </w:tcBorders>
            <w:noWrap w:val="0"/>
            <w:vAlign w:val="center"/>
          </w:tcPr>
          <w:p w14:paraId="53DDC38D">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3D71A2EE">
            <w:pPr>
              <w:snapToGrid w:val="0"/>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 xml:space="preserve">投 标 </w:t>
            </w:r>
            <w:r>
              <w:rPr>
                <w:rFonts w:hint="eastAsia" w:ascii="仿宋" w:hAnsi="仿宋" w:eastAsia="仿宋" w:cs="仿宋"/>
                <w:b w:val="0"/>
                <w:bCs/>
                <w:color w:val="auto"/>
                <w:sz w:val="24"/>
                <w:szCs w:val="24"/>
                <w:highlight w:val="none"/>
                <w:lang w:val="en-US" w:eastAsia="zh-CN"/>
              </w:rPr>
              <w:t>总 价</w:t>
            </w:r>
          </w:p>
          <w:p w14:paraId="7A9B20E7">
            <w:pPr>
              <w:snapToGrid w:val="0"/>
              <w:spacing w:line="24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 计</w:t>
            </w:r>
          </w:p>
        </w:tc>
        <w:tc>
          <w:tcPr>
            <w:tcW w:w="5327" w:type="dxa"/>
            <w:tcBorders>
              <w:top w:val="single" w:color="auto" w:sz="4" w:space="0"/>
              <w:left w:val="single" w:color="auto" w:sz="4" w:space="0"/>
              <w:bottom w:val="single" w:color="auto" w:sz="4" w:space="0"/>
              <w:right w:val="single" w:color="auto" w:sz="4" w:space="0"/>
            </w:tcBorders>
            <w:noWrap w:val="0"/>
            <w:vAlign w:val="center"/>
          </w:tcPr>
          <w:p w14:paraId="18471E9A">
            <w:pPr>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小写：</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元</w:t>
            </w:r>
          </w:p>
          <w:p w14:paraId="087EF4D0">
            <w:pPr>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大写：</w:t>
            </w:r>
            <w:r>
              <w:rPr>
                <w:rFonts w:hint="eastAsia" w:ascii="仿宋" w:hAnsi="仿宋" w:eastAsia="仿宋" w:cs="仿宋"/>
                <w:b w:val="0"/>
                <w:bCs/>
                <w:color w:val="auto"/>
                <w:sz w:val="24"/>
                <w:szCs w:val="24"/>
                <w:highlight w:val="none"/>
                <w:u w:val="single"/>
                <w:lang w:val="en-US" w:eastAsia="zh-CN"/>
              </w:rPr>
              <w:t xml:space="preserve">                        </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14D7C2EF">
            <w:pPr>
              <w:snapToGrid w:val="0"/>
              <w:spacing w:line="400" w:lineRule="exact"/>
              <w:rPr>
                <w:rFonts w:hint="eastAsia" w:ascii="仿宋" w:hAnsi="仿宋" w:eastAsia="仿宋" w:cs="仿宋"/>
                <w:b w:val="0"/>
                <w:bCs/>
                <w:color w:val="auto"/>
                <w:sz w:val="24"/>
                <w:szCs w:val="24"/>
                <w:highlight w:val="none"/>
              </w:rPr>
            </w:pPr>
          </w:p>
        </w:tc>
      </w:tr>
      <w:tr w14:paraId="2E7BE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14:paraId="17782981">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76423069">
            <w:pPr>
              <w:spacing w:line="360" w:lineRule="auto"/>
              <w:jc w:val="center"/>
              <w:rPr>
                <w:rFonts w:hint="eastAsia" w:ascii="仿宋" w:hAnsi="仿宋" w:eastAsia="仿宋" w:cs="仿宋"/>
                <w:b w:val="0"/>
                <w:bCs/>
                <w:color w:val="auto"/>
                <w:sz w:val="24"/>
                <w:szCs w:val="24"/>
                <w:highlight w:val="none"/>
                <w:u w:val="single"/>
              </w:rPr>
            </w:pPr>
            <w:r>
              <w:rPr>
                <w:rFonts w:hint="eastAsia" w:ascii="仿宋" w:hAnsi="仿宋" w:eastAsia="仿宋" w:cs="仿宋"/>
                <w:color w:val="auto"/>
                <w:sz w:val="24"/>
                <w:szCs w:val="24"/>
                <w:highlight w:val="none"/>
                <w:lang w:eastAsia="zh-CN"/>
              </w:rPr>
              <w:t>供货期</w:t>
            </w:r>
          </w:p>
        </w:tc>
        <w:tc>
          <w:tcPr>
            <w:tcW w:w="5327" w:type="dxa"/>
            <w:tcBorders>
              <w:top w:val="single" w:color="auto" w:sz="4" w:space="0"/>
              <w:left w:val="single" w:color="auto" w:sz="4" w:space="0"/>
              <w:bottom w:val="single" w:color="auto" w:sz="4" w:space="0"/>
              <w:right w:val="single" w:color="auto" w:sz="4" w:space="0"/>
            </w:tcBorders>
            <w:noWrap w:val="0"/>
            <w:vAlign w:val="top"/>
          </w:tcPr>
          <w:p w14:paraId="051DFD78">
            <w:pPr>
              <w:spacing w:line="480" w:lineRule="auto"/>
              <w:ind w:firstLine="480" w:firstLineChars="200"/>
              <w:rPr>
                <w:rFonts w:hint="eastAsia" w:ascii="仿宋" w:hAnsi="仿宋" w:eastAsia="仿宋" w:cs="仿宋"/>
                <w:b w:val="0"/>
                <w:bCs/>
                <w:color w:val="auto"/>
                <w:sz w:val="24"/>
                <w:szCs w:val="24"/>
                <w:highlight w:val="none"/>
                <w:u w:val="single"/>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52F8FFF6">
            <w:pPr>
              <w:snapToGrid w:val="0"/>
              <w:spacing w:line="400" w:lineRule="exact"/>
              <w:rPr>
                <w:rFonts w:hint="eastAsia" w:ascii="仿宋" w:hAnsi="仿宋" w:eastAsia="仿宋" w:cs="仿宋"/>
                <w:b w:val="0"/>
                <w:bCs/>
                <w:color w:val="auto"/>
                <w:sz w:val="24"/>
                <w:szCs w:val="24"/>
                <w:highlight w:val="none"/>
                <w:u w:val="single"/>
              </w:rPr>
            </w:pPr>
          </w:p>
        </w:tc>
      </w:tr>
      <w:tr w14:paraId="339A6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14:paraId="2962625C">
            <w:pPr>
              <w:snapToGrid w:val="0"/>
              <w:spacing w:line="40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6B1516D6">
            <w:pPr>
              <w:spacing w:line="480" w:lineRule="auto"/>
              <w:jc w:val="center"/>
              <w:rPr>
                <w:rFonts w:hint="eastAsia" w:ascii="仿宋" w:hAnsi="仿宋" w:eastAsia="仿宋" w:cs="仿宋"/>
                <w:b w:val="0"/>
                <w:bCs/>
                <w:color w:val="auto"/>
                <w:sz w:val="24"/>
                <w:szCs w:val="24"/>
                <w:highlight w:val="none"/>
                <w:u w:val="none"/>
                <w:lang w:eastAsia="zh-CN"/>
              </w:rPr>
            </w:pPr>
            <w:r>
              <w:rPr>
                <w:rFonts w:hint="eastAsia" w:ascii="仿宋" w:hAnsi="仿宋" w:eastAsia="仿宋" w:cs="仿宋"/>
                <w:color w:val="auto"/>
                <w:sz w:val="24"/>
                <w:szCs w:val="24"/>
                <w:highlight w:val="none"/>
                <w:lang w:eastAsia="zh-CN"/>
              </w:rPr>
              <w:t>保质期</w:t>
            </w:r>
          </w:p>
        </w:tc>
        <w:tc>
          <w:tcPr>
            <w:tcW w:w="5327" w:type="dxa"/>
            <w:tcBorders>
              <w:top w:val="single" w:color="auto" w:sz="4" w:space="0"/>
              <w:left w:val="single" w:color="auto" w:sz="4" w:space="0"/>
              <w:bottom w:val="single" w:color="auto" w:sz="4" w:space="0"/>
              <w:right w:val="single" w:color="auto" w:sz="4" w:space="0"/>
            </w:tcBorders>
            <w:noWrap w:val="0"/>
            <w:vAlign w:val="top"/>
          </w:tcPr>
          <w:p w14:paraId="42AF8589">
            <w:pPr>
              <w:spacing w:line="480" w:lineRule="auto"/>
              <w:ind w:firstLine="480" w:firstLineChars="200"/>
              <w:rPr>
                <w:rFonts w:hint="eastAsia" w:ascii="仿宋" w:hAnsi="仿宋" w:eastAsia="仿宋" w:cs="仿宋"/>
                <w:b w:val="0"/>
                <w:bCs/>
                <w:color w:val="auto"/>
                <w:sz w:val="24"/>
                <w:szCs w:val="24"/>
                <w:highlight w:val="none"/>
                <w:u w:val="single"/>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4E16BA80">
            <w:pPr>
              <w:snapToGrid w:val="0"/>
              <w:spacing w:line="400" w:lineRule="exact"/>
              <w:rPr>
                <w:rFonts w:hint="eastAsia" w:ascii="仿宋" w:hAnsi="仿宋" w:eastAsia="仿宋" w:cs="仿宋"/>
                <w:b w:val="0"/>
                <w:bCs/>
                <w:color w:val="auto"/>
                <w:sz w:val="24"/>
                <w:szCs w:val="24"/>
                <w:highlight w:val="none"/>
                <w:u w:val="single"/>
              </w:rPr>
            </w:pPr>
          </w:p>
        </w:tc>
      </w:tr>
      <w:tr w14:paraId="6F3A9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14:paraId="7000ABD5">
            <w:pPr>
              <w:snapToGrid w:val="0"/>
              <w:spacing w:line="400" w:lineRule="exact"/>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5</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1217FF33">
            <w:pPr>
              <w:snapToGrid w:val="0"/>
              <w:spacing w:line="24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其他事项申明</w:t>
            </w:r>
          </w:p>
        </w:tc>
        <w:tc>
          <w:tcPr>
            <w:tcW w:w="5327" w:type="dxa"/>
            <w:tcBorders>
              <w:top w:val="single" w:color="auto" w:sz="4" w:space="0"/>
              <w:left w:val="single" w:color="auto" w:sz="4" w:space="0"/>
              <w:bottom w:val="single" w:color="auto" w:sz="4" w:space="0"/>
              <w:right w:val="single" w:color="auto" w:sz="4" w:space="0"/>
            </w:tcBorders>
            <w:noWrap w:val="0"/>
            <w:vAlign w:val="top"/>
          </w:tcPr>
          <w:p w14:paraId="2340FB6F">
            <w:pPr>
              <w:snapToGrid w:val="0"/>
              <w:spacing w:line="400" w:lineRule="exact"/>
              <w:rPr>
                <w:rFonts w:hint="eastAsia" w:ascii="仿宋" w:hAnsi="仿宋" w:eastAsia="仿宋" w:cs="仿宋"/>
                <w:b w:val="0"/>
                <w:bCs/>
                <w:color w:val="auto"/>
                <w:sz w:val="24"/>
                <w:szCs w:val="24"/>
                <w:highlight w:val="none"/>
              </w:rPr>
            </w:pPr>
          </w:p>
        </w:tc>
        <w:tc>
          <w:tcPr>
            <w:tcW w:w="996" w:type="dxa"/>
            <w:tcBorders>
              <w:top w:val="single" w:color="auto" w:sz="4" w:space="0"/>
              <w:left w:val="single" w:color="auto" w:sz="4" w:space="0"/>
              <w:bottom w:val="single" w:color="auto" w:sz="4" w:space="0"/>
              <w:right w:val="single" w:color="auto" w:sz="4" w:space="0"/>
            </w:tcBorders>
            <w:noWrap w:val="0"/>
            <w:vAlign w:val="top"/>
          </w:tcPr>
          <w:p w14:paraId="5CD67E5A">
            <w:pPr>
              <w:snapToGrid w:val="0"/>
              <w:spacing w:line="400" w:lineRule="exact"/>
              <w:rPr>
                <w:rFonts w:hint="eastAsia" w:ascii="仿宋" w:hAnsi="仿宋" w:eastAsia="仿宋" w:cs="仿宋"/>
                <w:b w:val="0"/>
                <w:bCs/>
                <w:color w:val="auto"/>
                <w:sz w:val="24"/>
                <w:szCs w:val="24"/>
                <w:highlight w:val="none"/>
              </w:rPr>
            </w:pPr>
          </w:p>
        </w:tc>
      </w:tr>
    </w:tbl>
    <w:p w14:paraId="331A8E21">
      <w:pPr>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color w:val="auto"/>
          <w:sz w:val="24"/>
          <w:szCs w:val="24"/>
          <w:highlight w:val="none"/>
          <w:lang w:val="en-US" w:eastAsia="zh-CN"/>
        </w:rPr>
        <w:t>1、报价货币为人民币。</w:t>
      </w:r>
    </w:p>
    <w:p w14:paraId="09C62199">
      <w:pPr>
        <w:numPr>
          <w:ilvl w:val="0"/>
          <w:numId w:val="0"/>
        </w:numPr>
        <w:spacing w:line="360" w:lineRule="auto"/>
        <w:ind w:leftChars="0" w:firstLine="960" w:firstLineChars="4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2、开标一览表中投标总报价大小应写一致，如不一致以大写为准。</w:t>
      </w:r>
    </w:p>
    <w:p w14:paraId="6C4DFCB7">
      <w:pPr>
        <w:numPr>
          <w:ilvl w:val="0"/>
          <w:numId w:val="0"/>
        </w:numPr>
        <w:spacing w:line="360" w:lineRule="auto"/>
        <w:ind w:leftChars="0" w:firstLine="960" w:firstLineChars="4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3、各投标企业总投标报价与单项报价不得高于本项目最高限价，超过本项目最高限价的视为无效报价，作否决投标处理。</w:t>
      </w:r>
    </w:p>
    <w:p w14:paraId="48FFB005">
      <w:pPr>
        <w:numPr>
          <w:ilvl w:val="0"/>
          <w:numId w:val="0"/>
        </w:numPr>
        <w:spacing w:line="360" w:lineRule="auto"/>
        <w:ind w:leftChars="0" w:firstLine="960" w:firstLineChars="4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4、投标报价必须</w:t>
      </w:r>
      <w:r>
        <w:rPr>
          <w:rFonts w:hint="eastAsia" w:ascii="仿宋" w:hAnsi="仿宋" w:eastAsia="仿宋" w:cs="仿宋"/>
          <w:color w:val="auto"/>
          <w:sz w:val="24"/>
          <w:szCs w:val="24"/>
          <w:highlight w:val="none"/>
          <w:lang w:eastAsia="zh-CN"/>
        </w:rPr>
        <w:t>包括货物的采购、供应、安装、运输</w:t>
      </w:r>
      <w:r>
        <w:rPr>
          <w:rFonts w:hint="eastAsia" w:ascii="仿宋" w:hAnsi="仿宋" w:eastAsia="仿宋" w:cs="仿宋"/>
          <w:color w:val="auto"/>
          <w:sz w:val="24"/>
          <w:szCs w:val="24"/>
          <w:highlight w:val="none"/>
          <w:lang w:val="en-US" w:eastAsia="zh-CN"/>
        </w:rPr>
        <w:t>装卸费</w:t>
      </w:r>
      <w:r>
        <w:rPr>
          <w:rFonts w:hint="eastAsia" w:ascii="仿宋" w:hAnsi="仿宋" w:eastAsia="仿宋" w:cs="仿宋"/>
          <w:color w:val="auto"/>
          <w:sz w:val="24"/>
          <w:szCs w:val="24"/>
          <w:highlight w:val="none"/>
          <w:lang w:eastAsia="zh-CN"/>
        </w:rPr>
        <w:t>、保险费、税费和相关售后服务等费用，采购人不再另行支付任何费用</w:t>
      </w:r>
      <w:r>
        <w:rPr>
          <w:rFonts w:hint="eastAsia" w:ascii="仿宋" w:hAnsi="仿宋" w:eastAsia="仿宋" w:cs="仿宋"/>
          <w:color w:val="auto"/>
          <w:sz w:val="24"/>
          <w:szCs w:val="24"/>
          <w:highlight w:val="none"/>
          <w:lang w:val="en-US" w:eastAsia="zh-CN"/>
        </w:rPr>
        <w:t>。</w:t>
      </w:r>
    </w:p>
    <w:p w14:paraId="4B13F12E">
      <w:pPr>
        <w:numPr>
          <w:ilvl w:val="0"/>
          <w:numId w:val="0"/>
        </w:numPr>
        <w:spacing w:line="360" w:lineRule="auto"/>
        <w:ind w:leftChars="0" w:firstLine="960" w:firstLineChars="4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5、任何有选择或有条件的投标总价或明细表中某一项填写多个报价，均将导致投标被拒绝。</w:t>
      </w:r>
    </w:p>
    <w:p w14:paraId="75D9137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bookmarkStart w:id="146" w:name="_Toc32601"/>
      <w:bookmarkStart w:id="147" w:name="_Toc4570"/>
      <w:bookmarkStart w:id="148" w:name="_Toc21935"/>
      <w:bookmarkStart w:id="149" w:name="_Toc12987"/>
      <w:bookmarkStart w:id="150" w:name="_Toc4683"/>
      <w:r>
        <w:rPr>
          <w:rFonts w:hint="eastAsia" w:ascii="仿宋" w:hAnsi="仿宋" w:eastAsia="仿宋" w:cs="仿宋"/>
          <w:color w:val="auto"/>
          <w:sz w:val="24"/>
          <w:szCs w:val="24"/>
          <w:highlight w:val="none"/>
          <w:lang w:val="en-US" w:eastAsia="zh-CN"/>
        </w:rPr>
        <w:t xml:space="preserve">      投标人(单位公章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14:paraId="444A8272">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36BE9360">
      <w:pPr>
        <w:spacing w:line="360" w:lineRule="auto"/>
        <w:rPr>
          <w:rFonts w:hint="eastAsia" w:ascii="仿宋" w:hAnsi="仿宋" w:eastAsia="仿宋" w:cs="仿宋"/>
          <w:color w:val="auto"/>
          <w:sz w:val="24"/>
          <w:szCs w:val="24"/>
          <w:highlight w:val="none"/>
        </w:rPr>
      </w:pPr>
    </w:p>
    <w:p w14:paraId="6DEF4F40">
      <w:pPr>
        <w:spacing w:line="360" w:lineRule="auto"/>
        <w:ind w:firstLine="1680" w:firstLineChars="700"/>
        <w:rPr>
          <w:rFonts w:hint="eastAsia" w:ascii="仿宋" w:hAnsi="仿宋" w:eastAsia="仿宋" w:cs="仿宋"/>
          <w:color w:val="auto"/>
          <w:sz w:val="28"/>
          <w:highlight w:val="none"/>
          <w:lang w:val="en-US" w:eastAsia="zh-CN"/>
        </w:rPr>
      </w:pPr>
      <w:r>
        <w:rPr>
          <w:rFonts w:hint="eastAsia" w:ascii="仿宋" w:hAnsi="仿宋" w:eastAsia="仿宋" w:cs="仿宋"/>
          <w:color w:val="auto"/>
          <w:sz w:val="24"/>
          <w:szCs w:val="24"/>
          <w:highlight w:val="none"/>
        </w:rPr>
        <w:t>年   月   日</w:t>
      </w:r>
    </w:p>
    <w:p w14:paraId="62320D9A">
      <w:pPr>
        <w:pStyle w:val="3"/>
        <w:jc w:val="center"/>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投标报价明细表</w:t>
      </w:r>
      <w:bookmarkEnd w:id="146"/>
      <w:bookmarkEnd w:id="147"/>
      <w:bookmarkEnd w:id="148"/>
      <w:bookmarkEnd w:id="149"/>
      <w:bookmarkEnd w:id="150"/>
    </w:p>
    <w:p w14:paraId="482D97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3D9FEBC4">
      <w:pPr>
        <w:pStyle w:val="13"/>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 xml:space="preserve">项目编号：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金额单位：元    </w:t>
      </w:r>
    </w:p>
    <w:tbl>
      <w:tblPr>
        <w:tblStyle w:val="45"/>
        <w:tblW w:w="10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410"/>
        <w:gridCol w:w="1423"/>
        <w:gridCol w:w="954"/>
        <w:gridCol w:w="923"/>
        <w:gridCol w:w="1062"/>
        <w:gridCol w:w="1477"/>
        <w:gridCol w:w="1477"/>
        <w:gridCol w:w="762"/>
      </w:tblGrid>
      <w:tr w14:paraId="2D51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1" w:type="dxa"/>
            <w:noWrap w:val="0"/>
            <w:vAlign w:val="center"/>
          </w:tcPr>
          <w:p w14:paraId="55CA38CD">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410" w:type="dxa"/>
            <w:noWrap w:val="0"/>
            <w:vAlign w:val="center"/>
          </w:tcPr>
          <w:p w14:paraId="13F0D6CC">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423" w:type="dxa"/>
            <w:noWrap w:val="0"/>
            <w:vAlign w:val="center"/>
          </w:tcPr>
          <w:p w14:paraId="1B23C160">
            <w:pPr>
              <w:spacing w:line="36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规格及型号</w:t>
            </w:r>
          </w:p>
        </w:tc>
        <w:tc>
          <w:tcPr>
            <w:tcW w:w="954" w:type="dxa"/>
            <w:noWrap w:val="0"/>
            <w:vAlign w:val="center"/>
          </w:tcPr>
          <w:p w14:paraId="09E36C60">
            <w:pPr>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单位</w:t>
            </w:r>
          </w:p>
        </w:tc>
        <w:tc>
          <w:tcPr>
            <w:tcW w:w="923" w:type="dxa"/>
            <w:noWrap w:val="0"/>
            <w:vAlign w:val="center"/>
          </w:tcPr>
          <w:p w14:paraId="109FEF3E">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062" w:type="dxa"/>
            <w:noWrap w:val="0"/>
            <w:vAlign w:val="center"/>
          </w:tcPr>
          <w:p w14:paraId="4694C223">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单价</w:t>
            </w:r>
          </w:p>
        </w:tc>
        <w:tc>
          <w:tcPr>
            <w:tcW w:w="1477" w:type="dxa"/>
            <w:noWrap w:val="0"/>
            <w:vAlign w:val="center"/>
          </w:tcPr>
          <w:p w14:paraId="155FC17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合价</w:t>
            </w:r>
          </w:p>
        </w:tc>
        <w:tc>
          <w:tcPr>
            <w:tcW w:w="1477" w:type="dxa"/>
            <w:noWrap w:val="0"/>
            <w:vAlign w:val="center"/>
          </w:tcPr>
          <w:p w14:paraId="56FDA26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品牌及产地</w:t>
            </w:r>
          </w:p>
        </w:tc>
        <w:tc>
          <w:tcPr>
            <w:tcW w:w="762" w:type="dxa"/>
            <w:noWrap w:val="0"/>
            <w:vAlign w:val="center"/>
          </w:tcPr>
          <w:p w14:paraId="076CB12B">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2040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14:paraId="0695F326">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14:paraId="19BD6BF2">
            <w:pPr>
              <w:jc w:val="center"/>
              <w:rPr>
                <w:rFonts w:hint="eastAsia" w:ascii="仿宋" w:hAnsi="仿宋" w:eastAsia="仿宋" w:cs="仿宋"/>
                <w:color w:val="auto"/>
                <w:sz w:val="24"/>
                <w:szCs w:val="24"/>
                <w:highlight w:val="none"/>
              </w:rPr>
            </w:pPr>
          </w:p>
        </w:tc>
        <w:tc>
          <w:tcPr>
            <w:tcW w:w="1423" w:type="dxa"/>
            <w:noWrap w:val="0"/>
            <w:vAlign w:val="center"/>
          </w:tcPr>
          <w:p w14:paraId="37FDBD42">
            <w:pPr>
              <w:jc w:val="center"/>
              <w:rPr>
                <w:rFonts w:hint="eastAsia" w:ascii="仿宋" w:hAnsi="仿宋" w:eastAsia="仿宋" w:cs="仿宋"/>
                <w:color w:val="auto"/>
                <w:sz w:val="24"/>
                <w:szCs w:val="24"/>
                <w:highlight w:val="none"/>
              </w:rPr>
            </w:pPr>
          </w:p>
        </w:tc>
        <w:tc>
          <w:tcPr>
            <w:tcW w:w="954" w:type="dxa"/>
            <w:noWrap w:val="0"/>
            <w:vAlign w:val="center"/>
          </w:tcPr>
          <w:p w14:paraId="6E09A30A">
            <w:pPr>
              <w:jc w:val="center"/>
              <w:rPr>
                <w:rFonts w:hint="eastAsia" w:ascii="仿宋" w:hAnsi="仿宋" w:eastAsia="仿宋" w:cs="仿宋"/>
                <w:color w:val="auto"/>
                <w:sz w:val="24"/>
                <w:szCs w:val="24"/>
                <w:highlight w:val="none"/>
              </w:rPr>
            </w:pPr>
          </w:p>
        </w:tc>
        <w:tc>
          <w:tcPr>
            <w:tcW w:w="923" w:type="dxa"/>
            <w:noWrap w:val="0"/>
            <w:vAlign w:val="center"/>
          </w:tcPr>
          <w:p w14:paraId="4CEFD6C1">
            <w:pPr>
              <w:jc w:val="center"/>
              <w:rPr>
                <w:rFonts w:hint="eastAsia" w:ascii="仿宋" w:hAnsi="仿宋" w:eastAsia="仿宋" w:cs="仿宋"/>
                <w:color w:val="auto"/>
                <w:sz w:val="24"/>
                <w:szCs w:val="24"/>
                <w:highlight w:val="none"/>
              </w:rPr>
            </w:pPr>
          </w:p>
        </w:tc>
        <w:tc>
          <w:tcPr>
            <w:tcW w:w="1062" w:type="dxa"/>
            <w:noWrap w:val="0"/>
            <w:vAlign w:val="center"/>
          </w:tcPr>
          <w:p w14:paraId="2DFEB168">
            <w:pPr>
              <w:jc w:val="center"/>
              <w:rPr>
                <w:rFonts w:hint="eastAsia" w:ascii="仿宋" w:hAnsi="仿宋" w:eastAsia="仿宋" w:cs="仿宋"/>
                <w:color w:val="auto"/>
                <w:sz w:val="24"/>
                <w:szCs w:val="24"/>
                <w:highlight w:val="none"/>
              </w:rPr>
            </w:pPr>
          </w:p>
        </w:tc>
        <w:tc>
          <w:tcPr>
            <w:tcW w:w="1477" w:type="dxa"/>
            <w:noWrap w:val="0"/>
            <w:vAlign w:val="center"/>
          </w:tcPr>
          <w:p w14:paraId="673CEEFB">
            <w:pPr>
              <w:jc w:val="center"/>
              <w:rPr>
                <w:rFonts w:hint="eastAsia" w:ascii="仿宋" w:hAnsi="仿宋" w:eastAsia="仿宋" w:cs="仿宋"/>
                <w:color w:val="auto"/>
                <w:sz w:val="24"/>
                <w:szCs w:val="24"/>
                <w:highlight w:val="none"/>
              </w:rPr>
            </w:pPr>
          </w:p>
        </w:tc>
        <w:tc>
          <w:tcPr>
            <w:tcW w:w="1477" w:type="dxa"/>
            <w:noWrap w:val="0"/>
            <w:vAlign w:val="center"/>
          </w:tcPr>
          <w:p w14:paraId="4C4691FE">
            <w:pPr>
              <w:jc w:val="center"/>
              <w:rPr>
                <w:rFonts w:hint="eastAsia" w:ascii="仿宋" w:hAnsi="仿宋" w:eastAsia="仿宋" w:cs="仿宋"/>
                <w:color w:val="auto"/>
                <w:sz w:val="24"/>
                <w:szCs w:val="24"/>
                <w:highlight w:val="none"/>
              </w:rPr>
            </w:pPr>
          </w:p>
        </w:tc>
        <w:tc>
          <w:tcPr>
            <w:tcW w:w="762" w:type="dxa"/>
            <w:noWrap w:val="0"/>
            <w:vAlign w:val="center"/>
          </w:tcPr>
          <w:p w14:paraId="19F55E89">
            <w:pPr>
              <w:jc w:val="center"/>
              <w:rPr>
                <w:rFonts w:hint="eastAsia" w:ascii="仿宋" w:hAnsi="仿宋" w:eastAsia="仿宋" w:cs="仿宋"/>
                <w:color w:val="auto"/>
                <w:sz w:val="24"/>
                <w:szCs w:val="24"/>
                <w:highlight w:val="none"/>
              </w:rPr>
            </w:pPr>
          </w:p>
        </w:tc>
      </w:tr>
      <w:tr w14:paraId="304D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14:paraId="2AFDC721">
            <w:pPr>
              <w:jc w:val="center"/>
              <w:rPr>
                <w:rFonts w:hint="eastAsia" w:ascii="仿宋" w:hAnsi="仿宋" w:eastAsia="仿宋" w:cs="仿宋"/>
                <w:color w:val="auto"/>
                <w:sz w:val="24"/>
                <w:szCs w:val="24"/>
                <w:highlight w:val="none"/>
              </w:rPr>
            </w:pPr>
          </w:p>
        </w:tc>
        <w:tc>
          <w:tcPr>
            <w:tcW w:w="1410" w:type="dxa"/>
            <w:noWrap w:val="0"/>
            <w:vAlign w:val="center"/>
          </w:tcPr>
          <w:p w14:paraId="677812C6">
            <w:pPr>
              <w:jc w:val="center"/>
              <w:rPr>
                <w:rFonts w:hint="eastAsia" w:ascii="仿宋" w:hAnsi="仿宋" w:eastAsia="仿宋" w:cs="仿宋"/>
                <w:color w:val="auto"/>
                <w:sz w:val="24"/>
                <w:szCs w:val="24"/>
                <w:highlight w:val="none"/>
              </w:rPr>
            </w:pPr>
          </w:p>
        </w:tc>
        <w:tc>
          <w:tcPr>
            <w:tcW w:w="1423" w:type="dxa"/>
            <w:noWrap w:val="0"/>
            <w:vAlign w:val="center"/>
          </w:tcPr>
          <w:p w14:paraId="1FB0B99D">
            <w:pPr>
              <w:jc w:val="center"/>
              <w:rPr>
                <w:rFonts w:hint="eastAsia" w:ascii="仿宋" w:hAnsi="仿宋" w:eastAsia="仿宋" w:cs="仿宋"/>
                <w:color w:val="auto"/>
                <w:sz w:val="24"/>
                <w:szCs w:val="24"/>
                <w:highlight w:val="none"/>
              </w:rPr>
            </w:pPr>
          </w:p>
        </w:tc>
        <w:tc>
          <w:tcPr>
            <w:tcW w:w="954" w:type="dxa"/>
            <w:noWrap w:val="0"/>
            <w:vAlign w:val="center"/>
          </w:tcPr>
          <w:p w14:paraId="0E4A95E2">
            <w:pPr>
              <w:jc w:val="center"/>
              <w:rPr>
                <w:rFonts w:hint="eastAsia" w:ascii="仿宋" w:hAnsi="仿宋" w:eastAsia="仿宋" w:cs="仿宋"/>
                <w:color w:val="auto"/>
                <w:sz w:val="24"/>
                <w:szCs w:val="24"/>
                <w:highlight w:val="none"/>
              </w:rPr>
            </w:pPr>
          </w:p>
        </w:tc>
        <w:tc>
          <w:tcPr>
            <w:tcW w:w="923" w:type="dxa"/>
            <w:noWrap w:val="0"/>
            <w:vAlign w:val="center"/>
          </w:tcPr>
          <w:p w14:paraId="67E42162">
            <w:pPr>
              <w:jc w:val="center"/>
              <w:rPr>
                <w:rFonts w:hint="eastAsia" w:ascii="仿宋" w:hAnsi="仿宋" w:eastAsia="仿宋" w:cs="仿宋"/>
                <w:color w:val="auto"/>
                <w:sz w:val="24"/>
                <w:szCs w:val="24"/>
                <w:highlight w:val="none"/>
              </w:rPr>
            </w:pPr>
          </w:p>
        </w:tc>
        <w:tc>
          <w:tcPr>
            <w:tcW w:w="1062" w:type="dxa"/>
            <w:noWrap w:val="0"/>
            <w:vAlign w:val="center"/>
          </w:tcPr>
          <w:p w14:paraId="27614110">
            <w:pPr>
              <w:jc w:val="center"/>
              <w:rPr>
                <w:rFonts w:hint="eastAsia" w:ascii="仿宋" w:hAnsi="仿宋" w:eastAsia="仿宋" w:cs="仿宋"/>
                <w:color w:val="auto"/>
                <w:sz w:val="24"/>
                <w:szCs w:val="24"/>
                <w:highlight w:val="none"/>
              </w:rPr>
            </w:pPr>
          </w:p>
        </w:tc>
        <w:tc>
          <w:tcPr>
            <w:tcW w:w="1477" w:type="dxa"/>
            <w:noWrap w:val="0"/>
            <w:vAlign w:val="center"/>
          </w:tcPr>
          <w:p w14:paraId="5F936B7A">
            <w:pPr>
              <w:jc w:val="center"/>
              <w:rPr>
                <w:rFonts w:hint="eastAsia" w:ascii="仿宋" w:hAnsi="仿宋" w:eastAsia="仿宋" w:cs="仿宋"/>
                <w:color w:val="auto"/>
                <w:sz w:val="24"/>
                <w:szCs w:val="24"/>
                <w:highlight w:val="none"/>
              </w:rPr>
            </w:pPr>
          </w:p>
        </w:tc>
        <w:tc>
          <w:tcPr>
            <w:tcW w:w="1477" w:type="dxa"/>
            <w:noWrap w:val="0"/>
            <w:vAlign w:val="center"/>
          </w:tcPr>
          <w:p w14:paraId="5F97AF54">
            <w:pPr>
              <w:jc w:val="center"/>
              <w:rPr>
                <w:rFonts w:hint="eastAsia" w:ascii="仿宋" w:hAnsi="仿宋" w:eastAsia="仿宋" w:cs="仿宋"/>
                <w:color w:val="auto"/>
                <w:sz w:val="24"/>
                <w:szCs w:val="24"/>
                <w:highlight w:val="none"/>
              </w:rPr>
            </w:pPr>
          </w:p>
        </w:tc>
        <w:tc>
          <w:tcPr>
            <w:tcW w:w="762" w:type="dxa"/>
            <w:noWrap w:val="0"/>
            <w:vAlign w:val="center"/>
          </w:tcPr>
          <w:p w14:paraId="1983BD95">
            <w:pPr>
              <w:jc w:val="center"/>
              <w:rPr>
                <w:rFonts w:hint="eastAsia" w:ascii="仿宋" w:hAnsi="仿宋" w:eastAsia="仿宋" w:cs="仿宋"/>
                <w:color w:val="auto"/>
                <w:sz w:val="24"/>
                <w:szCs w:val="24"/>
                <w:highlight w:val="none"/>
              </w:rPr>
            </w:pPr>
          </w:p>
        </w:tc>
      </w:tr>
      <w:tr w14:paraId="45EA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14:paraId="2B7F4D69">
            <w:pPr>
              <w:jc w:val="center"/>
              <w:rPr>
                <w:rFonts w:hint="eastAsia" w:ascii="仿宋" w:hAnsi="仿宋" w:eastAsia="仿宋" w:cs="仿宋"/>
                <w:color w:val="auto"/>
                <w:sz w:val="24"/>
                <w:szCs w:val="24"/>
                <w:highlight w:val="none"/>
              </w:rPr>
            </w:pPr>
          </w:p>
        </w:tc>
        <w:tc>
          <w:tcPr>
            <w:tcW w:w="1410" w:type="dxa"/>
            <w:noWrap w:val="0"/>
            <w:vAlign w:val="center"/>
          </w:tcPr>
          <w:p w14:paraId="25F719A3">
            <w:pPr>
              <w:jc w:val="center"/>
              <w:rPr>
                <w:rFonts w:hint="eastAsia" w:ascii="仿宋" w:hAnsi="仿宋" w:eastAsia="仿宋" w:cs="仿宋"/>
                <w:color w:val="auto"/>
                <w:sz w:val="24"/>
                <w:szCs w:val="24"/>
                <w:highlight w:val="none"/>
              </w:rPr>
            </w:pPr>
          </w:p>
        </w:tc>
        <w:tc>
          <w:tcPr>
            <w:tcW w:w="1423" w:type="dxa"/>
            <w:noWrap w:val="0"/>
            <w:vAlign w:val="center"/>
          </w:tcPr>
          <w:p w14:paraId="24FDC05E">
            <w:pPr>
              <w:jc w:val="center"/>
              <w:rPr>
                <w:rFonts w:hint="eastAsia" w:ascii="仿宋" w:hAnsi="仿宋" w:eastAsia="仿宋" w:cs="仿宋"/>
                <w:color w:val="auto"/>
                <w:sz w:val="24"/>
                <w:szCs w:val="24"/>
                <w:highlight w:val="none"/>
              </w:rPr>
            </w:pPr>
          </w:p>
        </w:tc>
        <w:tc>
          <w:tcPr>
            <w:tcW w:w="954" w:type="dxa"/>
            <w:noWrap w:val="0"/>
            <w:vAlign w:val="center"/>
          </w:tcPr>
          <w:p w14:paraId="084C5F8C">
            <w:pPr>
              <w:jc w:val="center"/>
              <w:rPr>
                <w:rFonts w:hint="eastAsia" w:ascii="仿宋" w:hAnsi="仿宋" w:eastAsia="仿宋" w:cs="仿宋"/>
                <w:color w:val="auto"/>
                <w:sz w:val="24"/>
                <w:szCs w:val="24"/>
                <w:highlight w:val="none"/>
              </w:rPr>
            </w:pPr>
          </w:p>
        </w:tc>
        <w:tc>
          <w:tcPr>
            <w:tcW w:w="923" w:type="dxa"/>
            <w:noWrap w:val="0"/>
            <w:vAlign w:val="center"/>
          </w:tcPr>
          <w:p w14:paraId="486C10D6">
            <w:pPr>
              <w:jc w:val="center"/>
              <w:rPr>
                <w:rFonts w:hint="eastAsia" w:ascii="仿宋" w:hAnsi="仿宋" w:eastAsia="仿宋" w:cs="仿宋"/>
                <w:color w:val="auto"/>
                <w:sz w:val="24"/>
                <w:szCs w:val="24"/>
                <w:highlight w:val="none"/>
              </w:rPr>
            </w:pPr>
          </w:p>
        </w:tc>
        <w:tc>
          <w:tcPr>
            <w:tcW w:w="1062" w:type="dxa"/>
            <w:noWrap w:val="0"/>
            <w:vAlign w:val="center"/>
          </w:tcPr>
          <w:p w14:paraId="2A7467C2">
            <w:pPr>
              <w:jc w:val="center"/>
              <w:rPr>
                <w:rFonts w:hint="eastAsia" w:ascii="仿宋" w:hAnsi="仿宋" w:eastAsia="仿宋" w:cs="仿宋"/>
                <w:color w:val="auto"/>
                <w:sz w:val="24"/>
                <w:szCs w:val="24"/>
                <w:highlight w:val="none"/>
              </w:rPr>
            </w:pPr>
          </w:p>
        </w:tc>
        <w:tc>
          <w:tcPr>
            <w:tcW w:w="1477" w:type="dxa"/>
            <w:noWrap w:val="0"/>
            <w:vAlign w:val="center"/>
          </w:tcPr>
          <w:p w14:paraId="4EFF119C">
            <w:pPr>
              <w:jc w:val="center"/>
              <w:rPr>
                <w:rFonts w:hint="eastAsia" w:ascii="仿宋" w:hAnsi="仿宋" w:eastAsia="仿宋" w:cs="仿宋"/>
                <w:color w:val="auto"/>
                <w:sz w:val="24"/>
                <w:szCs w:val="24"/>
                <w:highlight w:val="none"/>
              </w:rPr>
            </w:pPr>
          </w:p>
        </w:tc>
        <w:tc>
          <w:tcPr>
            <w:tcW w:w="1477" w:type="dxa"/>
            <w:noWrap w:val="0"/>
            <w:vAlign w:val="center"/>
          </w:tcPr>
          <w:p w14:paraId="4BE6371D">
            <w:pPr>
              <w:jc w:val="center"/>
              <w:rPr>
                <w:rFonts w:hint="eastAsia" w:ascii="仿宋" w:hAnsi="仿宋" w:eastAsia="仿宋" w:cs="仿宋"/>
                <w:color w:val="auto"/>
                <w:sz w:val="24"/>
                <w:szCs w:val="24"/>
                <w:highlight w:val="none"/>
              </w:rPr>
            </w:pPr>
          </w:p>
        </w:tc>
        <w:tc>
          <w:tcPr>
            <w:tcW w:w="762" w:type="dxa"/>
            <w:noWrap w:val="0"/>
            <w:vAlign w:val="center"/>
          </w:tcPr>
          <w:p w14:paraId="44AD9B54">
            <w:pPr>
              <w:jc w:val="center"/>
              <w:rPr>
                <w:rFonts w:hint="eastAsia" w:ascii="仿宋" w:hAnsi="仿宋" w:eastAsia="仿宋" w:cs="仿宋"/>
                <w:color w:val="auto"/>
                <w:sz w:val="24"/>
                <w:szCs w:val="24"/>
                <w:highlight w:val="none"/>
              </w:rPr>
            </w:pPr>
          </w:p>
        </w:tc>
      </w:tr>
      <w:tr w14:paraId="4765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14:paraId="09D026B9">
            <w:pPr>
              <w:jc w:val="center"/>
              <w:rPr>
                <w:rFonts w:hint="eastAsia" w:ascii="仿宋" w:hAnsi="仿宋" w:eastAsia="仿宋" w:cs="仿宋"/>
                <w:color w:val="auto"/>
                <w:sz w:val="24"/>
                <w:szCs w:val="24"/>
                <w:highlight w:val="none"/>
              </w:rPr>
            </w:pPr>
          </w:p>
        </w:tc>
        <w:tc>
          <w:tcPr>
            <w:tcW w:w="1410" w:type="dxa"/>
            <w:noWrap w:val="0"/>
            <w:vAlign w:val="center"/>
          </w:tcPr>
          <w:p w14:paraId="1B6C8310">
            <w:pPr>
              <w:jc w:val="center"/>
              <w:rPr>
                <w:rFonts w:hint="eastAsia" w:ascii="仿宋" w:hAnsi="仿宋" w:eastAsia="仿宋" w:cs="仿宋"/>
                <w:color w:val="auto"/>
                <w:sz w:val="24"/>
                <w:szCs w:val="24"/>
                <w:highlight w:val="none"/>
              </w:rPr>
            </w:pPr>
          </w:p>
        </w:tc>
        <w:tc>
          <w:tcPr>
            <w:tcW w:w="1423" w:type="dxa"/>
            <w:noWrap w:val="0"/>
            <w:vAlign w:val="center"/>
          </w:tcPr>
          <w:p w14:paraId="1D6208C7">
            <w:pPr>
              <w:jc w:val="center"/>
              <w:rPr>
                <w:rFonts w:hint="eastAsia" w:ascii="仿宋" w:hAnsi="仿宋" w:eastAsia="仿宋" w:cs="仿宋"/>
                <w:color w:val="auto"/>
                <w:sz w:val="24"/>
                <w:szCs w:val="24"/>
                <w:highlight w:val="none"/>
              </w:rPr>
            </w:pPr>
          </w:p>
        </w:tc>
        <w:tc>
          <w:tcPr>
            <w:tcW w:w="954" w:type="dxa"/>
            <w:noWrap w:val="0"/>
            <w:vAlign w:val="center"/>
          </w:tcPr>
          <w:p w14:paraId="19668204">
            <w:pPr>
              <w:jc w:val="center"/>
              <w:rPr>
                <w:rFonts w:hint="eastAsia" w:ascii="仿宋" w:hAnsi="仿宋" w:eastAsia="仿宋" w:cs="仿宋"/>
                <w:color w:val="auto"/>
                <w:sz w:val="24"/>
                <w:szCs w:val="24"/>
                <w:highlight w:val="none"/>
              </w:rPr>
            </w:pPr>
          </w:p>
        </w:tc>
        <w:tc>
          <w:tcPr>
            <w:tcW w:w="923" w:type="dxa"/>
            <w:noWrap w:val="0"/>
            <w:vAlign w:val="center"/>
          </w:tcPr>
          <w:p w14:paraId="34F6401D">
            <w:pPr>
              <w:jc w:val="center"/>
              <w:rPr>
                <w:rFonts w:hint="eastAsia" w:ascii="仿宋" w:hAnsi="仿宋" w:eastAsia="仿宋" w:cs="仿宋"/>
                <w:color w:val="auto"/>
                <w:sz w:val="24"/>
                <w:szCs w:val="24"/>
                <w:highlight w:val="none"/>
              </w:rPr>
            </w:pPr>
          </w:p>
        </w:tc>
        <w:tc>
          <w:tcPr>
            <w:tcW w:w="1062" w:type="dxa"/>
            <w:noWrap w:val="0"/>
            <w:vAlign w:val="center"/>
          </w:tcPr>
          <w:p w14:paraId="7DC0C185">
            <w:pPr>
              <w:jc w:val="center"/>
              <w:rPr>
                <w:rFonts w:hint="eastAsia" w:ascii="仿宋" w:hAnsi="仿宋" w:eastAsia="仿宋" w:cs="仿宋"/>
                <w:color w:val="auto"/>
                <w:sz w:val="24"/>
                <w:szCs w:val="24"/>
                <w:highlight w:val="none"/>
              </w:rPr>
            </w:pPr>
          </w:p>
        </w:tc>
        <w:tc>
          <w:tcPr>
            <w:tcW w:w="1477" w:type="dxa"/>
            <w:noWrap w:val="0"/>
            <w:vAlign w:val="center"/>
          </w:tcPr>
          <w:p w14:paraId="5CAE3320">
            <w:pPr>
              <w:jc w:val="center"/>
              <w:rPr>
                <w:rFonts w:hint="eastAsia" w:ascii="仿宋" w:hAnsi="仿宋" w:eastAsia="仿宋" w:cs="仿宋"/>
                <w:color w:val="auto"/>
                <w:sz w:val="24"/>
                <w:szCs w:val="24"/>
                <w:highlight w:val="none"/>
              </w:rPr>
            </w:pPr>
          </w:p>
        </w:tc>
        <w:tc>
          <w:tcPr>
            <w:tcW w:w="1477" w:type="dxa"/>
            <w:noWrap w:val="0"/>
            <w:vAlign w:val="center"/>
          </w:tcPr>
          <w:p w14:paraId="0AD87E75">
            <w:pPr>
              <w:jc w:val="center"/>
              <w:rPr>
                <w:rFonts w:hint="eastAsia" w:ascii="仿宋" w:hAnsi="仿宋" w:eastAsia="仿宋" w:cs="仿宋"/>
                <w:color w:val="auto"/>
                <w:sz w:val="24"/>
                <w:szCs w:val="24"/>
                <w:highlight w:val="none"/>
              </w:rPr>
            </w:pPr>
          </w:p>
        </w:tc>
        <w:tc>
          <w:tcPr>
            <w:tcW w:w="762" w:type="dxa"/>
            <w:noWrap w:val="0"/>
            <w:vAlign w:val="center"/>
          </w:tcPr>
          <w:p w14:paraId="4BE8D8CE">
            <w:pPr>
              <w:jc w:val="center"/>
              <w:rPr>
                <w:rFonts w:hint="eastAsia" w:ascii="仿宋" w:hAnsi="仿宋" w:eastAsia="仿宋" w:cs="仿宋"/>
                <w:color w:val="auto"/>
                <w:sz w:val="24"/>
                <w:szCs w:val="24"/>
                <w:highlight w:val="none"/>
              </w:rPr>
            </w:pPr>
          </w:p>
        </w:tc>
      </w:tr>
      <w:tr w14:paraId="4F2F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14:paraId="252C7201">
            <w:pPr>
              <w:jc w:val="center"/>
              <w:rPr>
                <w:rFonts w:hint="eastAsia" w:ascii="仿宋" w:hAnsi="仿宋" w:eastAsia="仿宋" w:cs="仿宋"/>
                <w:color w:val="auto"/>
                <w:sz w:val="24"/>
                <w:szCs w:val="24"/>
                <w:highlight w:val="none"/>
              </w:rPr>
            </w:pPr>
          </w:p>
        </w:tc>
        <w:tc>
          <w:tcPr>
            <w:tcW w:w="1410" w:type="dxa"/>
            <w:noWrap w:val="0"/>
            <w:vAlign w:val="center"/>
          </w:tcPr>
          <w:p w14:paraId="56F38992">
            <w:pPr>
              <w:jc w:val="center"/>
              <w:rPr>
                <w:rFonts w:hint="eastAsia" w:ascii="仿宋" w:hAnsi="仿宋" w:eastAsia="仿宋" w:cs="仿宋"/>
                <w:color w:val="auto"/>
                <w:sz w:val="24"/>
                <w:szCs w:val="24"/>
                <w:highlight w:val="none"/>
              </w:rPr>
            </w:pPr>
          </w:p>
        </w:tc>
        <w:tc>
          <w:tcPr>
            <w:tcW w:w="1423" w:type="dxa"/>
            <w:noWrap w:val="0"/>
            <w:vAlign w:val="center"/>
          </w:tcPr>
          <w:p w14:paraId="19DB687A">
            <w:pPr>
              <w:jc w:val="center"/>
              <w:rPr>
                <w:rFonts w:hint="eastAsia" w:ascii="仿宋" w:hAnsi="仿宋" w:eastAsia="仿宋" w:cs="仿宋"/>
                <w:color w:val="auto"/>
                <w:sz w:val="24"/>
                <w:szCs w:val="24"/>
                <w:highlight w:val="none"/>
              </w:rPr>
            </w:pPr>
          </w:p>
        </w:tc>
        <w:tc>
          <w:tcPr>
            <w:tcW w:w="954" w:type="dxa"/>
            <w:noWrap w:val="0"/>
            <w:vAlign w:val="center"/>
          </w:tcPr>
          <w:p w14:paraId="1506DD20">
            <w:pPr>
              <w:jc w:val="center"/>
              <w:rPr>
                <w:rFonts w:hint="eastAsia" w:ascii="仿宋" w:hAnsi="仿宋" w:eastAsia="仿宋" w:cs="仿宋"/>
                <w:color w:val="auto"/>
                <w:sz w:val="24"/>
                <w:szCs w:val="24"/>
                <w:highlight w:val="none"/>
              </w:rPr>
            </w:pPr>
          </w:p>
        </w:tc>
        <w:tc>
          <w:tcPr>
            <w:tcW w:w="923" w:type="dxa"/>
            <w:noWrap w:val="0"/>
            <w:vAlign w:val="center"/>
          </w:tcPr>
          <w:p w14:paraId="7F14E161">
            <w:pPr>
              <w:jc w:val="center"/>
              <w:rPr>
                <w:rFonts w:hint="eastAsia" w:ascii="仿宋" w:hAnsi="仿宋" w:eastAsia="仿宋" w:cs="仿宋"/>
                <w:color w:val="auto"/>
                <w:sz w:val="24"/>
                <w:szCs w:val="24"/>
                <w:highlight w:val="none"/>
              </w:rPr>
            </w:pPr>
          </w:p>
        </w:tc>
        <w:tc>
          <w:tcPr>
            <w:tcW w:w="1062" w:type="dxa"/>
            <w:noWrap w:val="0"/>
            <w:vAlign w:val="center"/>
          </w:tcPr>
          <w:p w14:paraId="0CBFF1FB">
            <w:pPr>
              <w:jc w:val="center"/>
              <w:rPr>
                <w:rFonts w:hint="eastAsia" w:ascii="仿宋" w:hAnsi="仿宋" w:eastAsia="仿宋" w:cs="仿宋"/>
                <w:color w:val="auto"/>
                <w:sz w:val="24"/>
                <w:szCs w:val="24"/>
                <w:highlight w:val="none"/>
              </w:rPr>
            </w:pPr>
          </w:p>
        </w:tc>
        <w:tc>
          <w:tcPr>
            <w:tcW w:w="1477" w:type="dxa"/>
            <w:noWrap w:val="0"/>
            <w:vAlign w:val="center"/>
          </w:tcPr>
          <w:p w14:paraId="0DFC5005">
            <w:pPr>
              <w:jc w:val="center"/>
              <w:rPr>
                <w:rFonts w:hint="eastAsia" w:ascii="仿宋" w:hAnsi="仿宋" w:eastAsia="仿宋" w:cs="仿宋"/>
                <w:color w:val="auto"/>
                <w:sz w:val="24"/>
                <w:szCs w:val="24"/>
                <w:highlight w:val="none"/>
              </w:rPr>
            </w:pPr>
          </w:p>
        </w:tc>
        <w:tc>
          <w:tcPr>
            <w:tcW w:w="1477" w:type="dxa"/>
            <w:noWrap w:val="0"/>
            <w:vAlign w:val="center"/>
          </w:tcPr>
          <w:p w14:paraId="6FBEB9D6">
            <w:pPr>
              <w:jc w:val="center"/>
              <w:rPr>
                <w:rFonts w:hint="eastAsia" w:ascii="仿宋" w:hAnsi="仿宋" w:eastAsia="仿宋" w:cs="仿宋"/>
                <w:color w:val="auto"/>
                <w:sz w:val="24"/>
                <w:szCs w:val="24"/>
                <w:highlight w:val="none"/>
              </w:rPr>
            </w:pPr>
          </w:p>
        </w:tc>
        <w:tc>
          <w:tcPr>
            <w:tcW w:w="762" w:type="dxa"/>
            <w:noWrap w:val="0"/>
            <w:vAlign w:val="center"/>
          </w:tcPr>
          <w:p w14:paraId="460C0A65">
            <w:pPr>
              <w:jc w:val="center"/>
              <w:rPr>
                <w:rFonts w:hint="eastAsia" w:ascii="仿宋" w:hAnsi="仿宋" w:eastAsia="仿宋" w:cs="仿宋"/>
                <w:color w:val="auto"/>
                <w:sz w:val="24"/>
                <w:szCs w:val="24"/>
                <w:highlight w:val="none"/>
              </w:rPr>
            </w:pPr>
          </w:p>
        </w:tc>
      </w:tr>
      <w:tr w14:paraId="13F2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14:paraId="75A0C228">
            <w:pPr>
              <w:jc w:val="center"/>
              <w:rPr>
                <w:rFonts w:hint="eastAsia" w:ascii="仿宋" w:hAnsi="仿宋" w:eastAsia="仿宋" w:cs="仿宋"/>
                <w:color w:val="auto"/>
                <w:sz w:val="24"/>
                <w:szCs w:val="24"/>
                <w:highlight w:val="none"/>
              </w:rPr>
            </w:pPr>
          </w:p>
        </w:tc>
        <w:tc>
          <w:tcPr>
            <w:tcW w:w="1410" w:type="dxa"/>
            <w:noWrap w:val="0"/>
            <w:vAlign w:val="center"/>
          </w:tcPr>
          <w:p w14:paraId="07E92921">
            <w:pPr>
              <w:jc w:val="center"/>
              <w:rPr>
                <w:rFonts w:hint="eastAsia" w:ascii="仿宋" w:hAnsi="仿宋" w:eastAsia="仿宋" w:cs="仿宋"/>
                <w:color w:val="auto"/>
                <w:sz w:val="24"/>
                <w:szCs w:val="24"/>
                <w:highlight w:val="none"/>
              </w:rPr>
            </w:pPr>
          </w:p>
        </w:tc>
        <w:tc>
          <w:tcPr>
            <w:tcW w:w="1423" w:type="dxa"/>
            <w:noWrap w:val="0"/>
            <w:vAlign w:val="center"/>
          </w:tcPr>
          <w:p w14:paraId="23FA2BC6">
            <w:pPr>
              <w:jc w:val="center"/>
              <w:rPr>
                <w:rFonts w:hint="eastAsia" w:ascii="仿宋" w:hAnsi="仿宋" w:eastAsia="仿宋" w:cs="仿宋"/>
                <w:color w:val="auto"/>
                <w:sz w:val="24"/>
                <w:szCs w:val="24"/>
                <w:highlight w:val="none"/>
              </w:rPr>
            </w:pPr>
          </w:p>
        </w:tc>
        <w:tc>
          <w:tcPr>
            <w:tcW w:w="954" w:type="dxa"/>
            <w:noWrap w:val="0"/>
            <w:vAlign w:val="center"/>
          </w:tcPr>
          <w:p w14:paraId="28A99432">
            <w:pPr>
              <w:jc w:val="center"/>
              <w:rPr>
                <w:rFonts w:hint="eastAsia" w:ascii="仿宋" w:hAnsi="仿宋" w:eastAsia="仿宋" w:cs="仿宋"/>
                <w:color w:val="auto"/>
                <w:sz w:val="24"/>
                <w:szCs w:val="24"/>
                <w:highlight w:val="none"/>
              </w:rPr>
            </w:pPr>
          </w:p>
        </w:tc>
        <w:tc>
          <w:tcPr>
            <w:tcW w:w="923" w:type="dxa"/>
            <w:noWrap w:val="0"/>
            <w:vAlign w:val="center"/>
          </w:tcPr>
          <w:p w14:paraId="1AEF0765">
            <w:pPr>
              <w:jc w:val="center"/>
              <w:rPr>
                <w:rFonts w:hint="eastAsia" w:ascii="仿宋" w:hAnsi="仿宋" w:eastAsia="仿宋" w:cs="仿宋"/>
                <w:color w:val="auto"/>
                <w:sz w:val="24"/>
                <w:szCs w:val="24"/>
                <w:highlight w:val="none"/>
              </w:rPr>
            </w:pPr>
          </w:p>
        </w:tc>
        <w:tc>
          <w:tcPr>
            <w:tcW w:w="1062" w:type="dxa"/>
            <w:noWrap w:val="0"/>
            <w:vAlign w:val="center"/>
          </w:tcPr>
          <w:p w14:paraId="26317EE4">
            <w:pPr>
              <w:jc w:val="center"/>
              <w:rPr>
                <w:rFonts w:hint="eastAsia" w:ascii="仿宋" w:hAnsi="仿宋" w:eastAsia="仿宋" w:cs="仿宋"/>
                <w:color w:val="auto"/>
                <w:sz w:val="24"/>
                <w:szCs w:val="24"/>
                <w:highlight w:val="none"/>
              </w:rPr>
            </w:pPr>
          </w:p>
        </w:tc>
        <w:tc>
          <w:tcPr>
            <w:tcW w:w="1477" w:type="dxa"/>
            <w:noWrap w:val="0"/>
            <w:vAlign w:val="center"/>
          </w:tcPr>
          <w:p w14:paraId="61E8EE0D">
            <w:pPr>
              <w:jc w:val="center"/>
              <w:rPr>
                <w:rFonts w:hint="eastAsia" w:ascii="仿宋" w:hAnsi="仿宋" w:eastAsia="仿宋" w:cs="仿宋"/>
                <w:color w:val="auto"/>
                <w:sz w:val="24"/>
                <w:szCs w:val="24"/>
                <w:highlight w:val="none"/>
              </w:rPr>
            </w:pPr>
          </w:p>
        </w:tc>
        <w:tc>
          <w:tcPr>
            <w:tcW w:w="1477" w:type="dxa"/>
            <w:noWrap w:val="0"/>
            <w:vAlign w:val="center"/>
          </w:tcPr>
          <w:p w14:paraId="27F11765">
            <w:pPr>
              <w:jc w:val="center"/>
              <w:rPr>
                <w:rFonts w:hint="eastAsia" w:ascii="仿宋" w:hAnsi="仿宋" w:eastAsia="仿宋" w:cs="仿宋"/>
                <w:color w:val="auto"/>
                <w:sz w:val="24"/>
                <w:szCs w:val="24"/>
                <w:highlight w:val="none"/>
              </w:rPr>
            </w:pPr>
          </w:p>
        </w:tc>
        <w:tc>
          <w:tcPr>
            <w:tcW w:w="762" w:type="dxa"/>
            <w:noWrap w:val="0"/>
            <w:vAlign w:val="center"/>
          </w:tcPr>
          <w:p w14:paraId="2AF3E8B2">
            <w:pPr>
              <w:jc w:val="center"/>
              <w:rPr>
                <w:rFonts w:hint="eastAsia" w:ascii="仿宋" w:hAnsi="仿宋" w:eastAsia="仿宋" w:cs="仿宋"/>
                <w:color w:val="auto"/>
                <w:sz w:val="24"/>
                <w:szCs w:val="24"/>
                <w:highlight w:val="none"/>
              </w:rPr>
            </w:pPr>
          </w:p>
        </w:tc>
      </w:tr>
      <w:tr w14:paraId="1536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14:paraId="1CC4B5F0">
            <w:pPr>
              <w:jc w:val="center"/>
              <w:rPr>
                <w:rFonts w:hint="eastAsia" w:ascii="仿宋" w:hAnsi="仿宋" w:eastAsia="仿宋" w:cs="仿宋"/>
                <w:color w:val="auto"/>
                <w:sz w:val="24"/>
                <w:szCs w:val="24"/>
                <w:highlight w:val="none"/>
              </w:rPr>
            </w:pPr>
          </w:p>
        </w:tc>
        <w:tc>
          <w:tcPr>
            <w:tcW w:w="1410" w:type="dxa"/>
            <w:noWrap w:val="0"/>
            <w:vAlign w:val="center"/>
          </w:tcPr>
          <w:p w14:paraId="0F23EA3A">
            <w:pPr>
              <w:jc w:val="center"/>
              <w:rPr>
                <w:rFonts w:hint="eastAsia" w:ascii="仿宋" w:hAnsi="仿宋" w:eastAsia="仿宋" w:cs="仿宋"/>
                <w:color w:val="auto"/>
                <w:sz w:val="24"/>
                <w:szCs w:val="24"/>
                <w:highlight w:val="none"/>
              </w:rPr>
            </w:pPr>
          </w:p>
        </w:tc>
        <w:tc>
          <w:tcPr>
            <w:tcW w:w="1423" w:type="dxa"/>
            <w:noWrap w:val="0"/>
            <w:vAlign w:val="center"/>
          </w:tcPr>
          <w:p w14:paraId="3D5B40FD">
            <w:pPr>
              <w:jc w:val="center"/>
              <w:rPr>
                <w:rFonts w:hint="eastAsia" w:ascii="仿宋" w:hAnsi="仿宋" w:eastAsia="仿宋" w:cs="仿宋"/>
                <w:color w:val="auto"/>
                <w:sz w:val="24"/>
                <w:szCs w:val="24"/>
                <w:highlight w:val="none"/>
              </w:rPr>
            </w:pPr>
          </w:p>
        </w:tc>
        <w:tc>
          <w:tcPr>
            <w:tcW w:w="954" w:type="dxa"/>
            <w:noWrap w:val="0"/>
            <w:vAlign w:val="center"/>
          </w:tcPr>
          <w:p w14:paraId="2F228847">
            <w:pPr>
              <w:jc w:val="center"/>
              <w:rPr>
                <w:rFonts w:hint="eastAsia" w:ascii="仿宋" w:hAnsi="仿宋" w:eastAsia="仿宋" w:cs="仿宋"/>
                <w:color w:val="auto"/>
                <w:sz w:val="24"/>
                <w:szCs w:val="24"/>
                <w:highlight w:val="none"/>
              </w:rPr>
            </w:pPr>
          </w:p>
        </w:tc>
        <w:tc>
          <w:tcPr>
            <w:tcW w:w="923" w:type="dxa"/>
            <w:noWrap w:val="0"/>
            <w:vAlign w:val="center"/>
          </w:tcPr>
          <w:p w14:paraId="22959AF3">
            <w:pPr>
              <w:jc w:val="center"/>
              <w:rPr>
                <w:rFonts w:hint="eastAsia" w:ascii="仿宋" w:hAnsi="仿宋" w:eastAsia="仿宋" w:cs="仿宋"/>
                <w:color w:val="auto"/>
                <w:sz w:val="24"/>
                <w:szCs w:val="24"/>
                <w:highlight w:val="none"/>
              </w:rPr>
            </w:pPr>
          </w:p>
        </w:tc>
        <w:tc>
          <w:tcPr>
            <w:tcW w:w="1062" w:type="dxa"/>
            <w:noWrap w:val="0"/>
            <w:vAlign w:val="center"/>
          </w:tcPr>
          <w:p w14:paraId="0AD7F969">
            <w:pPr>
              <w:jc w:val="center"/>
              <w:rPr>
                <w:rFonts w:hint="eastAsia" w:ascii="仿宋" w:hAnsi="仿宋" w:eastAsia="仿宋" w:cs="仿宋"/>
                <w:color w:val="auto"/>
                <w:sz w:val="24"/>
                <w:szCs w:val="24"/>
                <w:highlight w:val="none"/>
              </w:rPr>
            </w:pPr>
          </w:p>
        </w:tc>
        <w:tc>
          <w:tcPr>
            <w:tcW w:w="1477" w:type="dxa"/>
            <w:noWrap w:val="0"/>
            <w:vAlign w:val="center"/>
          </w:tcPr>
          <w:p w14:paraId="021BC37E">
            <w:pPr>
              <w:jc w:val="center"/>
              <w:rPr>
                <w:rFonts w:hint="eastAsia" w:ascii="仿宋" w:hAnsi="仿宋" w:eastAsia="仿宋" w:cs="仿宋"/>
                <w:color w:val="auto"/>
                <w:sz w:val="24"/>
                <w:szCs w:val="24"/>
                <w:highlight w:val="none"/>
              </w:rPr>
            </w:pPr>
          </w:p>
        </w:tc>
        <w:tc>
          <w:tcPr>
            <w:tcW w:w="1477" w:type="dxa"/>
            <w:noWrap w:val="0"/>
            <w:vAlign w:val="center"/>
          </w:tcPr>
          <w:p w14:paraId="366FFB0E">
            <w:pPr>
              <w:jc w:val="center"/>
              <w:rPr>
                <w:rFonts w:hint="eastAsia" w:ascii="仿宋" w:hAnsi="仿宋" w:eastAsia="仿宋" w:cs="仿宋"/>
                <w:color w:val="auto"/>
                <w:sz w:val="24"/>
                <w:szCs w:val="24"/>
                <w:highlight w:val="none"/>
              </w:rPr>
            </w:pPr>
          </w:p>
        </w:tc>
        <w:tc>
          <w:tcPr>
            <w:tcW w:w="762" w:type="dxa"/>
            <w:noWrap w:val="0"/>
            <w:vAlign w:val="center"/>
          </w:tcPr>
          <w:p w14:paraId="47458EF1">
            <w:pPr>
              <w:jc w:val="center"/>
              <w:rPr>
                <w:rFonts w:hint="eastAsia" w:ascii="仿宋" w:hAnsi="仿宋" w:eastAsia="仿宋" w:cs="仿宋"/>
                <w:color w:val="auto"/>
                <w:sz w:val="24"/>
                <w:szCs w:val="24"/>
                <w:highlight w:val="none"/>
              </w:rPr>
            </w:pPr>
          </w:p>
        </w:tc>
      </w:tr>
      <w:tr w14:paraId="6DB5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14:paraId="1DC76D9A">
            <w:pPr>
              <w:jc w:val="center"/>
              <w:rPr>
                <w:rFonts w:hint="eastAsia" w:ascii="仿宋" w:hAnsi="仿宋" w:eastAsia="仿宋" w:cs="仿宋"/>
                <w:color w:val="auto"/>
                <w:sz w:val="24"/>
                <w:szCs w:val="24"/>
                <w:highlight w:val="none"/>
              </w:rPr>
            </w:pPr>
          </w:p>
        </w:tc>
        <w:tc>
          <w:tcPr>
            <w:tcW w:w="1410" w:type="dxa"/>
            <w:noWrap w:val="0"/>
            <w:vAlign w:val="center"/>
          </w:tcPr>
          <w:p w14:paraId="69D5735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合计</w:t>
            </w:r>
          </w:p>
        </w:tc>
        <w:tc>
          <w:tcPr>
            <w:tcW w:w="1423" w:type="dxa"/>
            <w:noWrap w:val="0"/>
            <w:vAlign w:val="center"/>
          </w:tcPr>
          <w:p w14:paraId="335499F2">
            <w:pPr>
              <w:jc w:val="center"/>
              <w:rPr>
                <w:rFonts w:hint="eastAsia" w:ascii="仿宋" w:hAnsi="仿宋" w:eastAsia="仿宋" w:cs="仿宋"/>
                <w:color w:val="auto"/>
                <w:sz w:val="24"/>
                <w:szCs w:val="24"/>
                <w:highlight w:val="none"/>
              </w:rPr>
            </w:pPr>
          </w:p>
        </w:tc>
        <w:tc>
          <w:tcPr>
            <w:tcW w:w="954" w:type="dxa"/>
            <w:noWrap w:val="0"/>
            <w:vAlign w:val="center"/>
          </w:tcPr>
          <w:p w14:paraId="3D0AADD0">
            <w:pPr>
              <w:jc w:val="center"/>
              <w:rPr>
                <w:rFonts w:hint="eastAsia" w:ascii="仿宋" w:hAnsi="仿宋" w:eastAsia="仿宋" w:cs="仿宋"/>
                <w:color w:val="auto"/>
                <w:sz w:val="24"/>
                <w:szCs w:val="24"/>
                <w:highlight w:val="none"/>
              </w:rPr>
            </w:pPr>
          </w:p>
        </w:tc>
        <w:tc>
          <w:tcPr>
            <w:tcW w:w="923" w:type="dxa"/>
            <w:noWrap w:val="0"/>
            <w:vAlign w:val="center"/>
          </w:tcPr>
          <w:p w14:paraId="54C4F9EF">
            <w:pPr>
              <w:jc w:val="center"/>
              <w:rPr>
                <w:rFonts w:hint="eastAsia" w:ascii="仿宋" w:hAnsi="仿宋" w:eastAsia="仿宋" w:cs="仿宋"/>
                <w:color w:val="auto"/>
                <w:sz w:val="24"/>
                <w:szCs w:val="24"/>
                <w:highlight w:val="none"/>
              </w:rPr>
            </w:pPr>
          </w:p>
        </w:tc>
        <w:tc>
          <w:tcPr>
            <w:tcW w:w="1062" w:type="dxa"/>
            <w:noWrap w:val="0"/>
            <w:vAlign w:val="center"/>
          </w:tcPr>
          <w:p w14:paraId="39FAD6B6">
            <w:pPr>
              <w:jc w:val="center"/>
              <w:rPr>
                <w:rFonts w:hint="eastAsia" w:ascii="仿宋" w:hAnsi="仿宋" w:eastAsia="仿宋" w:cs="仿宋"/>
                <w:color w:val="auto"/>
                <w:sz w:val="24"/>
                <w:szCs w:val="24"/>
                <w:highlight w:val="none"/>
              </w:rPr>
            </w:pPr>
          </w:p>
        </w:tc>
        <w:tc>
          <w:tcPr>
            <w:tcW w:w="1477" w:type="dxa"/>
            <w:noWrap w:val="0"/>
            <w:vAlign w:val="center"/>
          </w:tcPr>
          <w:p w14:paraId="5A41D9F8">
            <w:pPr>
              <w:jc w:val="center"/>
              <w:rPr>
                <w:rFonts w:hint="eastAsia" w:ascii="仿宋" w:hAnsi="仿宋" w:eastAsia="仿宋" w:cs="仿宋"/>
                <w:color w:val="auto"/>
                <w:sz w:val="24"/>
                <w:szCs w:val="24"/>
                <w:highlight w:val="none"/>
              </w:rPr>
            </w:pPr>
          </w:p>
        </w:tc>
        <w:tc>
          <w:tcPr>
            <w:tcW w:w="1477" w:type="dxa"/>
            <w:noWrap w:val="0"/>
            <w:vAlign w:val="center"/>
          </w:tcPr>
          <w:p w14:paraId="277F0471">
            <w:pPr>
              <w:jc w:val="center"/>
              <w:rPr>
                <w:rFonts w:hint="eastAsia" w:ascii="仿宋" w:hAnsi="仿宋" w:eastAsia="仿宋" w:cs="仿宋"/>
                <w:color w:val="auto"/>
                <w:sz w:val="24"/>
                <w:szCs w:val="24"/>
                <w:highlight w:val="none"/>
              </w:rPr>
            </w:pPr>
          </w:p>
        </w:tc>
        <w:tc>
          <w:tcPr>
            <w:tcW w:w="762" w:type="dxa"/>
            <w:noWrap w:val="0"/>
            <w:vAlign w:val="center"/>
          </w:tcPr>
          <w:p w14:paraId="1D0B6FB4">
            <w:pPr>
              <w:jc w:val="center"/>
              <w:rPr>
                <w:rFonts w:hint="eastAsia" w:ascii="仿宋" w:hAnsi="仿宋" w:eastAsia="仿宋" w:cs="仿宋"/>
                <w:color w:val="auto"/>
                <w:sz w:val="24"/>
                <w:szCs w:val="24"/>
                <w:highlight w:val="none"/>
              </w:rPr>
            </w:pPr>
          </w:p>
        </w:tc>
      </w:tr>
    </w:tbl>
    <w:p w14:paraId="2F9EBEFC">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（此表可延长）</w:t>
      </w:r>
    </w:p>
    <w:p w14:paraId="3954CD09">
      <w:pPr>
        <w:spacing w:line="360" w:lineRule="auto"/>
        <w:ind w:firstLine="241" w:firstLineChars="1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注：1、合计金额应为各分项价格之和。</w:t>
      </w:r>
    </w:p>
    <w:p w14:paraId="4FAA0C30">
      <w:pPr>
        <w:spacing w:line="360" w:lineRule="auto"/>
        <w:ind w:firstLine="723" w:firstLineChars="3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2、请各投标人根据投标方案，在本表中详细写明所有产品型号规格、主要技术参数、数量、投标报价、总价及品牌和产地。</w:t>
      </w:r>
    </w:p>
    <w:p w14:paraId="05178CA5">
      <w:pPr>
        <w:spacing w:line="360" w:lineRule="auto"/>
        <w:ind w:firstLine="723" w:firstLineChars="3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3、投标报价必须包括货物的采购、供应、安装、运输装卸费、保险费、税费和相关售后服务等费用，采购人不再另行支付任何费用。</w:t>
      </w:r>
    </w:p>
    <w:p w14:paraId="432A23F5">
      <w:pPr>
        <w:spacing w:line="360" w:lineRule="auto"/>
        <w:ind w:firstLine="4080" w:firstLineChars="1700"/>
        <w:rPr>
          <w:rFonts w:hint="eastAsia" w:ascii="仿宋" w:hAnsi="仿宋" w:eastAsia="仿宋" w:cs="仿宋"/>
          <w:color w:val="auto"/>
          <w:sz w:val="24"/>
          <w:szCs w:val="24"/>
          <w:highlight w:val="none"/>
        </w:rPr>
      </w:pPr>
    </w:p>
    <w:p w14:paraId="656B4C63">
      <w:pPr>
        <w:keepNext w:val="0"/>
        <w:keepLines w:val="0"/>
        <w:pageBreakBefore w:val="0"/>
        <w:widowControl w:val="0"/>
        <w:kinsoku/>
        <w:wordWrap/>
        <w:overflowPunct/>
        <w:topLinePunct w:val="0"/>
        <w:autoSpaceDE/>
        <w:autoSpaceDN/>
        <w:bidi w:val="0"/>
        <w:adjustRightInd/>
        <w:snapToGrid/>
        <w:spacing w:line="552" w:lineRule="auto"/>
        <w:ind w:firstLine="480" w:firstLineChars="200"/>
        <w:textAlignment w:val="auto"/>
        <w:rPr>
          <w:rFonts w:hint="eastAsia" w:ascii="仿宋" w:hAnsi="仿宋" w:eastAsia="仿宋" w:cs="仿宋"/>
          <w:color w:val="auto"/>
          <w:sz w:val="24"/>
          <w:szCs w:val="24"/>
          <w:highlight w:val="none"/>
        </w:rPr>
      </w:pPr>
      <w:bookmarkStart w:id="151" w:name="_Toc329785083"/>
      <w:bookmarkStart w:id="152" w:name="_Toc248313661"/>
      <w:bookmarkStart w:id="153" w:name="_Toc6647"/>
      <w:bookmarkStart w:id="154" w:name="_Toc25282"/>
      <w:bookmarkStart w:id="155" w:name="_Toc19324"/>
      <w:bookmarkStart w:id="156" w:name="_Toc22433"/>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14:paraId="00D02CD7">
      <w:pPr>
        <w:keepNext w:val="0"/>
        <w:keepLines w:val="0"/>
        <w:pageBreakBefore w:val="0"/>
        <w:widowControl w:val="0"/>
        <w:kinsoku/>
        <w:wordWrap/>
        <w:overflowPunct/>
        <w:topLinePunct w:val="0"/>
        <w:autoSpaceDE/>
        <w:autoSpaceDN/>
        <w:bidi w:val="0"/>
        <w:adjustRightInd/>
        <w:snapToGrid/>
        <w:spacing w:line="55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0C63A20D">
      <w:pPr>
        <w:keepNext w:val="0"/>
        <w:keepLines w:val="0"/>
        <w:pageBreakBefore w:val="0"/>
        <w:widowControl w:val="0"/>
        <w:kinsoku/>
        <w:wordWrap/>
        <w:overflowPunct/>
        <w:topLinePunct w:val="0"/>
        <w:autoSpaceDE/>
        <w:autoSpaceDN/>
        <w:bidi w:val="0"/>
        <w:adjustRightInd/>
        <w:snapToGrid/>
        <w:spacing w:line="55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767FD0E2">
      <w:pPr>
        <w:pStyle w:val="3"/>
        <w:jc w:val="center"/>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投标报价符合性自查表</w:t>
      </w:r>
    </w:p>
    <w:p w14:paraId="0101367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59433716">
      <w:pPr>
        <w:pStyle w:val="13"/>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 xml:space="preserve">项目编号：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金额单位：元    </w:t>
      </w:r>
    </w:p>
    <w:tbl>
      <w:tblPr>
        <w:tblStyle w:val="45"/>
        <w:tblW w:w="10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410"/>
        <w:gridCol w:w="2936"/>
        <w:gridCol w:w="2903"/>
        <w:gridCol w:w="1477"/>
        <w:gridCol w:w="762"/>
      </w:tblGrid>
      <w:tr w14:paraId="3840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1" w:type="dxa"/>
            <w:noWrap w:val="0"/>
            <w:vAlign w:val="center"/>
          </w:tcPr>
          <w:p w14:paraId="48F943CC">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410" w:type="dxa"/>
            <w:noWrap w:val="0"/>
            <w:vAlign w:val="center"/>
          </w:tcPr>
          <w:p w14:paraId="1E821999">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2936" w:type="dxa"/>
            <w:noWrap w:val="0"/>
            <w:vAlign w:val="center"/>
          </w:tcPr>
          <w:p w14:paraId="5A67D26E">
            <w:pPr>
              <w:spacing w:line="360" w:lineRule="auto"/>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投标报价单价</w:t>
            </w:r>
          </w:p>
        </w:tc>
        <w:tc>
          <w:tcPr>
            <w:tcW w:w="2903" w:type="dxa"/>
            <w:noWrap w:val="0"/>
            <w:vAlign w:val="center"/>
          </w:tcPr>
          <w:p w14:paraId="5F8CDED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招标文件中最高单价</w:t>
            </w:r>
          </w:p>
        </w:tc>
        <w:tc>
          <w:tcPr>
            <w:tcW w:w="1477" w:type="dxa"/>
            <w:noWrap w:val="0"/>
            <w:vAlign w:val="center"/>
          </w:tcPr>
          <w:p w14:paraId="518E2EC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是否高于招标文件中设置的最高单价</w:t>
            </w:r>
          </w:p>
        </w:tc>
        <w:tc>
          <w:tcPr>
            <w:tcW w:w="762" w:type="dxa"/>
            <w:noWrap w:val="0"/>
            <w:vAlign w:val="center"/>
          </w:tcPr>
          <w:p w14:paraId="44BE529F">
            <w:pPr>
              <w:spacing w:line="36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备注</w:t>
            </w:r>
          </w:p>
        </w:tc>
      </w:tr>
      <w:tr w14:paraId="46C6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14:paraId="19D4CAC6">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14:paraId="17FB9F3E">
            <w:pPr>
              <w:jc w:val="center"/>
              <w:rPr>
                <w:rFonts w:hint="eastAsia" w:ascii="仿宋" w:hAnsi="仿宋" w:eastAsia="仿宋" w:cs="仿宋"/>
                <w:color w:val="auto"/>
                <w:sz w:val="24"/>
                <w:szCs w:val="24"/>
                <w:highlight w:val="none"/>
              </w:rPr>
            </w:pPr>
          </w:p>
        </w:tc>
        <w:tc>
          <w:tcPr>
            <w:tcW w:w="2936" w:type="dxa"/>
            <w:noWrap w:val="0"/>
            <w:vAlign w:val="center"/>
          </w:tcPr>
          <w:p w14:paraId="137CA138">
            <w:pPr>
              <w:jc w:val="center"/>
              <w:rPr>
                <w:rFonts w:hint="eastAsia" w:ascii="仿宋" w:hAnsi="仿宋" w:eastAsia="仿宋" w:cs="仿宋"/>
                <w:color w:val="auto"/>
                <w:sz w:val="24"/>
                <w:szCs w:val="24"/>
                <w:highlight w:val="none"/>
              </w:rPr>
            </w:pPr>
          </w:p>
        </w:tc>
        <w:tc>
          <w:tcPr>
            <w:tcW w:w="2903" w:type="dxa"/>
            <w:noWrap w:val="0"/>
            <w:vAlign w:val="center"/>
          </w:tcPr>
          <w:p w14:paraId="4187CC49">
            <w:pPr>
              <w:jc w:val="center"/>
              <w:rPr>
                <w:rFonts w:hint="eastAsia" w:ascii="仿宋" w:hAnsi="仿宋" w:eastAsia="仿宋" w:cs="仿宋"/>
                <w:color w:val="auto"/>
                <w:sz w:val="24"/>
                <w:szCs w:val="24"/>
                <w:highlight w:val="none"/>
              </w:rPr>
            </w:pPr>
          </w:p>
        </w:tc>
        <w:tc>
          <w:tcPr>
            <w:tcW w:w="1477" w:type="dxa"/>
            <w:noWrap w:val="0"/>
            <w:vAlign w:val="center"/>
          </w:tcPr>
          <w:p w14:paraId="781D7563">
            <w:pPr>
              <w:jc w:val="center"/>
              <w:rPr>
                <w:rFonts w:hint="eastAsia" w:ascii="仿宋" w:hAnsi="仿宋" w:eastAsia="仿宋" w:cs="仿宋"/>
                <w:color w:val="auto"/>
                <w:sz w:val="24"/>
                <w:szCs w:val="24"/>
                <w:highlight w:val="none"/>
              </w:rPr>
            </w:pPr>
          </w:p>
        </w:tc>
        <w:tc>
          <w:tcPr>
            <w:tcW w:w="762" w:type="dxa"/>
            <w:noWrap w:val="0"/>
            <w:vAlign w:val="center"/>
          </w:tcPr>
          <w:p w14:paraId="2A58E96B">
            <w:pPr>
              <w:jc w:val="center"/>
              <w:rPr>
                <w:rFonts w:hint="eastAsia" w:ascii="仿宋" w:hAnsi="仿宋" w:eastAsia="仿宋" w:cs="仿宋"/>
                <w:color w:val="auto"/>
                <w:sz w:val="24"/>
                <w:szCs w:val="24"/>
                <w:highlight w:val="none"/>
              </w:rPr>
            </w:pPr>
          </w:p>
        </w:tc>
      </w:tr>
      <w:tr w14:paraId="124D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14:paraId="5C6BE958">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14:paraId="07BCBF60">
            <w:pPr>
              <w:jc w:val="center"/>
              <w:rPr>
                <w:rFonts w:hint="eastAsia" w:ascii="仿宋" w:hAnsi="仿宋" w:eastAsia="仿宋" w:cs="仿宋"/>
                <w:color w:val="auto"/>
                <w:sz w:val="24"/>
                <w:szCs w:val="24"/>
                <w:highlight w:val="none"/>
              </w:rPr>
            </w:pPr>
          </w:p>
        </w:tc>
        <w:tc>
          <w:tcPr>
            <w:tcW w:w="2936" w:type="dxa"/>
            <w:noWrap w:val="0"/>
            <w:vAlign w:val="center"/>
          </w:tcPr>
          <w:p w14:paraId="3AE93CE1">
            <w:pPr>
              <w:jc w:val="center"/>
              <w:rPr>
                <w:rFonts w:hint="eastAsia" w:ascii="仿宋" w:hAnsi="仿宋" w:eastAsia="仿宋" w:cs="仿宋"/>
                <w:color w:val="auto"/>
                <w:sz w:val="24"/>
                <w:szCs w:val="24"/>
                <w:highlight w:val="none"/>
              </w:rPr>
            </w:pPr>
          </w:p>
        </w:tc>
        <w:tc>
          <w:tcPr>
            <w:tcW w:w="2903" w:type="dxa"/>
            <w:noWrap w:val="0"/>
            <w:vAlign w:val="center"/>
          </w:tcPr>
          <w:p w14:paraId="71D7402B">
            <w:pPr>
              <w:jc w:val="center"/>
              <w:rPr>
                <w:rFonts w:hint="eastAsia" w:ascii="仿宋" w:hAnsi="仿宋" w:eastAsia="仿宋" w:cs="仿宋"/>
                <w:color w:val="auto"/>
                <w:sz w:val="24"/>
                <w:szCs w:val="24"/>
                <w:highlight w:val="none"/>
              </w:rPr>
            </w:pPr>
          </w:p>
        </w:tc>
        <w:tc>
          <w:tcPr>
            <w:tcW w:w="1477" w:type="dxa"/>
            <w:noWrap w:val="0"/>
            <w:vAlign w:val="center"/>
          </w:tcPr>
          <w:p w14:paraId="3BA24CBC">
            <w:pPr>
              <w:jc w:val="center"/>
              <w:rPr>
                <w:rFonts w:hint="eastAsia" w:ascii="仿宋" w:hAnsi="仿宋" w:eastAsia="仿宋" w:cs="仿宋"/>
                <w:color w:val="auto"/>
                <w:sz w:val="24"/>
                <w:szCs w:val="24"/>
                <w:highlight w:val="none"/>
              </w:rPr>
            </w:pPr>
          </w:p>
        </w:tc>
        <w:tc>
          <w:tcPr>
            <w:tcW w:w="762" w:type="dxa"/>
            <w:noWrap w:val="0"/>
            <w:vAlign w:val="center"/>
          </w:tcPr>
          <w:p w14:paraId="0FC06DE9">
            <w:pPr>
              <w:jc w:val="center"/>
              <w:rPr>
                <w:rFonts w:hint="eastAsia" w:ascii="仿宋" w:hAnsi="仿宋" w:eastAsia="仿宋" w:cs="仿宋"/>
                <w:color w:val="auto"/>
                <w:sz w:val="24"/>
                <w:szCs w:val="24"/>
                <w:highlight w:val="none"/>
              </w:rPr>
            </w:pPr>
          </w:p>
        </w:tc>
      </w:tr>
      <w:tr w14:paraId="488A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14:paraId="679FB777">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14:paraId="427ADA53">
            <w:pPr>
              <w:jc w:val="center"/>
              <w:rPr>
                <w:rFonts w:hint="eastAsia" w:ascii="仿宋" w:hAnsi="仿宋" w:eastAsia="仿宋" w:cs="仿宋"/>
                <w:color w:val="auto"/>
                <w:sz w:val="24"/>
                <w:szCs w:val="24"/>
                <w:highlight w:val="none"/>
              </w:rPr>
            </w:pPr>
          </w:p>
        </w:tc>
        <w:tc>
          <w:tcPr>
            <w:tcW w:w="2936" w:type="dxa"/>
            <w:noWrap w:val="0"/>
            <w:vAlign w:val="center"/>
          </w:tcPr>
          <w:p w14:paraId="6FA45155">
            <w:pPr>
              <w:jc w:val="center"/>
              <w:rPr>
                <w:rFonts w:hint="eastAsia" w:ascii="仿宋" w:hAnsi="仿宋" w:eastAsia="仿宋" w:cs="仿宋"/>
                <w:color w:val="auto"/>
                <w:sz w:val="24"/>
                <w:szCs w:val="24"/>
                <w:highlight w:val="none"/>
              </w:rPr>
            </w:pPr>
          </w:p>
        </w:tc>
        <w:tc>
          <w:tcPr>
            <w:tcW w:w="2903" w:type="dxa"/>
            <w:noWrap w:val="0"/>
            <w:vAlign w:val="center"/>
          </w:tcPr>
          <w:p w14:paraId="24B93DE0">
            <w:pPr>
              <w:jc w:val="center"/>
              <w:rPr>
                <w:rFonts w:hint="eastAsia" w:ascii="仿宋" w:hAnsi="仿宋" w:eastAsia="仿宋" w:cs="仿宋"/>
                <w:color w:val="auto"/>
                <w:sz w:val="24"/>
                <w:szCs w:val="24"/>
                <w:highlight w:val="none"/>
              </w:rPr>
            </w:pPr>
          </w:p>
        </w:tc>
        <w:tc>
          <w:tcPr>
            <w:tcW w:w="1477" w:type="dxa"/>
            <w:noWrap w:val="0"/>
            <w:vAlign w:val="center"/>
          </w:tcPr>
          <w:p w14:paraId="675A4338">
            <w:pPr>
              <w:jc w:val="center"/>
              <w:rPr>
                <w:rFonts w:hint="eastAsia" w:ascii="仿宋" w:hAnsi="仿宋" w:eastAsia="仿宋" w:cs="仿宋"/>
                <w:color w:val="auto"/>
                <w:sz w:val="24"/>
                <w:szCs w:val="24"/>
                <w:highlight w:val="none"/>
              </w:rPr>
            </w:pPr>
          </w:p>
        </w:tc>
        <w:tc>
          <w:tcPr>
            <w:tcW w:w="762" w:type="dxa"/>
            <w:noWrap w:val="0"/>
            <w:vAlign w:val="center"/>
          </w:tcPr>
          <w:p w14:paraId="1546DFBD">
            <w:pPr>
              <w:jc w:val="center"/>
              <w:rPr>
                <w:rFonts w:hint="eastAsia" w:ascii="仿宋" w:hAnsi="仿宋" w:eastAsia="仿宋" w:cs="仿宋"/>
                <w:color w:val="auto"/>
                <w:sz w:val="24"/>
                <w:szCs w:val="24"/>
                <w:highlight w:val="none"/>
              </w:rPr>
            </w:pPr>
          </w:p>
        </w:tc>
      </w:tr>
      <w:tr w14:paraId="5A5B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14:paraId="2700C782">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14:paraId="09D49C47">
            <w:pPr>
              <w:jc w:val="center"/>
              <w:rPr>
                <w:rFonts w:hint="eastAsia" w:ascii="仿宋" w:hAnsi="仿宋" w:eastAsia="仿宋" w:cs="仿宋"/>
                <w:color w:val="auto"/>
                <w:sz w:val="24"/>
                <w:szCs w:val="24"/>
                <w:highlight w:val="none"/>
              </w:rPr>
            </w:pPr>
          </w:p>
        </w:tc>
        <w:tc>
          <w:tcPr>
            <w:tcW w:w="2936" w:type="dxa"/>
            <w:noWrap w:val="0"/>
            <w:vAlign w:val="center"/>
          </w:tcPr>
          <w:p w14:paraId="2A92DE82">
            <w:pPr>
              <w:jc w:val="center"/>
              <w:rPr>
                <w:rFonts w:hint="eastAsia" w:ascii="仿宋" w:hAnsi="仿宋" w:eastAsia="仿宋" w:cs="仿宋"/>
                <w:color w:val="auto"/>
                <w:sz w:val="24"/>
                <w:szCs w:val="24"/>
                <w:highlight w:val="none"/>
              </w:rPr>
            </w:pPr>
          </w:p>
        </w:tc>
        <w:tc>
          <w:tcPr>
            <w:tcW w:w="2903" w:type="dxa"/>
            <w:noWrap w:val="0"/>
            <w:vAlign w:val="center"/>
          </w:tcPr>
          <w:p w14:paraId="496B0ED0">
            <w:pPr>
              <w:jc w:val="center"/>
              <w:rPr>
                <w:rFonts w:hint="eastAsia" w:ascii="仿宋" w:hAnsi="仿宋" w:eastAsia="仿宋" w:cs="仿宋"/>
                <w:color w:val="auto"/>
                <w:sz w:val="24"/>
                <w:szCs w:val="24"/>
                <w:highlight w:val="none"/>
              </w:rPr>
            </w:pPr>
          </w:p>
        </w:tc>
        <w:tc>
          <w:tcPr>
            <w:tcW w:w="1477" w:type="dxa"/>
            <w:noWrap w:val="0"/>
            <w:vAlign w:val="center"/>
          </w:tcPr>
          <w:p w14:paraId="79AAC55A">
            <w:pPr>
              <w:jc w:val="center"/>
              <w:rPr>
                <w:rFonts w:hint="eastAsia" w:ascii="仿宋" w:hAnsi="仿宋" w:eastAsia="仿宋" w:cs="仿宋"/>
                <w:color w:val="auto"/>
                <w:sz w:val="24"/>
                <w:szCs w:val="24"/>
                <w:highlight w:val="none"/>
              </w:rPr>
            </w:pPr>
          </w:p>
        </w:tc>
        <w:tc>
          <w:tcPr>
            <w:tcW w:w="762" w:type="dxa"/>
            <w:noWrap w:val="0"/>
            <w:vAlign w:val="center"/>
          </w:tcPr>
          <w:p w14:paraId="7846AF0B">
            <w:pPr>
              <w:jc w:val="center"/>
              <w:rPr>
                <w:rFonts w:hint="eastAsia" w:ascii="仿宋" w:hAnsi="仿宋" w:eastAsia="仿宋" w:cs="仿宋"/>
                <w:color w:val="auto"/>
                <w:sz w:val="24"/>
                <w:szCs w:val="24"/>
                <w:highlight w:val="none"/>
              </w:rPr>
            </w:pPr>
          </w:p>
        </w:tc>
      </w:tr>
      <w:tr w14:paraId="6DD3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14:paraId="3A91E5D8">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14:paraId="4A3E74EF">
            <w:pPr>
              <w:jc w:val="center"/>
              <w:rPr>
                <w:rFonts w:hint="eastAsia" w:ascii="仿宋" w:hAnsi="仿宋" w:eastAsia="仿宋" w:cs="仿宋"/>
                <w:color w:val="auto"/>
                <w:sz w:val="24"/>
                <w:szCs w:val="24"/>
                <w:highlight w:val="none"/>
              </w:rPr>
            </w:pPr>
          </w:p>
        </w:tc>
        <w:tc>
          <w:tcPr>
            <w:tcW w:w="2936" w:type="dxa"/>
            <w:noWrap w:val="0"/>
            <w:vAlign w:val="center"/>
          </w:tcPr>
          <w:p w14:paraId="71778940">
            <w:pPr>
              <w:jc w:val="center"/>
              <w:rPr>
                <w:rFonts w:hint="eastAsia" w:ascii="仿宋" w:hAnsi="仿宋" w:eastAsia="仿宋" w:cs="仿宋"/>
                <w:color w:val="auto"/>
                <w:sz w:val="24"/>
                <w:szCs w:val="24"/>
                <w:highlight w:val="none"/>
              </w:rPr>
            </w:pPr>
          </w:p>
        </w:tc>
        <w:tc>
          <w:tcPr>
            <w:tcW w:w="2903" w:type="dxa"/>
            <w:noWrap w:val="0"/>
            <w:vAlign w:val="center"/>
          </w:tcPr>
          <w:p w14:paraId="1C7DAB6E">
            <w:pPr>
              <w:jc w:val="center"/>
              <w:rPr>
                <w:rFonts w:hint="eastAsia" w:ascii="仿宋" w:hAnsi="仿宋" w:eastAsia="仿宋" w:cs="仿宋"/>
                <w:color w:val="auto"/>
                <w:sz w:val="24"/>
                <w:szCs w:val="24"/>
                <w:highlight w:val="none"/>
              </w:rPr>
            </w:pPr>
          </w:p>
        </w:tc>
        <w:tc>
          <w:tcPr>
            <w:tcW w:w="1477" w:type="dxa"/>
            <w:noWrap w:val="0"/>
            <w:vAlign w:val="center"/>
          </w:tcPr>
          <w:p w14:paraId="4455E6E1">
            <w:pPr>
              <w:jc w:val="center"/>
              <w:rPr>
                <w:rFonts w:hint="eastAsia" w:ascii="仿宋" w:hAnsi="仿宋" w:eastAsia="仿宋" w:cs="仿宋"/>
                <w:color w:val="auto"/>
                <w:sz w:val="24"/>
                <w:szCs w:val="24"/>
                <w:highlight w:val="none"/>
              </w:rPr>
            </w:pPr>
          </w:p>
        </w:tc>
        <w:tc>
          <w:tcPr>
            <w:tcW w:w="762" w:type="dxa"/>
            <w:noWrap w:val="0"/>
            <w:vAlign w:val="center"/>
          </w:tcPr>
          <w:p w14:paraId="0549A168">
            <w:pPr>
              <w:jc w:val="center"/>
              <w:rPr>
                <w:rFonts w:hint="eastAsia" w:ascii="仿宋" w:hAnsi="仿宋" w:eastAsia="仿宋" w:cs="仿宋"/>
                <w:color w:val="auto"/>
                <w:sz w:val="24"/>
                <w:szCs w:val="24"/>
                <w:highlight w:val="none"/>
              </w:rPr>
            </w:pPr>
          </w:p>
        </w:tc>
      </w:tr>
      <w:tr w14:paraId="4D12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14:paraId="39C86FAB">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14:paraId="02CE4EF9">
            <w:pPr>
              <w:jc w:val="center"/>
              <w:rPr>
                <w:rFonts w:hint="eastAsia" w:ascii="仿宋" w:hAnsi="仿宋" w:eastAsia="仿宋" w:cs="仿宋"/>
                <w:color w:val="auto"/>
                <w:sz w:val="24"/>
                <w:szCs w:val="24"/>
                <w:highlight w:val="none"/>
              </w:rPr>
            </w:pPr>
          </w:p>
        </w:tc>
        <w:tc>
          <w:tcPr>
            <w:tcW w:w="2936" w:type="dxa"/>
            <w:noWrap w:val="0"/>
            <w:vAlign w:val="center"/>
          </w:tcPr>
          <w:p w14:paraId="6C57D8C6">
            <w:pPr>
              <w:jc w:val="center"/>
              <w:rPr>
                <w:rFonts w:hint="eastAsia" w:ascii="仿宋" w:hAnsi="仿宋" w:eastAsia="仿宋" w:cs="仿宋"/>
                <w:color w:val="auto"/>
                <w:sz w:val="24"/>
                <w:szCs w:val="24"/>
                <w:highlight w:val="none"/>
              </w:rPr>
            </w:pPr>
          </w:p>
        </w:tc>
        <w:tc>
          <w:tcPr>
            <w:tcW w:w="2903" w:type="dxa"/>
            <w:noWrap w:val="0"/>
            <w:vAlign w:val="center"/>
          </w:tcPr>
          <w:p w14:paraId="55D01E2D">
            <w:pPr>
              <w:jc w:val="center"/>
              <w:rPr>
                <w:rFonts w:hint="eastAsia" w:ascii="仿宋" w:hAnsi="仿宋" w:eastAsia="仿宋" w:cs="仿宋"/>
                <w:color w:val="auto"/>
                <w:sz w:val="24"/>
                <w:szCs w:val="24"/>
                <w:highlight w:val="none"/>
              </w:rPr>
            </w:pPr>
          </w:p>
        </w:tc>
        <w:tc>
          <w:tcPr>
            <w:tcW w:w="1477" w:type="dxa"/>
            <w:noWrap w:val="0"/>
            <w:vAlign w:val="center"/>
          </w:tcPr>
          <w:p w14:paraId="5C84E9D8">
            <w:pPr>
              <w:jc w:val="center"/>
              <w:rPr>
                <w:rFonts w:hint="eastAsia" w:ascii="仿宋" w:hAnsi="仿宋" w:eastAsia="仿宋" w:cs="仿宋"/>
                <w:color w:val="auto"/>
                <w:sz w:val="24"/>
                <w:szCs w:val="24"/>
                <w:highlight w:val="none"/>
              </w:rPr>
            </w:pPr>
          </w:p>
        </w:tc>
        <w:tc>
          <w:tcPr>
            <w:tcW w:w="762" w:type="dxa"/>
            <w:noWrap w:val="0"/>
            <w:vAlign w:val="center"/>
          </w:tcPr>
          <w:p w14:paraId="4D30C8A2">
            <w:pPr>
              <w:jc w:val="center"/>
              <w:rPr>
                <w:rFonts w:hint="eastAsia" w:ascii="仿宋" w:hAnsi="仿宋" w:eastAsia="仿宋" w:cs="仿宋"/>
                <w:color w:val="auto"/>
                <w:sz w:val="24"/>
                <w:szCs w:val="24"/>
                <w:highlight w:val="none"/>
              </w:rPr>
            </w:pPr>
          </w:p>
        </w:tc>
      </w:tr>
      <w:tr w14:paraId="59D7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14:paraId="21B5F868">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14:paraId="1D7E5EA4">
            <w:pPr>
              <w:jc w:val="center"/>
              <w:rPr>
                <w:rFonts w:hint="eastAsia" w:ascii="仿宋" w:hAnsi="仿宋" w:eastAsia="仿宋" w:cs="仿宋"/>
                <w:color w:val="auto"/>
                <w:sz w:val="24"/>
                <w:szCs w:val="24"/>
                <w:highlight w:val="none"/>
              </w:rPr>
            </w:pPr>
          </w:p>
        </w:tc>
        <w:tc>
          <w:tcPr>
            <w:tcW w:w="2936" w:type="dxa"/>
            <w:noWrap w:val="0"/>
            <w:vAlign w:val="center"/>
          </w:tcPr>
          <w:p w14:paraId="5B38C389">
            <w:pPr>
              <w:jc w:val="center"/>
              <w:rPr>
                <w:rFonts w:hint="eastAsia" w:ascii="仿宋" w:hAnsi="仿宋" w:eastAsia="仿宋" w:cs="仿宋"/>
                <w:color w:val="auto"/>
                <w:sz w:val="24"/>
                <w:szCs w:val="24"/>
                <w:highlight w:val="none"/>
              </w:rPr>
            </w:pPr>
          </w:p>
        </w:tc>
        <w:tc>
          <w:tcPr>
            <w:tcW w:w="2903" w:type="dxa"/>
            <w:noWrap w:val="0"/>
            <w:vAlign w:val="center"/>
          </w:tcPr>
          <w:p w14:paraId="34F35995">
            <w:pPr>
              <w:jc w:val="center"/>
              <w:rPr>
                <w:rFonts w:hint="eastAsia" w:ascii="仿宋" w:hAnsi="仿宋" w:eastAsia="仿宋" w:cs="仿宋"/>
                <w:color w:val="auto"/>
                <w:sz w:val="24"/>
                <w:szCs w:val="24"/>
                <w:highlight w:val="none"/>
              </w:rPr>
            </w:pPr>
          </w:p>
        </w:tc>
        <w:tc>
          <w:tcPr>
            <w:tcW w:w="1477" w:type="dxa"/>
            <w:noWrap w:val="0"/>
            <w:vAlign w:val="center"/>
          </w:tcPr>
          <w:p w14:paraId="60A18D44">
            <w:pPr>
              <w:jc w:val="center"/>
              <w:rPr>
                <w:rFonts w:hint="eastAsia" w:ascii="仿宋" w:hAnsi="仿宋" w:eastAsia="仿宋" w:cs="仿宋"/>
                <w:color w:val="auto"/>
                <w:sz w:val="24"/>
                <w:szCs w:val="24"/>
                <w:highlight w:val="none"/>
              </w:rPr>
            </w:pPr>
          </w:p>
        </w:tc>
        <w:tc>
          <w:tcPr>
            <w:tcW w:w="762" w:type="dxa"/>
            <w:noWrap w:val="0"/>
            <w:vAlign w:val="center"/>
          </w:tcPr>
          <w:p w14:paraId="68B6FB16">
            <w:pPr>
              <w:jc w:val="center"/>
              <w:rPr>
                <w:rFonts w:hint="eastAsia" w:ascii="仿宋" w:hAnsi="仿宋" w:eastAsia="仿宋" w:cs="仿宋"/>
                <w:color w:val="auto"/>
                <w:sz w:val="24"/>
                <w:szCs w:val="24"/>
                <w:highlight w:val="none"/>
              </w:rPr>
            </w:pPr>
          </w:p>
        </w:tc>
      </w:tr>
      <w:tr w14:paraId="40A2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14:paraId="10FD4957">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14:paraId="4E4FA9EF">
            <w:pPr>
              <w:jc w:val="center"/>
              <w:rPr>
                <w:rFonts w:hint="eastAsia" w:ascii="仿宋" w:hAnsi="仿宋" w:eastAsia="仿宋" w:cs="仿宋"/>
                <w:color w:val="auto"/>
                <w:sz w:val="24"/>
                <w:szCs w:val="24"/>
                <w:highlight w:val="none"/>
              </w:rPr>
            </w:pPr>
          </w:p>
        </w:tc>
        <w:tc>
          <w:tcPr>
            <w:tcW w:w="2936" w:type="dxa"/>
            <w:noWrap w:val="0"/>
            <w:vAlign w:val="center"/>
          </w:tcPr>
          <w:p w14:paraId="5C6C3C33">
            <w:pPr>
              <w:jc w:val="center"/>
              <w:rPr>
                <w:rFonts w:hint="eastAsia" w:ascii="仿宋" w:hAnsi="仿宋" w:eastAsia="仿宋" w:cs="仿宋"/>
                <w:color w:val="auto"/>
                <w:sz w:val="24"/>
                <w:szCs w:val="24"/>
                <w:highlight w:val="none"/>
              </w:rPr>
            </w:pPr>
          </w:p>
        </w:tc>
        <w:tc>
          <w:tcPr>
            <w:tcW w:w="2903" w:type="dxa"/>
            <w:noWrap w:val="0"/>
            <w:vAlign w:val="center"/>
          </w:tcPr>
          <w:p w14:paraId="2A3D2FF3">
            <w:pPr>
              <w:jc w:val="center"/>
              <w:rPr>
                <w:rFonts w:hint="eastAsia" w:ascii="仿宋" w:hAnsi="仿宋" w:eastAsia="仿宋" w:cs="仿宋"/>
                <w:color w:val="auto"/>
                <w:sz w:val="24"/>
                <w:szCs w:val="24"/>
                <w:highlight w:val="none"/>
              </w:rPr>
            </w:pPr>
          </w:p>
        </w:tc>
        <w:tc>
          <w:tcPr>
            <w:tcW w:w="1477" w:type="dxa"/>
            <w:noWrap w:val="0"/>
            <w:vAlign w:val="center"/>
          </w:tcPr>
          <w:p w14:paraId="43DA4861">
            <w:pPr>
              <w:jc w:val="center"/>
              <w:rPr>
                <w:rFonts w:hint="eastAsia" w:ascii="仿宋" w:hAnsi="仿宋" w:eastAsia="仿宋" w:cs="仿宋"/>
                <w:color w:val="auto"/>
                <w:sz w:val="24"/>
                <w:szCs w:val="24"/>
                <w:highlight w:val="none"/>
              </w:rPr>
            </w:pPr>
          </w:p>
        </w:tc>
        <w:tc>
          <w:tcPr>
            <w:tcW w:w="762" w:type="dxa"/>
            <w:noWrap w:val="0"/>
            <w:vAlign w:val="center"/>
          </w:tcPr>
          <w:p w14:paraId="5197A637">
            <w:pPr>
              <w:jc w:val="center"/>
              <w:rPr>
                <w:rFonts w:hint="eastAsia" w:ascii="仿宋" w:hAnsi="仿宋" w:eastAsia="仿宋" w:cs="仿宋"/>
                <w:color w:val="auto"/>
                <w:sz w:val="24"/>
                <w:szCs w:val="24"/>
                <w:highlight w:val="none"/>
              </w:rPr>
            </w:pPr>
          </w:p>
        </w:tc>
      </w:tr>
      <w:tr w14:paraId="0BE9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14:paraId="40A78F36">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14:paraId="0AF42ACA">
            <w:pPr>
              <w:jc w:val="center"/>
              <w:rPr>
                <w:rFonts w:hint="eastAsia" w:ascii="仿宋" w:hAnsi="仿宋" w:eastAsia="仿宋" w:cs="仿宋"/>
                <w:color w:val="auto"/>
                <w:sz w:val="24"/>
                <w:szCs w:val="24"/>
                <w:highlight w:val="none"/>
              </w:rPr>
            </w:pPr>
          </w:p>
        </w:tc>
        <w:tc>
          <w:tcPr>
            <w:tcW w:w="2936" w:type="dxa"/>
            <w:noWrap w:val="0"/>
            <w:vAlign w:val="center"/>
          </w:tcPr>
          <w:p w14:paraId="1B2B9B67">
            <w:pPr>
              <w:jc w:val="center"/>
              <w:rPr>
                <w:rFonts w:hint="eastAsia" w:ascii="仿宋" w:hAnsi="仿宋" w:eastAsia="仿宋" w:cs="仿宋"/>
                <w:color w:val="auto"/>
                <w:sz w:val="24"/>
                <w:szCs w:val="24"/>
                <w:highlight w:val="none"/>
              </w:rPr>
            </w:pPr>
          </w:p>
        </w:tc>
        <w:tc>
          <w:tcPr>
            <w:tcW w:w="2903" w:type="dxa"/>
            <w:noWrap w:val="0"/>
            <w:vAlign w:val="center"/>
          </w:tcPr>
          <w:p w14:paraId="08D8F9C7">
            <w:pPr>
              <w:jc w:val="center"/>
              <w:rPr>
                <w:rFonts w:hint="eastAsia" w:ascii="仿宋" w:hAnsi="仿宋" w:eastAsia="仿宋" w:cs="仿宋"/>
                <w:color w:val="auto"/>
                <w:sz w:val="24"/>
                <w:szCs w:val="24"/>
                <w:highlight w:val="none"/>
              </w:rPr>
            </w:pPr>
          </w:p>
        </w:tc>
        <w:tc>
          <w:tcPr>
            <w:tcW w:w="1477" w:type="dxa"/>
            <w:noWrap w:val="0"/>
            <w:vAlign w:val="center"/>
          </w:tcPr>
          <w:p w14:paraId="6FE5EEDB">
            <w:pPr>
              <w:jc w:val="center"/>
              <w:rPr>
                <w:rFonts w:hint="eastAsia" w:ascii="仿宋" w:hAnsi="仿宋" w:eastAsia="仿宋" w:cs="仿宋"/>
                <w:color w:val="auto"/>
                <w:sz w:val="24"/>
                <w:szCs w:val="24"/>
                <w:highlight w:val="none"/>
              </w:rPr>
            </w:pPr>
          </w:p>
        </w:tc>
        <w:tc>
          <w:tcPr>
            <w:tcW w:w="762" w:type="dxa"/>
            <w:noWrap w:val="0"/>
            <w:vAlign w:val="center"/>
          </w:tcPr>
          <w:p w14:paraId="7F244AA7">
            <w:pPr>
              <w:jc w:val="center"/>
              <w:rPr>
                <w:rFonts w:hint="eastAsia" w:ascii="仿宋" w:hAnsi="仿宋" w:eastAsia="仿宋" w:cs="仿宋"/>
                <w:color w:val="auto"/>
                <w:sz w:val="24"/>
                <w:szCs w:val="24"/>
                <w:highlight w:val="none"/>
              </w:rPr>
            </w:pPr>
          </w:p>
        </w:tc>
      </w:tr>
      <w:tr w14:paraId="07D8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14:paraId="609BECE6">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14:paraId="01CD8750">
            <w:pPr>
              <w:jc w:val="center"/>
              <w:rPr>
                <w:rFonts w:hint="eastAsia" w:ascii="仿宋" w:hAnsi="仿宋" w:eastAsia="仿宋" w:cs="仿宋"/>
                <w:color w:val="auto"/>
                <w:sz w:val="24"/>
                <w:szCs w:val="24"/>
                <w:highlight w:val="none"/>
              </w:rPr>
            </w:pPr>
          </w:p>
        </w:tc>
        <w:tc>
          <w:tcPr>
            <w:tcW w:w="2936" w:type="dxa"/>
            <w:noWrap w:val="0"/>
            <w:vAlign w:val="center"/>
          </w:tcPr>
          <w:p w14:paraId="5F64CBAE">
            <w:pPr>
              <w:jc w:val="center"/>
              <w:rPr>
                <w:rFonts w:hint="eastAsia" w:ascii="仿宋" w:hAnsi="仿宋" w:eastAsia="仿宋" w:cs="仿宋"/>
                <w:color w:val="auto"/>
                <w:sz w:val="24"/>
                <w:szCs w:val="24"/>
                <w:highlight w:val="none"/>
              </w:rPr>
            </w:pPr>
          </w:p>
        </w:tc>
        <w:tc>
          <w:tcPr>
            <w:tcW w:w="2903" w:type="dxa"/>
            <w:noWrap w:val="0"/>
            <w:vAlign w:val="center"/>
          </w:tcPr>
          <w:p w14:paraId="4344C520">
            <w:pPr>
              <w:jc w:val="center"/>
              <w:rPr>
                <w:rFonts w:hint="eastAsia" w:ascii="仿宋" w:hAnsi="仿宋" w:eastAsia="仿宋" w:cs="仿宋"/>
                <w:color w:val="auto"/>
                <w:sz w:val="24"/>
                <w:szCs w:val="24"/>
                <w:highlight w:val="none"/>
              </w:rPr>
            </w:pPr>
          </w:p>
        </w:tc>
        <w:tc>
          <w:tcPr>
            <w:tcW w:w="1477" w:type="dxa"/>
            <w:noWrap w:val="0"/>
            <w:vAlign w:val="center"/>
          </w:tcPr>
          <w:p w14:paraId="21FC3C90">
            <w:pPr>
              <w:jc w:val="center"/>
              <w:rPr>
                <w:rFonts w:hint="eastAsia" w:ascii="仿宋" w:hAnsi="仿宋" w:eastAsia="仿宋" w:cs="仿宋"/>
                <w:color w:val="auto"/>
                <w:sz w:val="24"/>
                <w:szCs w:val="24"/>
                <w:highlight w:val="none"/>
              </w:rPr>
            </w:pPr>
          </w:p>
        </w:tc>
        <w:tc>
          <w:tcPr>
            <w:tcW w:w="762" w:type="dxa"/>
            <w:noWrap w:val="0"/>
            <w:vAlign w:val="center"/>
          </w:tcPr>
          <w:p w14:paraId="6187303C">
            <w:pPr>
              <w:jc w:val="center"/>
              <w:rPr>
                <w:rFonts w:hint="eastAsia" w:ascii="仿宋" w:hAnsi="仿宋" w:eastAsia="仿宋" w:cs="仿宋"/>
                <w:color w:val="auto"/>
                <w:sz w:val="24"/>
                <w:szCs w:val="24"/>
                <w:highlight w:val="none"/>
              </w:rPr>
            </w:pPr>
          </w:p>
        </w:tc>
      </w:tr>
      <w:tr w14:paraId="1792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14:paraId="530B7AE0">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14:paraId="69A6EC87">
            <w:pPr>
              <w:jc w:val="center"/>
              <w:rPr>
                <w:rFonts w:hint="eastAsia" w:ascii="仿宋" w:hAnsi="仿宋" w:eastAsia="仿宋" w:cs="仿宋"/>
                <w:color w:val="auto"/>
                <w:sz w:val="24"/>
                <w:szCs w:val="24"/>
                <w:highlight w:val="none"/>
              </w:rPr>
            </w:pPr>
          </w:p>
        </w:tc>
        <w:tc>
          <w:tcPr>
            <w:tcW w:w="2936" w:type="dxa"/>
            <w:noWrap w:val="0"/>
            <w:vAlign w:val="center"/>
          </w:tcPr>
          <w:p w14:paraId="1271B9D3">
            <w:pPr>
              <w:jc w:val="center"/>
              <w:rPr>
                <w:rFonts w:hint="eastAsia" w:ascii="仿宋" w:hAnsi="仿宋" w:eastAsia="仿宋" w:cs="仿宋"/>
                <w:color w:val="auto"/>
                <w:sz w:val="24"/>
                <w:szCs w:val="24"/>
                <w:highlight w:val="none"/>
              </w:rPr>
            </w:pPr>
          </w:p>
        </w:tc>
        <w:tc>
          <w:tcPr>
            <w:tcW w:w="2903" w:type="dxa"/>
            <w:noWrap w:val="0"/>
            <w:vAlign w:val="center"/>
          </w:tcPr>
          <w:p w14:paraId="35ADC38A">
            <w:pPr>
              <w:jc w:val="center"/>
              <w:rPr>
                <w:rFonts w:hint="eastAsia" w:ascii="仿宋" w:hAnsi="仿宋" w:eastAsia="仿宋" w:cs="仿宋"/>
                <w:color w:val="auto"/>
                <w:sz w:val="24"/>
                <w:szCs w:val="24"/>
                <w:highlight w:val="none"/>
              </w:rPr>
            </w:pPr>
          </w:p>
        </w:tc>
        <w:tc>
          <w:tcPr>
            <w:tcW w:w="1477" w:type="dxa"/>
            <w:noWrap w:val="0"/>
            <w:vAlign w:val="center"/>
          </w:tcPr>
          <w:p w14:paraId="5B3CBA63">
            <w:pPr>
              <w:jc w:val="center"/>
              <w:rPr>
                <w:rFonts w:hint="eastAsia" w:ascii="仿宋" w:hAnsi="仿宋" w:eastAsia="仿宋" w:cs="仿宋"/>
                <w:color w:val="auto"/>
                <w:sz w:val="24"/>
                <w:szCs w:val="24"/>
                <w:highlight w:val="none"/>
              </w:rPr>
            </w:pPr>
          </w:p>
        </w:tc>
        <w:tc>
          <w:tcPr>
            <w:tcW w:w="762" w:type="dxa"/>
            <w:noWrap w:val="0"/>
            <w:vAlign w:val="center"/>
          </w:tcPr>
          <w:p w14:paraId="7EE3D0B6">
            <w:pPr>
              <w:jc w:val="center"/>
              <w:rPr>
                <w:rFonts w:hint="eastAsia" w:ascii="仿宋" w:hAnsi="仿宋" w:eastAsia="仿宋" w:cs="仿宋"/>
                <w:color w:val="auto"/>
                <w:sz w:val="24"/>
                <w:szCs w:val="24"/>
                <w:highlight w:val="none"/>
              </w:rPr>
            </w:pPr>
          </w:p>
        </w:tc>
      </w:tr>
    </w:tbl>
    <w:p w14:paraId="739125F6">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（此表可延长）</w:t>
      </w:r>
    </w:p>
    <w:p w14:paraId="49EC0486">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供应商根据招标文件要求对照投标文件中的报价自行填写，如投标报价中的单价高于招标文件中的最高单价视为无效报价作废标处理</w:t>
      </w:r>
    </w:p>
    <w:p w14:paraId="6A60AB5E">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14:paraId="2D397296">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48060091">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color w:val="auto"/>
          <w:sz w:val="24"/>
          <w:szCs w:val="24"/>
          <w:highlight w:val="none"/>
        </w:rPr>
        <w:t>年   月   日</w:t>
      </w:r>
    </w:p>
    <w:p w14:paraId="1E37D8F8">
      <w:pPr>
        <w:keepNext w:val="0"/>
        <w:keepLines w:val="0"/>
        <w:pageBreakBefore w:val="0"/>
        <w:widowControl w:val="0"/>
        <w:kinsoku/>
        <w:wordWrap/>
        <w:overflowPunct/>
        <w:topLinePunct w:val="0"/>
        <w:autoSpaceDE/>
        <w:autoSpaceDN/>
        <w:bidi w:val="0"/>
        <w:adjustRightInd/>
        <w:snapToGrid/>
        <w:spacing w:line="552" w:lineRule="auto"/>
        <w:jc w:val="center"/>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四</w:t>
      </w:r>
      <w:r>
        <w:rPr>
          <w:rFonts w:hint="eastAsia" w:ascii="仿宋" w:hAnsi="仿宋" w:eastAsia="仿宋" w:cs="仿宋"/>
          <w:b/>
          <w:bCs/>
          <w:color w:val="auto"/>
          <w:kern w:val="0"/>
          <w:sz w:val="28"/>
          <w:szCs w:val="28"/>
          <w:highlight w:val="none"/>
        </w:rPr>
        <w:t>、经年审合格（三证合一）的营业执照或（统一社会信用代码证书）</w:t>
      </w:r>
    </w:p>
    <w:p w14:paraId="2DAB05F7">
      <w:pPr>
        <w:keepNext w:val="0"/>
        <w:keepLines w:val="0"/>
        <w:pageBreakBefore w:val="0"/>
        <w:widowControl w:val="0"/>
        <w:kinsoku/>
        <w:wordWrap/>
        <w:overflowPunct/>
        <w:topLinePunct w:val="0"/>
        <w:autoSpaceDE/>
        <w:autoSpaceDN/>
        <w:bidi w:val="0"/>
        <w:adjustRightInd/>
        <w:snapToGrid/>
        <w:spacing w:line="552" w:lineRule="auto"/>
        <w:ind w:firstLine="562" w:firstLineChars="200"/>
        <w:jc w:val="center"/>
        <w:textAlignment w:val="auto"/>
        <w:rPr>
          <w:rFonts w:hint="eastAsia" w:ascii="仿宋" w:hAnsi="仿宋" w:eastAsia="仿宋" w:cs="仿宋"/>
          <w:b/>
          <w:bCs/>
          <w:color w:val="auto"/>
          <w:kern w:val="0"/>
          <w:sz w:val="28"/>
          <w:szCs w:val="28"/>
          <w:highlight w:val="none"/>
          <w:lang w:val="en-US" w:eastAsia="zh-CN"/>
        </w:rPr>
      </w:pPr>
    </w:p>
    <w:p w14:paraId="45C3CB1D">
      <w:pPr>
        <w:pStyle w:val="13"/>
        <w:rPr>
          <w:rFonts w:hint="eastAsia" w:ascii="仿宋" w:hAnsi="仿宋" w:eastAsia="仿宋" w:cs="仿宋"/>
          <w:b/>
          <w:bCs/>
          <w:color w:val="auto"/>
          <w:kern w:val="0"/>
          <w:sz w:val="28"/>
          <w:szCs w:val="28"/>
          <w:highlight w:val="none"/>
          <w:lang w:val="en-US" w:eastAsia="zh-CN"/>
        </w:rPr>
      </w:pPr>
    </w:p>
    <w:p w14:paraId="12F7A820">
      <w:pPr>
        <w:rPr>
          <w:rFonts w:hint="eastAsia" w:ascii="仿宋" w:hAnsi="仿宋" w:eastAsia="仿宋" w:cs="仿宋"/>
          <w:b/>
          <w:bCs/>
          <w:color w:val="auto"/>
          <w:kern w:val="0"/>
          <w:sz w:val="28"/>
          <w:szCs w:val="28"/>
          <w:highlight w:val="none"/>
          <w:lang w:val="en-US" w:eastAsia="zh-CN"/>
        </w:rPr>
      </w:pPr>
    </w:p>
    <w:p w14:paraId="3F9BCEFA">
      <w:pPr>
        <w:pStyle w:val="13"/>
        <w:rPr>
          <w:rFonts w:hint="eastAsia" w:ascii="仿宋" w:hAnsi="仿宋" w:eastAsia="仿宋" w:cs="仿宋"/>
          <w:b/>
          <w:bCs/>
          <w:color w:val="auto"/>
          <w:kern w:val="0"/>
          <w:sz w:val="28"/>
          <w:szCs w:val="28"/>
          <w:highlight w:val="none"/>
          <w:lang w:val="en-US" w:eastAsia="zh-CN"/>
        </w:rPr>
      </w:pPr>
    </w:p>
    <w:p w14:paraId="0CBEA564">
      <w:pPr>
        <w:rPr>
          <w:rFonts w:hint="eastAsia" w:ascii="仿宋" w:hAnsi="仿宋" w:eastAsia="仿宋" w:cs="仿宋"/>
          <w:b/>
          <w:bCs/>
          <w:color w:val="auto"/>
          <w:kern w:val="0"/>
          <w:sz w:val="28"/>
          <w:szCs w:val="28"/>
          <w:highlight w:val="none"/>
          <w:lang w:val="en-US" w:eastAsia="zh-CN"/>
        </w:rPr>
      </w:pPr>
    </w:p>
    <w:p w14:paraId="68165586">
      <w:pPr>
        <w:pStyle w:val="13"/>
        <w:rPr>
          <w:rFonts w:hint="eastAsia"/>
          <w:lang w:val="en-US" w:eastAsia="zh-CN"/>
        </w:rPr>
      </w:pPr>
    </w:p>
    <w:p w14:paraId="07D90786">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14:paraId="55A95766">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05741A1E">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0C57374F">
      <w:pPr>
        <w:pStyle w:val="13"/>
        <w:rPr>
          <w:rFonts w:hint="eastAsia" w:ascii="仿宋" w:hAnsi="仿宋" w:eastAsia="仿宋" w:cs="仿宋"/>
          <w:b/>
          <w:bCs/>
          <w:color w:val="auto"/>
          <w:kern w:val="0"/>
          <w:sz w:val="28"/>
          <w:szCs w:val="28"/>
          <w:highlight w:val="none"/>
          <w:lang w:val="en-US" w:eastAsia="zh-CN"/>
        </w:rPr>
      </w:pPr>
    </w:p>
    <w:p w14:paraId="1274AF75">
      <w:pPr>
        <w:rPr>
          <w:rFonts w:hint="eastAsia" w:ascii="仿宋" w:hAnsi="仿宋" w:eastAsia="仿宋" w:cs="仿宋"/>
          <w:b/>
          <w:bCs/>
          <w:color w:val="auto"/>
          <w:kern w:val="0"/>
          <w:sz w:val="28"/>
          <w:szCs w:val="28"/>
          <w:highlight w:val="none"/>
          <w:lang w:val="en-US" w:eastAsia="zh-CN"/>
        </w:rPr>
      </w:pPr>
    </w:p>
    <w:p w14:paraId="4AE6AA55">
      <w:pPr>
        <w:pStyle w:val="13"/>
        <w:rPr>
          <w:rFonts w:hint="eastAsia" w:ascii="仿宋" w:hAnsi="仿宋" w:eastAsia="仿宋" w:cs="仿宋"/>
          <w:b/>
          <w:bCs/>
          <w:color w:val="auto"/>
          <w:kern w:val="0"/>
          <w:sz w:val="28"/>
          <w:szCs w:val="28"/>
          <w:highlight w:val="none"/>
          <w:lang w:val="en-US" w:eastAsia="zh-CN"/>
        </w:rPr>
      </w:pPr>
    </w:p>
    <w:p w14:paraId="434FF9D1">
      <w:pPr>
        <w:rPr>
          <w:rFonts w:hint="eastAsia" w:ascii="仿宋" w:hAnsi="仿宋" w:eastAsia="仿宋" w:cs="仿宋"/>
          <w:b/>
          <w:bCs/>
          <w:color w:val="auto"/>
          <w:kern w:val="0"/>
          <w:sz w:val="28"/>
          <w:szCs w:val="28"/>
          <w:highlight w:val="none"/>
          <w:lang w:val="en-US" w:eastAsia="zh-CN"/>
        </w:rPr>
      </w:pPr>
    </w:p>
    <w:p w14:paraId="20DD92C6">
      <w:pPr>
        <w:pStyle w:val="13"/>
        <w:rPr>
          <w:rFonts w:hint="eastAsia" w:ascii="仿宋" w:hAnsi="仿宋" w:eastAsia="仿宋" w:cs="仿宋"/>
          <w:b/>
          <w:bCs/>
          <w:color w:val="auto"/>
          <w:kern w:val="0"/>
          <w:sz w:val="28"/>
          <w:szCs w:val="28"/>
          <w:highlight w:val="none"/>
          <w:lang w:val="en-US" w:eastAsia="zh-CN"/>
        </w:rPr>
      </w:pPr>
    </w:p>
    <w:p w14:paraId="4C1C5311">
      <w:pPr>
        <w:rPr>
          <w:rFonts w:hint="eastAsia" w:ascii="仿宋" w:hAnsi="仿宋" w:eastAsia="仿宋" w:cs="仿宋"/>
          <w:b/>
          <w:bCs/>
          <w:color w:val="auto"/>
          <w:kern w:val="0"/>
          <w:sz w:val="28"/>
          <w:szCs w:val="28"/>
          <w:highlight w:val="none"/>
          <w:lang w:val="en-US" w:eastAsia="zh-CN"/>
        </w:rPr>
      </w:pPr>
    </w:p>
    <w:p w14:paraId="6922F62E">
      <w:pPr>
        <w:pStyle w:val="13"/>
        <w:rPr>
          <w:rFonts w:hint="eastAsia" w:ascii="仿宋" w:hAnsi="仿宋" w:eastAsia="仿宋" w:cs="仿宋"/>
          <w:b/>
          <w:bCs/>
          <w:color w:val="auto"/>
          <w:kern w:val="0"/>
          <w:sz w:val="28"/>
          <w:szCs w:val="28"/>
          <w:highlight w:val="none"/>
          <w:lang w:val="en-US" w:eastAsia="zh-CN"/>
        </w:rPr>
      </w:pPr>
    </w:p>
    <w:p w14:paraId="41A832C6">
      <w:pPr>
        <w:rPr>
          <w:rFonts w:hint="eastAsia" w:ascii="仿宋" w:hAnsi="仿宋" w:eastAsia="仿宋" w:cs="仿宋"/>
          <w:b/>
          <w:bCs/>
          <w:color w:val="auto"/>
          <w:kern w:val="0"/>
          <w:sz w:val="28"/>
          <w:szCs w:val="28"/>
          <w:highlight w:val="none"/>
          <w:lang w:val="en-US" w:eastAsia="zh-CN"/>
        </w:rPr>
      </w:pPr>
    </w:p>
    <w:p w14:paraId="6D80AE64">
      <w:pPr>
        <w:pStyle w:val="13"/>
        <w:rPr>
          <w:rFonts w:hint="eastAsia" w:ascii="仿宋" w:hAnsi="仿宋" w:eastAsia="仿宋" w:cs="仿宋"/>
          <w:b/>
          <w:bCs/>
          <w:color w:val="auto"/>
          <w:kern w:val="0"/>
          <w:sz w:val="28"/>
          <w:szCs w:val="28"/>
          <w:highlight w:val="none"/>
          <w:lang w:val="en-US" w:eastAsia="zh-CN"/>
        </w:rPr>
      </w:pPr>
    </w:p>
    <w:p w14:paraId="0557E55C">
      <w:pPr>
        <w:rPr>
          <w:rFonts w:hint="eastAsia" w:ascii="仿宋" w:hAnsi="仿宋" w:eastAsia="仿宋" w:cs="仿宋"/>
          <w:b/>
          <w:bCs/>
          <w:color w:val="auto"/>
          <w:kern w:val="0"/>
          <w:sz w:val="28"/>
          <w:szCs w:val="28"/>
          <w:highlight w:val="none"/>
          <w:lang w:val="en-US" w:eastAsia="zh-CN"/>
        </w:rPr>
      </w:pPr>
    </w:p>
    <w:p w14:paraId="13C0BB92">
      <w:pPr>
        <w:pStyle w:val="13"/>
        <w:rPr>
          <w:rFonts w:hint="eastAsia" w:ascii="仿宋" w:hAnsi="仿宋" w:eastAsia="仿宋" w:cs="仿宋"/>
          <w:b/>
          <w:bCs/>
          <w:color w:val="auto"/>
          <w:kern w:val="0"/>
          <w:sz w:val="28"/>
          <w:szCs w:val="28"/>
          <w:highlight w:val="none"/>
          <w:lang w:val="en-US" w:eastAsia="zh-CN"/>
        </w:rPr>
      </w:pPr>
    </w:p>
    <w:p w14:paraId="6EF598FD">
      <w:pPr>
        <w:pStyle w:val="13"/>
        <w:ind w:left="0" w:leftChars="0" w:firstLine="0" w:firstLineChars="0"/>
        <w:rPr>
          <w:rFonts w:hint="eastAsia"/>
          <w:color w:val="auto"/>
          <w:highlight w:val="none"/>
          <w:lang w:val="en-US" w:eastAsia="zh-CN"/>
        </w:rPr>
      </w:pPr>
    </w:p>
    <w:p w14:paraId="39E7E4AA">
      <w:pPr>
        <w:rPr>
          <w:rFonts w:hint="eastAsia"/>
          <w:lang w:val="en-US" w:eastAsia="zh-CN"/>
        </w:rPr>
      </w:pPr>
    </w:p>
    <w:p w14:paraId="782F7DE8">
      <w:pPr>
        <w:keepNext w:val="0"/>
        <w:keepLines w:val="0"/>
        <w:pageBreakBefore w:val="0"/>
        <w:widowControl w:val="0"/>
        <w:kinsoku/>
        <w:wordWrap/>
        <w:overflowPunct/>
        <w:topLinePunct w:val="0"/>
        <w:autoSpaceDE/>
        <w:autoSpaceDN/>
        <w:bidi w:val="0"/>
        <w:adjustRightInd/>
        <w:snapToGrid/>
        <w:spacing w:line="552" w:lineRule="auto"/>
        <w:ind w:firstLine="562" w:firstLineChars="20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五</w:t>
      </w:r>
      <w:r>
        <w:rPr>
          <w:rFonts w:hint="eastAsia" w:ascii="仿宋" w:hAnsi="仿宋" w:eastAsia="仿宋" w:cs="仿宋"/>
          <w:b/>
          <w:bCs/>
          <w:color w:val="auto"/>
          <w:kern w:val="0"/>
          <w:sz w:val="28"/>
          <w:szCs w:val="28"/>
          <w:highlight w:val="none"/>
        </w:rPr>
        <w:t>、法定代表人身份证明、法定代表人授权委托书</w:t>
      </w:r>
    </w:p>
    <w:p w14:paraId="726A8572">
      <w:pPr>
        <w:tabs>
          <w:tab w:val="left" w:pos="1813"/>
        </w:tabs>
        <w:autoSpaceDE w:val="0"/>
        <w:autoSpaceDN w:val="0"/>
        <w:adjustRightInd w:val="0"/>
        <w:spacing w:line="60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（一）法定代表人身份证明</w:t>
      </w:r>
    </w:p>
    <w:p w14:paraId="2266D109">
      <w:pPr>
        <w:tabs>
          <w:tab w:val="left" w:pos="1813"/>
        </w:tabs>
        <w:autoSpaceDE w:val="0"/>
        <w:autoSpaceDN w:val="0"/>
        <w:adjustRightInd w:val="0"/>
        <w:spacing w:line="240" w:lineRule="auto"/>
        <w:rPr>
          <w:rFonts w:hint="eastAsia" w:ascii="仿宋" w:hAnsi="仿宋" w:eastAsia="仿宋" w:cs="仿宋"/>
          <w:color w:val="auto"/>
          <w:kern w:val="0"/>
          <w:sz w:val="24"/>
          <w:szCs w:val="24"/>
          <w:highlight w:val="none"/>
        </w:rPr>
      </w:pPr>
    </w:p>
    <w:p w14:paraId="2403DAA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rPr>
        <w:t>：</w:t>
      </w:r>
    </w:p>
    <w:p w14:paraId="62596217">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公司法定代表人，代表我公司办理一切社会公务事宜，具有法律效力。 </w:t>
      </w:r>
    </w:p>
    <w:p w14:paraId="5F58662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附法定代表人基本情况： </w:t>
      </w:r>
    </w:p>
    <w:p w14:paraId="3BDB256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14:paraId="2ED28AE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single"/>
        </w:rPr>
        <w:t xml:space="preserve">       </w:t>
      </w:r>
    </w:p>
    <w:p w14:paraId="7636ED1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u w:val="single"/>
        </w:rPr>
        <w:t xml:space="preserve">                       </w:t>
      </w:r>
    </w:p>
    <w:p w14:paraId="1A8AB13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电话号码：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p>
    <w:p w14:paraId="773A5490">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45"/>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3"/>
        <w:gridCol w:w="4287"/>
      </w:tblGrid>
      <w:tr w14:paraId="742C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4263" w:type="dxa"/>
            <w:tcBorders>
              <w:top w:val="single" w:color="auto" w:sz="4" w:space="0"/>
              <w:left w:val="single" w:color="auto" w:sz="4" w:space="0"/>
              <w:bottom w:val="single" w:color="auto" w:sz="4" w:space="0"/>
              <w:right w:val="single" w:color="auto" w:sz="4" w:space="0"/>
            </w:tcBorders>
            <w:noWrap w:val="0"/>
            <w:vAlign w:val="center"/>
          </w:tcPr>
          <w:p w14:paraId="4127A246">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粘贴法定代表人身份证复印件（正面）</w:t>
            </w:r>
          </w:p>
        </w:tc>
        <w:tc>
          <w:tcPr>
            <w:tcW w:w="4287" w:type="dxa"/>
            <w:tcBorders>
              <w:top w:val="single" w:color="auto" w:sz="4" w:space="0"/>
              <w:left w:val="single" w:color="auto" w:sz="4" w:space="0"/>
              <w:bottom w:val="single" w:color="auto" w:sz="4" w:space="0"/>
              <w:right w:val="single" w:color="auto" w:sz="4" w:space="0"/>
            </w:tcBorders>
            <w:noWrap w:val="0"/>
            <w:vAlign w:val="center"/>
          </w:tcPr>
          <w:p w14:paraId="0BF1C4A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粘贴法定代表人身份证复印件（反面）</w:t>
            </w:r>
          </w:p>
        </w:tc>
      </w:tr>
    </w:tbl>
    <w:p w14:paraId="739F55B6">
      <w:pPr>
        <w:keepNext w:val="0"/>
        <w:keepLines w:val="0"/>
        <w:pageBreakBefore w:val="0"/>
        <w:widowControl w:val="0"/>
        <w:kinsoku/>
        <w:wordWrap/>
        <w:overflowPunct/>
        <w:topLinePunct w:val="0"/>
        <w:autoSpaceDE/>
        <w:autoSpaceDN/>
        <w:bidi w:val="0"/>
        <w:adjustRightInd/>
        <w:snapToGrid/>
        <w:spacing w:line="52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14:paraId="6DFAB57B">
      <w:pPr>
        <w:keepNext w:val="0"/>
        <w:keepLines w:val="0"/>
        <w:pageBreakBefore w:val="0"/>
        <w:widowControl w:val="0"/>
        <w:kinsoku/>
        <w:wordWrap/>
        <w:overflowPunct/>
        <w:topLinePunct w:val="0"/>
        <w:autoSpaceDE/>
        <w:autoSpaceDN/>
        <w:bidi w:val="0"/>
        <w:adjustRightInd/>
        <w:snapToGrid/>
        <w:spacing w:line="52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盖章）：</w:t>
      </w:r>
    </w:p>
    <w:p w14:paraId="023236B2">
      <w:pPr>
        <w:keepNext w:val="0"/>
        <w:keepLines w:val="0"/>
        <w:pageBreakBefore w:val="0"/>
        <w:widowControl w:val="0"/>
        <w:kinsoku/>
        <w:wordWrap/>
        <w:overflowPunct/>
        <w:topLinePunct w:val="0"/>
        <w:autoSpaceDE/>
        <w:autoSpaceDN/>
        <w:bidi w:val="0"/>
        <w:adjustRightInd/>
        <w:snapToGrid/>
        <w:spacing w:line="52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FB6274A">
      <w:pPr>
        <w:tabs>
          <w:tab w:val="left" w:pos="1813"/>
        </w:tabs>
        <w:autoSpaceDE w:val="0"/>
        <w:autoSpaceDN w:val="0"/>
        <w:adjustRightInd w:val="0"/>
        <w:spacing w:line="240" w:lineRule="auto"/>
        <w:ind w:firstLine="6480" w:firstLineChars="2700"/>
        <w:rPr>
          <w:rFonts w:hint="eastAsia" w:ascii="仿宋" w:hAnsi="仿宋" w:eastAsia="仿宋" w:cs="仿宋"/>
          <w:color w:val="auto"/>
          <w:kern w:val="0"/>
          <w:sz w:val="24"/>
          <w:szCs w:val="24"/>
          <w:highlight w:val="none"/>
        </w:rPr>
      </w:pPr>
    </w:p>
    <w:p w14:paraId="5E1A612C">
      <w:pPr>
        <w:tabs>
          <w:tab w:val="left" w:pos="1813"/>
        </w:tabs>
        <w:autoSpaceDE w:val="0"/>
        <w:autoSpaceDN w:val="0"/>
        <w:adjustRightInd w:val="0"/>
        <w:spacing w:line="48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417F8628">
      <w:pPr>
        <w:pStyle w:val="17"/>
        <w:ind w:firstLine="480"/>
        <w:rPr>
          <w:rFonts w:hint="eastAsia"/>
          <w:color w:val="auto"/>
          <w:highlight w:val="none"/>
        </w:rPr>
      </w:pPr>
    </w:p>
    <w:p w14:paraId="75AC7E7C">
      <w:pPr>
        <w:rPr>
          <w:rFonts w:hint="eastAsia"/>
          <w:color w:val="auto"/>
          <w:highlight w:val="none"/>
        </w:rPr>
      </w:pPr>
    </w:p>
    <w:bookmarkEnd w:id="151"/>
    <w:bookmarkEnd w:id="152"/>
    <w:p w14:paraId="52E56A54">
      <w:pPr>
        <w:numPr>
          <w:ilvl w:val="0"/>
          <w:numId w:val="16"/>
        </w:numPr>
        <w:tabs>
          <w:tab w:val="left" w:pos="1813"/>
        </w:tabs>
        <w:autoSpaceDE w:val="0"/>
        <w:autoSpaceDN w:val="0"/>
        <w:adjustRightInd w:val="0"/>
        <w:spacing w:line="60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法定代表人授权委托书</w:t>
      </w:r>
    </w:p>
    <w:p w14:paraId="1882E780">
      <w:pPr>
        <w:keepNext w:val="0"/>
        <w:keepLines w:val="0"/>
        <w:pageBreakBefore w:val="0"/>
        <w:widowControl w:val="0"/>
        <w:kinsoku/>
        <w:wordWrap/>
        <w:overflowPunct/>
        <w:topLinePunct w:val="0"/>
        <w:bidi w:val="0"/>
        <w:snapToGrid/>
        <w:spacing w:line="39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rPr>
        <w:t>：</w:t>
      </w:r>
    </w:p>
    <w:p w14:paraId="15CE69B8">
      <w:pPr>
        <w:keepNext w:val="0"/>
        <w:keepLines w:val="0"/>
        <w:pageBreakBefore w:val="0"/>
        <w:widowControl w:val="0"/>
        <w:kinsoku/>
        <w:wordWrap/>
        <w:overflowPunct/>
        <w:topLinePunct w:val="0"/>
        <w:autoSpaceDE w:val="0"/>
        <w:autoSpaceDN w:val="0"/>
        <w:bidi w:val="0"/>
        <w:adjustRightInd w:val="0"/>
        <w:snapToGrid/>
        <w:spacing w:line="396" w:lineRule="auto"/>
        <w:ind w:firstLine="960" w:firstLineChars="400"/>
        <w:jc w:val="left"/>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本授权委托书声明：我系</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（投标人名称）的法定代表人，现授权委托</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（投标人名称）的</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none"/>
          <w:lang w:eastAsia="zh-CN"/>
        </w:rPr>
        <w:t>（授权委托人名称）</w:t>
      </w:r>
      <w:r>
        <w:rPr>
          <w:rFonts w:hint="eastAsia" w:ascii="仿宋" w:hAnsi="仿宋" w:eastAsia="仿宋" w:cs="仿宋"/>
          <w:bCs/>
          <w:color w:val="auto"/>
          <w:kern w:val="0"/>
          <w:sz w:val="24"/>
          <w:szCs w:val="24"/>
          <w:highlight w:val="none"/>
        </w:rPr>
        <w:t>为我的代理人，以</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rPr>
        <w:t>（投标人名称）的名义参加招标项目的投标活动。代理人在参加整个招标投标活动所签署的一切文件和处理与之相关的一切事物，我均予承认。</w:t>
      </w:r>
    </w:p>
    <w:p w14:paraId="16CF583E">
      <w:pPr>
        <w:keepNext w:val="0"/>
        <w:keepLines w:val="0"/>
        <w:pageBreakBefore w:val="0"/>
        <w:widowControl w:val="0"/>
        <w:kinsoku/>
        <w:wordWrap/>
        <w:overflowPunct/>
        <w:topLinePunct w:val="0"/>
        <w:autoSpaceDE w:val="0"/>
        <w:autoSpaceDN w:val="0"/>
        <w:bidi w:val="0"/>
        <w:adjustRightInd w:val="0"/>
        <w:snapToGrid/>
        <w:spacing w:line="396" w:lineRule="auto"/>
        <w:ind w:firstLine="480" w:firstLineChars="200"/>
        <w:jc w:val="left"/>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代理人：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性别：</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年龄：</w:t>
      </w:r>
      <w:r>
        <w:rPr>
          <w:rFonts w:hint="eastAsia" w:ascii="仿宋" w:hAnsi="仿宋" w:eastAsia="仿宋" w:cs="仿宋"/>
          <w:bCs/>
          <w:color w:val="auto"/>
          <w:kern w:val="0"/>
          <w:sz w:val="24"/>
          <w:szCs w:val="24"/>
          <w:highlight w:val="none"/>
          <w:u w:val="single"/>
        </w:rPr>
        <w:t xml:space="preserve">      </w:t>
      </w:r>
    </w:p>
    <w:p w14:paraId="651DB751">
      <w:pPr>
        <w:keepNext w:val="0"/>
        <w:keepLines w:val="0"/>
        <w:pageBreakBefore w:val="0"/>
        <w:widowControl w:val="0"/>
        <w:kinsoku/>
        <w:wordWrap/>
        <w:overflowPunct/>
        <w:topLinePunct w:val="0"/>
        <w:autoSpaceDE w:val="0"/>
        <w:autoSpaceDN w:val="0"/>
        <w:bidi w:val="0"/>
        <w:adjustRightInd w:val="0"/>
        <w:snapToGrid/>
        <w:spacing w:line="396" w:lineRule="auto"/>
        <w:ind w:firstLine="480" w:firstLineChars="200"/>
        <w:jc w:val="left"/>
        <w:textAlignment w:val="auto"/>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部  门：</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职务：</w:t>
      </w:r>
      <w:r>
        <w:rPr>
          <w:rFonts w:hint="eastAsia" w:ascii="仿宋" w:hAnsi="仿宋" w:eastAsia="仿宋" w:cs="仿宋"/>
          <w:bCs/>
          <w:color w:val="auto"/>
          <w:kern w:val="0"/>
          <w:sz w:val="24"/>
          <w:szCs w:val="24"/>
          <w:highlight w:val="none"/>
          <w:u w:val="single"/>
        </w:rPr>
        <w:t xml:space="preserve">    </w:t>
      </w:r>
    </w:p>
    <w:p w14:paraId="6467A257">
      <w:pPr>
        <w:keepNext w:val="0"/>
        <w:keepLines w:val="0"/>
        <w:pageBreakBefore w:val="0"/>
        <w:widowControl w:val="0"/>
        <w:kinsoku/>
        <w:wordWrap/>
        <w:overflowPunct/>
        <w:topLinePunct w:val="0"/>
        <w:bidi w:val="0"/>
        <w:snapToGrid/>
        <w:spacing w:line="396" w:lineRule="auto"/>
        <w:ind w:left="1260"/>
        <w:textAlignment w:val="auto"/>
        <w:rPr>
          <w:rFonts w:hint="eastAsia"/>
          <w:color w:val="auto"/>
          <w:sz w:val="20"/>
          <w:szCs w:val="20"/>
          <w:highlight w:val="none"/>
        </w:rPr>
      </w:pPr>
      <w:r>
        <w:rPr>
          <w:rFonts w:hint="eastAsia" w:ascii="仿宋" w:hAnsi="仿宋" w:eastAsia="仿宋" w:cs="仿宋"/>
          <w:color w:val="auto"/>
          <w:sz w:val="24"/>
          <w:szCs w:val="24"/>
          <w:highlight w:val="none"/>
          <w:u w:val="none"/>
        </w:rPr>
        <w:t>本授权书自出具之日起生效。</w:t>
      </w:r>
    </w:p>
    <w:tbl>
      <w:tblPr>
        <w:tblStyle w:val="45"/>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88"/>
      </w:tblGrid>
      <w:tr w14:paraId="2715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4" w:hRule="atLeast"/>
          <w:jc w:val="center"/>
        </w:trPr>
        <w:tc>
          <w:tcPr>
            <w:tcW w:w="4114" w:type="dxa"/>
            <w:tcBorders>
              <w:top w:val="single" w:color="auto" w:sz="4" w:space="0"/>
              <w:left w:val="single" w:color="auto" w:sz="4" w:space="0"/>
              <w:bottom w:val="single" w:color="auto" w:sz="4" w:space="0"/>
              <w:right w:val="single" w:color="auto" w:sz="4" w:space="0"/>
            </w:tcBorders>
            <w:noWrap w:val="0"/>
            <w:vAlign w:val="top"/>
          </w:tcPr>
          <w:p w14:paraId="5C183C19">
            <w:pPr>
              <w:spacing w:line="360" w:lineRule="auto"/>
              <w:ind w:firstLine="480" w:firstLineChars="200"/>
              <w:jc w:val="center"/>
              <w:rPr>
                <w:rFonts w:hint="eastAsia" w:ascii="仿宋" w:hAnsi="仿宋" w:eastAsia="仿宋" w:cs="仿宋"/>
                <w:color w:val="auto"/>
                <w:sz w:val="24"/>
                <w:szCs w:val="24"/>
                <w:highlight w:val="none"/>
              </w:rPr>
            </w:pPr>
          </w:p>
          <w:p w14:paraId="53BC474F">
            <w:pPr>
              <w:spacing w:line="360" w:lineRule="auto"/>
              <w:jc w:val="both"/>
              <w:rPr>
                <w:rFonts w:hint="eastAsia" w:ascii="仿宋" w:hAnsi="仿宋" w:eastAsia="仿宋" w:cs="仿宋"/>
                <w:color w:val="auto"/>
                <w:sz w:val="24"/>
                <w:szCs w:val="24"/>
                <w:highlight w:val="none"/>
              </w:rPr>
            </w:pPr>
          </w:p>
          <w:p w14:paraId="195EEE6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粘贴法定代表人身份证复印件（正面）</w:t>
            </w:r>
          </w:p>
        </w:tc>
        <w:tc>
          <w:tcPr>
            <w:tcW w:w="4188" w:type="dxa"/>
            <w:tcBorders>
              <w:top w:val="single" w:color="auto" w:sz="4" w:space="0"/>
              <w:left w:val="single" w:color="auto" w:sz="4" w:space="0"/>
              <w:bottom w:val="single" w:color="auto" w:sz="4" w:space="0"/>
              <w:right w:val="single" w:color="auto" w:sz="4" w:space="0"/>
            </w:tcBorders>
            <w:noWrap w:val="0"/>
            <w:vAlign w:val="top"/>
          </w:tcPr>
          <w:p w14:paraId="4C40014F">
            <w:pPr>
              <w:spacing w:line="360" w:lineRule="auto"/>
              <w:ind w:firstLine="480" w:firstLineChars="200"/>
              <w:rPr>
                <w:rFonts w:hint="eastAsia" w:ascii="仿宋" w:hAnsi="仿宋" w:eastAsia="仿宋" w:cs="仿宋"/>
                <w:color w:val="auto"/>
                <w:sz w:val="24"/>
                <w:szCs w:val="24"/>
                <w:highlight w:val="none"/>
              </w:rPr>
            </w:pPr>
          </w:p>
          <w:p w14:paraId="68B8C781">
            <w:pPr>
              <w:spacing w:line="360" w:lineRule="auto"/>
              <w:rPr>
                <w:rFonts w:hint="eastAsia" w:ascii="仿宋" w:hAnsi="仿宋" w:eastAsia="仿宋" w:cs="仿宋"/>
                <w:color w:val="auto"/>
                <w:sz w:val="24"/>
                <w:szCs w:val="24"/>
                <w:highlight w:val="none"/>
              </w:rPr>
            </w:pPr>
          </w:p>
          <w:p w14:paraId="5DEA4A8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粘贴法定代表人身份证复印件（反面）</w:t>
            </w:r>
          </w:p>
        </w:tc>
      </w:tr>
    </w:tbl>
    <w:p w14:paraId="4E316E9E">
      <w:pPr>
        <w:spacing w:line="240" w:lineRule="auto"/>
        <w:ind w:left="1260"/>
        <w:rPr>
          <w:rFonts w:hint="eastAsia" w:ascii="仿宋" w:hAnsi="仿宋" w:eastAsia="仿宋" w:cs="仿宋"/>
          <w:color w:val="auto"/>
          <w:sz w:val="24"/>
          <w:szCs w:val="24"/>
          <w:highlight w:val="none"/>
        </w:rPr>
      </w:pPr>
    </w:p>
    <w:tbl>
      <w:tblPr>
        <w:tblStyle w:val="45"/>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8"/>
        <w:gridCol w:w="4175"/>
      </w:tblGrid>
      <w:tr w14:paraId="182C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4138" w:type="dxa"/>
            <w:tcBorders>
              <w:top w:val="single" w:color="auto" w:sz="4" w:space="0"/>
              <w:left w:val="single" w:color="auto" w:sz="4" w:space="0"/>
              <w:bottom w:val="single" w:color="auto" w:sz="4" w:space="0"/>
              <w:right w:val="single" w:color="auto" w:sz="4" w:space="0"/>
            </w:tcBorders>
            <w:noWrap w:val="0"/>
            <w:vAlign w:val="top"/>
          </w:tcPr>
          <w:p w14:paraId="6EDF3A23">
            <w:pPr>
              <w:spacing w:line="360" w:lineRule="auto"/>
              <w:ind w:firstLine="480" w:firstLineChars="200"/>
              <w:jc w:val="center"/>
              <w:rPr>
                <w:rFonts w:hint="eastAsia" w:ascii="仿宋" w:hAnsi="仿宋" w:eastAsia="仿宋" w:cs="仿宋"/>
                <w:color w:val="auto"/>
                <w:sz w:val="24"/>
                <w:szCs w:val="24"/>
                <w:highlight w:val="none"/>
              </w:rPr>
            </w:pPr>
          </w:p>
          <w:p w14:paraId="4BAAB618">
            <w:pPr>
              <w:spacing w:line="360" w:lineRule="auto"/>
              <w:jc w:val="both"/>
              <w:rPr>
                <w:rFonts w:hint="eastAsia" w:ascii="仿宋" w:hAnsi="仿宋" w:eastAsia="仿宋" w:cs="仿宋"/>
                <w:color w:val="auto"/>
                <w:sz w:val="24"/>
                <w:szCs w:val="24"/>
                <w:highlight w:val="none"/>
              </w:rPr>
            </w:pPr>
          </w:p>
          <w:p w14:paraId="4E7D89B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粘贴授权委托人身份证复印件（正面）</w:t>
            </w:r>
          </w:p>
        </w:tc>
        <w:tc>
          <w:tcPr>
            <w:tcW w:w="4175" w:type="dxa"/>
            <w:tcBorders>
              <w:top w:val="single" w:color="auto" w:sz="4" w:space="0"/>
              <w:left w:val="single" w:color="auto" w:sz="4" w:space="0"/>
              <w:bottom w:val="single" w:color="auto" w:sz="4" w:space="0"/>
              <w:right w:val="single" w:color="auto" w:sz="4" w:space="0"/>
            </w:tcBorders>
            <w:noWrap w:val="0"/>
            <w:vAlign w:val="top"/>
          </w:tcPr>
          <w:p w14:paraId="21B25A74">
            <w:pPr>
              <w:spacing w:line="360" w:lineRule="auto"/>
              <w:ind w:firstLine="480" w:firstLineChars="200"/>
              <w:rPr>
                <w:rFonts w:hint="eastAsia" w:ascii="仿宋" w:hAnsi="仿宋" w:eastAsia="仿宋" w:cs="仿宋"/>
                <w:color w:val="auto"/>
                <w:sz w:val="24"/>
                <w:szCs w:val="24"/>
                <w:highlight w:val="none"/>
              </w:rPr>
            </w:pPr>
          </w:p>
          <w:p w14:paraId="2ACAE854">
            <w:pPr>
              <w:spacing w:line="360" w:lineRule="auto"/>
              <w:rPr>
                <w:rFonts w:hint="eastAsia" w:ascii="仿宋" w:hAnsi="仿宋" w:eastAsia="仿宋" w:cs="仿宋"/>
                <w:color w:val="auto"/>
                <w:sz w:val="24"/>
                <w:szCs w:val="24"/>
                <w:highlight w:val="none"/>
              </w:rPr>
            </w:pPr>
          </w:p>
          <w:p w14:paraId="6A4F202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粘贴授权委托人身份证复印件（反面）</w:t>
            </w:r>
          </w:p>
        </w:tc>
      </w:tr>
    </w:tbl>
    <w:p w14:paraId="650C8790">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52E2A37">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法定代表人（签字或盖章）： </w:t>
      </w:r>
    </w:p>
    <w:p w14:paraId="7378BC6F">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授权委托人（签字）：                          </w:t>
      </w:r>
    </w:p>
    <w:p w14:paraId="4913F874">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55EF4138">
      <w:pPr>
        <w:numPr>
          <w:ilvl w:val="0"/>
          <w:numId w:val="0"/>
        </w:numPr>
        <w:tabs>
          <w:tab w:val="left" w:pos="1813"/>
        </w:tabs>
        <w:autoSpaceDE w:val="0"/>
        <w:autoSpaceDN w:val="0"/>
        <w:adjustRightInd w:val="0"/>
        <w:spacing w:line="600" w:lineRule="auto"/>
        <w:jc w:val="both"/>
        <w:rPr>
          <w:rFonts w:hint="eastAsia"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lang w:val="en-US" w:eastAsia="zh-CN"/>
        </w:rPr>
        <w:t>注意</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如参与投标人员为企业法定代表人则无需填写法定代表人授权委托书</w:t>
      </w:r>
    </w:p>
    <w:p w14:paraId="26920B27">
      <w:pPr>
        <w:keepNext w:val="0"/>
        <w:keepLines w:val="0"/>
        <w:pageBreakBefore w:val="0"/>
        <w:widowControl w:val="0"/>
        <w:kinsoku/>
        <w:wordWrap/>
        <w:overflowPunct/>
        <w:topLinePunct w:val="0"/>
        <w:autoSpaceDE/>
        <w:autoSpaceDN/>
        <w:bidi w:val="0"/>
        <w:adjustRightInd/>
        <w:snapToGrid/>
        <w:spacing w:line="384" w:lineRule="auto"/>
        <w:ind w:firstLine="723" w:firstLineChars="300"/>
        <w:textAlignment w:val="auto"/>
        <w:rPr>
          <w:rFonts w:hint="default" w:ascii="仿宋" w:hAnsi="仿宋" w:eastAsia="仿宋" w:cs="仿宋"/>
          <w:b/>
          <w:bCs/>
          <w:color w:val="auto"/>
          <w:sz w:val="24"/>
          <w:szCs w:val="24"/>
          <w:highlight w:val="none"/>
          <w:lang w:val="en-US" w:eastAsia="zh-CN"/>
        </w:rPr>
      </w:pPr>
    </w:p>
    <w:p w14:paraId="6781EEA1">
      <w:pPr>
        <w:numPr>
          <w:ilvl w:val="0"/>
          <w:numId w:val="17"/>
        </w:numPr>
        <w:spacing w:line="720" w:lineRule="auto"/>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提供2024年度由第三方财务审计机构出具的财务审计报告（2025年新成立的公司可不提供但需提供银行出具的近三个月的资信证明）；</w:t>
      </w:r>
    </w:p>
    <w:p w14:paraId="07C0742C">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14:paraId="068FE6A8">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01A7B13A">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5CE8C65C">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1B90BB8B">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0216935F">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55EF2C4C">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166397B9">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7B0298E1">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158E70C4">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26EF6823">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4BF36179">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415556DB">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49B70B79">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02CB5D40">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43FF31DA">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7D23C1C9">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56B16853">
      <w:pPr>
        <w:numPr>
          <w:ilvl w:val="0"/>
          <w:numId w:val="17"/>
        </w:numPr>
        <w:spacing w:line="720" w:lineRule="auto"/>
        <w:jc w:val="center"/>
        <w:rPr>
          <w:rFonts w:hint="default"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提供本单位2025年2月至2025年6月社保缴费凭证，成立不足五个月的按实际提供，提供税务机关出具近五个月（2025年2月至2025年6月）的完税证明（新成立不足五个月的，按实际情况发生提供）；</w:t>
      </w:r>
    </w:p>
    <w:p w14:paraId="7BDA1296">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14:paraId="5B598CED">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65E872F3">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27B49DF">
      <w:pPr>
        <w:spacing w:line="720" w:lineRule="auto"/>
        <w:jc w:val="center"/>
        <w:rPr>
          <w:rFonts w:hint="eastAsia" w:ascii="仿宋" w:hAnsi="仿宋" w:eastAsia="仿宋" w:cs="仿宋"/>
          <w:b/>
          <w:bCs/>
          <w:color w:val="auto"/>
          <w:kern w:val="2"/>
          <w:sz w:val="28"/>
          <w:szCs w:val="28"/>
          <w:highlight w:val="none"/>
          <w:lang w:val="en-US" w:eastAsia="zh-CN" w:bidi="ar-SA"/>
        </w:rPr>
      </w:pPr>
    </w:p>
    <w:p w14:paraId="78C61442">
      <w:pPr>
        <w:spacing w:line="720" w:lineRule="auto"/>
        <w:jc w:val="center"/>
        <w:rPr>
          <w:rFonts w:hint="eastAsia" w:ascii="仿宋" w:hAnsi="仿宋" w:eastAsia="仿宋" w:cs="仿宋"/>
          <w:b/>
          <w:bCs/>
          <w:color w:val="auto"/>
          <w:kern w:val="2"/>
          <w:sz w:val="28"/>
          <w:szCs w:val="28"/>
          <w:highlight w:val="none"/>
          <w:lang w:val="en-US" w:eastAsia="zh-CN" w:bidi="ar-SA"/>
        </w:rPr>
      </w:pPr>
    </w:p>
    <w:p w14:paraId="48AE1D95">
      <w:pPr>
        <w:spacing w:line="720" w:lineRule="auto"/>
        <w:jc w:val="center"/>
        <w:rPr>
          <w:rFonts w:hint="eastAsia" w:ascii="仿宋" w:hAnsi="仿宋" w:eastAsia="仿宋" w:cs="仿宋"/>
          <w:b/>
          <w:bCs/>
          <w:color w:val="auto"/>
          <w:kern w:val="2"/>
          <w:sz w:val="28"/>
          <w:szCs w:val="28"/>
          <w:highlight w:val="none"/>
          <w:lang w:val="en-US" w:eastAsia="zh-CN" w:bidi="ar-SA"/>
        </w:rPr>
      </w:pPr>
    </w:p>
    <w:p w14:paraId="36FD647C">
      <w:pPr>
        <w:spacing w:line="720" w:lineRule="auto"/>
        <w:jc w:val="center"/>
        <w:rPr>
          <w:rFonts w:hint="eastAsia" w:ascii="仿宋" w:hAnsi="仿宋" w:eastAsia="仿宋" w:cs="仿宋"/>
          <w:b/>
          <w:bCs/>
          <w:color w:val="auto"/>
          <w:kern w:val="2"/>
          <w:sz w:val="28"/>
          <w:szCs w:val="28"/>
          <w:highlight w:val="none"/>
          <w:lang w:val="en-US" w:eastAsia="zh-CN" w:bidi="ar-SA"/>
        </w:rPr>
      </w:pPr>
    </w:p>
    <w:p w14:paraId="70EDAD39">
      <w:pPr>
        <w:spacing w:line="720" w:lineRule="auto"/>
        <w:jc w:val="center"/>
        <w:rPr>
          <w:rFonts w:hint="eastAsia" w:ascii="仿宋" w:hAnsi="仿宋" w:eastAsia="仿宋" w:cs="仿宋"/>
          <w:b/>
          <w:bCs/>
          <w:color w:val="auto"/>
          <w:kern w:val="2"/>
          <w:sz w:val="28"/>
          <w:szCs w:val="28"/>
          <w:highlight w:val="none"/>
          <w:lang w:val="en-US" w:eastAsia="zh-CN" w:bidi="ar-SA"/>
        </w:rPr>
      </w:pPr>
    </w:p>
    <w:p w14:paraId="5C698099">
      <w:pPr>
        <w:spacing w:line="720" w:lineRule="auto"/>
        <w:jc w:val="center"/>
        <w:rPr>
          <w:rFonts w:hint="eastAsia" w:ascii="仿宋" w:hAnsi="仿宋" w:eastAsia="仿宋" w:cs="仿宋"/>
          <w:b/>
          <w:bCs/>
          <w:color w:val="auto"/>
          <w:kern w:val="2"/>
          <w:sz w:val="28"/>
          <w:szCs w:val="28"/>
          <w:highlight w:val="none"/>
          <w:lang w:val="en-US" w:eastAsia="zh-CN" w:bidi="ar-SA"/>
        </w:rPr>
      </w:pPr>
    </w:p>
    <w:p w14:paraId="4FA956B4">
      <w:pPr>
        <w:spacing w:line="720" w:lineRule="auto"/>
        <w:jc w:val="center"/>
        <w:rPr>
          <w:rFonts w:hint="eastAsia" w:ascii="仿宋" w:hAnsi="仿宋" w:eastAsia="仿宋" w:cs="仿宋"/>
          <w:b/>
          <w:bCs/>
          <w:color w:val="auto"/>
          <w:kern w:val="2"/>
          <w:sz w:val="28"/>
          <w:szCs w:val="28"/>
          <w:highlight w:val="none"/>
          <w:lang w:val="en-US" w:eastAsia="zh-CN" w:bidi="ar-SA"/>
        </w:rPr>
      </w:pPr>
    </w:p>
    <w:p w14:paraId="584C87F1">
      <w:pPr>
        <w:spacing w:line="720" w:lineRule="auto"/>
        <w:jc w:val="center"/>
        <w:rPr>
          <w:rFonts w:hint="eastAsia" w:ascii="仿宋" w:hAnsi="仿宋" w:eastAsia="仿宋" w:cs="仿宋"/>
          <w:b/>
          <w:bCs/>
          <w:color w:val="auto"/>
          <w:kern w:val="2"/>
          <w:sz w:val="28"/>
          <w:szCs w:val="28"/>
          <w:highlight w:val="none"/>
          <w:lang w:val="en-US" w:eastAsia="zh-CN" w:bidi="ar-SA"/>
        </w:rPr>
      </w:pPr>
    </w:p>
    <w:p w14:paraId="14CD4562">
      <w:pPr>
        <w:spacing w:line="720" w:lineRule="auto"/>
        <w:jc w:val="both"/>
        <w:rPr>
          <w:rFonts w:hint="eastAsia" w:ascii="仿宋" w:hAnsi="仿宋" w:eastAsia="仿宋" w:cs="仿宋"/>
          <w:b/>
          <w:bCs/>
          <w:color w:val="auto"/>
          <w:kern w:val="2"/>
          <w:sz w:val="28"/>
          <w:szCs w:val="28"/>
          <w:highlight w:val="none"/>
          <w:lang w:val="en-US" w:eastAsia="zh-CN" w:bidi="ar-SA"/>
        </w:rPr>
      </w:pPr>
    </w:p>
    <w:p w14:paraId="0858469E">
      <w:pPr>
        <w:numPr>
          <w:ilvl w:val="0"/>
          <w:numId w:val="17"/>
        </w:numPr>
        <w:spacing w:line="720" w:lineRule="auto"/>
        <w:ind w:left="0" w:leftChars="0" w:firstLine="0" w:firstLineChars="0"/>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提供①“信用中国”网站（www.creditchina.gov.cn）；②中国政府采购网（www.ccgp.gov.cn）网站查询截图；未被列入失信被执行人、重大税收违法案件当事人名单、政府采购严重违法失信行为记录名单的（尚在处罚期内的）、经营异常名录</w:t>
      </w:r>
    </w:p>
    <w:p w14:paraId="42F4EE64">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14:paraId="4D8190B2">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0B367549">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4BDAA3B8">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0651FCE2">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768C2BCA">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1A2EE867">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06E5D4CE">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51C7AF23">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0054347A">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3F44A321">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20E4864E">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right"/>
        <w:textAlignment w:val="auto"/>
        <w:rPr>
          <w:rFonts w:hint="eastAsia" w:ascii="仿宋" w:hAnsi="仿宋" w:eastAsia="仿宋" w:cs="仿宋"/>
          <w:color w:val="auto"/>
          <w:sz w:val="24"/>
          <w:szCs w:val="24"/>
          <w:highlight w:val="none"/>
        </w:rPr>
      </w:pPr>
    </w:p>
    <w:p w14:paraId="3B6CC063">
      <w:pPr>
        <w:keepNext w:val="0"/>
        <w:keepLines w:val="0"/>
        <w:pageBreakBefore w:val="0"/>
        <w:widowControl w:val="0"/>
        <w:kinsoku/>
        <w:wordWrap/>
        <w:overflowPunct/>
        <w:topLinePunct w:val="0"/>
        <w:autoSpaceDE/>
        <w:autoSpaceDN/>
        <w:bidi w:val="0"/>
        <w:adjustRightInd/>
        <w:snapToGrid/>
        <w:spacing w:line="552" w:lineRule="auto"/>
        <w:ind w:firstLine="480" w:firstLineChars="200"/>
        <w:jc w:val="both"/>
        <w:textAlignment w:val="auto"/>
        <w:rPr>
          <w:rFonts w:hint="eastAsia" w:ascii="仿宋" w:hAnsi="仿宋" w:eastAsia="仿宋" w:cs="仿宋"/>
          <w:color w:val="auto"/>
          <w:sz w:val="24"/>
          <w:szCs w:val="24"/>
          <w:highlight w:val="none"/>
        </w:rPr>
      </w:pPr>
    </w:p>
    <w:p w14:paraId="3F11BD89">
      <w:pPr>
        <w:keepNext w:val="0"/>
        <w:keepLines w:val="0"/>
        <w:pageBreakBefore w:val="0"/>
        <w:widowControl w:val="0"/>
        <w:kinsoku/>
        <w:wordWrap/>
        <w:overflowPunct/>
        <w:topLinePunct w:val="0"/>
        <w:autoSpaceDE/>
        <w:autoSpaceDN/>
        <w:bidi w:val="0"/>
        <w:adjustRightInd/>
        <w:snapToGrid/>
        <w:spacing w:line="552" w:lineRule="auto"/>
        <w:jc w:val="both"/>
        <w:textAlignment w:val="auto"/>
        <w:rPr>
          <w:rFonts w:hint="eastAsia" w:ascii="仿宋" w:hAnsi="仿宋" w:eastAsia="仿宋" w:cs="仿宋"/>
          <w:color w:val="auto"/>
          <w:sz w:val="24"/>
          <w:szCs w:val="24"/>
          <w:highlight w:val="none"/>
        </w:rPr>
      </w:pPr>
    </w:p>
    <w:p w14:paraId="50023764">
      <w:pPr>
        <w:numPr>
          <w:ilvl w:val="0"/>
          <w:numId w:val="17"/>
        </w:numPr>
        <w:spacing w:line="720" w:lineRule="auto"/>
        <w:ind w:left="0" w:leftChars="0" w:firstLine="0" w:firstLineChars="0"/>
        <w:jc w:val="center"/>
        <w:rPr>
          <w:rFonts w:hint="default" w:ascii="仿宋" w:hAnsi="仿宋" w:eastAsia="仿宋" w:cs="仿宋"/>
          <w:b/>
          <w:bCs/>
          <w:color w:val="auto"/>
          <w:kern w:val="2"/>
          <w:sz w:val="28"/>
          <w:szCs w:val="28"/>
          <w:highlight w:val="none"/>
          <w:lang w:val="en-US" w:eastAsia="zh-CN" w:bidi="ar-SA"/>
        </w:rPr>
      </w:pPr>
      <w:r>
        <w:rPr>
          <w:rFonts w:hint="default" w:ascii="仿宋" w:hAnsi="仿宋" w:eastAsia="仿宋" w:cs="仿宋"/>
          <w:b/>
          <w:bCs/>
          <w:color w:val="auto"/>
          <w:kern w:val="2"/>
          <w:sz w:val="28"/>
          <w:szCs w:val="28"/>
          <w:highlight w:val="none"/>
          <w:lang w:val="en-US" w:eastAsia="zh-CN" w:bidi="ar-SA"/>
        </w:rPr>
        <w:t>提供参加政府采购活动前三年内，在经营活动中没有重大违法记录的书面声明；</w:t>
      </w:r>
    </w:p>
    <w:p w14:paraId="438D994E">
      <w:pPr>
        <w:pStyle w:val="24"/>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我公司承诺在参加本次</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（项目编号、项目名称）</w:t>
      </w:r>
      <w:r>
        <w:rPr>
          <w:rFonts w:hint="eastAsia" w:ascii="仿宋" w:hAnsi="仿宋" w:eastAsia="仿宋" w:cs="仿宋"/>
          <w:color w:val="auto"/>
          <w:sz w:val="24"/>
          <w:szCs w:val="24"/>
          <w:highlight w:val="none"/>
        </w:rPr>
        <w:t xml:space="preserve">投标前三年内，无以下行为： </w:t>
      </w:r>
    </w:p>
    <w:p w14:paraId="4BCB7348">
      <w:pPr>
        <w:pStyle w:val="24"/>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重大违法行为；</w:t>
      </w:r>
    </w:p>
    <w:p w14:paraId="21A70BF8">
      <w:pPr>
        <w:pStyle w:val="24"/>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商业贿赂行为；</w:t>
      </w:r>
    </w:p>
    <w:p w14:paraId="40810508">
      <w:pPr>
        <w:pStyle w:val="24"/>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政府采购法《第七十七条》，列入不良行为记录名单的各种行为；</w:t>
      </w:r>
    </w:p>
    <w:p w14:paraId="480CD8B0">
      <w:pPr>
        <w:pStyle w:val="24"/>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如有上述行为，我公司及项目参与人员自愿放弃本次项目的投标、报价资格，若为预中标、成交人，也自愿放弃中标、成交资格。</w:t>
      </w:r>
    </w:p>
    <w:p w14:paraId="2C7938A6">
      <w:pPr>
        <w:pStyle w:val="24"/>
        <w:spacing w:line="480" w:lineRule="auto"/>
        <w:ind w:left="46" w:leftChars="22" w:firstLine="480" w:firstLineChars="200"/>
        <w:rPr>
          <w:rFonts w:hint="eastAsia" w:ascii="仿宋" w:hAnsi="仿宋" w:eastAsia="仿宋" w:cs="仿宋"/>
          <w:color w:val="auto"/>
          <w:sz w:val="24"/>
          <w:szCs w:val="24"/>
          <w:highlight w:val="none"/>
        </w:rPr>
      </w:pPr>
    </w:p>
    <w:p w14:paraId="0E14A73F">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14:paraId="33C65F89">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3A1172E0">
      <w:pPr>
        <w:spacing w:line="48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年   月   日</w:t>
      </w:r>
    </w:p>
    <w:p w14:paraId="47BF82A3">
      <w:pPr>
        <w:rPr>
          <w:rFonts w:hint="eastAsia"/>
          <w:color w:val="auto"/>
          <w:highlight w:val="none"/>
          <w:lang w:val="en-US" w:eastAsia="zh-CN"/>
        </w:rPr>
      </w:pPr>
    </w:p>
    <w:p w14:paraId="3F1C7284">
      <w:pPr>
        <w:rPr>
          <w:rFonts w:hint="eastAsia"/>
          <w:color w:val="auto"/>
          <w:highlight w:val="none"/>
          <w:lang w:val="en-US" w:eastAsia="zh-CN"/>
        </w:rPr>
      </w:pPr>
    </w:p>
    <w:p w14:paraId="1D0B6F27">
      <w:pPr>
        <w:rPr>
          <w:rFonts w:hint="eastAsia"/>
          <w:color w:val="auto"/>
          <w:highlight w:val="none"/>
          <w:lang w:val="en-US" w:eastAsia="zh-CN"/>
        </w:rPr>
      </w:pPr>
    </w:p>
    <w:p w14:paraId="6FC4A23E">
      <w:pPr>
        <w:rPr>
          <w:rFonts w:hint="eastAsia"/>
          <w:color w:val="auto"/>
          <w:highlight w:val="none"/>
          <w:lang w:val="en-US" w:eastAsia="zh-CN"/>
        </w:rPr>
      </w:pPr>
    </w:p>
    <w:p w14:paraId="69862164">
      <w:pPr>
        <w:rPr>
          <w:rFonts w:hint="eastAsia"/>
          <w:color w:val="auto"/>
          <w:highlight w:val="none"/>
          <w:lang w:val="en-US" w:eastAsia="zh-CN"/>
        </w:rPr>
      </w:pPr>
    </w:p>
    <w:p w14:paraId="58B00658">
      <w:pPr>
        <w:rPr>
          <w:rFonts w:hint="eastAsia"/>
          <w:color w:val="auto"/>
          <w:highlight w:val="none"/>
          <w:lang w:val="en-US" w:eastAsia="zh-CN"/>
        </w:rPr>
      </w:pPr>
    </w:p>
    <w:p w14:paraId="1E74920C">
      <w:pPr>
        <w:rPr>
          <w:rFonts w:hint="eastAsia"/>
          <w:color w:val="auto"/>
          <w:highlight w:val="none"/>
          <w:lang w:val="en-US" w:eastAsia="zh-CN"/>
        </w:rPr>
      </w:pPr>
    </w:p>
    <w:p w14:paraId="43A84CF9">
      <w:pPr>
        <w:rPr>
          <w:rFonts w:hint="eastAsia"/>
          <w:color w:val="auto"/>
          <w:highlight w:val="none"/>
          <w:lang w:val="en-US" w:eastAsia="zh-CN"/>
        </w:rPr>
      </w:pPr>
    </w:p>
    <w:p w14:paraId="5ADE3080">
      <w:pPr>
        <w:rPr>
          <w:rFonts w:hint="eastAsia"/>
          <w:color w:val="auto"/>
          <w:highlight w:val="none"/>
          <w:lang w:val="en-US" w:eastAsia="zh-CN"/>
        </w:rPr>
      </w:pPr>
    </w:p>
    <w:p w14:paraId="4DEB2F8B">
      <w:pPr>
        <w:rPr>
          <w:rFonts w:hint="eastAsia"/>
          <w:color w:val="auto"/>
          <w:highlight w:val="none"/>
          <w:lang w:val="en-US" w:eastAsia="zh-CN"/>
        </w:rPr>
      </w:pPr>
    </w:p>
    <w:p w14:paraId="06A970DF">
      <w:pPr>
        <w:rPr>
          <w:rFonts w:hint="eastAsia"/>
          <w:color w:val="auto"/>
          <w:highlight w:val="none"/>
          <w:lang w:val="en-US" w:eastAsia="zh-CN"/>
        </w:rPr>
      </w:pPr>
    </w:p>
    <w:p w14:paraId="0DC9147E">
      <w:pPr>
        <w:rPr>
          <w:rFonts w:hint="eastAsia"/>
          <w:color w:val="auto"/>
          <w:highlight w:val="none"/>
          <w:lang w:val="en-US" w:eastAsia="zh-CN"/>
        </w:rPr>
      </w:pPr>
    </w:p>
    <w:p w14:paraId="12B570D2">
      <w:pPr>
        <w:rPr>
          <w:rFonts w:hint="eastAsia"/>
          <w:color w:val="auto"/>
          <w:highlight w:val="none"/>
          <w:lang w:val="en-US" w:eastAsia="zh-CN"/>
        </w:rPr>
      </w:pPr>
    </w:p>
    <w:p w14:paraId="35C86BF0">
      <w:pPr>
        <w:rPr>
          <w:rFonts w:hint="eastAsia"/>
          <w:color w:val="auto"/>
          <w:highlight w:val="none"/>
          <w:lang w:val="en-US" w:eastAsia="zh-CN"/>
        </w:rPr>
      </w:pPr>
    </w:p>
    <w:p w14:paraId="7AF7B8AA">
      <w:pPr>
        <w:rPr>
          <w:rFonts w:hint="eastAsia"/>
          <w:color w:val="auto"/>
          <w:highlight w:val="none"/>
          <w:lang w:val="en-US" w:eastAsia="zh-CN"/>
        </w:rPr>
      </w:pPr>
    </w:p>
    <w:p w14:paraId="553F855D">
      <w:pPr>
        <w:rPr>
          <w:rFonts w:hint="eastAsia"/>
          <w:color w:val="auto"/>
          <w:highlight w:val="none"/>
          <w:lang w:val="en-US" w:eastAsia="zh-CN"/>
        </w:rPr>
      </w:pPr>
    </w:p>
    <w:p w14:paraId="784EE044">
      <w:pPr>
        <w:rPr>
          <w:rFonts w:hint="eastAsia"/>
          <w:color w:val="auto"/>
          <w:highlight w:val="none"/>
          <w:lang w:val="en-US" w:eastAsia="zh-CN"/>
        </w:rPr>
      </w:pPr>
    </w:p>
    <w:p w14:paraId="59C0DBAD">
      <w:pPr>
        <w:rPr>
          <w:rFonts w:hint="eastAsia"/>
          <w:color w:val="auto"/>
          <w:highlight w:val="none"/>
          <w:lang w:val="en-US" w:eastAsia="zh-CN"/>
        </w:rPr>
      </w:pPr>
    </w:p>
    <w:p w14:paraId="2FFFB44C">
      <w:pPr>
        <w:spacing w:line="720" w:lineRule="auto"/>
        <w:jc w:val="center"/>
        <w:rPr>
          <w:rFonts w:hint="default"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十、投标保证金汇款凭证及保证金收据</w:t>
      </w:r>
    </w:p>
    <w:p w14:paraId="1806FA81">
      <w:pPr>
        <w:spacing w:line="72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（投标保证金汇款凭证及保证金收据或保函、，复印件加盖公章）</w:t>
      </w:r>
    </w:p>
    <w:p w14:paraId="4CFFB26E">
      <w:pPr>
        <w:spacing w:line="440" w:lineRule="exact"/>
        <w:jc w:val="center"/>
        <w:rPr>
          <w:rFonts w:hint="eastAsia" w:ascii="仿宋" w:hAnsi="仿宋" w:eastAsia="仿宋" w:cs="仿宋"/>
          <w:b/>
          <w:bCs/>
          <w:color w:val="auto"/>
          <w:kern w:val="2"/>
          <w:sz w:val="28"/>
          <w:szCs w:val="32"/>
          <w:highlight w:val="none"/>
          <w:lang w:val="en-US" w:eastAsia="zh-CN" w:bidi="ar-SA"/>
        </w:rPr>
      </w:pPr>
    </w:p>
    <w:p w14:paraId="36E69BC8">
      <w:pPr>
        <w:spacing w:line="440" w:lineRule="exact"/>
        <w:jc w:val="center"/>
        <w:rPr>
          <w:rFonts w:hint="eastAsia" w:ascii="仿宋" w:hAnsi="仿宋" w:eastAsia="仿宋" w:cs="仿宋"/>
          <w:b/>
          <w:bCs/>
          <w:color w:val="auto"/>
          <w:kern w:val="2"/>
          <w:sz w:val="28"/>
          <w:szCs w:val="32"/>
          <w:highlight w:val="none"/>
          <w:lang w:val="en-US" w:eastAsia="zh-CN" w:bidi="ar-SA"/>
        </w:rPr>
      </w:pPr>
    </w:p>
    <w:p w14:paraId="0DB74683">
      <w:pPr>
        <w:spacing w:line="440" w:lineRule="exact"/>
        <w:jc w:val="center"/>
        <w:rPr>
          <w:rFonts w:hint="eastAsia" w:ascii="仿宋" w:hAnsi="仿宋" w:eastAsia="仿宋" w:cs="仿宋"/>
          <w:b/>
          <w:bCs/>
          <w:color w:val="auto"/>
          <w:kern w:val="2"/>
          <w:sz w:val="28"/>
          <w:szCs w:val="32"/>
          <w:highlight w:val="none"/>
          <w:lang w:val="en-US" w:eastAsia="zh-CN" w:bidi="ar-SA"/>
        </w:rPr>
      </w:pPr>
    </w:p>
    <w:p w14:paraId="6A0E9097">
      <w:pPr>
        <w:spacing w:line="440" w:lineRule="exact"/>
        <w:jc w:val="center"/>
        <w:rPr>
          <w:rFonts w:hint="eastAsia" w:ascii="仿宋" w:hAnsi="仿宋" w:eastAsia="仿宋" w:cs="仿宋"/>
          <w:b/>
          <w:bCs/>
          <w:color w:val="auto"/>
          <w:kern w:val="2"/>
          <w:sz w:val="28"/>
          <w:szCs w:val="32"/>
          <w:highlight w:val="none"/>
          <w:lang w:val="en-US" w:eastAsia="zh-CN" w:bidi="ar-SA"/>
        </w:rPr>
      </w:pPr>
    </w:p>
    <w:p w14:paraId="44DAEA4C">
      <w:pPr>
        <w:spacing w:line="440" w:lineRule="exact"/>
        <w:jc w:val="center"/>
        <w:rPr>
          <w:rFonts w:hint="eastAsia" w:ascii="仿宋" w:hAnsi="仿宋" w:eastAsia="仿宋" w:cs="仿宋"/>
          <w:b/>
          <w:bCs/>
          <w:color w:val="auto"/>
          <w:kern w:val="2"/>
          <w:sz w:val="28"/>
          <w:szCs w:val="32"/>
          <w:highlight w:val="none"/>
          <w:lang w:val="en-US" w:eastAsia="zh-CN" w:bidi="ar-SA"/>
        </w:rPr>
      </w:pPr>
    </w:p>
    <w:bookmarkEnd w:id="153"/>
    <w:bookmarkEnd w:id="154"/>
    <w:bookmarkEnd w:id="155"/>
    <w:bookmarkEnd w:id="156"/>
    <w:p w14:paraId="6F1E86ED">
      <w:pPr>
        <w:pStyle w:val="3"/>
        <w:jc w:val="center"/>
        <w:rPr>
          <w:rFonts w:hint="eastAsia" w:ascii="仿宋" w:hAnsi="仿宋" w:eastAsia="仿宋" w:cs="仿宋"/>
          <w:color w:val="auto"/>
          <w:sz w:val="28"/>
          <w:highlight w:val="none"/>
          <w:lang w:val="en-US" w:eastAsia="zh-CN"/>
        </w:rPr>
      </w:pPr>
      <w:bookmarkStart w:id="157" w:name="_Toc23139"/>
      <w:bookmarkStart w:id="158" w:name="_Toc23111"/>
      <w:bookmarkStart w:id="159" w:name="_Toc27405"/>
      <w:bookmarkStart w:id="160" w:name="_Toc14367"/>
      <w:bookmarkStart w:id="161" w:name="_Toc13218"/>
    </w:p>
    <w:p w14:paraId="5BCC79DA">
      <w:pPr>
        <w:pStyle w:val="3"/>
        <w:jc w:val="both"/>
        <w:rPr>
          <w:rFonts w:hint="eastAsia" w:ascii="仿宋" w:hAnsi="仿宋" w:eastAsia="仿宋" w:cs="仿宋"/>
          <w:color w:val="auto"/>
          <w:sz w:val="28"/>
          <w:highlight w:val="none"/>
          <w:lang w:val="en-US" w:eastAsia="zh-CN"/>
        </w:rPr>
      </w:pPr>
    </w:p>
    <w:p w14:paraId="20BDCA16">
      <w:pPr>
        <w:rPr>
          <w:rFonts w:hint="eastAsia" w:ascii="仿宋" w:hAnsi="仿宋" w:eastAsia="仿宋" w:cs="仿宋"/>
          <w:color w:val="auto"/>
          <w:sz w:val="28"/>
          <w:highlight w:val="none"/>
          <w:lang w:val="en-US" w:eastAsia="zh-CN"/>
        </w:rPr>
      </w:pPr>
    </w:p>
    <w:p w14:paraId="2D6E9AC9">
      <w:pPr>
        <w:rPr>
          <w:rFonts w:hint="eastAsia" w:ascii="仿宋" w:hAnsi="仿宋" w:eastAsia="仿宋" w:cs="仿宋"/>
          <w:color w:val="auto"/>
          <w:sz w:val="28"/>
          <w:highlight w:val="none"/>
          <w:lang w:val="en-US" w:eastAsia="zh-CN"/>
        </w:rPr>
      </w:pPr>
    </w:p>
    <w:p w14:paraId="758DEF05">
      <w:pPr>
        <w:rPr>
          <w:rFonts w:hint="eastAsia" w:ascii="仿宋" w:hAnsi="仿宋" w:eastAsia="仿宋" w:cs="仿宋"/>
          <w:color w:val="auto"/>
          <w:sz w:val="28"/>
          <w:highlight w:val="none"/>
          <w:lang w:val="en-US" w:eastAsia="zh-CN"/>
        </w:rPr>
      </w:pPr>
    </w:p>
    <w:p w14:paraId="719D2794">
      <w:pPr>
        <w:rPr>
          <w:rFonts w:hint="eastAsia" w:ascii="仿宋" w:hAnsi="仿宋" w:eastAsia="仿宋" w:cs="仿宋"/>
          <w:color w:val="auto"/>
          <w:sz w:val="28"/>
          <w:highlight w:val="none"/>
          <w:lang w:val="en-US" w:eastAsia="zh-CN"/>
        </w:rPr>
      </w:pPr>
    </w:p>
    <w:p w14:paraId="07DE53E7">
      <w:pPr>
        <w:rPr>
          <w:rFonts w:hint="eastAsia" w:ascii="仿宋" w:hAnsi="仿宋" w:eastAsia="仿宋" w:cs="仿宋"/>
          <w:color w:val="auto"/>
          <w:sz w:val="28"/>
          <w:highlight w:val="none"/>
          <w:lang w:val="en-US" w:eastAsia="zh-CN"/>
        </w:rPr>
      </w:pPr>
    </w:p>
    <w:p w14:paraId="0E80838D">
      <w:pPr>
        <w:rPr>
          <w:rFonts w:hint="eastAsia" w:ascii="仿宋" w:hAnsi="仿宋" w:eastAsia="仿宋" w:cs="仿宋"/>
          <w:color w:val="auto"/>
          <w:sz w:val="28"/>
          <w:highlight w:val="none"/>
          <w:lang w:val="en-US" w:eastAsia="zh-CN"/>
        </w:rPr>
      </w:pPr>
    </w:p>
    <w:p w14:paraId="46EDF75F">
      <w:pPr>
        <w:rPr>
          <w:rFonts w:hint="eastAsia" w:ascii="仿宋" w:hAnsi="仿宋" w:eastAsia="仿宋" w:cs="仿宋"/>
          <w:color w:val="auto"/>
          <w:sz w:val="28"/>
          <w:highlight w:val="none"/>
          <w:lang w:val="en-US" w:eastAsia="zh-CN"/>
        </w:rPr>
      </w:pPr>
    </w:p>
    <w:p w14:paraId="559A831C">
      <w:pPr>
        <w:rPr>
          <w:rFonts w:hint="eastAsia" w:ascii="仿宋" w:hAnsi="仿宋" w:eastAsia="仿宋" w:cs="仿宋"/>
          <w:color w:val="auto"/>
          <w:sz w:val="28"/>
          <w:highlight w:val="none"/>
          <w:lang w:val="en-US" w:eastAsia="zh-CN"/>
        </w:rPr>
      </w:pPr>
    </w:p>
    <w:p w14:paraId="015A075C">
      <w:pPr>
        <w:rPr>
          <w:rFonts w:hint="eastAsia" w:ascii="仿宋" w:hAnsi="仿宋" w:eastAsia="仿宋" w:cs="仿宋"/>
          <w:color w:val="auto"/>
          <w:sz w:val="28"/>
          <w:highlight w:val="none"/>
          <w:lang w:val="en-US" w:eastAsia="zh-CN"/>
        </w:rPr>
      </w:pPr>
    </w:p>
    <w:p w14:paraId="61593FCC">
      <w:pPr>
        <w:rPr>
          <w:rFonts w:hint="eastAsia" w:ascii="仿宋" w:hAnsi="仿宋" w:eastAsia="仿宋" w:cs="仿宋"/>
          <w:color w:val="auto"/>
          <w:sz w:val="28"/>
          <w:highlight w:val="none"/>
          <w:lang w:val="en-US" w:eastAsia="zh-CN"/>
        </w:rPr>
      </w:pPr>
    </w:p>
    <w:p w14:paraId="5266978F">
      <w:pPr>
        <w:rPr>
          <w:rFonts w:hint="eastAsia" w:ascii="仿宋" w:hAnsi="仿宋" w:eastAsia="仿宋" w:cs="仿宋"/>
          <w:color w:val="auto"/>
          <w:sz w:val="28"/>
          <w:highlight w:val="none"/>
          <w:lang w:val="en-US" w:eastAsia="zh-CN"/>
        </w:rPr>
      </w:pPr>
    </w:p>
    <w:p w14:paraId="2FFD3445">
      <w:pPr>
        <w:pStyle w:val="3"/>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十一、</w:t>
      </w:r>
      <w:r>
        <w:rPr>
          <w:rFonts w:hint="eastAsia" w:ascii="仿宋" w:hAnsi="仿宋" w:eastAsia="仿宋" w:cs="仿宋"/>
          <w:color w:val="auto"/>
          <w:sz w:val="28"/>
          <w:highlight w:val="none"/>
        </w:rPr>
        <w:t>商务条款偏离表</w:t>
      </w:r>
      <w:bookmarkEnd w:id="157"/>
      <w:bookmarkEnd w:id="158"/>
      <w:bookmarkEnd w:id="159"/>
      <w:bookmarkEnd w:id="160"/>
      <w:bookmarkEnd w:id="161"/>
    </w:p>
    <w:p w14:paraId="5F2488E7">
      <w:pPr>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12E6CB00">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项目编号：                                                 </w:t>
      </w:r>
    </w:p>
    <w:tbl>
      <w:tblPr>
        <w:tblStyle w:val="45"/>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5"/>
        <w:gridCol w:w="2177"/>
        <w:gridCol w:w="2215"/>
        <w:gridCol w:w="1706"/>
        <w:gridCol w:w="1179"/>
      </w:tblGrid>
      <w:tr w14:paraId="0B7F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14:paraId="0938D7BD">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05" w:type="dxa"/>
            <w:noWrap w:val="0"/>
            <w:vAlign w:val="center"/>
          </w:tcPr>
          <w:p w14:paraId="544E0E9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w:t>
            </w:r>
          </w:p>
          <w:p w14:paraId="47F65C9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条目号</w:t>
            </w:r>
          </w:p>
        </w:tc>
        <w:tc>
          <w:tcPr>
            <w:tcW w:w="2177" w:type="dxa"/>
            <w:noWrap w:val="0"/>
            <w:vAlign w:val="center"/>
          </w:tcPr>
          <w:p w14:paraId="4158B6C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w:t>
            </w:r>
          </w:p>
          <w:p w14:paraId="33A777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商务条款</w:t>
            </w:r>
          </w:p>
        </w:tc>
        <w:tc>
          <w:tcPr>
            <w:tcW w:w="2215" w:type="dxa"/>
            <w:noWrap w:val="0"/>
            <w:vAlign w:val="center"/>
          </w:tcPr>
          <w:p w14:paraId="0CFF2A5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w:t>
            </w:r>
          </w:p>
          <w:p w14:paraId="5871315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商务条款</w:t>
            </w:r>
          </w:p>
        </w:tc>
        <w:tc>
          <w:tcPr>
            <w:tcW w:w="1706" w:type="dxa"/>
            <w:noWrap w:val="0"/>
            <w:vAlign w:val="center"/>
          </w:tcPr>
          <w:p w14:paraId="674BB98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响应与偏离</w:t>
            </w:r>
          </w:p>
        </w:tc>
        <w:tc>
          <w:tcPr>
            <w:tcW w:w="1179" w:type="dxa"/>
            <w:noWrap w:val="0"/>
            <w:vAlign w:val="center"/>
          </w:tcPr>
          <w:p w14:paraId="5A1E5E8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4E67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14:paraId="50FF26E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5" w:type="dxa"/>
            <w:noWrap w:val="0"/>
            <w:vAlign w:val="center"/>
          </w:tcPr>
          <w:p w14:paraId="38503E71">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14:paraId="1C9F8978">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14:paraId="7ACA16A5">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14:paraId="6CE310F8">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14:paraId="37DA45A1">
            <w:pPr>
              <w:spacing w:line="360" w:lineRule="auto"/>
              <w:jc w:val="center"/>
              <w:rPr>
                <w:rFonts w:hint="eastAsia" w:ascii="仿宋" w:hAnsi="仿宋" w:eastAsia="仿宋" w:cs="仿宋"/>
                <w:color w:val="auto"/>
                <w:sz w:val="24"/>
                <w:szCs w:val="24"/>
                <w:highlight w:val="none"/>
              </w:rPr>
            </w:pPr>
          </w:p>
        </w:tc>
      </w:tr>
      <w:tr w14:paraId="54CC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14:paraId="7693074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5" w:type="dxa"/>
            <w:noWrap w:val="0"/>
            <w:vAlign w:val="center"/>
          </w:tcPr>
          <w:p w14:paraId="30C2AEC6">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14:paraId="428B0167">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14:paraId="3D75881F">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14:paraId="1BBB89CA">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14:paraId="6B93F439">
            <w:pPr>
              <w:spacing w:line="360" w:lineRule="auto"/>
              <w:jc w:val="center"/>
              <w:rPr>
                <w:rFonts w:hint="eastAsia" w:ascii="仿宋" w:hAnsi="仿宋" w:eastAsia="仿宋" w:cs="仿宋"/>
                <w:color w:val="auto"/>
                <w:sz w:val="24"/>
                <w:szCs w:val="24"/>
                <w:highlight w:val="none"/>
              </w:rPr>
            </w:pPr>
          </w:p>
        </w:tc>
      </w:tr>
      <w:tr w14:paraId="3268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14:paraId="2F3DCF3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5" w:type="dxa"/>
            <w:noWrap w:val="0"/>
            <w:vAlign w:val="center"/>
          </w:tcPr>
          <w:p w14:paraId="45FA63A8">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14:paraId="7DB7E5D3">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14:paraId="25A29313">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14:paraId="4652A579">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14:paraId="093BD59C">
            <w:pPr>
              <w:spacing w:line="360" w:lineRule="auto"/>
              <w:jc w:val="center"/>
              <w:rPr>
                <w:rFonts w:hint="eastAsia" w:ascii="仿宋" w:hAnsi="仿宋" w:eastAsia="仿宋" w:cs="仿宋"/>
                <w:color w:val="auto"/>
                <w:sz w:val="24"/>
                <w:szCs w:val="24"/>
                <w:highlight w:val="none"/>
              </w:rPr>
            </w:pPr>
          </w:p>
        </w:tc>
      </w:tr>
      <w:tr w14:paraId="21B0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14:paraId="2EA6665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705" w:type="dxa"/>
            <w:noWrap w:val="0"/>
            <w:vAlign w:val="center"/>
          </w:tcPr>
          <w:p w14:paraId="21801185">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14:paraId="6BDDC262">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14:paraId="10A1A36B">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14:paraId="2B2B09BE">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14:paraId="7424EAF4">
            <w:pPr>
              <w:spacing w:line="360" w:lineRule="auto"/>
              <w:jc w:val="center"/>
              <w:rPr>
                <w:rFonts w:hint="eastAsia" w:ascii="仿宋" w:hAnsi="仿宋" w:eastAsia="仿宋" w:cs="仿宋"/>
                <w:color w:val="auto"/>
                <w:sz w:val="24"/>
                <w:szCs w:val="24"/>
                <w:highlight w:val="none"/>
              </w:rPr>
            </w:pPr>
          </w:p>
        </w:tc>
      </w:tr>
      <w:tr w14:paraId="460C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14:paraId="70ABDE66">
            <w:pPr>
              <w:spacing w:line="360" w:lineRule="auto"/>
              <w:jc w:val="center"/>
              <w:rPr>
                <w:rFonts w:hint="eastAsia" w:ascii="仿宋" w:hAnsi="仿宋" w:eastAsia="仿宋" w:cs="仿宋"/>
                <w:color w:val="auto"/>
                <w:sz w:val="24"/>
                <w:szCs w:val="24"/>
                <w:highlight w:val="none"/>
              </w:rPr>
            </w:pPr>
          </w:p>
        </w:tc>
        <w:tc>
          <w:tcPr>
            <w:tcW w:w="1705" w:type="dxa"/>
            <w:noWrap w:val="0"/>
            <w:vAlign w:val="center"/>
          </w:tcPr>
          <w:p w14:paraId="36B322FA">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14:paraId="1D4AC181">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14:paraId="0D286473">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14:paraId="310B73B2">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14:paraId="24CDAB65">
            <w:pPr>
              <w:spacing w:line="360" w:lineRule="auto"/>
              <w:jc w:val="center"/>
              <w:rPr>
                <w:rFonts w:hint="eastAsia" w:ascii="仿宋" w:hAnsi="仿宋" w:eastAsia="仿宋" w:cs="仿宋"/>
                <w:color w:val="auto"/>
                <w:sz w:val="24"/>
                <w:szCs w:val="24"/>
                <w:highlight w:val="none"/>
              </w:rPr>
            </w:pPr>
          </w:p>
        </w:tc>
      </w:tr>
      <w:tr w14:paraId="4F0D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14:paraId="7E13AB62">
            <w:pPr>
              <w:spacing w:line="360" w:lineRule="auto"/>
              <w:jc w:val="center"/>
              <w:rPr>
                <w:rFonts w:hint="eastAsia" w:ascii="仿宋" w:hAnsi="仿宋" w:eastAsia="仿宋" w:cs="仿宋"/>
                <w:color w:val="auto"/>
                <w:sz w:val="24"/>
                <w:szCs w:val="24"/>
                <w:highlight w:val="none"/>
              </w:rPr>
            </w:pPr>
          </w:p>
        </w:tc>
        <w:tc>
          <w:tcPr>
            <w:tcW w:w="1705" w:type="dxa"/>
            <w:noWrap w:val="0"/>
            <w:vAlign w:val="center"/>
          </w:tcPr>
          <w:p w14:paraId="54D9CD1C">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14:paraId="1421AD90">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14:paraId="758F22D1">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14:paraId="05F13050">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14:paraId="3FF03AFE">
            <w:pPr>
              <w:spacing w:line="360" w:lineRule="auto"/>
              <w:jc w:val="center"/>
              <w:rPr>
                <w:rFonts w:hint="eastAsia" w:ascii="仿宋" w:hAnsi="仿宋" w:eastAsia="仿宋" w:cs="仿宋"/>
                <w:color w:val="auto"/>
                <w:sz w:val="24"/>
                <w:szCs w:val="24"/>
                <w:highlight w:val="none"/>
              </w:rPr>
            </w:pPr>
          </w:p>
        </w:tc>
      </w:tr>
      <w:tr w14:paraId="369D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14:paraId="3F488158">
            <w:pPr>
              <w:spacing w:line="360" w:lineRule="auto"/>
              <w:jc w:val="center"/>
              <w:rPr>
                <w:rFonts w:hint="eastAsia" w:ascii="仿宋" w:hAnsi="仿宋" w:eastAsia="仿宋" w:cs="仿宋"/>
                <w:color w:val="auto"/>
                <w:sz w:val="24"/>
                <w:szCs w:val="24"/>
                <w:highlight w:val="none"/>
              </w:rPr>
            </w:pPr>
          </w:p>
        </w:tc>
        <w:tc>
          <w:tcPr>
            <w:tcW w:w="1705" w:type="dxa"/>
            <w:noWrap w:val="0"/>
            <w:vAlign w:val="center"/>
          </w:tcPr>
          <w:p w14:paraId="498862EE">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14:paraId="2AB0153E">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14:paraId="781FF5D4">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14:paraId="2E97B142">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14:paraId="4DA62F2E">
            <w:pPr>
              <w:spacing w:line="360" w:lineRule="auto"/>
              <w:jc w:val="center"/>
              <w:rPr>
                <w:rFonts w:hint="eastAsia" w:ascii="仿宋" w:hAnsi="仿宋" w:eastAsia="仿宋" w:cs="仿宋"/>
                <w:color w:val="auto"/>
                <w:sz w:val="24"/>
                <w:szCs w:val="24"/>
                <w:highlight w:val="none"/>
              </w:rPr>
            </w:pPr>
          </w:p>
        </w:tc>
      </w:tr>
    </w:tbl>
    <w:p w14:paraId="5D7283F4">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color w:val="auto"/>
          <w:sz w:val="24"/>
          <w:szCs w:val="24"/>
          <w:highlight w:val="none"/>
        </w:rPr>
        <w:t>：1、应与招标文件要求的实质性条款对应填写，如投标企业填写无偏离或此表空白，则视为完全响应招标文件。</w:t>
      </w:r>
    </w:p>
    <w:p w14:paraId="44F1044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2、本表如填写不完，可以续页。</w:t>
      </w:r>
    </w:p>
    <w:p w14:paraId="529B896D">
      <w:pPr>
        <w:spacing w:line="360" w:lineRule="auto"/>
        <w:rPr>
          <w:rFonts w:hint="eastAsia" w:ascii="仿宋" w:hAnsi="仿宋" w:eastAsia="仿宋" w:cs="仿宋"/>
          <w:color w:val="auto"/>
          <w:sz w:val="24"/>
          <w:szCs w:val="24"/>
          <w:highlight w:val="none"/>
        </w:rPr>
      </w:pPr>
    </w:p>
    <w:p w14:paraId="152BE32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14:paraId="56A91B07">
      <w:pPr>
        <w:spacing w:line="360" w:lineRule="auto"/>
        <w:ind w:firstLine="4080" w:firstLineChars="1700"/>
        <w:rPr>
          <w:rFonts w:hint="eastAsia" w:ascii="仿宋" w:hAnsi="仿宋" w:eastAsia="仿宋" w:cs="仿宋"/>
          <w:color w:val="auto"/>
          <w:sz w:val="24"/>
          <w:szCs w:val="24"/>
          <w:highlight w:val="none"/>
        </w:rPr>
      </w:pPr>
    </w:p>
    <w:p w14:paraId="10361112">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05F78C40">
      <w:pPr>
        <w:spacing w:line="360" w:lineRule="auto"/>
        <w:rPr>
          <w:rFonts w:hint="eastAsia" w:ascii="仿宋" w:hAnsi="仿宋" w:eastAsia="仿宋" w:cs="仿宋"/>
          <w:color w:val="auto"/>
          <w:sz w:val="24"/>
          <w:szCs w:val="24"/>
          <w:highlight w:val="none"/>
        </w:rPr>
      </w:pPr>
    </w:p>
    <w:p w14:paraId="68EFA1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C10369C">
      <w:pPr>
        <w:pStyle w:val="61"/>
        <w:numPr>
          <w:ilvl w:val="0"/>
          <w:numId w:val="0"/>
        </w:numPr>
        <w:tabs>
          <w:tab w:val="left" w:pos="540"/>
          <w:tab w:val="left" w:pos="1080"/>
        </w:tabs>
        <w:jc w:val="center"/>
        <w:rPr>
          <w:rFonts w:hint="eastAsia" w:ascii="仿宋" w:hAnsi="仿宋" w:eastAsia="仿宋" w:cs="仿宋"/>
          <w:b/>
          <w:bCs/>
          <w:color w:val="auto"/>
          <w:sz w:val="24"/>
          <w:szCs w:val="24"/>
          <w:highlight w:val="none"/>
          <w:lang w:val="en-US" w:eastAsia="zh-CN"/>
        </w:rPr>
      </w:pPr>
    </w:p>
    <w:p w14:paraId="65DB456D">
      <w:pPr>
        <w:pStyle w:val="61"/>
        <w:numPr>
          <w:ilvl w:val="0"/>
          <w:numId w:val="0"/>
        </w:numPr>
        <w:tabs>
          <w:tab w:val="left" w:pos="540"/>
          <w:tab w:val="left" w:pos="1080"/>
        </w:tabs>
        <w:jc w:val="both"/>
        <w:rPr>
          <w:rFonts w:hint="eastAsia" w:ascii="仿宋" w:hAnsi="仿宋" w:eastAsia="仿宋" w:cs="仿宋"/>
          <w:b/>
          <w:bCs/>
          <w:color w:val="auto"/>
          <w:sz w:val="24"/>
          <w:szCs w:val="24"/>
          <w:highlight w:val="none"/>
        </w:rPr>
      </w:pPr>
    </w:p>
    <w:p w14:paraId="7F083463">
      <w:pPr>
        <w:spacing w:line="360" w:lineRule="auto"/>
        <w:ind w:firstLine="480" w:firstLineChars="200"/>
        <w:rPr>
          <w:rFonts w:hint="eastAsia" w:ascii="仿宋" w:hAnsi="仿宋" w:eastAsia="仿宋" w:cs="仿宋"/>
          <w:color w:val="auto"/>
          <w:sz w:val="24"/>
          <w:highlight w:val="none"/>
        </w:rPr>
      </w:pPr>
    </w:p>
    <w:p w14:paraId="007A395E">
      <w:pPr>
        <w:spacing w:line="400" w:lineRule="exact"/>
        <w:jc w:val="both"/>
        <w:rPr>
          <w:rFonts w:hint="eastAsia" w:ascii="仿宋" w:hAnsi="仿宋" w:eastAsia="仿宋" w:cs="仿宋"/>
          <w:b/>
          <w:color w:val="auto"/>
          <w:sz w:val="30"/>
          <w:szCs w:val="30"/>
          <w:highlight w:val="none"/>
        </w:rPr>
        <w:sectPr>
          <w:headerReference r:id="rId3" w:type="default"/>
          <w:footerReference r:id="rId4" w:type="default"/>
          <w:pgSz w:w="11905" w:h="16838"/>
          <w:pgMar w:top="1140" w:right="1202" w:bottom="1162" w:left="1219" w:header="851" w:footer="992" w:gutter="0"/>
          <w:cols w:space="720" w:num="1"/>
          <w:docGrid w:type="lines" w:linePitch="316" w:charSpace="0"/>
        </w:sectPr>
      </w:pPr>
    </w:p>
    <w:bookmarkEnd w:id="140"/>
    <w:p w14:paraId="2B9F5D7D">
      <w:pPr>
        <w:pStyle w:val="24"/>
        <w:numPr>
          <w:ilvl w:val="0"/>
          <w:numId w:val="0"/>
        </w:numPr>
        <w:spacing w:line="360" w:lineRule="auto"/>
        <w:ind w:leftChars="222"/>
        <w:jc w:val="center"/>
        <w:rPr>
          <w:rStyle w:val="144"/>
          <w:rFonts w:hint="eastAsia" w:ascii="仿宋" w:hAnsi="仿宋" w:eastAsia="仿宋" w:cs="仿宋"/>
          <w:bCs w:val="0"/>
          <w:color w:val="auto"/>
          <w:sz w:val="28"/>
          <w:szCs w:val="28"/>
          <w:highlight w:val="none"/>
        </w:rPr>
      </w:pPr>
      <w:r>
        <w:rPr>
          <w:rStyle w:val="144"/>
          <w:rFonts w:hint="eastAsia" w:ascii="仿宋" w:hAnsi="仿宋" w:eastAsia="仿宋" w:cs="仿宋"/>
          <w:bCs w:val="0"/>
          <w:color w:val="auto"/>
          <w:sz w:val="28"/>
          <w:szCs w:val="28"/>
          <w:highlight w:val="none"/>
          <w:lang w:eastAsia="zh-CN"/>
        </w:rPr>
        <w:t>十二、</w:t>
      </w:r>
      <w:r>
        <w:rPr>
          <w:rStyle w:val="144"/>
          <w:rFonts w:hint="eastAsia" w:ascii="仿宋" w:hAnsi="仿宋" w:eastAsia="仿宋" w:cs="仿宋"/>
          <w:bCs w:val="0"/>
          <w:color w:val="auto"/>
          <w:sz w:val="28"/>
          <w:szCs w:val="28"/>
          <w:highlight w:val="none"/>
        </w:rPr>
        <w:t>投标单位（供应商）承诺书</w:t>
      </w:r>
    </w:p>
    <w:p w14:paraId="2F0DB592">
      <w:pPr>
        <w:pStyle w:val="24"/>
        <w:spacing w:line="360" w:lineRule="auto"/>
        <w:ind w:left="46" w:leftChars="22" w:firstLine="562" w:firstLineChars="200"/>
        <w:jc w:val="center"/>
        <w:rPr>
          <w:rFonts w:hint="eastAsia" w:ascii="仿宋" w:hAnsi="仿宋" w:eastAsia="仿宋" w:cs="仿宋"/>
          <w:color w:val="auto"/>
          <w:sz w:val="28"/>
          <w:szCs w:val="28"/>
          <w:highlight w:val="none"/>
        </w:rPr>
      </w:pPr>
      <w:bookmarkStart w:id="162" w:name="_Toc8968"/>
      <w:bookmarkStart w:id="163" w:name="_Toc5662"/>
      <w:bookmarkStart w:id="164" w:name="_Toc15248"/>
      <w:bookmarkStart w:id="165" w:name="_Toc29266"/>
      <w:r>
        <w:rPr>
          <w:rFonts w:hint="eastAsia" w:ascii="仿宋" w:hAnsi="仿宋" w:eastAsia="仿宋" w:cs="仿宋"/>
          <w:b/>
          <w:bCs/>
          <w:color w:val="auto"/>
          <w:sz w:val="28"/>
          <w:szCs w:val="28"/>
          <w:highlight w:val="none"/>
        </w:rPr>
        <w:t>承诺书</w:t>
      </w:r>
    </w:p>
    <w:p w14:paraId="7B294AD9">
      <w:pPr>
        <w:pStyle w:val="24"/>
        <w:keepNext w:val="0"/>
        <w:keepLines w:val="0"/>
        <w:pageBreakBefore w:val="0"/>
        <w:widowControl w:val="0"/>
        <w:kinsoku/>
        <w:wordWrap/>
        <w:overflowPunct/>
        <w:topLinePunct w:val="0"/>
        <w:autoSpaceDE/>
        <w:autoSpaceDN/>
        <w:bidi w:val="0"/>
        <w:adjustRightInd/>
        <w:snapToGrid/>
        <w:spacing w:line="432" w:lineRule="auto"/>
        <w:ind w:left="46" w:leftChars="22"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我公司承诺在</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（项目编号、项目名称）</w:t>
      </w:r>
      <w:r>
        <w:rPr>
          <w:rFonts w:hint="eastAsia" w:ascii="仿宋" w:hAnsi="仿宋" w:eastAsia="仿宋" w:cs="仿宋"/>
          <w:color w:val="auto"/>
          <w:sz w:val="24"/>
          <w:szCs w:val="24"/>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375B6983">
      <w:pPr>
        <w:pStyle w:val="24"/>
        <w:spacing w:line="480" w:lineRule="auto"/>
        <w:ind w:left="46" w:leftChars="22" w:firstLine="480" w:firstLineChars="200"/>
        <w:rPr>
          <w:rFonts w:hint="eastAsia" w:ascii="仿宋" w:hAnsi="仿宋" w:eastAsia="仿宋" w:cs="仿宋"/>
          <w:color w:val="auto"/>
          <w:sz w:val="24"/>
          <w:szCs w:val="24"/>
          <w:highlight w:val="none"/>
        </w:rPr>
      </w:pPr>
    </w:p>
    <w:p w14:paraId="740988EC">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14:paraId="3577510C">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4B8C0EAF">
      <w:pPr>
        <w:spacing w:line="48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年   月   日</w:t>
      </w:r>
    </w:p>
    <w:p w14:paraId="0CE89E58">
      <w:pPr>
        <w:pStyle w:val="24"/>
        <w:spacing w:line="360" w:lineRule="auto"/>
        <w:ind w:left="0" w:leftChars="0" w:firstLine="0" w:firstLineChars="0"/>
        <w:jc w:val="both"/>
        <w:rPr>
          <w:rFonts w:hint="eastAsia" w:ascii="仿宋" w:hAnsi="仿宋" w:eastAsia="仿宋" w:cs="仿宋"/>
          <w:color w:val="auto"/>
          <w:sz w:val="28"/>
          <w:szCs w:val="28"/>
          <w:highlight w:val="none"/>
        </w:rPr>
      </w:pPr>
    </w:p>
    <w:p w14:paraId="37C11717">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p>
    <w:p w14:paraId="789E6643">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p>
    <w:p w14:paraId="7FCB2D7D">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p>
    <w:p w14:paraId="025FB8E1">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p>
    <w:p w14:paraId="2A953535">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p>
    <w:p w14:paraId="54BB588B">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p>
    <w:p w14:paraId="1591E4AB">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p>
    <w:p w14:paraId="49D1D782">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p>
    <w:p w14:paraId="7A56638F">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p>
    <w:p w14:paraId="6A985229">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p>
    <w:p w14:paraId="43E4F6E8">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p>
    <w:p w14:paraId="1116332A">
      <w:pPr>
        <w:pStyle w:val="36"/>
        <w:spacing w:before="120" w:line="360" w:lineRule="auto"/>
        <w:jc w:val="center"/>
        <w:rPr>
          <w:rStyle w:val="144"/>
          <w:rFonts w:hint="eastAsia" w:ascii="仿宋" w:hAnsi="仿宋" w:eastAsia="仿宋" w:cs="仿宋"/>
          <w:bCs w:val="0"/>
          <w:color w:val="auto"/>
          <w:kern w:val="2"/>
          <w:sz w:val="28"/>
          <w:szCs w:val="28"/>
          <w:highlight w:val="none"/>
          <w:lang w:val="en-US" w:eastAsia="zh-CN" w:bidi="ar-SA"/>
        </w:rPr>
      </w:pPr>
      <w:r>
        <w:rPr>
          <w:rStyle w:val="144"/>
          <w:rFonts w:hint="eastAsia" w:ascii="仿宋" w:hAnsi="仿宋" w:eastAsia="仿宋" w:cs="仿宋"/>
          <w:bCs w:val="0"/>
          <w:color w:val="auto"/>
          <w:kern w:val="2"/>
          <w:sz w:val="28"/>
          <w:szCs w:val="28"/>
          <w:highlight w:val="none"/>
          <w:lang w:val="en-US" w:eastAsia="zh-CN" w:bidi="ar-SA"/>
        </w:rPr>
        <w:t>十三、中小企业声明函</w:t>
      </w:r>
      <w:bookmarkEnd w:id="162"/>
      <w:bookmarkEnd w:id="163"/>
      <w:bookmarkEnd w:id="164"/>
      <w:bookmarkEnd w:id="165"/>
    </w:p>
    <w:p w14:paraId="367F666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jc w:val="center"/>
        <w:textAlignment w:val="auto"/>
        <w:outlineLvl w:val="0"/>
        <w:rPr>
          <w:rStyle w:val="133"/>
          <w:rFonts w:hint="eastAsia" w:ascii="仿宋" w:hAnsi="仿宋" w:eastAsia="仿宋" w:cs="仿宋"/>
          <w:b/>
          <w:bCs/>
          <w:color w:val="auto"/>
          <w:sz w:val="24"/>
          <w:szCs w:val="24"/>
          <w:highlight w:val="none"/>
          <w:lang w:val="zh-CN" w:eastAsia="zh-CN"/>
        </w:rPr>
      </w:pPr>
      <w:r>
        <w:rPr>
          <w:rStyle w:val="133"/>
          <w:rFonts w:hint="eastAsia" w:ascii="仿宋" w:hAnsi="仿宋" w:eastAsia="仿宋" w:cs="仿宋"/>
          <w:b/>
          <w:bCs/>
          <w:color w:val="auto"/>
          <w:sz w:val="24"/>
          <w:szCs w:val="24"/>
          <w:highlight w:val="none"/>
          <w:lang w:val="zh-CN" w:eastAsia="zh-CN"/>
        </w:rPr>
        <w:t>中小企业声明函（货物)</w:t>
      </w:r>
    </w:p>
    <w:p w14:paraId="1F869E86">
      <w:pPr>
        <w:pStyle w:val="21"/>
        <w:spacing w:line="360" w:lineRule="auto"/>
        <w:ind w:right="295" w:firstLine="969" w:firstLineChars="404"/>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本公司（联合体）郑重声明，根据《政府采购促进中小企业发展管理办法》（财库〔2020〕[2020]46号）的规定，本公司（联合体）参加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（单位名称）的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（项目名称）采购活动，提供的货物全部由符合政策要求的中小企业制造。相关企业（含联合体中的中小企业、签订分包意向协议的中小企业）的具体情况如下：</w:t>
      </w:r>
    </w:p>
    <w:p w14:paraId="0392F692">
      <w:pPr>
        <w:pStyle w:val="93"/>
        <w:numPr>
          <w:ilvl w:val="0"/>
          <w:numId w:val="0"/>
        </w:numPr>
        <w:tabs>
          <w:tab w:val="left" w:pos="1243"/>
        </w:tabs>
        <w:spacing w:before="0" w:after="0" w:line="360" w:lineRule="auto"/>
        <w:ind w:right="0" w:rightChars="0" w:firstLine="480" w:firstLineChars="200"/>
        <w:jc w:val="both"/>
        <w:rPr>
          <w:rFonts w:hint="eastAsia" w:ascii="仿宋" w:hAnsi="仿宋" w:eastAsia="仿宋" w:cs="仿宋"/>
          <w:color w:val="auto"/>
          <w:sz w:val="24"/>
          <w:szCs w:val="24"/>
          <w:highlight w:val="none"/>
          <w:u w:val="single" w:color="000000"/>
          <w:lang w:val="zh-CN" w:eastAsia="zh-CN" w:bidi="zh-CN"/>
        </w:rPr>
      </w:pPr>
      <w:r>
        <w:rPr>
          <w:rFonts w:hint="eastAsia" w:ascii="仿宋" w:hAnsi="仿宋" w:eastAsia="仿宋" w:cs="仿宋"/>
          <w:color w:val="auto"/>
          <w:sz w:val="24"/>
          <w:szCs w:val="24"/>
          <w:highlight w:val="none"/>
          <w:u w:val="single"/>
          <w:lang w:val="en-US" w:eastAsia="zh-CN" w:bidi="zh-CN"/>
        </w:rPr>
        <w:t>1.</w:t>
      </w:r>
      <w:r>
        <w:rPr>
          <w:rFonts w:hint="eastAsia" w:ascii="仿宋" w:hAnsi="仿宋" w:eastAsia="仿宋" w:cs="仿宋"/>
          <w:color w:val="auto"/>
          <w:sz w:val="24"/>
          <w:szCs w:val="24"/>
          <w:highlight w:val="none"/>
          <w:u w:val="single"/>
          <w:lang w:val="zh-CN" w:eastAsia="zh-CN" w:bidi="zh-CN"/>
        </w:rPr>
        <w:t>（标的名称）</w:t>
      </w:r>
      <w:r>
        <w:rPr>
          <w:rFonts w:hint="eastAsia" w:ascii="仿宋" w:hAnsi="仿宋" w:eastAsia="仿宋" w:cs="仿宋"/>
          <w:color w:val="auto"/>
          <w:spacing w:val="-60"/>
          <w:w w:val="99"/>
          <w:sz w:val="24"/>
          <w:szCs w:val="24"/>
          <w:highlight w:val="none"/>
          <w:u w:val="none"/>
        </w:rPr>
        <w:t>，</w:t>
      </w:r>
      <w:r>
        <w:rPr>
          <w:rFonts w:hint="eastAsia" w:ascii="仿宋" w:hAnsi="仿宋" w:eastAsia="仿宋" w:cs="仿宋"/>
          <w:color w:val="auto"/>
          <w:kern w:val="2"/>
          <w:sz w:val="24"/>
          <w:szCs w:val="24"/>
          <w:highlight w:val="none"/>
          <w:lang w:val="en-US" w:eastAsia="zh-CN" w:bidi="ar-SA"/>
        </w:rPr>
        <w:t>属于</w:t>
      </w:r>
      <w:r>
        <w:rPr>
          <w:rFonts w:hint="eastAsia" w:ascii="仿宋" w:hAnsi="仿宋" w:eastAsia="仿宋" w:cs="仿宋"/>
          <w:b/>
          <w:bCs/>
          <w:color w:val="auto"/>
          <w:kern w:val="2"/>
          <w:sz w:val="24"/>
          <w:szCs w:val="24"/>
          <w:highlight w:val="none"/>
          <w:u w:val="single"/>
          <w:lang w:val="en-US" w:eastAsia="zh-CN" w:bidi="ar-SA"/>
        </w:rPr>
        <w:t>（</w:t>
      </w:r>
      <w:r>
        <w:rPr>
          <w:rFonts w:hint="eastAsia" w:ascii="仿宋" w:hAnsi="仿宋" w:eastAsia="仿宋" w:cs="仿宋"/>
          <w:b/>
          <w:bCs/>
          <w:color w:val="auto"/>
          <w:sz w:val="24"/>
          <w:szCs w:val="24"/>
          <w:highlight w:val="none"/>
          <w:u w:val="single" w:color="000000"/>
          <w:lang w:val="zh-CN" w:eastAsia="zh-CN" w:bidi="zh-CN"/>
        </w:rPr>
        <w:t>其他未列明行业</w:t>
      </w:r>
      <w:r>
        <w:rPr>
          <w:rFonts w:hint="eastAsia" w:ascii="仿宋" w:hAnsi="仿宋" w:eastAsia="仿宋" w:cs="仿宋"/>
          <w:b/>
          <w:bCs/>
          <w:color w:val="auto"/>
          <w:kern w:val="2"/>
          <w:sz w:val="24"/>
          <w:szCs w:val="24"/>
          <w:highlight w:val="none"/>
          <w:u w:val="single"/>
          <w:lang w:val="zh-CN" w:eastAsia="zh-CN" w:bidi="ar-SA"/>
        </w:rPr>
        <w:t>）</w:t>
      </w:r>
      <w:r>
        <w:rPr>
          <w:rFonts w:hint="eastAsia" w:ascii="仿宋" w:hAnsi="仿宋" w:eastAsia="仿宋" w:cs="仿宋"/>
          <w:color w:val="auto"/>
          <w:sz w:val="24"/>
          <w:szCs w:val="24"/>
          <w:highlight w:val="none"/>
          <w:u w:val="single"/>
          <w:lang w:val="zh-CN" w:eastAsia="zh-CN" w:bidi="zh-CN"/>
        </w:rPr>
        <w:t>；</w:t>
      </w:r>
      <w:r>
        <w:rPr>
          <w:rFonts w:hint="eastAsia" w:ascii="仿宋" w:hAnsi="仿宋" w:eastAsia="仿宋" w:cs="仿宋"/>
          <w:color w:val="auto"/>
          <w:spacing w:val="7"/>
          <w:w w:val="99"/>
          <w:sz w:val="24"/>
          <w:szCs w:val="24"/>
          <w:highlight w:val="none"/>
          <w:lang w:eastAsia="zh-CN"/>
        </w:rPr>
        <w:t>制造商</w:t>
      </w:r>
      <w:r>
        <w:rPr>
          <w:rFonts w:hint="eastAsia" w:ascii="仿宋" w:hAnsi="仿宋" w:eastAsia="仿宋" w:cs="仿宋"/>
          <w:color w:val="auto"/>
          <w:spacing w:val="-10"/>
          <w:w w:val="99"/>
          <w:sz w:val="24"/>
          <w:szCs w:val="24"/>
          <w:highlight w:val="none"/>
        </w:rPr>
        <w:t>为</w:t>
      </w:r>
      <w:r>
        <w:rPr>
          <w:rFonts w:hint="eastAsia" w:ascii="仿宋" w:hAnsi="仿宋" w:eastAsia="仿宋" w:cs="仿宋"/>
          <w:color w:val="auto"/>
          <w:sz w:val="24"/>
          <w:szCs w:val="24"/>
          <w:highlight w:val="none"/>
          <w:u w:val="single" w:color="000000"/>
          <w:lang w:val="zh-CN" w:eastAsia="zh-CN" w:bidi="zh-CN"/>
        </w:rPr>
        <w:t>（企业名称），</w:t>
      </w:r>
      <w:r>
        <w:rPr>
          <w:rFonts w:hint="eastAsia" w:ascii="仿宋" w:hAnsi="仿宋" w:eastAsia="仿宋" w:cs="仿宋"/>
          <w:color w:val="auto"/>
          <w:spacing w:val="5"/>
          <w:w w:val="99"/>
          <w:sz w:val="24"/>
          <w:szCs w:val="24"/>
          <w:highlight w:val="none"/>
        </w:rPr>
        <w:t>从</w:t>
      </w:r>
      <w:r>
        <w:rPr>
          <w:rFonts w:hint="eastAsia" w:ascii="仿宋" w:hAnsi="仿宋" w:eastAsia="仿宋" w:cs="仿宋"/>
          <w:color w:val="auto"/>
          <w:spacing w:val="7"/>
          <w:w w:val="99"/>
          <w:sz w:val="24"/>
          <w:szCs w:val="24"/>
          <w:highlight w:val="none"/>
        </w:rPr>
        <w:t>业</w:t>
      </w:r>
      <w:r>
        <w:rPr>
          <w:rFonts w:hint="eastAsia" w:ascii="仿宋" w:hAnsi="仿宋" w:eastAsia="仿宋" w:cs="仿宋"/>
          <w:color w:val="auto"/>
          <w:spacing w:val="5"/>
          <w:w w:val="99"/>
          <w:sz w:val="24"/>
          <w:szCs w:val="24"/>
          <w:highlight w:val="none"/>
        </w:rPr>
        <w:t>人</w:t>
      </w:r>
      <w:r>
        <w:rPr>
          <w:rFonts w:hint="eastAsia" w:ascii="仿宋" w:hAnsi="仿宋" w:eastAsia="仿宋" w:cs="仿宋"/>
          <w:color w:val="auto"/>
          <w:spacing w:val="7"/>
          <w:w w:val="99"/>
          <w:sz w:val="24"/>
          <w:szCs w:val="24"/>
          <w:highlight w:val="none"/>
        </w:rPr>
        <w:t>员</w:t>
      </w:r>
      <w:r>
        <w:rPr>
          <w:rFonts w:hint="eastAsia" w:ascii="仿宋" w:hAnsi="仿宋" w:eastAsia="仿宋" w:cs="仿宋"/>
          <w:color w:val="auto"/>
          <w:w w:val="99"/>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pacing w:val="7"/>
          <w:w w:val="99"/>
          <w:sz w:val="24"/>
          <w:szCs w:val="24"/>
          <w:highlight w:val="none"/>
        </w:rPr>
        <w:t>人</w:t>
      </w:r>
      <w:r>
        <w:rPr>
          <w:rFonts w:hint="eastAsia" w:ascii="仿宋" w:hAnsi="仿宋" w:eastAsia="仿宋" w:cs="仿宋"/>
          <w:color w:val="auto"/>
          <w:spacing w:val="5"/>
          <w:w w:val="99"/>
          <w:sz w:val="24"/>
          <w:szCs w:val="24"/>
          <w:highlight w:val="none"/>
        </w:rPr>
        <w:t>，</w:t>
      </w:r>
      <w:r>
        <w:rPr>
          <w:rFonts w:hint="eastAsia" w:ascii="仿宋" w:hAnsi="仿宋" w:eastAsia="仿宋" w:cs="仿宋"/>
          <w:color w:val="auto"/>
          <w:spacing w:val="7"/>
          <w:w w:val="99"/>
          <w:sz w:val="24"/>
          <w:szCs w:val="24"/>
          <w:highlight w:val="none"/>
        </w:rPr>
        <w:t>营</w:t>
      </w:r>
      <w:r>
        <w:rPr>
          <w:rFonts w:hint="eastAsia" w:ascii="仿宋" w:hAnsi="仿宋" w:eastAsia="仿宋" w:cs="仿宋"/>
          <w:color w:val="auto"/>
          <w:w w:val="99"/>
          <w:sz w:val="24"/>
          <w:szCs w:val="24"/>
          <w:highlight w:val="none"/>
        </w:rPr>
        <w:t>业</w:t>
      </w:r>
      <w:r>
        <w:rPr>
          <w:rFonts w:hint="eastAsia" w:ascii="仿宋" w:hAnsi="仿宋" w:eastAsia="仿宋" w:cs="仿宋"/>
          <w:color w:val="auto"/>
          <w:sz w:val="24"/>
          <w:szCs w:val="24"/>
          <w:highlight w:val="none"/>
        </w:rPr>
        <w:t>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万元，属</w:t>
      </w:r>
      <w:r>
        <w:rPr>
          <w:rFonts w:hint="eastAsia" w:ascii="仿宋" w:hAnsi="仿宋" w:eastAsia="仿宋" w:cs="仿宋"/>
          <w:color w:val="auto"/>
          <w:spacing w:val="-15"/>
          <w:sz w:val="24"/>
          <w:szCs w:val="24"/>
          <w:highlight w:val="none"/>
        </w:rPr>
        <w:t>于</w:t>
      </w:r>
      <w:r>
        <w:rPr>
          <w:rFonts w:hint="eastAsia" w:ascii="仿宋" w:hAnsi="仿宋" w:eastAsia="仿宋" w:cs="仿宋"/>
          <w:color w:val="auto"/>
          <w:sz w:val="24"/>
          <w:szCs w:val="24"/>
          <w:highlight w:val="none"/>
          <w:u w:val="single" w:color="000000"/>
          <w:lang w:val="zh-CN" w:eastAsia="zh-CN" w:bidi="zh-CN"/>
        </w:rPr>
        <w:t>（中型企业、小型企业、微型企业）；</w:t>
      </w:r>
    </w:p>
    <w:p w14:paraId="3B2F0FC7">
      <w:pPr>
        <w:pStyle w:val="93"/>
        <w:numPr>
          <w:ilvl w:val="0"/>
          <w:numId w:val="0"/>
        </w:numPr>
        <w:tabs>
          <w:tab w:val="left" w:pos="1243"/>
          <w:tab w:val="left" w:pos="1806"/>
          <w:tab w:val="left" w:pos="5005"/>
          <w:tab w:val="left" w:pos="7213"/>
        </w:tabs>
        <w:spacing w:before="0" w:after="0" w:line="360" w:lineRule="auto"/>
        <w:ind w:right="138" w:rightChars="0" w:firstLine="480" w:firstLineChars="200"/>
        <w:jc w:val="both"/>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single"/>
          <w:lang w:val="en-US" w:eastAsia="zh-CN" w:bidi="zh-CN"/>
        </w:rPr>
        <w:t>2.（</w:t>
      </w:r>
      <w:r>
        <w:rPr>
          <w:rFonts w:hint="eastAsia" w:ascii="仿宋" w:hAnsi="仿宋" w:eastAsia="仿宋" w:cs="仿宋"/>
          <w:color w:val="auto"/>
          <w:sz w:val="24"/>
          <w:szCs w:val="24"/>
          <w:highlight w:val="none"/>
          <w:u w:val="single"/>
          <w:lang w:val="zh-CN" w:eastAsia="zh-CN" w:bidi="zh-CN"/>
        </w:rPr>
        <w:t>标的名称）</w:t>
      </w:r>
      <w:r>
        <w:rPr>
          <w:rFonts w:hint="eastAsia" w:ascii="仿宋" w:hAnsi="仿宋" w:eastAsia="仿宋" w:cs="仿宋"/>
          <w:color w:val="auto"/>
          <w:spacing w:val="-84"/>
          <w:w w:val="99"/>
          <w:sz w:val="24"/>
          <w:szCs w:val="24"/>
          <w:highlight w:val="none"/>
          <w:u w:val="none"/>
        </w:rPr>
        <w:t>，</w:t>
      </w:r>
      <w:r>
        <w:rPr>
          <w:rFonts w:hint="eastAsia" w:ascii="仿宋" w:hAnsi="仿宋" w:eastAsia="仿宋" w:cs="仿宋"/>
          <w:color w:val="auto"/>
          <w:kern w:val="2"/>
          <w:sz w:val="24"/>
          <w:szCs w:val="24"/>
          <w:highlight w:val="none"/>
          <w:lang w:val="en-US" w:eastAsia="zh-CN" w:bidi="ar-SA"/>
        </w:rPr>
        <w:t>属于</w:t>
      </w:r>
      <w:r>
        <w:rPr>
          <w:rFonts w:hint="eastAsia" w:ascii="仿宋" w:hAnsi="仿宋" w:eastAsia="仿宋" w:cs="仿宋"/>
          <w:b/>
          <w:bCs/>
          <w:color w:val="auto"/>
          <w:kern w:val="2"/>
          <w:sz w:val="24"/>
          <w:szCs w:val="24"/>
          <w:highlight w:val="none"/>
          <w:u w:val="single"/>
          <w:lang w:val="en-US" w:eastAsia="zh-CN" w:bidi="ar-SA"/>
        </w:rPr>
        <w:t>（</w:t>
      </w:r>
      <w:r>
        <w:rPr>
          <w:rFonts w:hint="eastAsia" w:ascii="仿宋" w:hAnsi="仿宋" w:eastAsia="仿宋" w:cs="仿宋"/>
          <w:b/>
          <w:bCs/>
          <w:color w:val="auto"/>
          <w:sz w:val="24"/>
          <w:szCs w:val="24"/>
          <w:highlight w:val="none"/>
          <w:u w:val="single" w:color="000000"/>
          <w:lang w:val="zh-CN" w:eastAsia="zh-CN" w:bidi="zh-CN"/>
        </w:rPr>
        <w:t>其他未列明行业</w:t>
      </w:r>
      <w:r>
        <w:rPr>
          <w:rFonts w:hint="eastAsia" w:ascii="仿宋" w:hAnsi="仿宋" w:eastAsia="仿宋" w:cs="仿宋"/>
          <w:b/>
          <w:bCs/>
          <w:color w:val="auto"/>
          <w:kern w:val="2"/>
          <w:sz w:val="24"/>
          <w:szCs w:val="24"/>
          <w:highlight w:val="none"/>
          <w:u w:val="single"/>
          <w:lang w:val="zh-CN" w:eastAsia="zh-CN" w:bidi="ar-SA"/>
        </w:rPr>
        <w:t>）</w:t>
      </w:r>
      <w:r>
        <w:rPr>
          <w:rFonts w:hint="eastAsia" w:ascii="仿宋" w:hAnsi="仿宋" w:eastAsia="仿宋" w:cs="仿宋"/>
          <w:color w:val="auto"/>
          <w:sz w:val="24"/>
          <w:szCs w:val="24"/>
          <w:highlight w:val="none"/>
          <w:u w:val="single"/>
          <w:lang w:val="zh-CN" w:eastAsia="zh-CN" w:bidi="zh-CN"/>
        </w:rPr>
        <w:t>；</w:t>
      </w:r>
      <w:r>
        <w:rPr>
          <w:rFonts w:hint="eastAsia" w:ascii="仿宋" w:hAnsi="仿宋" w:eastAsia="仿宋" w:cs="仿宋"/>
          <w:color w:val="auto"/>
          <w:spacing w:val="7"/>
          <w:w w:val="99"/>
          <w:sz w:val="24"/>
          <w:szCs w:val="24"/>
          <w:highlight w:val="none"/>
          <w:u w:val="none"/>
          <w:lang w:eastAsia="zh-CN"/>
        </w:rPr>
        <w:t>制造商</w:t>
      </w:r>
      <w:r>
        <w:rPr>
          <w:rFonts w:hint="eastAsia" w:ascii="仿宋" w:hAnsi="仿宋" w:eastAsia="仿宋" w:cs="仿宋"/>
          <w:color w:val="auto"/>
          <w:spacing w:val="-10"/>
          <w:w w:val="99"/>
          <w:sz w:val="24"/>
          <w:szCs w:val="24"/>
          <w:highlight w:val="none"/>
          <w:u w:val="none"/>
        </w:rPr>
        <w:t>为</w:t>
      </w:r>
      <w:r>
        <w:rPr>
          <w:rFonts w:hint="eastAsia" w:ascii="仿宋" w:hAnsi="仿宋" w:eastAsia="仿宋" w:cs="仿宋"/>
          <w:color w:val="auto"/>
          <w:sz w:val="24"/>
          <w:szCs w:val="24"/>
          <w:highlight w:val="none"/>
          <w:u w:val="single" w:color="000000"/>
          <w:lang w:val="zh-CN" w:eastAsia="zh-CN" w:bidi="zh-CN"/>
        </w:rPr>
        <w:t>（企业名称），</w:t>
      </w:r>
      <w:r>
        <w:rPr>
          <w:rFonts w:hint="eastAsia" w:ascii="仿宋" w:hAnsi="仿宋" w:eastAsia="仿宋" w:cs="仿宋"/>
          <w:color w:val="auto"/>
          <w:spacing w:val="5"/>
          <w:w w:val="99"/>
          <w:sz w:val="24"/>
          <w:szCs w:val="24"/>
          <w:highlight w:val="none"/>
          <w:u w:val="none"/>
        </w:rPr>
        <w:t>从</w:t>
      </w:r>
      <w:r>
        <w:rPr>
          <w:rFonts w:hint="eastAsia" w:ascii="仿宋" w:hAnsi="仿宋" w:eastAsia="仿宋" w:cs="仿宋"/>
          <w:color w:val="auto"/>
          <w:spacing w:val="7"/>
          <w:w w:val="99"/>
          <w:sz w:val="24"/>
          <w:szCs w:val="24"/>
          <w:highlight w:val="none"/>
          <w:u w:val="none"/>
        </w:rPr>
        <w:t>业</w:t>
      </w:r>
      <w:r>
        <w:rPr>
          <w:rFonts w:hint="eastAsia" w:ascii="仿宋" w:hAnsi="仿宋" w:eastAsia="仿宋" w:cs="仿宋"/>
          <w:color w:val="auto"/>
          <w:spacing w:val="5"/>
          <w:w w:val="99"/>
          <w:sz w:val="24"/>
          <w:szCs w:val="24"/>
          <w:highlight w:val="none"/>
          <w:u w:val="none"/>
        </w:rPr>
        <w:t>人</w:t>
      </w:r>
      <w:r>
        <w:rPr>
          <w:rFonts w:hint="eastAsia" w:ascii="仿宋" w:hAnsi="仿宋" w:eastAsia="仿宋" w:cs="仿宋"/>
          <w:color w:val="auto"/>
          <w:spacing w:val="7"/>
          <w:w w:val="99"/>
          <w:sz w:val="24"/>
          <w:szCs w:val="24"/>
          <w:highlight w:val="none"/>
          <w:u w:val="none"/>
        </w:rPr>
        <w:t>员</w:t>
      </w:r>
      <w:r>
        <w:rPr>
          <w:rFonts w:hint="eastAsia" w:ascii="仿宋" w:hAnsi="仿宋" w:eastAsia="仿宋" w:cs="仿宋"/>
          <w:color w:val="auto"/>
          <w:w w:val="99"/>
          <w:sz w:val="24"/>
          <w:szCs w:val="24"/>
          <w:highlight w:val="none"/>
          <w:u w:val="single"/>
        </w:rPr>
        <w:t xml:space="preserve"> </w:t>
      </w:r>
      <w:r>
        <w:rPr>
          <w:rFonts w:hint="eastAsia" w:ascii="仿宋" w:hAnsi="仿宋" w:eastAsia="仿宋" w:cs="仿宋"/>
          <w:color w:val="auto"/>
          <w:w w:val="99"/>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7"/>
          <w:w w:val="99"/>
          <w:sz w:val="24"/>
          <w:szCs w:val="24"/>
          <w:highlight w:val="none"/>
          <w:u w:val="none"/>
        </w:rPr>
        <w:t>人</w:t>
      </w:r>
      <w:r>
        <w:rPr>
          <w:rFonts w:hint="eastAsia" w:ascii="仿宋" w:hAnsi="仿宋" w:eastAsia="仿宋" w:cs="仿宋"/>
          <w:color w:val="auto"/>
          <w:spacing w:val="5"/>
          <w:w w:val="99"/>
          <w:sz w:val="24"/>
          <w:szCs w:val="24"/>
          <w:highlight w:val="none"/>
          <w:u w:val="none"/>
        </w:rPr>
        <w:t>，</w:t>
      </w:r>
      <w:r>
        <w:rPr>
          <w:rFonts w:hint="eastAsia" w:ascii="仿宋" w:hAnsi="仿宋" w:eastAsia="仿宋" w:cs="仿宋"/>
          <w:color w:val="auto"/>
          <w:spacing w:val="7"/>
          <w:w w:val="99"/>
          <w:sz w:val="24"/>
          <w:szCs w:val="24"/>
          <w:highlight w:val="none"/>
          <w:u w:val="none"/>
        </w:rPr>
        <w:t>营</w:t>
      </w:r>
      <w:r>
        <w:rPr>
          <w:rFonts w:hint="eastAsia" w:ascii="仿宋" w:hAnsi="仿宋" w:eastAsia="仿宋" w:cs="仿宋"/>
          <w:color w:val="auto"/>
          <w:w w:val="99"/>
          <w:sz w:val="24"/>
          <w:szCs w:val="24"/>
          <w:highlight w:val="none"/>
          <w:u w:val="none"/>
        </w:rPr>
        <w:t>业</w:t>
      </w:r>
      <w:r>
        <w:rPr>
          <w:rFonts w:hint="eastAsia" w:ascii="仿宋" w:hAnsi="仿宋" w:eastAsia="仿宋" w:cs="仿宋"/>
          <w:color w:val="auto"/>
          <w:sz w:val="24"/>
          <w:szCs w:val="24"/>
          <w:highlight w:val="none"/>
          <w:u w:val="none"/>
        </w:rPr>
        <w:t>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none"/>
        </w:rPr>
        <w:t>万元，属</w:t>
      </w:r>
      <w:r>
        <w:rPr>
          <w:rFonts w:hint="eastAsia" w:ascii="仿宋" w:hAnsi="仿宋" w:eastAsia="仿宋" w:cs="仿宋"/>
          <w:color w:val="auto"/>
          <w:spacing w:val="-12"/>
          <w:sz w:val="24"/>
          <w:szCs w:val="24"/>
          <w:highlight w:val="none"/>
          <w:u w:val="none"/>
        </w:rPr>
        <w:t>于</w:t>
      </w:r>
      <w:r>
        <w:rPr>
          <w:rFonts w:hint="eastAsia" w:ascii="仿宋" w:hAnsi="仿宋" w:eastAsia="仿宋" w:cs="仿宋"/>
          <w:color w:val="auto"/>
          <w:sz w:val="24"/>
          <w:szCs w:val="24"/>
          <w:highlight w:val="none"/>
          <w:u w:val="single" w:color="000000"/>
          <w:lang w:val="zh-CN" w:eastAsia="zh-CN" w:bidi="zh-CN"/>
        </w:rPr>
        <w:t>（中型企业、小型企业、微型企业）；</w:t>
      </w:r>
    </w:p>
    <w:p w14:paraId="4D776E70">
      <w:pPr>
        <w:pStyle w:val="21"/>
        <w:spacing w:before="11" w:line="360" w:lineRule="auto"/>
        <w:ind w:left="8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4BBE747B">
      <w:pPr>
        <w:pStyle w:val="21"/>
        <w:spacing w:before="108" w:line="360" w:lineRule="auto"/>
        <w:ind w:right="297" w:firstLine="645"/>
        <w:jc w:val="both"/>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以上企业，不属于大企业的分支机构，不存在控股股东为大企业的情形，也不存在与大企业的负责人为同一人的情形。</w:t>
      </w:r>
    </w:p>
    <w:p w14:paraId="4EEFA2B9">
      <w:pPr>
        <w:pStyle w:val="21"/>
        <w:spacing w:line="360" w:lineRule="auto"/>
        <w:ind w:right="255" w:firstLine="64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本企业对上述声明内容的真实性负责。如有虚假，将依法承担相应责任。</w:t>
      </w:r>
      <w:r>
        <w:rPr>
          <w:rFonts w:hint="eastAsia" w:ascii="仿宋" w:hAnsi="仿宋" w:eastAsia="仿宋" w:cs="仿宋"/>
          <w:color w:val="auto"/>
          <w:sz w:val="24"/>
          <w:szCs w:val="24"/>
          <w:highlight w:val="none"/>
          <w:lang w:val="en-US" w:eastAsia="zh-CN"/>
        </w:rPr>
        <w:t xml:space="preserve">   </w:t>
      </w:r>
    </w:p>
    <w:p w14:paraId="13D7FAFF">
      <w:pPr>
        <w:pStyle w:val="21"/>
        <w:spacing w:before="29" w:line="360" w:lineRule="auto"/>
        <w:ind w:left="4060" w:right="2046"/>
        <w:rPr>
          <w:rFonts w:hint="eastAsia" w:ascii="仿宋" w:hAnsi="仿宋" w:eastAsia="仿宋" w:cs="仿宋"/>
          <w:color w:val="auto"/>
          <w:sz w:val="24"/>
          <w:szCs w:val="24"/>
          <w:highlight w:val="none"/>
        </w:rPr>
      </w:pPr>
    </w:p>
    <w:p w14:paraId="0BE48B4D">
      <w:pPr>
        <w:pStyle w:val="21"/>
        <w:spacing w:before="29" w:line="480" w:lineRule="auto"/>
        <w:ind w:right="204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14:paraId="57455ED3">
      <w:pPr>
        <w:pStyle w:val="21"/>
        <w:spacing w:before="29" w:line="360" w:lineRule="auto"/>
        <w:ind w:right="2046"/>
        <w:jc w:val="center"/>
        <w:rPr>
          <w:rFonts w:hint="eastAsia" w:ascii="仿宋" w:hAnsi="仿宋" w:eastAsia="仿宋" w:cs="仿宋"/>
          <w:color w:val="auto"/>
          <w:spacing w:val="24"/>
          <w:sz w:val="24"/>
          <w:szCs w:val="24"/>
          <w:highlight w:val="none"/>
        </w:rPr>
      </w:pPr>
      <w:r>
        <w:rPr>
          <w:rFonts w:hint="eastAsia" w:ascii="仿宋" w:hAnsi="仿宋" w:eastAsia="仿宋" w:cs="仿宋"/>
          <w:color w:val="auto"/>
          <w:spacing w:val="24"/>
          <w:sz w:val="24"/>
          <w:szCs w:val="24"/>
          <w:highlight w:val="none"/>
          <w:lang w:val="en-US" w:eastAsia="zh-CN"/>
        </w:rPr>
        <w:t xml:space="preserve">            </w:t>
      </w:r>
      <w:r>
        <w:rPr>
          <w:rFonts w:hint="eastAsia" w:ascii="仿宋" w:hAnsi="仿宋" w:eastAsia="仿宋" w:cs="仿宋"/>
          <w:color w:val="auto"/>
          <w:spacing w:val="24"/>
          <w:sz w:val="24"/>
          <w:szCs w:val="24"/>
          <w:highlight w:val="none"/>
        </w:rPr>
        <w:t>年  月  日</w:t>
      </w:r>
    </w:p>
    <w:p w14:paraId="5ED0365A">
      <w:pPr>
        <w:rPr>
          <w:rFonts w:hint="eastAsia"/>
          <w:color w:val="auto"/>
          <w:sz w:val="24"/>
          <w:szCs w:val="24"/>
          <w:highlight w:val="none"/>
        </w:rPr>
      </w:pPr>
    </w:p>
    <w:p w14:paraId="4162E80F">
      <w:pPr>
        <w:rPr>
          <w:rFonts w:hint="eastAsia" w:ascii="仿宋" w:hAnsi="仿宋" w:eastAsia="仿宋" w:cs="仿宋"/>
          <w:color w:val="auto"/>
          <w:sz w:val="24"/>
          <w:szCs w:val="24"/>
          <w:highlight w:val="none"/>
          <w:lang w:eastAsia="zh-CN"/>
        </w:rPr>
      </w:pPr>
    </w:p>
    <w:p w14:paraId="40E5B7DF">
      <w:pPr>
        <w:spacing w:before="94" w:line="360" w:lineRule="auto"/>
        <w:ind w:left="220" w:right="0" w:firstLine="0"/>
        <w:jc w:val="left"/>
        <w:rPr>
          <w:rFonts w:hint="eastAsia" w:ascii="仿宋" w:hAnsi="仿宋" w:eastAsia="仿宋" w:cs="仿宋"/>
          <w:color w:val="auto"/>
          <w:sz w:val="24"/>
          <w:szCs w:val="24"/>
          <w:highlight w:val="none"/>
        </w:rPr>
      </w:pPr>
      <w:r>
        <w:rPr>
          <w:rFonts w:hint="eastAsia" w:ascii="仿宋" w:hAnsi="仿宋" w:eastAsia="仿宋" w:cs="仿宋"/>
          <w:color w:val="auto"/>
          <w:position w:val="6"/>
          <w:sz w:val="24"/>
          <w:szCs w:val="24"/>
          <w:highlight w:val="none"/>
        </w:rPr>
        <w:t>1</w:t>
      </w:r>
      <w:bookmarkStart w:id="166" w:name="_bookmark0"/>
      <w:bookmarkEnd w:id="166"/>
      <w:r>
        <w:rPr>
          <w:rFonts w:hint="eastAsia" w:ascii="仿宋" w:hAnsi="仿宋" w:eastAsia="仿宋" w:cs="仿宋"/>
          <w:color w:val="auto"/>
          <w:position w:val="6"/>
          <w:sz w:val="24"/>
          <w:szCs w:val="24"/>
          <w:highlight w:val="none"/>
        </w:rPr>
        <w:t xml:space="preserve"> </w:t>
      </w:r>
      <w:r>
        <w:rPr>
          <w:rFonts w:hint="eastAsia" w:ascii="仿宋" w:hAnsi="仿宋" w:eastAsia="仿宋" w:cs="仿宋"/>
          <w:color w:val="auto"/>
          <w:sz w:val="24"/>
          <w:szCs w:val="24"/>
          <w:highlight w:val="none"/>
        </w:rPr>
        <w:t>从业人员、营业收入、资产总额填报上一年度数据，无上一年度数据的新成立企业可不填报。</w:t>
      </w:r>
    </w:p>
    <w:p w14:paraId="360BD5BD">
      <w:pPr>
        <w:spacing w:before="94" w:line="360" w:lineRule="auto"/>
        <w:ind w:left="22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注：1、详细要求请参照</w:t>
      </w:r>
      <w:r>
        <w:rPr>
          <w:rFonts w:hint="eastAsia" w:ascii="仿宋" w:hAnsi="仿宋" w:eastAsia="仿宋" w:cs="仿宋"/>
          <w:b/>
          <w:bCs/>
          <w:color w:val="auto"/>
          <w:spacing w:val="-2"/>
          <w:sz w:val="24"/>
          <w:szCs w:val="24"/>
          <w:highlight w:val="none"/>
        </w:rPr>
        <w:t>《政府采购促进中小企业发展管理办法</w:t>
      </w:r>
      <w:r>
        <w:rPr>
          <w:rFonts w:hint="eastAsia" w:ascii="仿宋" w:hAnsi="仿宋" w:eastAsia="仿宋" w:cs="仿宋"/>
          <w:b/>
          <w:bCs/>
          <w:color w:val="auto"/>
          <w:spacing w:val="-18"/>
          <w:sz w:val="24"/>
          <w:szCs w:val="24"/>
          <w:highlight w:val="none"/>
        </w:rPr>
        <w:t>》</w:t>
      </w:r>
      <w:r>
        <w:rPr>
          <w:rFonts w:hint="eastAsia" w:ascii="仿宋" w:hAnsi="仿宋" w:eastAsia="仿宋" w:cs="仿宋"/>
          <w:b/>
          <w:bCs/>
          <w:color w:val="auto"/>
          <w:sz w:val="24"/>
          <w:szCs w:val="24"/>
          <w:highlight w:val="none"/>
        </w:rPr>
        <w:t>（财库〔2020〕[2020]46号）的规定；</w:t>
      </w:r>
    </w:p>
    <w:p w14:paraId="18EE45F7">
      <w:pPr>
        <w:numPr>
          <w:ilvl w:val="0"/>
          <w:numId w:val="18"/>
        </w:numPr>
        <w:spacing w:before="94" w:line="360" w:lineRule="auto"/>
        <w:ind w:left="0" w:leftChars="0" w:firstLine="0" w:firstLine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若响应文件中无上述文件，则在评审时不考虑对该小、微企业的相关优惠。</w:t>
      </w:r>
    </w:p>
    <w:p w14:paraId="1ABE456C">
      <w:pPr>
        <w:numPr>
          <w:ilvl w:val="0"/>
          <w:numId w:val="18"/>
        </w:numPr>
        <w:spacing w:before="94" w:line="360" w:lineRule="auto"/>
        <w:ind w:left="0" w:leftChars="0" w:firstLine="0" w:firstLineChars="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投标企业根据本项目中产品制造商情况如实填写</w:t>
      </w:r>
    </w:p>
    <w:p w14:paraId="57DEDDCE">
      <w:pPr>
        <w:rPr>
          <w:rFonts w:hint="eastAsia"/>
          <w:color w:val="auto"/>
          <w:highlight w:val="none"/>
        </w:rPr>
      </w:pPr>
    </w:p>
    <w:p w14:paraId="49120B42">
      <w:pPr>
        <w:spacing w:line="48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监狱企业声明函</w:t>
      </w:r>
      <w:r>
        <w:rPr>
          <w:rStyle w:val="133"/>
          <w:rFonts w:hint="eastAsia" w:ascii="仿宋" w:hAnsi="仿宋" w:eastAsia="仿宋" w:cs="仿宋"/>
          <w:b/>
          <w:bCs/>
          <w:color w:val="auto"/>
          <w:sz w:val="24"/>
          <w:szCs w:val="24"/>
          <w:highlight w:val="none"/>
          <w:lang w:val="zh-CN" w:eastAsia="zh-CN"/>
        </w:rPr>
        <w:t>（如是）</w:t>
      </w:r>
    </w:p>
    <w:p w14:paraId="0245F735">
      <w:pPr>
        <w:spacing w:line="360" w:lineRule="auto"/>
        <w:ind w:left="0" w:leftChars="0" w:firstLine="660" w:firstLineChars="2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本公司郑重声明，根据《关于政府采购支持监狱企业发展有关问题的通知》（财库[2014]68号）的规定，本公司为监狱企业。即，本公司同时满足以下条件：</w:t>
      </w:r>
    </w:p>
    <w:p w14:paraId="571125D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C1313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2.本公司参加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）采购活动时提供的是本企业的产品（包括由本企业承担的工程和提供的服务），或者提供的是其他监狱企业制造的产品。</w:t>
      </w:r>
    </w:p>
    <w:p w14:paraId="1651B6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本公司对上述声明的真实性负责。如有虚假，将依法承担相应责任。</w:t>
      </w:r>
    </w:p>
    <w:p w14:paraId="01D36D78">
      <w:pPr>
        <w:spacing w:line="360" w:lineRule="auto"/>
        <w:ind w:left="0" w:leftChars="0" w:firstLine="420" w:firstLineChars="175"/>
        <w:rPr>
          <w:rFonts w:hint="eastAsia" w:ascii="仿宋" w:hAnsi="仿宋" w:eastAsia="仿宋" w:cs="仿宋"/>
          <w:color w:val="auto"/>
          <w:sz w:val="24"/>
          <w:szCs w:val="24"/>
          <w:highlight w:val="none"/>
        </w:rPr>
      </w:pPr>
    </w:p>
    <w:p w14:paraId="26D0CF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附件：省级以上监狱管理局、戒毒管理局(含新疆生产建设兵团)出具的属于监狱企业的证明文件</w:t>
      </w:r>
    </w:p>
    <w:p w14:paraId="55DFCE94">
      <w:pPr>
        <w:rPr>
          <w:rFonts w:hint="eastAsia" w:ascii="仿宋" w:hAnsi="仿宋" w:eastAsia="仿宋" w:cs="仿宋"/>
          <w:color w:val="auto"/>
          <w:sz w:val="24"/>
          <w:szCs w:val="24"/>
          <w:highlight w:val="none"/>
        </w:rPr>
      </w:pPr>
    </w:p>
    <w:p w14:paraId="63906642">
      <w:pPr>
        <w:rPr>
          <w:rFonts w:hint="eastAsia" w:ascii="仿宋" w:hAnsi="仿宋" w:eastAsia="仿宋" w:cs="仿宋"/>
          <w:color w:val="auto"/>
          <w:sz w:val="24"/>
          <w:szCs w:val="24"/>
          <w:highlight w:val="none"/>
        </w:rPr>
      </w:pPr>
    </w:p>
    <w:p w14:paraId="23D62820">
      <w:pPr>
        <w:pStyle w:val="21"/>
        <w:rPr>
          <w:rFonts w:hint="eastAsia" w:ascii="仿宋" w:hAnsi="仿宋" w:eastAsia="仿宋" w:cs="仿宋"/>
          <w:color w:val="auto"/>
          <w:sz w:val="24"/>
          <w:szCs w:val="24"/>
          <w:highlight w:val="none"/>
        </w:rPr>
      </w:pPr>
    </w:p>
    <w:p w14:paraId="1EE4FA93">
      <w:pPr>
        <w:rPr>
          <w:rFonts w:hint="eastAsia" w:ascii="仿宋" w:hAnsi="仿宋" w:eastAsia="仿宋" w:cs="仿宋"/>
          <w:color w:val="auto"/>
          <w:sz w:val="24"/>
          <w:szCs w:val="24"/>
          <w:highlight w:val="none"/>
        </w:rPr>
      </w:pPr>
    </w:p>
    <w:p w14:paraId="11C90554">
      <w:pPr>
        <w:pStyle w:val="21"/>
        <w:rPr>
          <w:rFonts w:hint="eastAsia" w:ascii="仿宋" w:hAnsi="仿宋" w:eastAsia="仿宋" w:cs="仿宋"/>
          <w:color w:val="auto"/>
          <w:sz w:val="24"/>
          <w:szCs w:val="24"/>
          <w:highlight w:val="none"/>
        </w:rPr>
      </w:pPr>
    </w:p>
    <w:p w14:paraId="1709BE2A">
      <w:pPr>
        <w:rPr>
          <w:rFonts w:hint="eastAsia" w:ascii="仿宋" w:hAnsi="仿宋" w:eastAsia="仿宋" w:cs="仿宋"/>
          <w:color w:val="auto"/>
          <w:sz w:val="24"/>
          <w:szCs w:val="24"/>
          <w:highlight w:val="none"/>
        </w:rPr>
      </w:pPr>
    </w:p>
    <w:p w14:paraId="30B76791">
      <w:pPr>
        <w:rPr>
          <w:rFonts w:hint="eastAsia" w:ascii="仿宋" w:hAnsi="仿宋" w:eastAsia="仿宋" w:cs="仿宋"/>
          <w:color w:val="auto"/>
          <w:sz w:val="24"/>
          <w:szCs w:val="24"/>
          <w:highlight w:val="none"/>
        </w:rPr>
      </w:pPr>
    </w:p>
    <w:p w14:paraId="30546B59">
      <w:pPr>
        <w:pStyle w:val="21"/>
        <w:rPr>
          <w:rFonts w:hint="eastAsia"/>
          <w:color w:val="auto"/>
          <w:highlight w:val="none"/>
        </w:rPr>
      </w:pPr>
    </w:p>
    <w:p w14:paraId="70076608">
      <w:pPr>
        <w:rPr>
          <w:rFonts w:hint="eastAsia" w:ascii="仿宋" w:hAnsi="仿宋" w:eastAsia="仿宋" w:cs="仿宋"/>
          <w:color w:val="auto"/>
          <w:sz w:val="24"/>
          <w:szCs w:val="24"/>
          <w:highlight w:val="none"/>
        </w:rPr>
      </w:pPr>
    </w:p>
    <w:p w14:paraId="22F8B624">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14:paraId="30C0AA3E">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4A6832DF">
      <w:pPr>
        <w:spacing w:line="60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年   月   日</w:t>
      </w:r>
    </w:p>
    <w:p w14:paraId="22260E49">
      <w:pPr>
        <w:spacing w:line="600" w:lineRule="auto"/>
        <w:jc w:val="right"/>
        <w:rPr>
          <w:rFonts w:hint="eastAsia" w:ascii="仿宋" w:hAnsi="仿宋" w:eastAsia="仿宋" w:cs="仿宋"/>
          <w:color w:val="auto"/>
          <w:sz w:val="24"/>
          <w:szCs w:val="24"/>
          <w:highlight w:val="none"/>
        </w:rPr>
        <w:sectPr>
          <w:headerReference r:id="rId5" w:type="default"/>
          <w:footerReference r:id="rId6" w:type="default"/>
          <w:pgSz w:w="11906" w:h="16838"/>
          <w:pgMar w:top="1191" w:right="1417" w:bottom="1191" w:left="1417" w:header="737" w:footer="737" w:gutter="0"/>
          <w:pgBorders>
            <w:top w:val="none" w:sz="0" w:space="0"/>
            <w:left w:val="none" w:sz="0" w:space="0"/>
            <w:bottom w:val="none" w:sz="0" w:space="0"/>
            <w:right w:val="none" w:sz="0" w:space="0"/>
          </w:pgBorders>
          <w:pgNumType w:fmt="decimal"/>
          <w:cols w:space="720" w:num="1"/>
          <w:rtlGutter w:val="0"/>
          <w:docGrid w:linePitch="312" w:charSpace="0"/>
        </w:sectPr>
      </w:pPr>
    </w:p>
    <w:p w14:paraId="36E3E3E6">
      <w:pPr>
        <w:spacing w:line="48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残疾人福利性单位声明函</w:t>
      </w:r>
      <w:r>
        <w:rPr>
          <w:rFonts w:hint="eastAsia" w:ascii="仿宋" w:hAnsi="仿宋" w:eastAsia="仿宋" w:cs="仿宋"/>
          <w:b/>
          <w:bCs/>
          <w:color w:val="auto"/>
          <w:sz w:val="24"/>
          <w:szCs w:val="24"/>
          <w:highlight w:val="none"/>
          <w:lang w:eastAsia="zh-CN"/>
        </w:rPr>
        <w:t>（如是）</w:t>
      </w:r>
    </w:p>
    <w:p w14:paraId="0212E0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本单位郑重声明，根据《关于促进残疾人就业政府采购政策的通知》（财库[2017]141号）的规定，本单位为残疾人福利性单位。即，本单位同时满足以下条件：</w:t>
      </w:r>
    </w:p>
    <w:p w14:paraId="4285A82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1.安置的残疾人占本单位在职职工人数的比例不低于25%（含25%），并且安置的残疾人人数不少于10人（含10人）；</w:t>
      </w:r>
    </w:p>
    <w:p w14:paraId="0637D94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2.本单位依法与安置的每位残疾人签订了一年以上（含一年）的劳动合同或服务协议；</w:t>
      </w:r>
    </w:p>
    <w:p w14:paraId="7FC2094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3.本单位为安置的每位残疾人按月足额缴纳了基本养老保险、基本医疗保险、失业保险、工伤保险和生育保险等社会保险费；</w:t>
      </w:r>
    </w:p>
    <w:p w14:paraId="50262EB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4.本单位通过银行等金融机构向安置的每位残疾人，按月支付了不低于单位所在区县适用的经省级人民政府批准的月最低工资标准的工资；</w:t>
      </w:r>
    </w:p>
    <w:p w14:paraId="5024213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5.本单位参加 项目（项目编号： ）采购活</w:t>
      </w:r>
    </w:p>
    <w:p w14:paraId="37266AD1">
      <w:pPr>
        <w:spacing w:line="360" w:lineRule="auto"/>
        <w:ind w:left="0" w:leftChars="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动时提供的是本单位的产品（包括由本单位承担的工程和提供的服务），或者提供的是其他残疾人福利性单位制造的产品。</w:t>
      </w:r>
    </w:p>
    <w:p w14:paraId="2AED88FD">
      <w:pPr>
        <w:spacing w:line="360" w:lineRule="auto"/>
        <w:ind w:left="0" w:leftChars="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本公司对上述声明的真实性负责。如有虚假，将依法承担相应责任。</w:t>
      </w:r>
    </w:p>
    <w:p w14:paraId="4E44BD50">
      <w:pPr>
        <w:spacing w:line="360" w:lineRule="auto"/>
        <w:ind w:left="0" w:leftChars="0" w:firstLine="420" w:firstLineChars="175"/>
        <w:rPr>
          <w:rFonts w:hint="eastAsia" w:ascii="仿宋" w:hAnsi="仿宋" w:eastAsia="仿宋" w:cs="仿宋"/>
          <w:color w:val="auto"/>
          <w:sz w:val="24"/>
          <w:szCs w:val="24"/>
          <w:highlight w:val="none"/>
        </w:rPr>
      </w:pPr>
    </w:p>
    <w:p w14:paraId="55DA5E91">
      <w:pPr>
        <w:spacing w:line="360" w:lineRule="auto"/>
        <w:ind w:left="0" w:leftChars="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附件：近三个月依法为安置残疾人缴纳社会保障资金的证明文件</w:t>
      </w:r>
    </w:p>
    <w:p w14:paraId="5DAD829A">
      <w:pPr>
        <w:pStyle w:val="21"/>
        <w:rPr>
          <w:rFonts w:hint="eastAsia" w:ascii="仿宋" w:hAnsi="仿宋" w:eastAsia="仿宋" w:cs="仿宋"/>
          <w:color w:val="auto"/>
          <w:sz w:val="24"/>
          <w:szCs w:val="24"/>
          <w:highlight w:val="none"/>
        </w:rPr>
      </w:pPr>
    </w:p>
    <w:p w14:paraId="2FC014CB">
      <w:pPr>
        <w:rPr>
          <w:rFonts w:hint="eastAsia" w:ascii="仿宋" w:hAnsi="仿宋" w:eastAsia="仿宋" w:cs="仿宋"/>
          <w:color w:val="auto"/>
          <w:sz w:val="24"/>
          <w:szCs w:val="24"/>
          <w:highlight w:val="none"/>
        </w:rPr>
      </w:pPr>
    </w:p>
    <w:p w14:paraId="1403EA1D">
      <w:pPr>
        <w:pStyle w:val="21"/>
        <w:rPr>
          <w:rFonts w:hint="eastAsia" w:ascii="仿宋" w:hAnsi="仿宋" w:eastAsia="仿宋" w:cs="仿宋"/>
          <w:color w:val="auto"/>
          <w:sz w:val="24"/>
          <w:szCs w:val="24"/>
          <w:highlight w:val="none"/>
        </w:rPr>
      </w:pPr>
    </w:p>
    <w:p w14:paraId="052A0023">
      <w:pPr>
        <w:rPr>
          <w:rFonts w:hint="eastAsia" w:ascii="仿宋" w:hAnsi="仿宋" w:eastAsia="仿宋" w:cs="仿宋"/>
          <w:color w:val="auto"/>
          <w:sz w:val="24"/>
          <w:szCs w:val="24"/>
          <w:highlight w:val="none"/>
        </w:rPr>
      </w:pPr>
    </w:p>
    <w:p w14:paraId="71882CE7">
      <w:pPr>
        <w:pStyle w:val="21"/>
        <w:rPr>
          <w:rFonts w:hint="eastAsia"/>
          <w:color w:val="auto"/>
          <w:highlight w:val="none"/>
        </w:rPr>
      </w:pPr>
    </w:p>
    <w:p w14:paraId="66734C9E">
      <w:pPr>
        <w:rPr>
          <w:rFonts w:hint="eastAsia"/>
          <w:color w:val="auto"/>
          <w:highlight w:val="none"/>
        </w:rPr>
      </w:pPr>
    </w:p>
    <w:p w14:paraId="0E1471A6">
      <w:pPr>
        <w:pStyle w:val="21"/>
        <w:rPr>
          <w:rFonts w:hint="eastAsia"/>
          <w:color w:val="auto"/>
          <w:highlight w:val="none"/>
        </w:rPr>
      </w:pPr>
    </w:p>
    <w:p w14:paraId="0876BE71">
      <w:pPr>
        <w:spacing w:line="60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14:paraId="61918725">
      <w:pPr>
        <w:spacing w:line="60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576D5FEC">
      <w:pPr>
        <w:spacing w:line="60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年   月   日</w:t>
      </w:r>
    </w:p>
    <w:p w14:paraId="1D729A71">
      <w:pPr>
        <w:spacing w:line="600" w:lineRule="auto"/>
        <w:jc w:val="right"/>
        <w:rPr>
          <w:rFonts w:hint="eastAsia" w:ascii="仿宋" w:hAnsi="仿宋" w:eastAsia="仿宋" w:cs="仿宋"/>
          <w:color w:val="auto"/>
          <w:sz w:val="24"/>
          <w:szCs w:val="24"/>
          <w:highlight w:val="none"/>
        </w:rPr>
      </w:pPr>
    </w:p>
    <w:p w14:paraId="66820930">
      <w:pPr>
        <w:pStyle w:val="13"/>
        <w:rPr>
          <w:rFonts w:hint="eastAsia" w:ascii="仿宋" w:hAnsi="仿宋" w:eastAsia="仿宋" w:cs="仿宋"/>
          <w:color w:val="auto"/>
          <w:sz w:val="24"/>
          <w:szCs w:val="24"/>
          <w:highlight w:val="none"/>
        </w:rPr>
      </w:pPr>
    </w:p>
    <w:p w14:paraId="2AA1519C">
      <w:pPr>
        <w:rPr>
          <w:rFonts w:hint="eastAsia" w:ascii="仿宋" w:hAnsi="仿宋" w:eastAsia="仿宋" w:cs="仿宋"/>
          <w:color w:val="auto"/>
          <w:sz w:val="24"/>
          <w:szCs w:val="24"/>
          <w:highlight w:val="none"/>
        </w:rPr>
      </w:pPr>
    </w:p>
    <w:p w14:paraId="0AD696DB">
      <w:pPr>
        <w:pStyle w:val="13"/>
        <w:rPr>
          <w:rFonts w:hint="eastAsia" w:ascii="仿宋" w:hAnsi="仿宋" w:eastAsia="仿宋" w:cs="仿宋"/>
          <w:color w:val="auto"/>
          <w:sz w:val="24"/>
          <w:szCs w:val="24"/>
          <w:highlight w:val="none"/>
        </w:rPr>
      </w:pPr>
    </w:p>
    <w:p w14:paraId="1B8CCED7">
      <w:pPr>
        <w:pStyle w:val="39"/>
        <w:pageBreakBefore w:val="0"/>
        <w:numPr>
          <w:ilvl w:val="0"/>
          <w:numId w:val="19"/>
        </w:numPr>
        <w:kinsoku/>
        <w:wordWrap/>
        <w:overflowPunct/>
        <w:topLinePunct w:val="0"/>
        <w:bidi w:val="0"/>
        <w:spacing w:line="240" w:lineRule="auto"/>
        <w:jc w:val="center"/>
        <w:textAlignment w:val="auto"/>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商务评分证明材料（本项目核心产品成熟度）</w:t>
      </w:r>
    </w:p>
    <w:p w14:paraId="69923571">
      <w:pPr>
        <w:pStyle w:val="39"/>
        <w:pageBreakBefore w:val="0"/>
        <w:widowControl/>
        <w:numPr>
          <w:ilvl w:val="0"/>
          <w:numId w:val="0"/>
        </w:numPr>
        <w:kinsoku/>
        <w:wordWrap/>
        <w:overflowPunct/>
        <w:topLinePunct w:val="0"/>
        <w:bidi w:val="0"/>
        <w:spacing w:line="240" w:lineRule="auto"/>
        <w:jc w:val="center"/>
        <w:textAlignment w:val="auto"/>
        <w:rPr>
          <w:rFonts w:hint="eastAsia" w:ascii="宋体" w:hAnsi="宋体" w:eastAsia="宋体" w:cs="宋体"/>
          <w:b/>
          <w:color w:val="auto"/>
          <w:sz w:val="32"/>
          <w:szCs w:val="32"/>
          <w:highlight w:val="none"/>
          <w:lang w:val="en-US" w:eastAsia="zh-CN"/>
        </w:rPr>
      </w:pPr>
    </w:p>
    <w:p w14:paraId="47BBF729">
      <w:pPr>
        <w:pStyle w:val="39"/>
        <w:pageBreakBefore w:val="0"/>
        <w:widowControl/>
        <w:numPr>
          <w:ilvl w:val="0"/>
          <w:numId w:val="0"/>
        </w:numPr>
        <w:kinsoku/>
        <w:wordWrap/>
        <w:overflowPunct/>
        <w:topLinePunct w:val="0"/>
        <w:bidi w:val="0"/>
        <w:spacing w:line="240" w:lineRule="auto"/>
        <w:jc w:val="both"/>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注意：</w:t>
      </w:r>
    </w:p>
    <w:p w14:paraId="1ABC683A">
      <w:pPr>
        <w:pStyle w:val="39"/>
        <w:pageBreakBefore w:val="0"/>
        <w:widowControl/>
        <w:numPr>
          <w:ilvl w:val="0"/>
          <w:numId w:val="20"/>
        </w:numPr>
        <w:kinsoku/>
        <w:wordWrap/>
        <w:overflowPunct/>
        <w:topLinePunct w:val="0"/>
        <w:bidi w:val="0"/>
        <w:spacing w:line="240" w:lineRule="auto"/>
        <w:jc w:val="both"/>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供应商参照评分标准中相关要求提供证明材料</w:t>
      </w:r>
    </w:p>
    <w:p w14:paraId="63FA5893">
      <w:pPr>
        <w:pStyle w:val="39"/>
        <w:pageBreakBefore w:val="0"/>
        <w:widowControl/>
        <w:numPr>
          <w:ilvl w:val="0"/>
          <w:numId w:val="0"/>
        </w:numPr>
        <w:kinsoku/>
        <w:wordWrap/>
        <w:overflowPunct/>
        <w:topLinePunct w:val="0"/>
        <w:bidi w:val="0"/>
        <w:spacing w:line="240" w:lineRule="auto"/>
        <w:jc w:val="both"/>
        <w:textAlignment w:val="auto"/>
        <w:rPr>
          <w:rFonts w:hint="eastAsia" w:ascii="仿宋" w:hAnsi="仿宋" w:eastAsia="仿宋" w:cs="仿宋"/>
          <w:b/>
          <w:color w:val="auto"/>
          <w:sz w:val="24"/>
          <w:szCs w:val="24"/>
          <w:highlight w:val="none"/>
          <w:lang w:val="en-US" w:eastAsia="zh-CN"/>
        </w:rPr>
      </w:pPr>
    </w:p>
    <w:p w14:paraId="73BE24E6">
      <w:pPr>
        <w:pStyle w:val="39"/>
        <w:pageBreakBefore w:val="0"/>
        <w:widowControl/>
        <w:numPr>
          <w:ilvl w:val="0"/>
          <w:numId w:val="20"/>
        </w:numPr>
        <w:kinsoku/>
        <w:wordWrap/>
        <w:overflowPunct/>
        <w:topLinePunct w:val="0"/>
        <w:bidi w:val="0"/>
        <w:spacing w:line="240" w:lineRule="auto"/>
        <w:jc w:val="both"/>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所附的证明材料的复印件或影印件含糊不清，导致无法辨认的，视为未提供证明材料</w:t>
      </w:r>
    </w:p>
    <w:p w14:paraId="19B6366B">
      <w:pPr>
        <w:pStyle w:val="39"/>
        <w:pageBreakBefore w:val="0"/>
        <w:widowControl/>
        <w:numPr>
          <w:ilvl w:val="0"/>
          <w:numId w:val="0"/>
        </w:numPr>
        <w:kinsoku/>
        <w:wordWrap/>
        <w:overflowPunct/>
        <w:topLinePunct w:val="0"/>
        <w:bidi w:val="0"/>
        <w:spacing w:line="240" w:lineRule="auto"/>
        <w:jc w:val="both"/>
        <w:textAlignment w:val="auto"/>
        <w:rPr>
          <w:rFonts w:hint="eastAsia" w:ascii="仿宋" w:hAnsi="仿宋" w:eastAsia="仿宋" w:cs="仿宋"/>
          <w:b/>
          <w:color w:val="auto"/>
          <w:sz w:val="24"/>
          <w:szCs w:val="24"/>
          <w:highlight w:val="none"/>
          <w:lang w:val="en-US" w:eastAsia="zh-CN"/>
        </w:rPr>
      </w:pPr>
    </w:p>
    <w:p w14:paraId="7B621176">
      <w:pPr>
        <w:pStyle w:val="39"/>
        <w:pageBreakBefore w:val="0"/>
        <w:widowControl/>
        <w:numPr>
          <w:ilvl w:val="0"/>
          <w:numId w:val="0"/>
        </w:numPr>
        <w:kinsoku/>
        <w:wordWrap/>
        <w:overflowPunct/>
        <w:topLinePunct w:val="0"/>
        <w:bidi w:val="0"/>
        <w:spacing w:line="240" w:lineRule="auto"/>
        <w:jc w:val="both"/>
        <w:textAlignment w:val="auto"/>
        <w:rPr>
          <w:rFonts w:hint="eastAsia" w:ascii="仿宋" w:hAnsi="仿宋" w:eastAsia="仿宋" w:cs="仿宋"/>
          <w:b/>
          <w:color w:val="auto"/>
          <w:sz w:val="24"/>
          <w:szCs w:val="24"/>
          <w:highlight w:val="none"/>
          <w:lang w:val="en-US" w:eastAsia="zh-CN"/>
        </w:rPr>
      </w:pPr>
    </w:p>
    <w:p w14:paraId="56AF085A">
      <w:pPr>
        <w:pStyle w:val="39"/>
        <w:pageBreakBefore w:val="0"/>
        <w:widowControl/>
        <w:numPr>
          <w:ilvl w:val="0"/>
          <w:numId w:val="0"/>
        </w:numPr>
        <w:kinsoku/>
        <w:wordWrap/>
        <w:overflowPunct/>
        <w:topLinePunct w:val="0"/>
        <w:bidi w:val="0"/>
        <w:spacing w:line="240" w:lineRule="auto"/>
        <w:jc w:val="both"/>
        <w:textAlignment w:val="auto"/>
        <w:rPr>
          <w:rFonts w:hint="eastAsia" w:ascii="仿宋" w:hAnsi="仿宋" w:eastAsia="仿宋" w:cs="仿宋"/>
          <w:b/>
          <w:color w:val="auto"/>
          <w:sz w:val="24"/>
          <w:szCs w:val="24"/>
          <w:highlight w:val="none"/>
          <w:lang w:val="en-US" w:eastAsia="zh-CN"/>
        </w:rPr>
      </w:pPr>
    </w:p>
    <w:p w14:paraId="18460286">
      <w:pPr>
        <w:spacing w:line="60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14:paraId="6B0D7EAF">
      <w:pPr>
        <w:spacing w:line="60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243ACCFD">
      <w:pPr>
        <w:spacing w:line="60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年   月   日</w:t>
      </w:r>
    </w:p>
    <w:p w14:paraId="0121C0C2">
      <w:pPr>
        <w:pStyle w:val="39"/>
        <w:pageBreakBefore w:val="0"/>
        <w:widowControl/>
        <w:numPr>
          <w:ilvl w:val="0"/>
          <w:numId w:val="0"/>
        </w:numPr>
        <w:kinsoku/>
        <w:wordWrap/>
        <w:overflowPunct/>
        <w:topLinePunct w:val="0"/>
        <w:bidi w:val="0"/>
        <w:spacing w:line="240" w:lineRule="auto"/>
        <w:jc w:val="both"/>
        <w:textAlignment w:val="auto"/>
        <w:rPr>
          <w:rFonts w:hint="default" w:ascii="仿宋" w:hAnsi="仿宋" w:eastAsia="仿宋" w:cs="仿宋"/>
          <w:b/>
          <w:color w:val="auto"/>
          <w:sz w:val="24"/>
          <w:szCs w:val="24"/>
          <w:highlight w:val="none"/>
          <w:lang w:val="en-US" w:eastAsia="zh-CN"/>
        </w:rPr>
        <w:sectPr>
          <w:headerReference r:id="rId7" w:type="default"/>
          <w:footerReference r:id="rId8" w:type="default"/>
          <w:pgSz w:w="11906" w:h="16838"/>
          <w:pgMar w:top="1191" w:right="1417" w:bottom="1191" w:left="1417" w:header="737" w:footer="737" w:gutter="0"/>
          <w:pgBorders>
            <w:top w:val="none" w:sz="0" w:space="0"/>
            <w:left w:val="none" w:sz="0" w:space="0"/>
            <w:bottom w:val="none" w:sz="0" w:space="0"/>
            <w:right w:val="none" w:sz="0" w:space="0"/>
          </w:pgBorders>
          <w:pgNumType w:fmt="decimal"/>
          <w:cols w:space="720" w:num="1"/>
          <w:rtlGutter w:val="0"/>
          <w:docGrid w:linePitch="312" w:charSpace="0"/>
        </w:sectPr>
      </w:pPr>
    </w:p>
    <w:p w14:paraId="3E5505D6">
      <w:pPr>
        <w:jc w:val="center"/>
        <w:rPr>
          <w:rFonts w:ascii="宋体" w:hAnsi="宋体" w:eastAsia="宋体" w:cs="宋体"/>
          <w:b/>
          <w:color w:val="auto"/>
          <w:szCs w:val="28"/>
          <w:highlight w:val="none"/>
        </w:rPr>
      </w:pPr>
      <w:r>
        <w:rPr>
          <w:rFonts w:hint="eastAsia" w:ascii="仿宋" w:hAnsi="仿宋" w:eastAsia="仿宋" w:cs="仿宋"/>
          <w:b/>
          <w:color w:val="auto"/>
          <w:spacing w:val="6"/>
          <w:kern w:val="2"/>
          <w:sz w:val="28"/>
          <w:szCs w:val="28"/>
          <w:highlight w:val="none"/>
          <w:lang w:val="en-US" w:eastAsia="zh-CN" w:bidi="ar-SA"/>
        </w:rPr>
        <w:t>十五、</w:t>
      </w:r>
      <w:r>
        <w:rPr>
          <w:rFonts w:hint="eastAsia" w:ascii="宋体" w:hAnsi="宋体" w:eastAsia="宋体" w:cs="宋体"/>
          <w:b/>
          <w:color w:val="auto"/>
          <w:sz w:val="32"/>
          <w:szCs w:val="32"/>
          <w:highlight w:val="none"/>
        </w:rPr>
        <w:t>技术参数、功能偏离表</w:t>
      </w:r>
    </w:p>
    <w:p w14:paraId="758AE600">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w:t>
      </w:r>
    </w:p>
    <w:p w14:paraId="568090F2">
      <w:pPr>
        <w:rPr>
          <w:rFonts w:hint="eastAsia" w:ascii="仿宋" w:hAnsi="仿宋" w:eastAsia="仿宋" w:cs="仿宋"/>
          <w:color w:val="auto"/>
          <w:sz w:val="24"/>
          <w:szCs w:val="24"/>
          <w:highlight w:val="none"/>
          <w:u w:val="single"/>
        </w:rPr>
      </w:pPr>
    </w:p>
    <w:tbl>
      <w:tblPr>
        <w:tblStyle w:val="45"/>
        <w:tblW w:w="8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876"/>
        <w:gridCol w:w="2672"/>
        <w:gridCol w:w="1578"/>
        <w:gridCol w:w="1578"/>
      </w:tblGrid>
      <w:tr w14:paraId="3A17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14:paraId="2CE5CBA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76" w:type="dxa"/>
            <w:vAlign w:val="center"/>
          </w:tcPr>
          <w:p w14:paraId="54B1425F">
            <w:pPr>
              <w:pStyle w:val="14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招标规格</w:t>
            </w:r>
          </w:p>
        </w:tc>
        <w:tc>
          <w:tcPr>
            <w:tcW w:w="2672" w:type="dxa"/>
            <w:vAlign w:val="center"/>
          </w:tcPr>
          <w:p w14:paraId="5FC2D728">
            <w:pPr>
              <w:pStyle w:val="14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投标规格</w:t>
            </w:r>
          </w:p>
        </w:tc>
        <w:tc>
          <w:tcPr>
            <w:tcW w:w="1578" w:type="dxa"/>
            <w:vAlign w:val="center"/>
          </w:tcPr>
          <w:p w14:paraId="55AF27AD">
            <w:pPr>
              <w:pStyle w:val="14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578" w:type="dxa"/>
            <w:vAlign w:val="center"/>
          </w:tcPr>
          <w:p w14:paraId="59A13B57">
            <w:pPr>
              <w:pStyle w:val="14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582E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14:paraId="1AF3B0F6">
            <w:pPr>
              <w:pStyle w:val="149"/>
              <w:jc w:val="center"/>
              <w:rPr>
                <w:rFonts w:hint="eastAsia" w:ascii="仿宋" w:hAnsi="仿宋" w:eastAsia="仿宋" w:cs="仿宋"/>
                <w:color w:val="auto"/>
                <w:sz w:val="24"/>
                <w:szCs w:val="24"/>
                <w:highlight w:val="none"/>
              </w:rPr>
            </w:pPr>
          </w:p>
        </w:tc>
        <w:tc>
          <w:tcPr>
            <w:tcW w:w="1876" w:type="dxa"/>
            <w:vAlign w:val="center"/>
          </w:tcPr>
          <w:p w14:paraId="4AFC8008">
            <w:pPr>
              <w:pStyle w:val="149"/>
              <w:jc w:val="center"/>
              <w:rPr>
                <w:rFonts w:hint="eastAsia" w:ascii="仿宋" w:hAnsi="仿宋" w:eastAsia="仿宋" w:cs="仿宋"/>
                <w:color w:val="auto"/>
                <w:sz w:val="24"/>
                <w:szCs w:val="24"/>
                <w:highlight w:val="none"/>
              </w:rPr>
            </w:pPr>
          </w:p>
        </w:tc>
        <w:tc>
          <w:tcPr>
            <w:tcW w:w="2672" w:type="dxa"/>
            <w:vAlign w:val="center"/>
          </w:tcPr>
          <w:p w14:paraId="43E2B125">
            <w:pPr>
              <w:pStyle w:val="149"/>
              <w:jc w:val="center"/>
              <w:rPr>
                <w:rFonts w:hint="eastAsia" w:ascii="仿宋" w:hAnsi="仿宋" w:eastAsia="仿宋" w:cs="仿宋"/>
                <w:color w:val="auto"/>
                <w:sz w:val="24"/>
                <w:szCs w:val="24"/>
                <w:highlight w:val="none"/>
              </w:rPr>
            </w:pPr>
          </w:p>
        </w:tc>
        <w:tc>
          <w:tcPr>
            <w:tcW w:w="1578" w:type="dxa"/>
            <w:vAlign w:val="center"/>
          </w:tcPr>
          <w:p w14:paraId="4056726D">
            <w:pPr>
              <w:pStyle w:val="149"/>
              <w:jc w:val="center"/>
              <w:rPr>
                <w:rFonts w:hint="eastAsia" w:ascii="仿宋" w:hAnsi="仿宋" w:eastAsia="仿宋" w:cs="仿宋"/>
                <w:color w:val="auto"/>
                <w:sz w:val="24"/>
                <w:szCs w:val="24"/>
                <w:highlight w:val="none"/>
              </w:rPr>
            </w:pPr>
          </w:p>
        </w:tc>
        <w:tc>
          <w:tcPr>
            <w:tcW w:w="1578" w:type="dxa"/>
            <w:vAlign w:val="center"/>
          </w:tcPr>
          <w:p w14:paraId="3006727E">
            <w:pPr>
              <w:pStyle w:val="149"/>
              <w:jc w:val="center"/>
              <w:rPr>
                <w:rFonts w:hint="eastAsia" w:ascii="仿宋" w:hAnsi="仿宋" w:eastAsia="仿宋" w:cs="仿宋"/>
                <w:color w:val="auto"/>
                <w:sz w:val="24"/>
                <w:szCs w:val="24"/>
                <w:highlight w:val="none"/>
              </w:rPr>
            </w:pPr>
          </w:p>
        </w:tc>
      </w:tr>
      <w:tr w14:paraId="3253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14:paraId="5F7A0B9C">
            <w:pPr>
              <w:pStyle w:val="149"/>
              <w:jc w:val="center"/>
              <w:rPr>
                <w:rFonts w:hint="eastAsia" w:ascii="仿宋" w:hAnsi="仿宋" w:eastAsia="仿宋" w:cs="仿宋"/>
                <w:color w:val="auto"/>
                <w:sz w:val="24"/>
                <w:szCs w:val="24"/>
                <w:highlight w:val="none"/>
              </w:rPr>
            </w:pPr>
          </w:p>
        </w:tc>
        <w:tc>
          <w:tcPr>
            <w:tcW w:w="1876" w:type="dxa"/>
            <w:vAlign w:val="center"/>
          </w:tcPr>
          <w:p w14:paraId="5664F88F">
            <w:pPr>
              <w:pStyle w:val="149"/>
              <w:jc w:val="center"/>
              <w:rPr>
                <w:rFonts w:hint="eastAsia" w:ascii="仿宋" w:hAnsi="仿宋" w:eastAsia="仿宋" w:cs="仿宋"/>
                <w:color w:val="auto"/>
                <w:sz w:val="24"/>
                <w:szCs w:val="24"/>
                <w:highlight w:val="none"/>
              </w:rPr>
            </w:pPr>
          </w:p>
        </w:tc>
        <w:tc>
          <w:tcPr>
            <w:tcW w:w="2672" w:type="dxa"/>
            <w:vAlign w:val="center"/>
          </w:tcPr>
          <w:p w14:paraId="35CA31B3">
            <w:pPr>
              <w:pStyle w:val="149"/>
              <w:jc w:val="center"/>
              <w:rPr>
                <w:rFonts w:hint="eastAsia" w:ascii="仿宋" w:hAnsi="仿宋" w:eastAsia="仿宋" w:cs="仿宋"/>
                <w:color w:val="auto"/>
                <w:sz w:val="24"/>
                <w:szCs w:val="24"/>
                <w:highlight w:val="none"/>
              </w:rPr>
            </w:pPr>
          </w:p>
        </w:tc>
        <w:tc>
          <w:tcPr>
            <w:tcW w:w="1578" w:type="dxa"/>
            <w:vAlign w:val="center"/>
          </w:tcPr>
          <w:p w14:paraId="277C5E7D">
            <w:pPr>
              <w:pStyle w:val="149"/>
              <w:jc w:val="center"/>
              <w:rPr>
                <w:rFonts w:hint="eastAsia" w:ascii="仿宋" w:hAnsi="仿宋" w:eastAsia="仿宋" w:cs="仿宋"/>
                <w:color w:val="auto"/>
                <w:sz w:val="24"/>
                <w:szCs w:val="24"/>
                <w:highlight w:val="none"/>
              </w:rPr>
            </w:pPr>
          </w:p>
        </w:tc>
        <w:tc>
          <w:tcPr>
            <w:tcW w:w="1578" w:type="dxa"/>
            <w:vAlign w:val="center"/>
          </w:tcPr>
          <w:p w14:paraId="35CCCEAC">
            <w:pPr>
              <w:pStyle w:val="149"/>
              <w:jc w:val="center"/>
              <w:rPr>
                <w:rFonts w:hint="eastAsia" w:ascii="仿宋" w:hAnsi="仿宋" w:eastAsia="仿宋" w:cs="仿宋"/>
                <w:color w:val="auto"/>
                <w:sz w:val="24"/>
                <w:szCs w:val="24"/>
                <w:highlight w:val="none"/>
              </w:rPr>
            </w:pPr>
          </w:p>
        </w:tc>
      </w:tr>
      <w:tr w14:paraId="28CE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14:paraId="050175D8">
            <w:pPr>
              <w:pStyle w:val="149"/>
              <w:jc w:val="center"/>
              <w:rPr>
                <w:rFonts w:hint="eastAsia" w:ascii="仿宋" w:hAnsi="仿宋" w:eastAsia="仿宋" w:cs="仿宋"/>
                <w:color w:val="auto"/>
                <w:sz w:val="24"/>
                <w:szCs w:val="24"/>
                <w:highlight w:val="none"/>
              </w:rPr>
            </w:pPr>
          </w:p>
        </w:tc>
        <w:tc>
          <w:tcPr>
            <w:tcW w:w="1876" w:type="dxa"/>
            <w:vAlign w:val="center"/>
          </w:tcPr>
          <w:p w14:paraId="4D85AE46">
            <w:pPr>
              <w:pStyle w:val="149"/>
              <w:jc w:val="center"/>
              <w:rPr>
                <w:rFonts w:hint="eastAsia" w:ascii="仿宋" w:hAnsi="仿宋" w:eastAsia="仿宋" w:cs="仿宋"/>
                <w:color w:val="auto"/>
                <w:sz w:val="24"/>
                <w:szCs w:val="24"/>
                <w:highlight w:val="none"/>
              </w:rPr>
            </w:pPr>
          </w:p>
        </w:tc>
        <w:tc>
          <w:tcPr>
            <w:tcW w:w="2672" w:type="dxa"/>
            <w:vAlign w:val="center"/>
          </w:tcPr>
          <w:p w14:paraId="00DDAEB7">
            <w:pPr>
              <w:pStyle w:val="149"/>
              <w:jc w:val="center"/>
              <w:rPr>
                <w:rFonts w:hint="eastAsia" w:ascii="仿宋" w:hAnsi="仿宋" w:eastAsia="仿宋" w:cs="仿宋"/>
                <w:color w:val="auto"/>
                <w:sz w:val="24"/>
                <w:szCs w:val="24"/>
                <w:highlight w:val="none"/>
              </w:rPr>
            </w:pPr>
          </w:p>
        </w:tc>
        <w:tc>
          <w:tcPr>
            <w:tcW w:w="1578" w:type="dxa"/>
            <w:vAlign w:val="center"/>
          </w:tcPr>
          <w:p w14:paraId="7E98DB88">
            <w:pPr>
              <w:pStyle w:val="149"/>
              <w:jc w:val="center"/>
              <w:rPr>
                <w:rFonts w:hint="eastAsia" w:ascii="仿宋" w:hAnsi="仿宋" w:eastAsia="仿宋" w:cs="仿宋"/>
                <w:color w:val="auto"/>
                <w:sz w:val="24"/>
                <w:szCs w:val="24"/>
                <w:highlight w:val="none"/>
              </w:rPr>
            </w:pPr>
          </w:p>
        </w:tc>
        <w:tc>
          <w:tcPr>
            <w:tcW w:w="1578" w:type="dxa"/>
            <w:vAlign w:val="center"/>
          </w:tcPr>
          <w:p w14:paraId="06609880">
            <w:pPr>
              <w:pStyle w:val="149"/>
              <w:jc w:val="center"/>
              <w:rPr>
                <w:rFonts w:hint="eastAsia" w:ascii="仿宋" w:hAnsi="仿宋" w:eastAsia="仿宋" w:cs="仿宋"/>
                <w:color w:val="auto"/>
                <w:sz w:val="24"/>
                <w:szCs w:val="24"/>
                <w:highlight w:val="none"/>
              </w:rPr>
            </w:pPr>
          </w:p>
        </w:tc>
      </w:tr>
      <w:tr w14:paraId="5DF1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14:paraId="7F8F12A8">
            <w:pPr>
              <w:pStyle w:val="149"/>
              <w:jc w:val="center"/>
              <w:rPr>
                <w:rFonts w:hint="eastAsia" w:ascii="仿宋" w:hAnsi="仿宋" w:eastAsia="仿宋" w:cs="仿宋"/>
                <w:color w:val="auto"/>
                <w:sz w:val="24"/>
                <w:szCs w:val="24"/>
                <w:highlight w:val="none"/>
              </w:rPr>
            </w:pPr>
          </w:p>
        </w:tc>
        <w:tc>
          <w:tcPr>
            <w:tcW w:w="1876" w:type="dxa"/>
            <w:vAlign w:val="center"/>
          </w:tcPr>
          <w:p w14:paraId="394E6B64">
            <w:pPr>
              <w:pStyle w:val="149"/>
              <w:jc w:val="center"/>
              <w:rPr>
                <w:rFonts w:hint="eastAsia" w:ascii="仿宋" w:hAnsi="仿宋" w:eastAsia="仿宋" w:cs="仿宋"/>
                <w:color w:val="auto"/>
                <w:sz w:val="24"/>
                <w:szCs w:val="24"/>
                <w:highlight w:val="none"/>
              </w:rPr>
            </w:pPr>
          </w:p>
        </w:tc>
        <w:tc>
          <w:tcPr>
            <w:tcW w:w="2672" w:type="dxa"/>
            <w:vAlign w:val="center"/>
          </w:tcPr>
          <w:p w14:paraId="500225A3">
            <w:pPr>
              <w:pStyle w:val="149"/>
              <w:jc w:val="center"/>
              <w:rPr>
                <w:rFonts w:hint="eastAsia" w:ascii="仿宋" w:hAnsi="仿宋" w:eastAsia="仿宋" w:cs="仿宋"/>
                <w:color w:val="auto"/>
                <w:sz w:val="24"/>
                <w:szCs w:val="24"/>
                <w:highlight w:val="none"/>
              </w:rPr>
            </w:pPr>
          </w:p>
        </w:tc>
        <w:tc>
          <w:tcPr>
            <w:tcW w:w="1578" w:type="dxa"/>
            <w:vAlign w:val="center"/>
          </w:tcPr>
          <w:p w14:paraId="09E968B1">
            <w:pPr>
              <w:pStyle w:val="149"/>
              <w:jc w:val="center"/>
              <w:rPr>
                <w:rFonts w:hint="eastAsia" w:ascii="仿宋" w:hAnsi="仿宋" w:eastAsia="仿宋" w:cs="仿宋"/>
                <w:color w:val="auto"/>
                <w:sz w:val="24"/>
                <w:szCs w:val="24"/>
                <w:highlight w:val="none"/>
              </w:rPr>
            </w:pPr>
          </w:p>
        </w:tc>
        <w:tc>
          <w:tcPr>
            <w:tcW w:w="1578" w:type="dxa"/>
            <w:vAlign w:val="center"/>
          </w:tcPr>
          <w:p w14:paraId="1EE4B3FA">
            <w:pPr>
              <w:pStyle w:val="149"/>
              <w:jc w:val="center"/>
              <w:rPr>
                <w:rFonts w:hint="eastAsia" w:ascii="仿宋" w:hAnsi="仿宋" w:eastAsia="仿宋" w:cs="仿宋"/>
                <w:color w:val="auto"/>
                <w:sz w:val="24"/>
                <w:szCs w:val="24"/>
                <w:highlight w:val="none"/>
              </w:rPr>
            </w:pPr>
          </w:p>
        </w:tc>
      </w:tr>
      <w:tr w14:paraId="3684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14:paraId="37442B5F">
            <w:pPr>
              <w:pStyle w:val="149"/>
              <w:jc w:val="center"/>
              <w:rPr>
                <w:rFonts w:hint="eastAsia" w:ascii="仿宋" w:hAnsi="仿宋" w:eastAsia="仿宋" w:cs="仿宋"/>
                <w:color w:val="auto"/>
                <w:sz w:val="24"/>
                <w:szCs w:val="24"/>
                <w:highlight w:val="none"/>
              </w:rPr>
            </w:pPr>
          </w:p>
        </w:tc>
        <w:tc>
          <w:tcPr>
            <w:tcW w:w="1876" w:type="dxa"/>
            <w:vAlign w:val="center"/>
          </w:tcPr>
          <w:p w14:paraId="1E1C74EF">
            <w:pPr>
              <w:pStyle w:val="149"/>
              <w:jc w:val="center"/>
              <w:rPr>
                <w:rFonts w:hint="eastAsia" w:ascii="仿宋" w:hAnsi="仿宋" w:eastAsia="仿宋" w:cs="仿宋"/>
                <w:color w:val="auto"/>
                <w:sz w:val="24"/>
                <w:szCs w:val="24"/>
                <w:highlight w:val="none"/>
              </w:rPr>
            </w:pPr>
          </w:p>
        </w:tc>
        <w:tc>
          <w:tcPr>
            <w:tcW w:w="2672" w:type="dxa"/>
            <w:vAlign w:val="center"/>
          </w:tcPr>
          <w:p w14:paraId="741BB34E">
            <w:pPr>
              <w:pStyle w:val="149"/>
              <w:jc w:val="center"/>
              <w:rPr>
                <w:rFonts w:hint="eastAsia" w:ascii="仿宋" w:hAnsi="仿宋" w:eastAsia="仿宋" w:cs="仿宋"/>
                <w:color w:val="auto"/>
                <w:sz w:val="24"/>
                <w:szCs w:val="24"/>
                <w:highlight w:val="none"/>
              </w:rPr>
            </w:pPr>
          </w:p>
        </w:tc>
        <w:tc>
          <w:tcPr>
            <w:tcW w:w="1578" w:type="dxa"/>
            <w:vAlign w:val="center"/>
          </w:tcPr>
          <w:p w14:paraId="6BDF5B53">
            <w:pPr>
              <w:pStyle w:val="149"/>
              <w:jc w:val="center"/>
              <w:rPr>
                <w:rFonts w:hint="eastAsia" w:ascii="仿宋" w:hAnsi="仿宋" w:eastAsia="仿宋" w:cs="仿宋"/>
                <w:color w:val="auto"/>
                <w:sz w:val="24"/>
                <w:szCs w:val="24"/>
                <w:highlight w:val="none"/>
              </w:rPr>
            </w:pPr>
          </w:p>
        </w:tc>
        <w:tc>
          <w:tcPr>
            <w:tcW w:w="1578" w:type="dxa"/>
            <w:vAlign w:val="center"/>
          </w:tcPr>
          <w:p w14:paraId="33EBCC19">
            <w:pPr>
              <w:pStyle w:val="149"/>
              <w:jc w:val="center"/>
              <w:rPr>
                <w:rFonts w:hint="eastAsia" w:ascii="仿宋" w:hAnsi="仿宋" w:eastAsia="仿宋" w:cs="仿宋"/>
                <w:color w:val="auto"/>
                <w:sz w:val="24"/>
                <w:szCs w:val="24"/>
                <w:highlight w:val="none"/>
              </w:rPr>
            </w:pPr>
          </w:p>
        </w:tc>
      </w:tr>
      <w:tr w14:paraId="4709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14:paraId="63F1349E">
            <w:pPr>
              <w:pStyle w:val="149"/>
              <w:jc w:val="center"/>
              <w:rPr>
                <w:rFonts w:hint="eastAsia" w:ascii="仿宋" w:hAnsi="仿宋" w:eastAsia="仿宋" w:cs="仿宋"/>
                <w:color w:val="auto"/>
                <w:sz w:val="24"/>
                <w:szCs w:val="24"/>
                <w:highlight w:val="none"/>
              </w:rPr>
            </w:pPr>
          </w:p>
        </w:tc>
        <w:tc>
          <w:tcPr>
            <w:tcW w:w="1876" w:type="dxa"/>
            <w:vAlign w:val="center"/>
          </w:tcPr>
          <w:p w14:paraId="26901DAB">
            <w:pPr>
              <w:pStyle w:val="149"/>
              <w:jc w:val="center"/>
              <w:rPr>
                <w:rFonts w:hint="eastAsia" w:ascii="仿宋" w:hAnsi="仿宋" w:eastAsia="仿宋" w:cs="仿宋"/>
                <w:color w:val="auto"/>
                <w:sz w:val="24"/>
                <w:szCs w:val="24"/>
                <w:highlight w:val="none"/>
              </w:rPr>
            </w:pPr>
          </w:p>
        </w:tc>
        <w:tc>
          <w:tcPr>
            <w:tcW w:w="2672" w:type="dxa"/>
            <w:vAlign w:val="center"/>
          </w:tcPr>
          <w:p w14:paraId="5C7036E3">
            <w:pPr>
              <w:pStyle w:val="149"/>
              <w:jc w:val="center"/>
              <w:rPr>
                <w:rFonts w:hint="eastAsia" w:ascii="仿宋" w:hAnsi="仿宋" w:eastAsia="仿宋" w:cs="仿宋"/>
                <w:color w:val="auto"/>
                <w:sz w:val="24"/>
                <w:szCs w:val="24"/>
                <w:highlight w:val="none"/>
              </w:rPr>
            </w:pPr>
          </w:p>
        </w:tc>
        <w:tc>
          <w:tcPr>
            <w:tcW w:w="1578" w:type="dxa"/>
            <w:vAlign w:val="center"/>
          </w:tcPr>
          <w:p w14:paraId="237C7B0A">
            <w:pPr>
              <w:pStyle w:val="149"/>
              <w:jc w:val="center"/>
              <w:rPr>
                <w:rFonts w:hint="eastAsia" w:ascii="仿宋" w:hAnsi="仿宋" w:eastAsia="仿宋" w:cs="仿宋"/>
                <w:color w:val="auto"/>
                <w:sz w:val="24"/>
                <w:szCs w:val="24"/>
                <w:highlight w:val="none"/>
              </w:rPr>
            </w:pPr>
          </w:p>
        </w:tc>
        <w:tc>
          <w:tcPr>
            <w:tcW w:w="1578" w:type="dxa"/>
            <w:vAlign w:val="center"/>
          </w:tcPr>
          <w:p w14:paraId="7979BFAF">
            <w:pPr>
              <w:pStyle w:val="149"/>
              <w:jc w:val="center"/>
              <w:rPr>
                <w:rFonts w:hint="eastAsia" w:ascii="仿宋" w:hAnsi="仿宋" w:eastAsia="仿宋" w:cs="仿宋"/>
                <w:color w:val="auto"/>
                <w:sz w:val="24"/>
                <w:szCs w:val="24"/>
                <w:highlight w:val="none"/>
              </w:rPr>
            </w:pPr>
          </w:p>
        </w:tc>
      </w:tr>
      <w:tr w14:paraId="6B6C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14:paraId="35228DCA">
            <w:pPr>
              <w:pStyle w:val="149"/>
              <w:jc w:val="center"/>
              <w:rPr>
                <w:rFonts w:hint="eastAsia" w:ascii="仿宋" w:hAnsi="仿宋" w:eastAsia="仿宋" w:cs="仿宋"/>
                <w:color w:val="auto"/>
                <w:sz w:val="24"/>
                <w:szCs w:val="24"/>
                <w:highlight w:val="none"/>
              </w:rPr>
            </w:pPr>
          </w:p>
        </w:tc>
        <w:tc>
          <w:tcPr>
            <w:tcW w:w="1876" w:type="dxa"/>
            <w:vAlign w:val="center"/>
          </w:tcPr>
          <w:p w14:paraId="05712F68">
            <w:pPr>
              <w:pStyle w:val="149"/>
              <w:jc w:val="center"/>
              <w:rPr>
                <w:rFonts w:hint="eastAsia" w:ascii="仿宋" w:hAnsi="仿宋" w:eastAsia="仿宋" w:cs="仿宋"/>
                <w:color w:val="auto"/>
                <w:sz w:val="24"/>
                <w:szCs w:val="24"/>
                <w:highlight w:val="none"/>
              </w:rPr>
            </w:pPr>
          </w:p>
        </w:tc>
        <w:tc>
          <w:tcPr>
            <w:tcW w:w="2672" w:type="dxa"/>
            <w:vAlign w:val="center"/>
          </w:tcPr>
          <w:p w14:paraId="7A1E3BC4">
            <w:pPr>
              <w:pStyle w:val="149"/>
              <w:jc w:val="center"/>
              <w:rPr>
                <w:rFonts w:hint="eastAsia" w:ascii="仿宋" w:hAnsi="仿宋" w:eastAsia="仿宋" w:cs="仿宋"/>
                <w:color w:val="auto"/>
                <w:sz w:val="24"/>
                <w:szCs w:val="24"/>
                <w:highlight w:val="none"/>
              </w:rPr>
            </w:pPr>
          </w:p>
        </w:tc>
        <w:tc>
          <w:tcPr>
            <w:tcW w:w="1578" w:type="dxa"/>
            <w:vAlign w:val="center"/>
          </w:tcPr>
          <w:p w14:paraId="5C2884EB">
            <w:pPr>
              <w:pStyle w:val="149"/>
              <w:jc w:val="center"/>
              <w:rPr>
                <w:rFonts w:hint="eastAsia" w:ascii="仿宋" w:hAnsi="仿宋" w:eastAsia="仿宋" w:cs="仿宋"/>
                <w:color w:val="auto"/>
                <w:sz w:val="24"/>
                <w:szCs w:val="24"/>
                <w:highlight w:val="none"/>
              </w:rPr>
            </w:pPr>
          </w:p>
        </w:tc>
        <w:tc>
          <w:tcPr>
            <w:tcW w:w="1578" w:type="dxa"/>
            <w:vAlign w:val="center"/>
          </w:tcPr>
          <w:p w14:paraId="6630A270">
            <w:pPr>
              <w:pStyle w:val="149"/>
              <w:jc w:val="center"/>
              <w:rPr>
                <w:rFonts w:hint="eastAsia" w:ascii="仿宋" w:hAnsi="仿宋" w:eastAsia="仿宋" w:cs="仿宋"/>
                <w:color w:val="auto"/>
                <w:sz w:val="24"/>
                <w:szCs w:val="24"/>
                <w:highlight w:val="none"/>
              </w:rPr>
            </w:pPr>
          </w:p>
        </w:tc>
      </w:tr>
      <w:tr w14:paraId="6BF6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14:paraId="0B9E2EEA">
            <w:pPr>
              <w:pStyle w:val="149"/>
              <w:jc w:val="center"/>
              <w:rPr>
                <w:rFonts w:hint="eastAsia" w:ascii="仿宋" w:hAnsi="仿宋" w:eastAsia="仿宋" w:cs="仿宋"/>
                <w:color w:val="auto"/>
                <w:sz w:val="24"/>
                <w:szCs w:val="24"/>
                <w:highlight w:val="none"/>
              </w:rPr>
            </w:pPr>
          </w:p>
        </w:tc>
        <w:tc>
          <w:tcPr>
            <w:tcW w:w="1876" w:type="dxa"/>
            <w:vAlign w:val="center"/>
          </w:tcPr>
          <w:p w14:paraId="6207C205">
            <w:pPr>
              <w:pStyle w:val="149"/>
              <w:jc w:val="center"/>
              <w:rPr>
                <w:rFonts w:hint="eastAsia" w:ascii="仿宋" w:hAnsi="仿宋" w:eastAsia="仿宋" w:cs="仿宋"/>
                <w:color w:val="auto"/>
                <w:sz w:val="24"/>
                <w:szCs w:val="24"/>
                <w:highlight w:val="none"/>
              </w:rPr>
            </w:pPr>
          </w:p>
        </w:tc>
        <w:tc>
          <w:tcPr>
            <w:tcW w:w="2672" w:type="dxa"/>
            <w:vAlign w:val="center"/>
          </w:tcPr>
          <w:p w14:paraId="2B24D1D8">
            <w:pPr>
              <w:pStyle w:val="149"/>
              <w:jc w:val="center"/>
              <w:rPr>
                <w:rFonts w:hint="eastAsia" w:ascii="仿宋" w:hAnsi="仿宋" w:eastAsia="仿宋" w:cs="仿宋"/>
                <w:color w:val="auto"/>
                <w:sz w:val="24"/>
                <w:szCs w:val="24"/>
                <w:highlight w:val="none"/>
              </w:rPr>
            </w:pPr>
          </w:p>
        </w:tc>
        <w:tc>
          <w:tcPr>
            <w:tcW w:w="1578" w:type="dxa"/>
            <w:vAlign w:val="center"/>
          </w:tcPr>
          <w:p w14:paraId="64C52604">
            <w:pPr>
              <w:pStyle w:val="149"/>
              <w:jc w:val="center"/>
              <w:rPr>
                <w:rFonts w:hint="eastAsia" w:ascii="仿宋" w:hAnsi="仿宋" w:eastAsia="仿宋" w:cs="仿宋"/>
                <w:color w:val="auto"/>
                <w:sz w:val="24"/>
                <w:szCs w:val="24"/>
                <w:highlight w:val="none"/>
              </w:rPr>
            </w:pPr>
          </w:p>
        </w:tc>
        <w:tc>
          <w:tcPr>
            <w:tcW w:w="1578" w:type="dxa"/>
            <w:vAlign w:val="center"/>
          </w:tcPr>
          <w:p w14:paraId="1AB2CA83">
            <w:pPr>
              <w:pStyle w:val="149"/>
              <w:jc w:val="center"/>
              <w:rPr>
                <w:rFonts w:hint="eastAsia" w:ascii="仿宋" w:hAnsi="仿宋" w:eastAsia="仿宋" w:cs="仿宋"/>
                <w:color w:val="auto"/>
                <w:sz w:val="24"/>
                <w:szCs w:val="24"/>
                <w:highlight w:val="none"/>
              </w:rPr>
            </w:pPr>
          </w:p>
        </w:tc>
      </w:tr>
      <w:tr w14:paraId="65C0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14:paraId="3DBE4473">
            <w:pPr>
              <w:pStyle w:val="149"/>
              <w:jc w:val="center"/>
              <w:rPr>
                <w:rFonts w:hint="eastAsia" w:ascii="仿宋" w:hAnsi="仿宋" w:eastAsia="仿宋" w:cs="仿宋"/>
                <w:color w:val="auto"/>
                <w:sz w:val="24"/>
                <w:szCs w:val="24"/>
                <w:highlight w:val="none"/>
              </w:rPr>
            </w:pPr>
          </w:p>
        </w:tc>
        <w:tc>
          <w:tcPr>
            <w:tcW w:w="1876" w:type="dxa"/>
            <w:vAlign w:val="center"/>
          </w:tcPr>
          <w:p w14:paraId="19F19720">
            <w:pPr>
              <w:pStyle w:val="149"/>
              <w:jc w:val="center"/>
              <w:rPr>
                <w:rFonts w:hint="eastAsia" w:ascii="仿宋" w:hAnsi="仿宋" w:eastAsia="仿宋" w:cs="仿宋"/>
                <w:color w:val="auto"/>
                <w:sz w:val="24"/>
                <w:szCs w:val="24"/>
                <w:highlight w:val="none"/>
              </w:rPr>
            </w:pPr>
          </w:p>
        </w:tc>
        <w:tc>
          <w:tcPr>
            <w:tcW w:w="2672" w:type="dxa"/>
            <w:vAlign w:val="center"/>
          </w:tcPr>
          <w:p w14:paraId="457ADFBB">
            <w:pPr>
              <w:pStyle w:val="149"/>
              <w:jc w:val="center"/>
              <w:rPr>
                <w:rFonts w:hint="eastAsia" w:ascii="仿宋" w:hAnsi="仿宋" w:eastAsia="仿宋" w:cs="仿宋"/>
                <w:color w:val="auto"/>
                <w:sz w:val="24"/>
                <w:szCs w:val="24"/>
                <w:highlight w:val="none"/>
              </w:rPr>
            </w:pPr>
          </w:p>
        </w:tc>
        <w:tc>
          <w:tcPr>
            <w:tcW w:w="1578" w:type="dxa"/>
            <w:vAlign w:val="center"/>
          </w:tcPr>
          <w:p w14:paraId="0DBE82B2">
            <w:pPr>
              <w:pStyle w:val="149"/>
              <w:jc w:val="center"/>
              <w:rPr>
                <w:rFonts w:hint="eastAsia" w:ascii="仿宋" w:hAnsi="仿宋" w:eastAsia="仿宋" w:cs="仿宋"/>
                <w:color w:val="auto"/>
                <w:sz w:val="24"/>
                <w:szCs w:val="24"/>
                <w:highlight w:val="none"/>
              </w:rPr>
            </w:pPr>
          </w:p>
        </w:tc>
        <w:tc>
          <w:tcPr>
            <w:tcW w:w="1578" w:type="dxa"/>
            <w:vAlign w:val="center"/>
          </w:tcPr>
          <w:p w14:paraId="34CCB570">
            <w:pPr>
              <w:pStyle w:val="149"/>
              <w:jc w:val="center"/>
              <w:rPr>
                <w:rFonts w:hint="eastAsia" w:ascii="仿宋" w:hAnsi="仿宋" w:eastAsia="仿宋" w:cs="仿宋"/>
                <w:color w:val="auto"/>
                <w:sz w:val="24"/>
                <w:szCs w:val="24"/>
                <w:highlight w:val="none"/>
              </w:rPr>
            </w:pPr>
          </w:p>
        </w:tc>
      </w:tr>
      <w:tr w14:paraId="2100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vAlign w:val="center"/>
          </w:tcPr>
          <w:p w14:paraId="1AB9B228">
            <w:pPr>
              <w:pStyle w:val="149"/>
              <w:jc w:val="center"/>
              <w:rPr>
                <w:rFonts w:hint="eastAsia" w:ascii="仿宋" w:hAnsi="仿宋" w:eastAsia="仿宋" w:cs="仿宋"/>
                <w:color w:val="auto"/>
                <w:sz w:val="24"/>
                <w:szCs w:val="24"/>
                <w:highlight w:val="none"/>
              </w:rPr>
            </w:pPr>
          </w:p>
        </w:tc>
        <w:tc>
          <w:tcPr>
            <w:tcW w:w="1876" w:type="dxa"/>
            <w:vAlign w:val="center"/>
          </w:tcPr>
          <w:p w14:paraId="09F67BD2">
            <w:pPr>
              <w:pStyle w:val="149"/>
              <w:jc w:val="center"/>
              <w:rPr>
                <w:rFonts w:hint="eastAsia" w:ascii="仿宋" w:hAnsi="仿宋" w:eastAsia="仿宋" w:cs="仿宋"/>
                <w:color w:val="auto"/>
                <w:sz w:val="24"/>
                <w:szCs w:val="24"/>
                <w:highlight w:val="none"/>
              </w:rPr>
            </w:pPr>
          </w:p>
        </w:tc>
        <w:tc>
          <w:tcPr>
            <w:tcW w:w="2672" w:type="dxa"/>
            <w:vAlign w:val="center"/>
          </w:tcPr>
          <w:p w14:paraId="636F092A">
            <w:pPr>
              <w:pStyle w:val="149"/>
              <w:jc w:val="center"/>
              <w:rPr>
                <w:rFonts w:hint="eastAsia" w:ascii="仿宋" w:hAnsi="仿宋" w:eastAsia="仿宋" w:cs="仿宋"/>
                <w:color w:val="auto"/>
                <w:sz w:val="24"/>
                <w:szCs w:val="24"/>
                <w:highlight w:val="none"/>
              </w:rPr>
            </w:pPr>
          </w:p>
        </w:tc>
        <w:tc>
          <w:tcPr>
            <w:tcW w:w="1578" w:type="dxa"/>
            <w:vAlign w:val="center"/>
          </w:tcPr>
          <w:p w14:paraId="7C5B3863">
            <w:pPr>
              <w:pStyle w:val="149"/>
              <w:jc w:val="center"/>
              <w:rPr>
                <w:rFonts w:hint="eastAsia" w:ascii="仿宋" w:hAnsi="仿宋" w:eastAsia="仿宋" w:cs="仿宋"/>
                <w:color w:val="auto"/>
                <w:sz w:val="24"/>
                <w:szCs w:val="24"/>
                <w:highlight w:val="none"/>
              </w:rPr>
            </w:pPr>
          </w:p>
        </w:tc>
        <w:tc>
          <w:tcPr>
            <w:tcW w:w="1578" w:type="dxa"/>
            <w:vAlign w:val="center"/>
          </w:tcPr>
          <w:p w14:paraId="03CC2188">
            <w:pPr>
              <w:pStyle w:val="149"/>
              <w:jc w:val="center"/>
              <w:rPr>
                <w:rFonts w:hint="eastAsia" w:ascii="仿宋" w:hAnsi="仿宋" w:eastAsia="仿宋" w:cs="仿宋"/>
                <w:color w:val="auto"/>
                <w:sz w:val="24"/>
                <w:szCs w:val="24"/>
                <w:highlight w:val="none"/>
              </w:rPr>
            </w:pPr>
          </w:p>
        </w:tc>
      </w:tr>
    </w:tbl>
    <w:p w14:paraId="1567CC46">
      <w:pPr>
        <w:rPr>
          <w:rFonts w:hint="eastAsia" w:ascii="仿宋" w:hAnsi="仿宋" w:eastAsia="仿宋" w:cs="仿宋"/>
          <w:color w:val="auto"/>
          <w:sz w:val="24"/>
          <w:szCs w:val="24"/>
          <w:highlight w:val="none"/>
        </w:rPr>
      </w:pPr>
    </w:p>
    <w:p w14:paraId="21066C32">
      <w:pPr>
        <w:pStyle w:val="43"/>
        <w:ind w:firstLine="3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后附技术参数中要求的相关证明材料，未按要求提供证明材料的按照评分办法扣除相应得分；所附的证明材料的复印件或影印件含糊不清，导致无法辨认的，视为未提供证明材料</w:t>
      </w:r>
      <w:r>
        <w:rPr>
          <w:rFonts w:hint="eastAsia" w:ascii="仿宋" w:hAnsi="仿宋" w:eastAsia="仿宋" w:cs="仿宋"/>
          <w:color w:val="auto"/>
          <w:sz w:val="24"/>
          <w:szCs w:val="24"/>
          <w:highlight w:val="none"/>
          <w:lang w:eastAsia="zh-CN"/>
        </w:rPr>
        <w:t>）</w:t>
      </w:r>
    </w:p>
    <w:p w14:paraId="5394348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 供应商须把招标文件要求的项目列入此表。</w:t>
      </w:r>
    </w:p>
    <w:p w14:paraId="55107B4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2、供应商必须据实填写，不得虚假填写，否则将取消其投标或中标资格。</w:t>
      </w:r>
    </w:p>
    <w:p w14:paraId="41512E4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3、无偏离请填写无偏离，有偏离说明偏离情况，如有负偏离</w:t>
      </w:r>
      <w:r>
        <w:rPr>
          <w:rFonts w:hint="eastAsia" w:ascii="仿宋" w:hAnsi="仿宋" w:eastAsia="仿宋" w:cs="仿宋"/>
          <w:color w:val="auto"/>
          <w:sz w:val="24"/>
          <w:szCs w:val="24"/>
          <w:highlight w:val="none"/>
          <w:lang w:val="en-US" w:eastAsia="zh-CN"/>
        </w:rPr>
        <w:t>参照评分办法扣除相应得分</w:t>
      </w:r>
      <w:r>
        <w:rPr>
          <w:rFonts w:hint="eastAsia" w:ascii="仿宋" w:hAnsi="仿宋" w:eastAsia="仿宋" w:cs="仿宋"/>
          <w:color w:val="auto"/>
          <w:sz w:val="24"/>
          <w:szCs w:val="24"/>
          <w:highlight w:val="none"/>
        </w:rPr>
        <w:t>。</w:t>
      </w:r>
    </w:p>
    <w:p w14:paraId="784BBA7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4、未按以上要求填写，视为无效投标。</w:t>
      </w:r>
    </w:p>
    <w:p w14:paraId="65B484A3">
      <w:pPr>
        <w:spacing w:before="100" w:beforeAutospacing="1" w:after="100" w:afterAutospacing="1"/>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供应商： </w:t>
      </w:r>
      <w:r>
        <w:rPr>
          <w:rFonts w:hint="eastAsia" w:ascii="仿宋" w:hAnsi="仿宋" w:eastAsia="仿宋" w:cs="仿宋"/>
          <w:color w:val="auto"/>
          <w:sz w:val="24"/>
          <w:szCs w:val="24"/>
          <w:highlight w:val="none"/>
          <w:u w:val="single"/>
        </w:rPr>
        <w:t xml:space="preserve">                       （供应商公章）   </w:t>
      </w:r>
    </w:p>
    <w:p w14:paraId="1A8FB52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供应商代表人或授权代表人（签字或盖章）：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p>
    <w:p w14:paraId="0DF7C27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9FA4A65">
      <w:pPr>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年   月    </w:t>
      </w:r>
    </w:p>
    <w:p w14:paraId="1147C6EF">
      <w:pPr>
        <w:pStyle w:val="13"/>
        <w:rPr>
          <w:rFonts w:hint="eastAsia" w:ascii="仿宋" w:hAnsi="仿宋" w:eastAsia="仿宋" w:cs="仿宋"/>
          <w:color w:val="auto"/>
          <w:sz w:val="24"/>
          <w:szCs w:val="24"/>
          <w:highlight w:val="none"/>
        </w:rPr>
      </w:pPr>
    </w:p>
    <w:p w14:paraId="6AE8DB3D">
      <w:pPr>
        <w:rPr>
          <w:rFonts w:hint="eastAsia" w:ascii="仿宋" w:hAnsi="仿宋" w:eastAsia="仿宋" w:cs="仿宋"/>
          <w:color w:val="auto"/>
          <w:sz w:val="24"/>
          <w:szCs w:val="24"/>
          <w:highlight w:val="none"/>
        </w:rPr>
      </w:pPr>
    </w:p>
    <w:p w14:paraId="0D46B091">
      <w:pPr>
        <w:pStyle w:val="13"/>
        <w:rPr>
          <w:rFonts w:hint="eastAsia" w:ascii="仿宋" w:hAnsi="仿宋" w:eastAsia="仿宋" w:cs="仿宋"/>
          <w:color w:val="auto"/>
          <w:sz w:val="24"/>
          <w:szCs w:val="24"/>
          <w:highlight w:val="none"/>
        </w:rPr>
      </w:pPr>
    </w:p>
    <w:p w14:paraId="6E83272C">
      <w:pPr>
        <w:rPr>
          <w:rFonts w:hint="eastAsia" w:ascii="仿宋" w:hAnsi="仿宋" w:eastAsia="仿宋" w:cs="仿宋"/>
          <w:color w:val="auto"/>
          <w:sz w:val="24"/>
          <w:szCs w:val="24"/>
          <w:highlight w:val="none"/>
        </w:rPr>
      </w:pPr>
    </w:p>
    <w:p w14:paraId="21694621">
      <w:pPr>
        <w:pStyle w:val="13"/>
        <w:rPr>
          <w:rFonts w:hint="eastAsia" w:ascii="仿宋" w:hAnsi="仿宋" w:eastAsia="仿宋" w:cs="仿宋"/>
          <w:color w:val="auto"/>
          <w:sz w:val="24"/>
          <w:szCs w:val="24"/>
          <w:highlight w:val="none"/>
        </w:rPr>
      </w:pPr>
    </w:p>
    <w:p w14:paraId="1C38A9A3">
      <w:pPr>
        <w:rPr>
          <w:rFonts w:hint="eastAsia" w:ascii="仿宋" w:hAnsi="仿宋" w:eastAsia="仿宋" w:cs="仿宋"/>
          <w:color w:val="auto"/>
          <w:sz w:val="24"/>
          <w:szCs w:val="24"/>
          <w:highlight w:val="none"/>
        </w:rPr>
      </w:pPr>
    </w:p>
    <w:p w14:paraId="678ADBC8">
      <w:pPr>
        <w:numPr>
          <w:ilvl w:val="0"/>
          <w:numId w:val="0"/>
        </w:numPr>
        <w:ind w:left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十六、</w:t>
      </w:r>
      <w:r>
        <w:rPr>
          <w:rFonts w:hint="eastAsia" w:ascii="宋体" w:hAnsi="宋体" w:eastAsia="宋体" w:cs="宋体"/>
          <w:b/>
          <w:color w:val="auto"/>
          <w:sz w:val="32"/>
          <w:szCs w:val="32"/>
          <w:highlight w:val="none"/>
        </w:rPr>
        <w:t>项目需求理解程度</w:t>
      </w:r>
    </w:p>
    <w:p w14:paraId="55D1AF13">
      <w:pPr>
        <w:pStyle w:val="13"/>
        <w:widowControl w:val="0"/>
        <w:numPr>
          <w:ilvl w:val="0"/>
          <w:numId w:val="0"/>
        </w:numPr>
        <w:adjustRightInd w:val="0"/>
        <w:jc w:val="both"/>
        <w:rPr>
          <w:rFonts w:hint="default"/>
          <w:color w:val="auto"/>
          <w:highlight w:val="none"/>
          <w:lang w:val="en-US" w:eastAsia="zh-CN"/>
        </w:rPr>
      </w:pPr>
      <w:r>
        <w:rPr>
          <w:rFonts w:hint="eastAsia"/>
          <w:color w:val="auto"/>
          <w:highlight w:val="none"/>
          <w:lang w:val="en-US" w:eastAsia="zh-CN"/>
        </w:rPr>
        <w:t>（格式自拟）</w:t>
      </w:r>
    </w:p>
    <w:p w14:paraId="46A7E36A">
      <w:pPr>
        <w:rPr>
          <w:rFonts w:hint="eastAsia"/>
          <w:color w:val="auto"/>
          <w:highlight w:val="none"/>
          <w:lang w:val="en-US" w:eastAsia="zh-CN"/>
        </w:rPr>
      </w:pPr>
    </w:p>
    <w:p w14:paraId="60C0B451">
      <w:pPr>
        <w:spacing w:before="100" w:beforeAutospacing="1" w:after="100" w:afterAutospacing="1"/>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供应商： </w:t>
      </w:r>
      <w:r>
        <w:rPr>
          <w:rFonts w:hint="eastAsia" w:ascii="仿宋" w:hAnsi="仿宋" w:eastAsia="仿宋" w:cs="仿宋"/>
          <w:color w:val="auto"/>
          <w:sz w:val="24"/>
          <w:szCs w:val="24"/>
          <w:highlight w:val="none"/>
          <w:u w:val="single"/>
        </w:rPr>
        <w:t xml:space="preserve">                       （供应商公章）   </w:t>
      </w:r>
    </w:p>
    <w:p w14:paraId="51F918D7">
      <w:pP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供应商代表人或授权代表人（签字或盖章）：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p>
    <w:p w14:paraId="2E717934">
      <w:pP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ECFFCD1">
      <w:pPr>
        <w:ind w:firstLine="1200" w:firstLineChars="5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年   月    </w:t>
      </w:r>
    </w:p>
    <w:p w14:paraId="62CE39C9">
      <w:pPr>
        <w:pStyle w:val="13"/>
        <w:jc w:val="right"/>
        <w:rPr>
          <w:rFonts w:hint="eastAsia"/>
          <w:color w:val="auto"/>
          <w:highlight w:val="none"/>
          <w:lang w:val="en-US" w:eastAsia="zh-CN"/>
        </w:rPr>
        <w:sectPr>
          <w:headerReference r:id="rId10" w:type="first"/>
          <w:footerReference r:id="rId12" w:type="first"/>
          <w:headerReference r:id="rId9" w:type="default"/>
          <w:footerReference r:id="rId11" w:type="default"/>
          <w:pgSz w:w="11906" w:h="16838"/>
          <w:pgMar w:top="1418" w:right="1418" w:bottom="1418" w:left="1418" w:header="851" w:footer="992" w:gutter="0"/>
          <w:cols w:space="720" w:num="1"/>
          <w:titlePg/>
          <w:docGrid w:type="lines" w:linePitch="312" w:charSpace="0"/>
        </w:sectPr>
      </w:pPr>
    </w:p>
    <w:p w14:paraId="4833D898">
      <w:pPr>
        <w:numPr>
          <w:ilvl w:val="0"/>
          <w:numId w:val="0"/>
        </w:numPr>
        <w:ind w:left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十七、</w:t>
      </w:r>
      <w:r>
        <w:rPr>
          <w:rFonts w:hint="eastAsia" w:ascii="宋体" w:hAnsi="宋体" w:eastAsia="宋体" w:cs="宋体"/>
          <w:b/>
          <w:color w:val="auto"/>
          <w:sz w:val="32"/>
          <w:szCs w:val="32"/>
          <w:highlight w:val="none"/>
        </w:rPr>
        <w:t>售后服务方案及应急预案</w:t>
      </w:r>
    </w:p>
    <w:p w14:paraId="66D8E304">
      <w:pPr>
        <w:pStyle w:val="13"/>
        <w:widowControl w:val="0"/>
        <w:numPr>
          <w:ilvl w:val="0"/>
          <w:numId w:val="0"/>
        </w:numPr>
        <w:adjustRightInd w:val="0"/>
        <w:jc w:val="center"/>
        <w:rPr>
          <w:rFonts w:hint="default"/>
          <w:color w:val="auto"/>
          <w:highlight w:val="none"/>
          <w:lang w:val="en-US" w:eastAsia="zh-CN"/>
        </w:rPr>
      </w:pPr>
      <w:r>
        <w:rPr>
          <w:rFonts w:hint="eastAsia"/>
          <w:color w:val="auto"/>
          <w:highlight w:val="none"/>
          <w:lang w:val="en-US" w:eastAsia="zh-CN"/>
        </w:rPr>
        <w:t>供应商根据自身情况结合项目特征对售后响应时间、售后服务方案等内容进行编制（格式自拟）</w:t>
      </w:r>
    </w:p>
    <w:p w14:paraId="374F6245">
      <w:pPr>
        <w:rPr>
          <w:rFonts w:hint="eastAsia"/>
          <w:color w:val="auto"/>
          <w:highlight w:val="none"/>
          <w:lang w:val="en-US" w:eastAsia="zh-CN"/>
        </w:rPr>
      </w:pPr>
    </w:p>
    <w:p w14:paraId="2211F75E">
      <w:pPr>
        <w:spacing w:before="100" w:beforeAutospacing="1" w:after="100" w:afterAutospacing="1"/>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供应商： </w:t>
      </w:r>
      <w:r>
        <w:rPr>
          <w:rFonts w:hint="eastAsia" w:ascii="仿宋" w:hAnsi="仿宋" w:eastAsia="仿宋" w:cs="仿宋"/>
          <w:color w:val="auto"/>
          <w:sz w:val="24"/>
          <w:szCs w:val="24"/>
          <w:highlight w:val="none"/>
          <w:u w:val="single"/>
        </w:rPr>
        <w:t xml:space="preserve">                       （供应商公章）   </w:t>
      </w:r>
    </w:p>
    <w:p w14:paraId="782B2164">
      <w:pP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供应商代表人或授权代表人（签字或盖章）：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p>
    <w:p w14:paraId="43CB5F7D">
      <w:pP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8770F72">
      <w:pPr>
        <w:numPr>
          <w:ilvl w:val="0"/>
          <w:numId w:val="0"/>
        </w:numPr>
        <w:spacing w:line="48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年   月  </w:t>
      </w:r>
    </w:p>
    <w:p w14:paraId="4DB457C0">
      <w:pPr>
        <w:pStyle w:val="13"/>
        <w:rPr>
          <w:rFonts w:hint="eastAsia" w:ascii="仿宋" w:hAnsi="仿宋" w:eastAsia="仿宋" w:cs="仿宋"/>
          <w:color w:val="auto"/>
          <w:sz w:val="24"/>
          <w:szCs w:val="24"/>
          <w:highlight w:val="none"/>
        </w:rPr>
      </w:pPr>
    </w:p>
    <w:p w14:paraId="003D875D">
      <w:pPr>
        <w:rPr>
          <w:rFonts w:hint="eastAsia" w:ascii="仿宋" w:hAnsi="仿宋" w:eastAsia="仿宋" w:cs="仿宋"/>
          <w:color w:val="auto"/>
          <w:sz w:val="24"/>
          <w:szCs w:val="24"/>
          <w:highlight w:val="none"/>
        </w:rPr>
      </w:pPr>
    </w:p>
    <w:p w14:paraId="10965CE2">
      <w:pPr>
        <w:rPr>
          <w:rFonts w:hint="eastAsia" w:ascii="仿宋" w:hAnsi="仿宋" w:eastAsia="仿宋" w:cs="仿宋"/>
          <w:color w:val="auto"/>
          <w:sz w:val="24"/>
          <w:szCs w:val="24"/>
          <w:highlight w:val="none"/>
        </w:rPr>
      </w:pPr>
    </w:p>
    <w:p w14:paraId="133BE1A5">
      <w:pPr>
        <w:rPr>
          <w:rFonts w:hint="eastAsia" w:ascii="仿宋" w:hAnsi="仿宋" w:eastAsia="仿宋" w:cs="仿宋"/>
          <w:color w:val="auto"/>
          <w:sz w:val="24"/>
          <w:szCs w:val="24"/>
          <w:highlight w:val="none"/>
        </w:rPr>
      </w:pPr>
    </w:p>
    <w:p w14:paraId="43C0AB49">
      <w:pPr>
        <w:rPr>
          <w:rFonts w:hint="eastAsia" w:ascii="仿宋" w:hAnsi="仿宋" w:eastAsia="仿宋" w:cs="仿宋"/>
          <w:color w:val="auto"/>
          <w:sz w:val="24"/>
          <w:szCs w:val="24"/>
          <w:highlight w:val="none"/>
        </w:rPr>
      </w:pPr>
    </w:p>
    <w:p w14:paraId="0158E15F">
      <w:pPr>
        <w:rPr>
          <w:rFonts w:hint="eastAsia" w:ascii="仿宋" w:hAnsi="仿宋" w:eastAsia="仿宋" w:cs="仿宋"/>
          <w:color w:val="auto"/>
          <w:sz w:val="24"/>
          <w:szCs w:val="24"/>
          <w:highlight w:val="none"/>
        </w:rPr>
      </w:pPr>
    </w:p>
    <w:p w14:paraId="46273A72">
      <w:pPr>
        <w:rPr>
          <w:rFonts w:hint="eastAsia" w:ascii="仿宋" w:hAnsi="仿宋" w:eastAsia="仿宋" w:cs="仿宋"/>
          <w:color w:val="auto"/>
          <w:sz w:val="24"/>
          <w:szCs w:val="24"/>
          <w:highlight w:val="none"/>
        </w:rPr>
      </w:pPr>
    </w:p>
    <w:p w14:paraId="63630DB0">
      <w:pPr>
        <w:rPr>
          <w:rFonts w:hint="eastAsia" w:ascii="仿宋" w:hAnsi="仿宋" w:eastAsia="仿宋" w:cs="仿宋"/>
          <w:color w:val="auto"/>
          <w:sz w:val="24"/>
          <w:szCs w:val="24"/>
          <w:highlight w:val="none"/>
        </w:rPr>
      </w:pPr>
    </w:p>
    <w:p w14:paraId="363325E0">
      <w:pPr>
        <w:rPr>
          <w:rFonts w:hint="eastAsia" w:ascii="仿宋" w:hAnsi="仿宋" w:eastAsia="仿宋" w:cs="仿宋"/>
          <w:color w:val="auto"/>
          <w:sz w:val="24"/>
          <w:szCs w:val="24"/>
          <w:highlight w:val="none"/>
        </w:rPr>
      </w:pPr>
    </w:p>
    <w:p w14:paraId="20C8B648">
      <w:pPr>
        <w:rPr>
          <w:rFonts w:hint="eastAsia" w:ascii="仿宋" w:hAnsi="仿宋" w:eastAsia="仿宋" w:cs="仿宋"/>
          <w:color w:val="auto"/>
          <w:sz w:val="24"/>
          <w:szCs w:val="24"/>
          <w:highlight w:val="none"/>
        </w:rPr>
      </w:pPr>
    </w:p>
    <w:p w14:paraId="04B38A61">
      <w:pPr>
        <w:rPr>
          <w:rFonts w:hint="eastAsia" w:ascii="仿宋" w:hAnsi="仿宋" w:eastAsia="仿宋" w:cs="仿宋"/>
          <w:color w:val="auto"/>
          <w:sz w:val="24"/>
          <w:szCs w:val="24"/>
          <w:highlight w:val="none"/>
        </w:rPr>
      </w:pPr>
    </w:p>
    <w:p w14:paraId="610D36D2">
      <w:pPr>
        <w:rPr>
          <w:rFonts w:hint="eastAsia" w:ascii="仿宋" w:hAnsi="仿宋" w:eastAsia="仿宋" w:cs="仿宋"/>
          <w:color w:val="auto"/>
          <w:sz w:val="24"/>
          <w:szCs w:val="24"/>
          <w:highlight w:val="none"/>
        </w:rPr>
      </w:pPr>
    </w:p>
    <w:p w14:paraId="4DFC3E8D">
      <w:pPr>
        <w:rPr>
          <w:rFonts w:hint="eastAsia" w:ascii="仿宋" w:hAnsi="仿宋" w:eastAsia="仿宋" w:cs="仿宋"/>
          <w:color w:val="auto"/>
          <w:sz w:val="24"/>
          <w:szCs w:val="24"/>
          <w:highlight w:val="none"/>
        </w:rPr>
      </w:pPr>
    </w:p>
    <w:p w14:paraId="1A1A2ACE">
      <w:pPr>
        <w:rPr>
          <w:rFonts w:hint="eastAsia" w:ascii="仿宋" w:hAnsi="仿宋" w:eastAsia="仿宋" w:cs="仿宋"/>
          <w:color w:val="auto"/>
          <w:sz w:val="24"/>
          <w:szCs w:val="24"/>
          <w:highlight w:val="none"/>
        </w:rPr>
      </w:pPr>
    </w:p>
    <w:p w14:paraId="7357F9DE">
      <w:pPr>
        <w:rPr>
          <w:rFonts w:hint="eastAsia" w:ascii="仿宋" w:hAnsi="仿宋" w:eastAsia="仿宋" w:cs="仿宋"/>
          <w:color w:val="auto"/>
          <w:sz w:val="24"/>
          <w:szCs w:val="24"/>
          <w:highlight w:val="none"/>
        </w:rPr>
      </w:pPr>
    </w:p>
    <w:p w14:paraId="47BE2FB2">
      <w:pPr>
        <w:rPr>
          <w:rFonts w:hint="eastAsia" w:ascii="仿宋" w:hAnsi="仿宋" w:eastAsia="仿宋" w:cs="仿宋"/>
          <w:color w:val="auto"/>
          <w:sz w:val="24"/>
          <w:szCs w:val="24"/>
          <w:highlight w:val="none"/>
        </w:rPr>
      </w:pPr>
    </w:p>
    <w:p w14:paraId="361BF2DF">
      <w:pPr>
        <w:rPr>
          <w:rFonts w:hint="eastAsia" w:ascii="仿宋" w:hAnsi="仿宋" w:eastAsia="仿宋" w:cs="仿宋"/>
          <w:color w:val="auto"/>
          <w:sz w:val="24"/>
          <w:szCs w:val="24"/>
          <w:highlight w:val="none"/>
        </w:rPr>
      </w:pPr>
    </w:p>
    <w:p w14:paraId="2B7C6224">
      <w:pPr>
        <w:rPr>
          <w:rFonts w:hint="eastAsia" w:ascii="仿宋" w:hAnsi="仿宋" w:eastAsia="仿宋" w:cs="仿宋"/>
          <w:color w:val="auto"/>
          <w:sz w:val="24"/>
          <w:szCs w:val="24"/>
          <w:highlight w:val="none"/>
        </w:rPr>
      </w:pPr>
    </w:p>
    <w:p w14:paraId="6DC1250A">
      <w:pPr>
        <w:rPr>
          <w:rFonts w:hint="eastAsia" w:ascii="仿宋" w:hAnsi="仿宋" w:eastAsia="仿宋" w:cs="仿宋"/>
          <w:color w:val="auto"/>
          <w:sz w:val="24"/>
          <w:szCs w:val="24"/>
          <w:highlight w:val="none"/>
        </w:rPr>
      </w:pPr>
    </w:p>
    <w:p w14:paraId="7390F25B">
      <w:pPr>
        <w:rPr>
          <w:rFonts w:hint="eastAsia" w:ascii="仿宋" w:hAnsi="仿宋" w:eastAsia="仿宋" w:cs="仿宋"/>
          <w:color w:val="auto"/>
          <w:sz w:val="24"/>
          <w:szCs w:val="24"/>
          <w:highlight w:val="none"/>
        </w:rPr>
      </w:pPr>
    </w:p>
    <w:p w14:paraId="0480B65A">
      <w:pPr>
        <w:rPr>
          <w:rFonts w:hint="eastAsia" w:ascii="仿宋" w:hAnsi="仿宋" w:eastAsia="仿宋" w:cs="仿宋"/>
          <w:color w:val="auto"/>
          <w:sz w:val="24"/>
          <w:szCs w:val="24"/>
          <w:highlight w:val="none"/>
        </w:rPr>
      </w:pPr>
    </w:p>
    <w:p w14:paraId="2C8D3E2A">
      <w:pPr>
        <w:rPr>
          <w:rFonts w:hint="eastAsia" w:ascii="仿宋" w:hAnsi="仿宋" w:eastAsia="仿宋" w:cs="仿宋"/>
          <w:color w:val="auto"/>
          <w:sz w:val="24"/>
          <w:szCs w:val="24"/>
          <w:highlight w:val="none"/>
        </w:rPr>
      </w:pPr>
    </w:p>
    <w:p w14:paraId="129BAF8D">
      <w:pPr>
        <w:rPr>
          <w:rFonts w:hint="eastAsia" w:ascii="仿宋" w:hAnsi="仿宋" w:eastAsia="仿宋" w:cs="仿宋"/>
          <w:color w:val="auto"/>
          <w:sz w:val="24"/>
          <w:szCs w:val="24"/>
          <w:highlight w:val="none"/>
        </w:rPr>
      </w:pPr>
    </w:p>
    <w:p w14:paraId="32A75E79">
      <w:pPr>
        <w:rPr>
          <w:rFonts w:hint="eastAsia" w:ascii="仿宋" w:hAnsi="仿宋" w:eastAsia="仿宋" w:cs="仿宋"/>
          <w:color w:val="auto"/>
          <w:sz w:val="24"/>
          <w:szCs w:val="24"/>
          <w:highlight w:val="none"/>
        </w:rPr>
      </w:pPr>
    </w:p>
    <w:p w14:paraId="3DFD2B7D">
      <w:pPr>
        <w:rPr>
          <w:rFonts w:hint="eastAsia" w:ascii="仿宋" w:hAnsi="仿宋" w:eastAsia="仿宋" w:cs="仿宋"/>
          <w:color w:val="auto"/>
          <w:sz w:val="24"/>
          <w:szCs w:val="24"/>
          <w:highlight w:val="none"/>
        </w:rPr>
      </w:pPr>
    </w:p>
    <w:p w14:paraId="4EE74451">
      <w:pPr>
        <w:rPr>
          <w:rFonts w:hint="eastAsia" w:ascii="仿宋" w:hAnsi="仿宋" w:eastAsia="仿宋" w:cs="仿宋"/>
          <w:color w:val="auto"/>
          <w:sz w:val="24"/>
          <w:szCs w:val="24"/>
          <w:highlight w:val="none"/>
        </w:rPr>
      </w:pPr>
    </w:p>
    <w:p w14:paraId="7045EA87">
      <w:pPr>
        <w:rPr>
          <w:rFonts w:hint="eastAsia" w:ascii="仿宋" w:hAnsi="仿宋" w:eastAsia="仿宋" w:cs="仿宋"/>
          <w:color w:val="auto"/>
          <w:sz w:val="24"/>
          <w:szCs w:val="24"/>
          <w:highlight w:val="none"/>
        </w:rPr>
      </w:pPr>
    </w:p>
    <w:p w14:paraId="2BE1D1B1">
      <w:pPr>
        <w:rPr>
          <w:rFonts w:hint="eastAsia" w:ascii="仿宋" w:hAnsi="仿宋" w:eastAsia="仿宋" w:cs="仿宋"/>
          <w:color w:val="auto"/>
          <w:sz w:val="24"/>
          <w:szCs w:val="24"/>
          <w:highlight w:val="none"/>
        </w:rPr>
      </w:pPr>
    </w:p>
    <w:p w14:paraId="0FDC9794">
      <w:pPr>
        <w:rPr>
          <w:rFonts w:hint="eastAsia" w:ascii="仿宋" w:hAnsi="仿宋" w:eastAsia="仿宋" w:cs="仿宋"/>
          <w:color w:val="auto"/>
          <w:sz w:val="24"/>
          <w:szCs w:val="24"/>
          <w:highlight w:val="none"/>
        </w:rPr>
      </w:pPr>
    </w:p>
    <w:p w14:paraId="28311830">
      <w:pPr>
        <w:rPr>
          <w:rFonts w:hint="eastAsia" w:ascii="仿宋" w:hAnsi="仿宋" w:eastAsia="仿宋" w:cs="仿宋"/>
          <w:color w:val="auto"/>
          <w:sz w:val="24"/>
          <w:szCs w:val="24"/>
          <w:highlight w:val="none"/>
        </w:rPr>
      </w:pPr>
    </w:p>
    <w:p w14:paraId="3275DED7">
      <w:pPr>
        <w:rPr>
          <w:rFonts w:hint="eastAsia" w:ascii="仿宋" w:hAnsi="仿宋" w:eastAsia="仿宋" w:cs="仿宋"/>
          <w:color w:val="auto"/>
          <w:sz w:val="24"/>
          <w:szCs w:val="24"/>
          <w:highlight w:val="none"/>
        </w:rPr>
      </w:pPr>
    </w:p>
    <w:p w14:paraId="7EE23AF9">
      <w:pPr>
        <w:rPr>
          <w:rFonts w:hint="eastAsia" w:ascii="仿宋" w:hAnsi="仿宋" w:eastAsia="仿宋" w:cs="仿宋"/>
          <w:color w:val="auto"/>
          <w:sz w:val="24"/>
          <w:szCs w:val="24"/>
          <w:highlight w:val="none"/>
        </w:rPr>
      </w:pPr>
    </w:p>
    <w:p w14:paraId="4501FD8E">
      <w:pPr>
        <w:rPr>
          <w:rFonts w:hint="eastAsia" w:ascii="仿宋" w:hAnsi="仿宋" w:eastAsia="仿宋" w:cs="仿宋"/>
          <w:color w:val="auto"/>
          <w:sz w:val="24"/>
          <w:szCs w:val="24"/>
          <w:highlight w:val="none"/>
        </w:rPr>
      </w:pPr>
    </w:p>
    <w:p w14:paraId="34E890F9">
      <w:pPr>
        <w:numPr>
          <w:ilvl w:val="0"/>
          <w:numId w:val="0"/>
        </w:numPr>
        <w:ind w:left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十八、培训方案</w:t>
      </w:r>
    </w:p>
    <w:p w14:paraId="5740201B">
      <w:pPr>
        <w:pStyle w:val="13"/>
        <w:widowControl w:val="0"/>
        <w:numPr>
          <w:ilvl w:val="0"/>
          <w:numId w:val="0"/>
        </w:numPr>
        <w:adjustRightInd w:val="0"/>
        <w:jc w:val="both"/>
        <w:rPr>
          <w:rFonts w:hint="default"/>
          <w:color w:val="auto"/>
          <w:highlight w:val="none"/>
          <w:lang w:val="en-US" w:eastAsia="zh-CN"/>
        </w:rPr>
      </w:pPr>
      <w:r>
        <w:rPr>
          <w:rFonts w:hint="eastAsia"/>
          <w:color w:val="auto"/>
          <w:highlight w:val="none"/>
          <w:lang w:val="en-US" w:eastAsia="zh-CN"/>
        </w:rPr>
        <w:t>（格式自拟）</w:t>
      </w:r>
    </w:p>
    <w:p w14:paraId="491E87FA">
      <w:pPr>
        <w:rPr>
          <w:rFonts w:hint="eastAsia"/>
          <w:color w:val="auto"/>
          <w:highlight w:val="none"/>
          <w:lang w:val="en-US" w:eastAsia="zh-CN"/>
        </w:rPr>
      </w:pPr>
    </w:p>
    <w:p w14:paraId="18C029ED">
      <w:pPr>
        <w:spacing w:before="100" w:beforeAutospacing="1" w:after="100" w:afterAutospacing="1"/>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供应商： </w:t>
      </w:r>
      <w:r>
        <w:rPr>
          <w:rFonts w:hint="eastAsia" w:ascii="仿宋" w:hAnsi="仿宋" w:eastAsia="仿宋" w:cs="仿宋"/>
          <w:color w:val="auto"/>
          <w:sz w:val="24"/>
          <w:szCs w:val="24"/>
          <w:highlight w:val="none"/>
          <w:u w:val="single"/>
        </w:rPr>
        <w:t xml:space="preserve">                       （供应商公章）   </w:t>
      </w:r>
    </w:p>
    <w:p w14:paraId="09BB8858">
      <w:pP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供应商代表人或授权代表人（签字或盖章）：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p>
    <w:p w14:paraId="7066D92A">
      <w:pP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202CC19">
      <w:pPr>
        <w:numPr>
          <w:ilvl w:val="0"/>
          <w:numId w:val="0"/>
        </w:numPr>
        <w:spacing w:line="48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年   月  </w:t>
      </w:r>
    </w:p>
    <w:p w14:paraId="140FD999">
      <w:pPr>
        <w:pStyle w:val="13"/>
        <w:rPr>
          <w:rFonts w:hint="eastAsia" w:ascii="仿宋" w:hAnsi="仿宋" w:eastAsia="仿宋" w:cs="仿宋"/>
          <w:color w:val="auto"/>
          <w:sz w:val="24"/>
          <w:szCs w:val="24"/>
          <w:highlight w:val="none"/>
        </w:rPr>
      </w:pPr>
    </w:p>
    <w:p w14:paraId="0DB27508">
      <w:pPr>
        <w:rPr>
          <w:rFonts w:hint="eastAsia" w:ascii="仿宋" w:hAnsi="仿宋" w:eastAsia="仿宋" w:cs="仿宋"/>
          <w:color w:val="auto"/>
          <w:sz w:val="24"/>
          <w:szCs w:val="24"/>
          <w:highlight w:val="none"/>
        </w:rPr>
      </w:pPr>
    </w:p>
    <w:p w14:paraId="5A40B6C0">
      <w:pPr>
        <w:pStyle w:val="13"/>
        <w:rPr>
          <w:rFonts w:hint="eastAsia" w:ascii="仿宋" w:hAnsi="仿宋" w:eastAsia="仿宋" w:cs="仿宋"/>
          <w:color w:val="auto"/>
          <w:sz w:val="24"/>
          <w:szCs w:val="24"/>
          <w:highlight w:val="none"/>
        </w:rPr>
      </w:pPr>
    </w:p>
    <w:p w14:paraId="3B1F6533">
      <w:pPr>
        <w:rPr>
          <w:rFonts w:hint="eastAsia" w:ascii="仿宋" w:hAnsi="仿宋" w:eastAsia="仿宋" w:cs="仿宋"/>
          <w:color w:val="auto"/>
          <w:sz w:val="24"/>
          <w:szCs w:val="24"/>
          <w:highlight w:val="none"/>
        </w:rPr>
      </w:pPr>
    </w:p>
    <w:p w14:paraId="1C63120B">
      <w:pPr>
        <w:pStyle w:val="13"/>
        <w:rPr>
          <w:rFonts w:hint="eastAsia" w:ascii="仿宋" w:hAnsi="仿宋" w:eastAsia="仿宋" w:cs="仿宋"/>
          <w:color w:val="auto"/>
          <w:sz w:val="24"/>
          <w:szCs w:val="24"/>
          <w:highlight w:val="none"/>
        </w:rPr>
      </w:pPr>
    </w:p>
    <w:p w14:paraId="7F29DF33">
      <w:pPr>
        <w:rPr>
          <w:rFonts w:hint="eastAsia" w:ascii="仿宋" w:hAnsi="仿宋" w:eastAsia="仿宋" w:cs="仿宋"/>
          <w:color w:val="auto"/>
          <w:sz w:val="24"/>
          <w:szCs w:val="24"/>
          <w:highlight w:val="none"/>
        </w:rPr>
      </w:pPr>
    </w:p>
    <w:p w14:paraId="008FC4F9">
      <w:pPr>
        <w:pStyle w:val="13"/>
        <w:rPr>
          <w:rFonts w:hint="eastAsia" w:ascii="仿宋" w:hAnsi="仿宋" w:eastAsia="仿宋" w:cs="仿宋"/>
          <w:color w:val="auto"/>
          <w:sz w:val="24"/>
          <w:szCs w:val="24"/>
          <w:highlight w:val="none"/>
        </w:rPr>
      </w:pPr>
    </w:p>
    <w:p w14:paraId="4CA8469A">
      <w:pPr>
        <w:rPr>
          <w:rFonts w:hint="eastAsia" w:ascii="仿宋" w:hAnsi="仿宋" w:eastAsia="仿宋" w:cs="仿宋"/>
          <w:color w:val="auto"/>
          <w:sz w:val="24"/>
          <w:szCs w:val="24"/>
          <w:highlight w:val="none"/>
        </w:rPr>
      </w:pPr>
    </w:p>
    <w:p w14:paraId="5F5866BB">
      <w:pPr>
        <w:pStyle w:val="13"/>
        <w:rPr>
          <w:rFonts w:hint="eastAsia" w:ascii="仿宋" w:hAnsi="仿宋" w:eastAsia="仿宋" w:cs="仿宋"/>
          <w:color w:val="auto"/>
          <w:sz w:val="24"/>
          <w:szCs w:val="24"/>
          <w:highlight w:val="none"/>
        </w:rPr>
      </w:pPr>
    </w:p>
    <w:p w14:paraId="4E8FCE71">
      <w:pPr>
        <w:rPr>
          <w:rFonts w:hint="eastAsia" w:ascii="仿宋" w:hAnsi="仿宋" w:eastAsia="仿宋" w:cs="仿宋"/>
          <w:color w:val="auto"/>
          <w:sz w:val="24"/>
          <w:szCs w:val="24"/>
          <w:highlight w:val="none"/>
        </w:rPr>
      </w:pPr>
    </w:p>
    <w:p w14:paraId="73383470">
      <w:pPr>
        <w:pStyle w:val="13"/>
        <w:rPr>
          <w:rFonts w:hint="eastAsia" w:ascii="仿宋" w:hAnsi="仿宋" w:eastAsia="仿宋" w:cs="仿宋"/>
          <w:color w:val="auto"/>
          <w:sz w:val="24"/>
          <w:szCs w:val="24"/>
          <w:highlight w:val="none"/>
        </w:rPr>
      </w:pPr>
    </w:p>
    <w:p w14:paraId="03A26F60">
      <w:pPr>
        <w:rPr>
          <w:rFonts w:hint="eastAsia" w:ascii="仿宋" w:hAnsi="仿宋" w:eastAsia="仿宋" w:cs="仿宋"/>
          <w:color w:val="auto"/>
          <w:sz w:val="24"/>
          <w:szCs w:val="24"/>
          <w:highlight w:val="none"/>
        </w:rPr>
      </w:pPr>
    </w:p>
    <w:p w14:paraId="085B6062">
      <w:pPr>
        <w:pStyle w:val="13"/>
        <w:rPr>
          <w:rFonts w:hint="eastAsia" w:ascii="仿宋" w:hAnsi="仿宋" w:eastAsia="仿宋" w:cs="仿宋"/>
          <w:color w:val="auto"/>
          <w:sz w:val="24"/>
          <w:szCs w:val="24"/>
          <w:highlight w:val="none"/>
        </w:rPr>
      </w:pPr>
    </w:p>
    <w:p w14:paraId="38F0EDD1">
      <w:pPr>
        <w:rPr>
          <w:rFonts w:hint="eastAsia" w:ascii="仿宋" w:hAnsi="仿宋" w:eastAsia="仿宋" w:cs="仿宋"/>
          <w:color w:val="auto"/>
          <w:sz w:val="24"/>
          <w:szCs w:val="24"/>
          <w:highlight w:val="none"/>
        </w:rPr>
      </w:pPr>
    </w:p>
    <w:p w14:paraId="03FF2CBA">
      <w:pPr>
        <w:pStyle w:val="13"/>
        <w:rPr>
          <w:rFonts w:hint="eastAsia" w:ascii="仿宋" w:hAnsi="仿宋" w:eastAsia="仿宋" w:cs="仿宋"/>
          <w:color w:val="auto"/>
          <w:sz w:val="24"/>
          <w:szCs w:val="24"/>
          <w:highlight w:val="none"/>
        </w:rPr>
      </w:pPr>
    </w:p>
    <w:p w14:paraId="4664798F">
      <w:pPr>
        <w:rPr>
          <w:rFonts w:hint="eastAsia" w:ascii="仿宋" w:hAnsi="仿宋" w:eastAsia="仿宋" w:cs="仿宋"/>
          <w:color w:val="auto"/>
          <w:sz w:val="24"/>
          <w:szCs w:val="24"/>
          <w:highlight w:val="none"/>
        </w:rPr>
      </w:pPr>
    </w:p>
    <w:p w14:paraId="581CB708">
      <w:pPr>
        <w:pStyle w:val="13"/>
        <w:rPr>
          <w:rFonts w:hint="eastAsia" w:ascii="仿宋" w:hAnsi="仿宋" w:eastAsia="仿宋" w:cs="仿宋"/>
          <w:color w:val="auto"/>
          <w:sz w:val="24"/>
          <w:szCs w:val="24"/>
          <w:highlight w:val="none"/>
        </w:rPr>
      </w:pPr>
    </w:p>
    <w:p w14:paraId="5DE1CBC1">
      <w:pPr>
        <w:rPr>
          <w:rFonts w:hint="eastAsia" w:ascii="仿宋" w:hAnsi="仿宋" w:eastAsia="仿宋" w:cs="仿宋"/>
          <w:color w:val="auto"/>
          <w:sz w:val="24"/>
          <w:szCs w:val="24"/>
          <w:highlight w:val="none"/>
        </w:rPr>
      </w:pPr>
    </w:p>
    <w:p w14:paraId="2D54A0ED">
      <w:pPr>
        <w:pStyle w:val="13"/>
        <w:rPr>
          <w:rFonts w:hint="eastAsia" w:ascii="仿宋" w:hAnsi="仿宋" w:eastAsia="仿宋" w:cs="仿宋"/>
          <w:color w:val="auto"/>
          <w:sz w:val="24"/>
          <w:szCs w:val="24"/>
          <w:highlight w:val="none"/>
        </w:rPr>
      </w:pPr>
    </w:p>
    <w:p w14:paraId="463AC848">
      <w:pPr>
        <w:rPr>
          <w:rFonts w:hint="eastAsia" w:ascii="仿宋" w:hAnsi="仿宋" w:eastAsia="仿宋" w:cs="仿宋"/>
          <w:color w:val="auto"/>
          <w:sz w:val="24"/>
          <w:szCs w:val="24"/>
          <w:highlight w:val="none"/>
        </w:rPr>
      </w:pPr>
    </w:p>
    <w:p w14:paraId="19E60094">
      <w:pPr>
        <w:pStyle w:val="13"/>
        <w:rPr>
          <w:rFonts w:hint="eastAsia" w:ascii="仿宋" w:hAnsi="仿宋" w:eastAsia="仿宋" w:cs="仿宋"/>
          <w:color w:val="auto"/>
          <w:sz w:val="24"/>
          <w:szCs w:val="24"/>
          <w:highlight w:val="none"/>
        </w:rPr>
      </w:pPr>
    </w:p>
    <w:p w14:paraId="73602BA2">
      <w:pPr>
        <w:rPr>
          <w:rFonts w:hint="eastAsia" w:ascii="仿宋" w:hAnsi="仿宋" w:eastAsia="仿宋" w:cs="仿宋"/>
          <w:color w:val="auto"/>
          <w:sz w:val="24"/>
          <w:szCs w:val="24"/>
          <w:highlight w:val="none"/>
        </w:rPr>
      </w:pPr>
    </w:p>
    <w:p w14:paraId="5B8CC278">
      <w:pPr>
        <w:rPr>
          <w:rFonts w:hint="eastAsia" w:ascii="仿宋" w:hAnsi="仿宋" w:eastAsia="仿宋" w:cs="仿宋"/>
          <w:color w:val="auto"/>
          <w:sz w:val="24"/>
          <w:szCs w:val="24"/>
          <w:highlight w:val="none"/>
        </w:rPr>
      </w:pPr>
    </w:p>
    <w:p w14:paraId="48041C4E">
      <w:pPr>
        <w:rPr>
          <w:rFonts w:hint="eastAsia" w:ascii="仿宋" w:hAnsi="仿宋" w:eastAsia="仿宋" w:cs="仿宋"/>
          <w:color w:val="auto"/>
          <w:sz w:val="24"/>
          <w:szCs w:val="24"/>
          <w:highlight w:val="none"/>
        </w:rPr>
      </w:pPr>
    </w:p>
    <w:p w14:paraId="03DC2F6D">
      <w:pPr>
        <w:rPr>
          <w:rFonts w:hint="eastAsia" w:ascii="仿宋" w:hAnsi="仿宋" w:eastAsia="仿宋" w:cs="仿宋"/>
          <w:color w:val="auto"/>
          <w:sz w:val="24"/>
          <w:szCs w:val="24"/>
          <w:highlight w:val="none"/>
        </w:rPr>
      </w:pPr>
    </w:p>
    <w:p w14:paraId="4895B8F8">
      <w:pPr>
        <w:rPr>
          <w:rFonts w:hint="eastAsia" w:ascii="仿宋" w:hAnsi="仿宋" w:eastAsia="仿宋" w:cs="仿宋"/>
          <w:color w:val="auto"/>
          <w:sz w:val="24"/>
          <w:szCs w:val="24"/>
          <w:highlight w:val="none"/>
        </w:rPr>
      </w:pPr>
    </w:p>
    <w:p w14:paraId="7BBF17B7">
      <w:pPr>
        <w:rPr>
          <w:rFonts w:hint="eastAsia" w:ascii="仿宋" w:hAnsi="仿宋" w:eastAsia="仿宋" w:cs="仿宋"/>
          <w:color w:val="auto"/>
          <w:sz w:val="24"/>
          <w:szCs w:val="24"/>
          <w:highlight w:val="none"/>
        </w:rPr>
      </w:pPr>
    </w:p>
    <w:p w14:paraId="430C6375">
      <w:pPr>
        <w:rPr>
          <w:rFonts w:hint="eastAsia" w:ascii="仿宋" w:hAnsi="仿宋" w:eastAsia="仿宋" w:cs="仿宋"/>
          <w:color w:val="auto"/>
          <w:sz w:val="24"/>
          <w:szCs w:val="24"/>
          <w:highlight w:val="none"/>
        </w:rPr>
      </w:pPr>
    </w:p>
    <w:p w14:paraId="4317879E">
      <w:pPr>
        <w:rPr>
          <w:rFonts w:hint="eastAsia" w:ascii="仿宋" w:hAnsi="仿宋" w:eastAsia="仿宋" w:cs="仿宋"/>
          <w:color w:val="auto"/>
          <w:sz w:val="24"/>
          <w:szCs w:val="24"/>
          <w:highlight w:val="none"/>
        </w:rPr>
      </w:pPr>
    </w:p>
    <w:p w14:paraId="14B961DD">
      <w:pPr>
        <w:rPr>
          <w:rFonts w:hint="eastAsia" w:ascii="仿宋" w:hAnsi="仿宋" w:eastAsia="仿宋" w:cs="仿宋"/>
          <w:color w:val="auto"/>
          <w:sz w:val="24"/>
          <w:szCs w:val="24"/>
          <w:highlight w:val="none"/>
        </w:rPr>
      </w:pPr>
    </w:p>
    <w:p w14:paraId="4D04ACCA">
      <w:pPr>
        <w:rPr>
          <w:rFonts w:hint="eastAsia" w:ascii="仿宋" w:hAnsi="仿宋" w:eastAsia="仿宋" w:cs="仿宋"/>
          <w:color w:val="auto"/>
          <w:sz w:val="24"/>
          <w:szCs w:val="24"/>
          <w:highlight w:val="none"/>
        </w:rPr>
      </w:pPr>
    </w:p>
    <w:p w14:paraId="04489306">
      <w:pPr>
        <w:rPr>
          <w:rFonts w:hint="eastAsia" w:ascii="仿宋" w:hAnsi="仿宋" w:eastAsia="仿宋" w:cs="仿宋"/>
          <w:color w:val="auto"/>
          <w:sz w:val="24"/>
          <w:szCs w:val="24"/>
          <w:highlight w:val="none"/>
        </w:rPr>
      </w:pPr>
    </w:p>
    <w:p w14:paraId="6C661640">
      <w:pPr>
        <w:rPr>
          <w:rFonts w:hint="eastAsia" w:ascii="仿宋" w:hAnsi="仿宋" w:eastAsia="仿宋" w:cs="仿宋"/>
          <w:color w:val="auto"/>
          <w:sz w:val="24"/>
          <w:szCs w:val="24"/>
          <w:highlight w:val="none"/>
        </w:rPr>
      </w:pPr>
    </w:p>
    <w:p w14:paraId="03D8B980">
      <w:pPr>
        <w:rPr>
          <w:rFonts w:hint="eastAsia"/>
          <w:color w:val="auto"/>
          <w:highlight w:val="none"/>
        </w:rPr>
      </w:pPr>
    </w:p>
    <w:p w14:paraId="7F54CD80">
      <w:pPr>
        <w:pStyle w:val="13"/>
        <w:rPr>
          <w:rFonts w:hint="eastAsia"/>
          <w:color w:val="auto"/>
          <w:highlight w:val="none"/>
        </w:rPr>
      </w:pPr>
    </w:p>
    <w:p w14:paraId="09C13E7E">
      <w:pPr>
        <w:numPr>
          <w:ilvl w:val="0"/>
          <w:numId w:val="0"/>
        </w:numPr>
        <w:spacing w:line="48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b/>
          <w:color w:val="auto"/>
          <w:spacing w:val="6"/>
          <w:kern w:val="2"/>
          <w:sz w:val="28"/>
          <w:szCs w:val="28"/>
          <w:highlight w:val="none"/>
          <w:lang w:val="en-US" w:eastAsia="zh-CN" w:bidi="ar-SA"/>
        </w:rPr>
        <w:t>十九、节能、环保产品证明（如有）</w:t>
      </w:r>
    </w:p>
    <w:p w14:paraId="6328E7ED">
      <w:pPr>
        <w:spacing w:line="360" w:lineRule="auto"/>
        <w:ind w:left="0" w:leftChars="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按照政府采购的有关政策要求，在本项目的技术方案中，我单位采用了符合政策的节能产品、环保标志产品，主要产品与核心技术介绍说明如下：</w:t>
      </w:r>
    </w:p>
    <w:tbl>
      <w:tblPr>
        <w:tblStyle w:val="46"/>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3147"/>
        <w:gridCol w:w="1841"/>
        <w:gridCol w:w="1813"/>
        <w:gridCol w:w="1956"/>
      </w:tblGrid>
      <w:tr w14:paraId="3AD5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000" w:type="dxa"/>
            <w:noWrap w:val="0"/>
            <w:vAlign w:val="center"/>
          </w:tcPr>
          <w:p w14:paraId="4DD050AE">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类别</w:t>
            </w:r>
          </w:p>
        </w:tc>
        <w:tc>
          <w:tcPr>
            <w:tcW w:w="3147" w:type="dxa"/>
            <w:noWrap w:val="0"/>
            <w:vAlign w:val="center"/>
          </w:tcPr>
          <w:p w14:paraId="624982E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主要产品/技术名称</w:t>
            </w:r>
          </w:p>
          <w:p w14:paraId="5140DC9E">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（规格型号、注册商标）</w:t>
            </w:r>
          </w:p>
        </w:tc>
        <w:tc>
          <w:tcPr>
            <w:tcW w:w="1841" w:type="dxa"/>
            <w:noWrap w:val="0"/>
            <w:vAlign w:val="center"/>
          </w:tcPr>
          <w:p w14:paraId="5E51FCB7">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制造商/开发商</w:t>
            </w:r>
          </w:p>
        </w:tc>
        <w:tc>
          <w:tcPr>
            <w:tcW w:w="1813" w:type="dxa"/>
            <w:noWrap w:val="0"/>
            <w:vAlign w:val="center"/>
          </w:tcPr>
          <w:p w14:paraId="20F5217F">
            <w:pPr>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认证证书编号</w:t>
            </w:r>
          </w:p>
        </w:tc>
        <w:tc>
          <w:tcPr>
            <w:tcW w:w="1956" w:type="dxa"/>
            <w:noWrap w:val="0"/>
            <w:vAlign w:val="center"/>
          </w:tcPr>
          <w:p w14:paraId="7F70DF72">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lang w:val="en-US" w:eastAsia="zh-CN"/>
              </w:rPr>
              <w:t>备注</w:t>
            </w:r>
          </w:p>
        </w:tc>
      </w:tr>
      <w:tr w14:paraId="366E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0" w:type="dxa"/>
            <w:vMerge w:val="restart"/>
            <w:noWrap w:val="0"/>
            <w:vAlign w:val="center"/>
          </w:tcPr>
          <w:p w14:paraId="5E99E55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w:t>
            </w:r>
          </w:p>
          <w:p w14:paraId="5CB63C77">
            <w:pP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产品</w:t>
            </w:r>
          </w:p>
        </w:tc>
        <w:tc>
          <w:tcPr>
            <w:tcW w:w="3147" w:type="dxa"/>
            <w:noWrap w:val="0"/>
            <w:vAlign w:val="center"/>
          </w:tcPr>
          <w:p w14:paraId="195252C8">
            <w:pPr>
              <w:spacing w:line="360" w:lineRule="auto"/>
              <w:rPr>
                <w:rFonts w:hint="eastAsia" w:ascii="仿宋" w:hAnsi="仿宋" w:eastAsia="仿宋" w:cs="仿宋"/>
                <w:color w:val="auto"/>
                <w:sz w:val="24"/>
                <w:szCs w:val="24"/>
                <w:highlight w:val="none"/>
                <w:vertAlign w:val="baseline"/>
              </w:rPr>
            </w:pPr>
          </w:p>
        </w:tc>
        <w:tc>
          <w:tcPr>
            <w:tcW w:w="1841" w:type="dxa"/>
            <w:noWrap w:val="0"/>
            <w:vAlign w:val="center"/>
          </w:tcPr>
          <w:p w14:paraId="53039DAC">
            <w:pPr>
              <w:spacing w:line="360" w:lineRule="auto"/>
              <w:rPr>
                <w:rFonts w:hint="eastAsia" w:ascii="仿宋" w:hAnsi="仿宋" w:eastAsia="仿宋" w:cs="仿宋"/>
                <w:color w:val="auto"/>
                <w:sz w:val="24"/>
                <w:szCs w:val="24"/>
                <w:highlight w:val="none"/>
                <w:vertAlign w:val="baseline"/>
              </w:rPr>
            </w:pPr>
          </w:p>
        </w:tc>
        <w:tc>
          <w:tcPr>
            <w:tcW w:w="1813" w:type="dxa"/>
            <w:noWrap w:val="0"/>
            <w:vAlign w:val="center"/>
          </w:tcPr>
          <w:p w14:paraId="4E906AE6">
            <w:pPr>
              <w:spacing w:line="360" w:lineRule="auto"/>
              <w:rPr>
                <w:rFonts w:hint="eastAsia" w:ascii="仿宋" w:hAnsi="仿宋" w:eastAsia="仿宋" w:cs="仿宋"/>
                <w:color w:val="auto"/>
                <w:sz w:val="24"/>
                <w:szCs w:val="24"/>
                <w:highlight w:val="none"/>
                <w:vertAlign w:val="baseline"/>
              </w:rPr>
            </w:pPr>
          </w:p>
        </w:tc>
        <w:tc>
          <w:tcPr>
            <w:tcW w:w="1956" w:type="dxa"/>
            <w:noWrap w:val="0"/>
            <w:vAlign w:val="center"/>
          </w:tcPr>
          <w:p w14:paraId="6D18FA45">
            <w:pPr>
              <w:spacing w:line="360" w:lineRule="auto"/>
              <w:rPr>
                <w:rFonts w:hint="eastAsia" w:ascii="仿宋" w:hAnsi="仿宋" w:eastAsia="仿宋" w:cs="仿宋"/>
                <w:color w:val="auto"/>
                <w:sz w:val="24"/>
                <w:szCs w:val="24"/>
                <w:highlight w:val="none"/>
                <w:vertAlign w:val="baseline"/>
              </w:rPr>
            </w:pPr>
          </w:p>
        </w:tc>
      </w:tr>
      <w:tr w14:paraId="5432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0" w:type="dxa"/>
            <w:vMerge w:val="continue"/>
            <w:noWrap w:val="0"/>
            <w:vAlign w:val="center"/>
          </w:tcPr>
          <w:p w14:paraId="7308A090">
            <w:pPr>
              <w:rPr>
                <w:rFonts w:hint="eastAsia" w:ascii="仿宋" w:hAnsi="仿宋" w:eastAsia="仿宋" w:cs="仿宋"/>
                <w:color w:val="auto"/>
                <w:sz w:val="24"/>
                <w:szCs w:val="24"/>
                <w:highlight w:val="none"/>
                <w:vertAlign w:val="baseline"/>
              </w:rPr>
            </w:pPr>
          </w:p>
        </w:tc>
        <w:tc>
          <w:tcPr>
            <w:tcW w:w="3147" w:type="dxa"/>
            <w:noWrap w:val="0"/>
            <w:vAlign w:val="center"/>
          </w:tcPr>
          <w:p w14:paraId="52B99377">
            <w:pPr>
              <w:spacing w:line="360" w:lineRule="auto"/>
              <w:rPr>
                <w:rFonts w:hint="eastAsia" w:ascii="仿宋" w:hAnsi="仿宋" w:eastAsia="仿宋" w:cs="仿宋"/>
                <w:color w:val="auto"/>
                <w:sz w:val="24"/>
                <w:szCs w:val="24"/>
                <w:highlight w:val="none"/>
                <w:vertAlign w:val="baseline"/>
              </w:rPr>
            </w:pPr>
          </w:p>
        </w:tc>
        <w:tc>
          <w:tcPr>
            <w:tcW w:w="1841" w:type="dxa"/>
            <w:noWrap w:val="0"/>
            <w:vAlign w:val="center"/>
          </w:tcPr>
          <w:p w14:paraId="553EB68B">
            <w:pPr>
              <w:spacing w:line="360" w:lineRule="auto"/>
              <w:rPr>
                <w:rFonts w:hint="eastAsia" w:ascii="仿宋" w:hAnsi="仿宋" w:eastAsia="仿宋" w:cs="仿宋"/>
                <w:color w:val="auto"/>
                <w:sz w:val="24"/>
                <w:szCs w:val="24"/>
                <w:highlight w:val="none"/>
                <w:vertAlign w:val="baseline"/>
              </w:rPr>
            </w:pPr>
          </w:p>
        </w:tc>
        <w:tc>
          <w:tcPr>
            <w:tcW w:w="1813" w:type="dxa"/>
            <w:noWrap w:val="0"/>
            <w:vAlign w:val="center"/>
          </w:tcPr>
          <w:p w14:paraId="424D7D40">
            <w:pPr>
              <w:spacing w:line="360" w:lineRule="auto"/>
              <w:rPr>
                <w:rFonts w:hint="eastAsia" w:ascii="仿宋" w:hAnsi="仿宋" w:eastAsia="仿宋" w:cs="仿宋"/>
                <w:color w:val="auto"/>
                <w:sz w:val="24"/>
                <w:szCs w:val="24"/>
                <w:highlight w:val="none"/>
                <w:vertAlign w:val="baseline"/>
              </w:rPr>
            </w:pPr>
          </w:p>
        </w:tc>
        <w:tc>
          <w:tcPr>
            <w:tcW w:w="1956" w:type="dxa"/>
            <w:noWrap w:val="0"/>
            <w:vAlign w:val="center"/>
          </w:tcPr>
          <w:p w14:paraId="5AF92957">
            <w:pPr>
              <w:spacing w:line="360" w:lineRule="auto"/>
              <w:rPr>
                <w:rFonts w:hint="eastAsia" w:ascii="仿宋" w:hAnsi="仿宋" w:eastAsia="仿宋" w:cs="仿宋"/>
                <w:color w:val="auto"/>
                <w:sz w:val="24"/>
                <w:szCs w:val="24"/>
                <w:highlight w:val="none"/>
                <w:vertAlign w:val="baseline"/>
              </w:rPr>
            </w:pPr>
          </w:p>
        </w:tc>
      </w:tr>
      <w:tr w14:paraId="41F3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00" w:type="dxa"/>
            <w:vMerge w:val="continue"/>
            <w:noWrap w:val="0"/>
            <w:vAlign w:val="center"/>
          </w:tcPr>
          <w:p w14:paraId="40910905">
            <w:pPr>
              <w:rPr>
                <w:rFonts w:hint="eastAsia" w:ascii="仿宋" w:hAnsi="仿宋" w:eastAsia="仿宋" w:cs="仿宋"/>
                <w:color w:val="auto"/>
                <w:sz w:val="24"/>
                <w:szCs w:val="24"/>
                <w:highlight w:val="none"/>
                <w:vertAlign w:val="baseline"/>
              </w:rPr>
            </w:pPr>
          </w:p>
        </w:tc>
        <w:tc>
          <w:tcPr>
            <w:tcW w:w="3147" w:type="dxa"/>
            <w:noWrap w:val="0"/>
            <w:vAlign w:val="center"/>
          </w:tcPr>
          <w:p w14:paraId="7B639F7E">
            <w:pPr>
              <w:spacing w:line="360" w:lineRule="auto"/>
              <w:rPr>
                <w:rFonts w:hint="eastAsia" w:ascii="仿宋" w:hAnsi="仿宋" w:eastAsia="仿宋" w:cs="仿宋"/>
                <w:color w:val="auto"/>
                <w:sz w:val="24"/>
                <w:szCs w:val="24"/>
                <w:highlight w:val="none"/>
                <w:vertAlign w:val="baseline"/>
              </w:rPr>
            </w:pPr>
          </w:p>
        </w:tc>
        <w:tc>
          <w:tcPr>
            <w:tcW w:w="1841" w:type="dxa"/>
            <w:noWrap w:val="0"/>
            <w:vAlign w:val="center"/>
          </w:tcPr>
          <w:p w14:paraId="48FD2790">
            <w:pPr>
              <w:spacing w:line="360" w:lineRule="auto"/>
              <w:rPr>
                <w:rFonts w:hint="eastAsia" w:ascii="仿宋" w:hAnsi="仿宋" w:eastAsia="仿宋" w:cs="仿宋"/>
                <w:color w:val="auto"/>
                <w:sz w:val="24"/>
                <w:szCs w:val="24"/>
                <w:highlight w:val="none"/>
                <w:vertAlign w:val="baseline"/>
              </w:rPr>
            </w:pPr>
          </w:p>
        </w:tc>
        <w:tc>
          <w:tcPr>
            <w:tcW w:w="1813" w:type="dxa"/>
            <w:noWrap w:val="0"/>
            <w:vAlign w:val="center"/>
          </w:tcPr>
          <w:p w14:paraId="05192E8A">
            <w:pPr>
              <w:spacing w:line="360" w:lineRule="auto"/>
              <w:rPr>
                <w:rFonts w:hint="eastAsia" w:ascii="仿宋" w:hAnsi="仿宋" w:eastAsia="仿宋" w:cs="仿宋"/>
                <w:color w:val="auto"/>
                <w:sz w:val="24"/>
                <w:szCs w:val="24"/>
                <w:highlight w:val="none"/>
                <w:vertAlign w:val="baseline"/>
              </w:rPr>
            </w:pPr>
          </w:p>
        </w:tc>
        <w:tc>
          <w:tcPr>
            <w:tcW w:w="1956" w:type="dxa"/>
            <w:noWrap w:val="0"/>
            <w:vAlign w:val="center"/>
          </w:tcPr>
          <w:p w14:paraId="60903B35">
            <w:pPr>
              <w:spacing w:line="360" w:lineRule="auto"/>
              <w:rPr>
                <w:rFonts w:hint="eastAsia" w:ascii="仿宋" w:hAnsi="仿宋" w:eastAsia="仿宋" w:cs="仿宋"/>
                <w:color w:val="auto"/>
                <w:sz w:val="24"/>
                <w:szCs w:val="24"/>
                <w:highlight w:val="none"/>
                <w:vertAlign w:val="baseline"/>
              </w:rPr>
            </w:pPr>
          </w:p>
        </w:tc>
      </w:tr>
      <w:tr w14:paraId="0D85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0" w:type="dxa"/>
            <w:vMerge w:val="restart"/>
            <w:noWrap w:val="0"/>
            <w:vAlign w:val="center"/>
          </w:tcPr>
          <w:p w14:paraId="41D70C8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w:t>
            </w:r>
          </w:p>
          <w:p w14:paraId="5F06806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标志</w:t>
            </w:r>
          </w:p>
          <w:p w14:paraId="0E05CD08">
            <w:pP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产品</w:t>
            </w:r>
          </w:p>
        </w:tc>
        <w:tc>
          <w:tcPr>
            <w:tcW w:w="3147" w:type="dxa"/>
            <w:noWrap w:val="0"/>
            <w:vAlign w:val="center"/>
          </w:tcPr>
          <w:p w14:paraId="63EA9043">
            <w:pPr>
              <w:spacing w:line="360" w:lineRule="auto"/>
              <w:rPr>
                <w:rFonts w:hint="eastAsia" w:ascii="仿宋" w:hAnsi="仿宋" w:eastAsia="仿宋" w:cs="仿宋"/>
                <w:color w:val="auto"/>
                <w:sz w:val="24"/>
                <w:szCs w:val="24"/>
                <w:highlight w:val="none"/>
                <w:vertAlign w:val="baseline"/>
              </w:rPr>
            </w:pPr>
          </w:p>
        </w:tc>
        <w:tc>
          <w:tcPr>
            <w:tcW w:w="1841" w:type="dxa"/>
            <w:noWrap w:val="0"/>
            <w:vAlign w:val="center"/>
          </w:tcPr>
          <w:p w14:paraId="7A690286">
            <w:pPr>
              <w:spacing w:line="360" w:lineRule="auto"/>
              <w:rPr>
                <w:rFonts w:hint="eastAsia" w:ascii="仿宋" w:hAnsi="仿宋" w:eastAsia="仿宋" w:cs="仿宋"/>
                <w:color w:val="auto"/>
                <w:sz w:val="24"/>
                <w:szCs w:val="24"/>
                <w:highlight w:val="none"/>
                <w:vertAlign w:val="baseline"/>
              </w:rPr>
            </w:pPr>
          </w:p>
        </w:tc>
        <w:tc>
          <w:tcPr>
            <w:tcW w:w="1813" w:type="dxa"/>
            <w:noWrap w:val="0"/>
            <w:vAlign w:val="center"/>
          </w:tcPr>
          <w:p w14:paraId="53B50A0C">
            <w:pPr>
              <w:spacing w:line="360" w:lineRule="auto"/>
              <w:rPr>
                <w:rFonts w:hint="eastAsia" w:ascii="仿宋" w:hAnsi="仿宋" w:eastAsia="仿宋" w:cs="仿宋"/>
                <w:color w:val="auto"/>
                <w:sz w:val="24"/>
                <w:szCs w:val="24"/>
                <w:highlight w:val="none"/>
                <w:vertAlign w:val="baseline"/>
              </w:rPr>
            </w:pPr>
          </w:p>
        </w:tc>
        <w:tc>
          <w:tcPr>
            <w:tcW w:w="1956" w:type="dxa"/>
            <w:noWrap w:val="0"/>
            <w:vAlign w:val="center"/>
          </w:tcPr>
          <w:p w14:paraId="358DC59E">
            <w:pPr>
              <w:spacing w:line="360" w:lineRule="auto"/>
              <w:rPr>
                <w:rFonts w:hint="eastAsia" w:ascii="仿宋" w:hAnsi="仿宋" w:eastAsia="仿宋" w:cs="仿宋"/>
                <w:color w:val="auto"/>
                <w:sz w:val="24"/>
                <w:szCs w:val="24"/>
                <w:highlight w:val="none"/>
                <w:vertAlign w:val="baseline"/>
              </w:rPr>
            </w:pPr>
          </w:p>
        </w:tc>
      </w:tr>
      <w:tr w14:paraId="7DD3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00" w:type="dxa"/>
            <w:vMerge w:val="continue"/>
            <w:noWrap w:val="0"/>
            <w:vAlign w:val="center"/>
          </w:tcPr>
          <w:p w14:paraId="69F34CF6">
            <w:pPr>
              <w:rPr>
                <w:rFonts w:hint="eastAsia" w:ascii="仿宋" w:hAnsi="仿宋" w:eastAsia="仿宋" w:cs="仿宋"/>
                <w:color w:val="auto"/>
                <w:sz w:val="24"/>
                <w:szCs w:val="24"/>
                <w:highlight w:val="none"/>
                <w:vertAlign w:val="baseline"/>
              </w:rPr>
            </w:pPr>
          </w:p>
        </w:tc>
        <w:tc>
          <w:tcPr>
            <w:tcW w:w="3147" w:type="dxa"/>
            <w:noWrap w:val="0"/>
            <w:vAlign w:val="center"/>
          </w:tcPr>
          <w:p w14:paraId="5A9DFD0A">
            <w:pPr>
              <w:spacing w:line="360" w:lineRule="auto"/>
              <w:rPr>
                <w:rFonts w:hint="eastAsia" w:ascii="仿宋" w:hAnsi="仿宋" w:eastAsia="仿宋" w:cs="仿宋"/>
                <w:color w:val="auto"/>
                <w:sz w:val="24"/>
                <w:szCs w:val="24"/>
                <w:highlight w:val="none"/>
                <w:vertAlign w:val="baseline"/>
              </w:rPr>
            </w:pPr>
          </w:p>
        </w:tc>
        <w:tc>
          <w:tcPr>
            <w:tcW w:w="1841" w:type="dxa"/>
            <w:noWrap w:val="0"/>
            <w:vAlign w:val="center"/>
          </w:tcPr>
          <w:p w14:paraId="53285EC3">
            <w:pPr>
              <w:spacing w:line="360" w:lineRule="auto"/>
              <w:rPr>
                <w:rFonts w:hint="eastAsia" w:ascii="仿宋" w:hAnsi="仿宋" w:eastAsia="仿宋" w:cs="仿宋"/>
                <w:color w:val="auto"/>
                <w:sz w:val="24"/>
                <w:szCs w:val="24"/>
                <w:highlight w:val="none"/>
                <w:vertAlign w:val="baseline"/>
              </w:rPr>
            </w:pPr>
          </w:p>
        </w:tc>
        <w:tc>
          <w:tcPr>
            <w:tcW w:w="1813" w:type="dxa"/>
            <w:noWrap w:val="0"/>
            <w:vAlign w:val="center"/>
          </w:tcPr>
          <w:p w14:paraId="4FBB4B82">
            <w:pPr>
              <w:spacing w:line="360" w:lineRule="auto"/>
              <w:rPr>
                <w:rFonts w:hint="eastAsia" w:ascii="仿宋" w:hAnsi="仿宋" w:eastAsia="仿宋" w:cs="仿宋"/>
                <w:color w:val="auto"/>
                <w:sz w:val="24"/>
                <w:szCs w:val="24"/>
                <w:highlight w:val="none"/>
                <w:vertAlign w:val="baseline"/>
              </w:rPr>
            </w:pPr>
          </w:p>
        </w:tc>
        <w:tc>
          <w:tcPr>
            <w:tcW w:w="1956" w:type="dxa"/>
            <w:noWrap w:val="0"/>
            <w:vAlign w:val="center"/>
          </w:tcPr>
          <w:p w14:paraId="192D5536">
            <w:pPr>
              <w:spacing w:line="360" w:lineRule="auto"/>
              <w:rPr>
                <w:rFonts w:hint="eastAsia" w:ascii="仿宋" w:hAnsi="仿宋" w:eastAsia="仿宋" w:cs="仿宋"/>
                <w:color w:val="auto"/>
                <w:sz w:val="24"/>
                <w:szCs w:val="24"/>
                <w:highlight w:val="none"/>
                <w:vertAlign w:val="baseline"/>
              </w:rPr>
            </w:pPr>
          </w:p>
        </w:tc>
      </w:tr>
      <w:tr w14:paraId="6E84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00" w:type="dxa"/>
            <w:vMerge w:val="continue"/>
            <w:noWrap w:val="0"/>
            <w:vAlign w:val="center"/>
          </w:tcPr>
          <w:p w14:paraId="3D0EFABF">
            <w:pPr>
              <w:rPr>
                <w:rFonts w:hint="eastAsia" w:ascii="仿宋" w:hAnsi="仿宋" w:eastAsia="仿宋" w:cs="仿宋"/>
                <w:color w:val="auto"/>
                <w:sz w:val="24"/>
                <w:szCs w:val="24"/>
                <w:highlight w:val="none"/>
                <w:vertAlign w:val="baseline"/>
              </w:rPr>
            </w:pPr>
          </w:p>
        </w:tc>
        <w:tc>
          <w:tcPr>
            <w:tcW w:w="3147" w:type="dxa"/>
            <w:noWrap w:val="0"/>
            <w:vAlign w:val="center"/>
          </w:tcPr>
          <w:p w14:paraId="22A45092">
            <w:pPr>
              <w:spacing w:line="360" w:lineRule="auto"/>
              <w:rPr>
                <w:rFonts w:hint="eastAsia" w:ascii="仿宋" w:hAnsi="仿宋" w:eastAsia="仿宋" w:cs="仿宋"/>
                <w:color w:val="auto"/>
                <w:sz w:val="24"/>
                <w:szCs w:val="24"/>
                <w:highlight w:val="none"/>
                <w:vertAlign w:val="baseline"/>
              </w:rPr>
            </w:pPr>
          </w:p>
        </w:tc>
        <w:tc>
          <w:tcPr>
            <w:tcW w:w="1841" w:type="dxa"/>
            <w:noWrap w:val="0"/>
            <w:vAlign w:val="center"/>
          </w:tcPr>
          <w:p w14:paraId="68F97345">
            <w:pPr>
              <w:spacing w:line="360" w:lineRule="auto"/>
              <w:rPr>
                <w:rFonts w:hint="eastAsia" w:ascii="仿宋" w:hAnsi="仿宋" w:eastAsia="仿宋" w:cs="仿宋"/>
                <w:color w:val="auto"/>
                <w:sz w:val="24"/>
                <w:szCs w:val="24"/>
                <w:highlight w:val="none"/>
                <w:vertAlign w:val="baseline"/>
              </w:rPr>
            </w:pPr>
          </w:p>
        </w:tc>
        <w:tc>
          <w:tcPr>
            <w:tcW w:w="1813" w:type="dxa"/>
            <w:noWrap w:val="0"/>
            <w:vAlign w:val="center"/>
          </w:tcPr>
          <w:p w14:paraId="72C984DB">
            <w:pPr>
              <w:spacing w:line="360" w:lineRule="auto"/>
              <w:rPr>
                <w:rFonts w:hint="eastAsia" w:ascii="仿宋" w:hAnsi="仿宋" w:eastAsia="仿宋" w:cs="仿宋"/>
                <w:color w:val="auto"/>
                <w:sz w:val="24"/>
                <w:szCs w:val="24"/>
                <w:highlight w:val="none"/>
                <w:vertAlign w:val="baseline"/>
              </w:rPr>
            </w:pPr>
          </w:p>
        </w:tc>
        <w:tc>
          <w:tcPr>
            <w:tcW w:w="1956" w:type="dxa"/>
            <w:noWrap w:val="0"/>
            <w:vAlign w:val="center"/>
          </w:tcPr>
          <w:p w14:paraId="40FE36D2">
            <w:pPr>
              <w:spacing w:line="360" w:lineRule="auto"/>
              <w:rPr>
                <w:rFonts w:hint="eastAsia" w:ascii="仿宋" w:hAnsi="仿宋" w:eastAsia="仿宋" w:cs="仿宋"/>
                <w:color w:val="auto"/>
                <w:sz w:val="24"/>
                <w:szCs w:val="24"/>
                <w:highlight w:val="none"/>
                <w:vertAlign w:val="baseline"/>
              </w:rPr>
            </w:pPr>
          </w:p>
        </w:tc>
      </w:tr>
      <w:tr w14:paraId="7DDF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00" w:type="dxa"/>
            <w:noWrap w:val="0"/>
            <w:vAlign w:val="center"/>
          </w:tcPr>
          <w:p w14:paraId="6E98D3BC">
            <w:pP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说明</w:t>
            </w:r>
          </w:p>
        </w:tc>
        <w:tc>
          <w:tcPr>
            <w:tcW w:w="3147" w:type="dxa"/>
            <w:noWrap w:val="0"/>
            <w:vAlign w:val="center"/>
          </w:tcPr>
          <w:p w14:paraId="79ED387B">
            <w:pPr>
              <w:spacing w:line="360" w:lineRule="auto"/>
              <w:rPr>
                <w:rFonts w:hint="eastAsia" w:ascii="仿宋" w:hAnsi="仿宋" w:eastAsia="仿宋" w:cs="仿宋"/>
                <w:color w:val="auto"/>
                <w:sz w:val="24"/>
                <w:szCs w:val="24"/>
                <w:highlight w:val="none"/>
                <w:vertAlign w:val="baseline"/>
              </w:rPr>
            </w:pPr>
          </w:p>
        </w:tc>
        <w:tc>
          <w:tcPr>
            <w:tcW w:w="1841" w:type="dxa"/>
            <w:noWrap w:val="0"/>
            <w:vAlign w:val="center"/>
          </w:tcPr>
          <w:p w14:paraId="001D6765">
            <w:pPr>
              <w:spacing w:line="360" w:lineRule="auto"/>
              <w:rPr>
                <w:rFonts w:hint="eastAsia" w:ascii="仿宋" w:hAnsi="仿宋" w:eastAsia="仿宋" w:cs="仿宋"/>
                <w:color w:val="auto"/>
                <w:sz w:val="24"/>
                <w:szCs w:val="24"/>
                <w:highlight w:val="none"/>
                <w:vertAlign w:val="baseline"/>
              </w:rPr>
            </w:pPr>
          </w:p>
        </w:tc>
        <w:tc>
          <w:tcPr>
            <w:tcW w:w="1813" w:type="dxa"/>
            <w:noWrap w:val="0"/>
            <w:vAlign w:val="center"/>
          </w:tcPr>
          <w:p w14:paraId="4DCE3D63">
            <w:pPr>
              <w:spacing w:line="360" w:lineRule="auto"/>
              <w:rPr>
                <w:rFonts w:hint="eastAsia" w:ascii="仿宋" w:hAnsi="仿宋" w:eastAsia="仿宋" w:cs="仿宋"/>
                <w:color w:val="auto"/>
                <w:sz w:val="24"/>
                <w:szCs w:val="24"/>
                <w:highlight w:val="none"/>
                <w:vertAlign w:val="baseline"/>
              </w:rPr>
            </w:pPr>
          </w:p>
        </w:tc>
        <w:tc>
          <w:tcPr>
            <w:tcW w:w="1956" w:type="dxa"/>
            <w:noWrap w:val="0"/>
            <w:vAlign w:val="center"/>
          </w:tcPr>
          <w:p w14:paraId="3B8AAC4F">
            <w:pPr>
              <w:spacing w:line="360" w:lineRule="auto"/>
              <w:rPr>
                <w:rFonts w:hint="eastAsia" w:ascii="仿宋" w:hAnsi="仿宋" w:eastAsia="仿宋" w:cs="仿宋"/>
                <w:color w:val="auto"/>
                <w:sz w:val="24"/>
                <w:szCs w:val="24"/>
                <w:highlight w:val="none"/>
                <w:vertAlign w:val="baseline"/>
              </w:rPr>
            </w:pPr>
          </w:p>
        </w:tc>
      </w:tr>
    </w:tbl>
    <w:p w14:paraId="5B180AE8">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注：需提供节能认证或环境认证证书证明复印件加盖公章</w:t>
      </w:r>
    </w:p>
    <w:p w14:paraId="240ED3A7">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（单位公章）：</w:t>
      </w:r>
    </w:p>
    <w:p w14:paraId="29332703">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7BC58721">
      <w:pPr>
        <w:spacing w:line="48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年   月   日</w:t>
      </w:r>
    </w:p>
    <w:p w14:paraId="2FB4EBDB">
      <w:pPr>
        <w:pStyle w:val="21"/>
        <w:rPr>
          <w:rFonts w:hint="eastAsia" w:ascii="仿宋" w:hAnsi="仿宋" w:eastAsia="仿宋" w:cs="仿宋"/>
          <w:b w:val="0"/>
          <w:bCs w:val="0"/>
          <w:color w:val="auto"/>
          <w:kern w:val="2"/>
          <w:sz w:val="24"/>
          <w:szCs w:val="24"/>
          <w:highlight w:val="none"/>
          <w:lang w:val="en-US" w:eastAsia="zh-CN" w:bidi="ar-SA"/>
        </w:rPr>
      </w:pPr>
      <w:bookmarkStart w:id="167" w:name="_Toc12999"/>
      <w:bookmarkStart w:id="168" w:name="_Toc20918"/>
      <w:bookmarkStart w:id="169" w:name="_Toc24887"/>
      <w:bookmarkStart w:id="170" w:name="_Toc31830"/>
      <w:bookmarkStart w:id="171" w:name="_Toc16687"/>
      <w:bookmarkStart w:id="172" w:name="_Toc23806"/>
    </w:p>
    <w:p w14:paraId="7F8EDC27">
      <w:pPr>
        <w:rPr>
          <w:rFonts w:hint="eastAsia" w:ascii="仿宋" w:hAnsi="仿宋" w:eastAsia="仿宋" w:cs="仿宋"/>
          <w:b w:val="0"/>
          <w:bCs w:val="0"/>
          <w:color w:val="auto"/>
          <w:kern w:val="2"/>
          <w:sz w:val="24"/>
          <w:szCs w:val="24"/>
          <w:highlight w:val="none"/>
          <w:lang w:val="en-US" w:eastAsia="zh-CN" w:bidi="ar-SA"/>
        </w:rPr>
      </w:pPr>
    </w:p>
    <w:p w14:paraId="3CE7528B">
      <w:pPr>
        <w:rPr>
          <w:rFonts w:hint="eastAsia" w:ascii="仿宋" w:hAnsi="仿宋" w:eastAsia="仿宋" w:cs="仿宋"/>
          <w:b w:val="0"/>
          <w:bCs w:val="0"/>
          <w:color w:val="auto"/>
          <w:kern w:val="2"/>
          <w:sz w:val="24"/>
          <w:szCs w:val="24"/>
          <w:highlight w:val="none"/>
          <w:lang w:val="en-US" w:eastAsia="zh-CN" w:bidi="ar-SA"/>
        </w:rPr>
      </w:pPr>
    </w:p>
    <w:p w14:paraId="0F19299E">
      <w:pPr>
        <w:rPr>
          <w:rFonts w:hint="eastAsia" w:ascii="仿宋" w:hAnsi="仿宋" w:eastAsia="仿宋" w:cs="仿宋"/>
          <w:b w:val="0"/>
          <w:bCs w:val="0"/>
          <w:color w:val="auto"/>
          <w:kern w:val="2"/>
          <w:sz w:val="24"/>
          <w:szCs w:val="24"/>
          <w:highlight w:val="none"/>
          <w:lang w:val="en-US" w:eastAsia="zh-CN" w:bidi="ar-SA"/>
        </w:rPr>
      </w:pPr>
    </w:p>
    <w:p w14:paraId="3F656E1A">
      <w:pPr>
        <w:rPr>
          <w:rFonts w:hint="eastAsia" w:ascii="仿宋" w:hAnsi="仿宋" w:eastAsia="仿宋" w:cs="仿宋"/>
          <w:b w:val="0"/>
          <w:bCs w:val="0"/>
          <w:color w:val="auto"/>
          <w:kern w:val="2"/>
          <w:sz w:val="24"/>
          <w:szCs w:val="24"/>
          <w:highlight w:val="none"/>
          <w:lang w:val="en-US" w:eastAsia="zh-CN" w:bidi="ar-SA"/>
        </w:rPr>
      </w:pPr>
    </w:p>
    <w:p w14:paraId="137ADD4A">
      <w:pPr>
        <w:rPr>
          <w:rFonts w:hint="eastAsia" w:ascii="仿宋" w:hAnsi="仿宋" w:eastAsia="仿宋" w:cs="仿宋"/>
          <w:b w:val="0"/>
          <w:bCs w:val="0"/>
          <w:color w:val="auto"/>
          <w:kern w:val="2"/>
          <w:sz w:val="24"/>
          <w:szCs w:val="24"/>
          <w:highlight w:val="none"/>
          <w:lang w:val="en-US" w:eastAsia="zh-CN" w:bidi="ar-SA"/>
        </w:rPr>
      </w:pPr>
    </w:p>
    <w:p w14:paraId="29C5350A">
      <w:pPr>
        <w:rPr>
          <w:rFonts w:hint="eastAsia" w:ascii="仿宋" w:hAnsi="仿宋" w:eastAsia="仿宋" w:cs="仿宋"/>
          <w:b w:val="0"/>
          <w:bCs w:val="0"/>
          <w:color w:val="auto"/>
          <w:kern w:val="2"/>
          <w:sz w:val="24"/>
          <w:szCs w:val="24"/>
          <w:highlight w:val="none"/>
          <w:lang w:val="en-US" w:eastAsia="zh-CN" w:bidi="ar-SA"/>
        </w:rPr>
      </w:pPr>
    </w:p>
    <w:p w14:paraId="5F807DD8">
      <w:pPr>
        <w:rPr>
          <w:rFonts w:hint="eastAsia" w:ascii="仿宋" w:hAnsi="仿宋" w:eastAsia="仿宋" w:cs="仿宋"/>
          <w:b w:val="0"/>
          <w:bCs w:val="0"/>
          <w:color w:val="auto"/>
          <w:kern w:val="2"/>
          <w:sz w:val="24"/>
          <w:szCs w:val="24"/>
          <w:highlight w:val="none"/>
          <w:lang w:val="en-US" w:eastAsia="zh-CN" w:bidi="ar-SA"/>
        </w:rPr>
      </w:pPr>
    </w:p>
    <w:p w14:paraId="50A52EBB">
      <w:pPr>
        <w:rPr>
          <w:rFonts w:hint="eastAsia" w:ascii="仿宋" w:hAnsi="仿宋" w:eastAsia="仿宋" w:cs="仿宋"/>
          <w:b w:val="0"/>
          <w:bCs w:val="0"/>
          <w:color w:val="auto"/>
          <w:kern w:val="2"/>
          <w:sz w:val="24"/>
          <w:szCs w:val="24"/>
          <w:highlight w:val="none"/>
          <w:lang w:val="en-US" w:eastAsia="zh-CN" w:bidi="ar-SA"/>
        </w:rPr>
      </w:pPr>
    </w:p>
    <w:p w14:paraId="1E87FC55">
      <w:pPr>
        <w:rPr>
          <w:rFonts w:hint="eastAsia" w:ascii="仿宋" w:hAnsi="仿宋" w:eastAsia="仿宋" w:cs="仿宋"/>
          <w:b w:val="0"/>
          <w:bCs w:val="0"/>
          <w:color w:val="auto"/>
          <w:kern w:val="2"/>
          <w:sz w:val="24"/>
          <w:szCs w:val="24"/>
          <w:highlight w:val="none"/>
          <w:lang w:val="en-US" w:eastAsia="zh-CN" w:bidi="ar-SA"/>
        </w:rPr>
      </w:pPr>
    </w:p>
    <w:p w14:paraId="6B277237">
      <w:pPr>
        <w:rPr>
          <w:rFonts w:hint="eastAsia" w:ascii="仿宋" w:hAnsi="仿宋" w:eastAsia="仿宋" w:cs="仿宋"/>
          <w:b w:val="0"/>
          <w:bCs w:val="0"/>
          <w:color w:val="auto"/>
          <w:kern w:val="2"/>
          <w:sz w:val="24"/>
          <w:szCs w:val="24"/>
          <w:highlight w:val="none"/>
          <w:lang w:val="en-US" w:eastAsia="zh-CN" w:bidi="ar-SA"/>
        </w:rPr>
      </w:pPr>
    </w:p>
    <w:p w14:paraId="19104D23">
      <w:pPr>
        <w:rPr>
          <w:rFonts w:hint="eastAsia" w:ascii="仿宋" w:hAnsi="仿宋" w:eastAsia="仿宋" w:cs="仿宋"/>
          <w:b w:val="0"/>
          <w:bCs w:val="0"/>
          <w:color w:val="auto"/>
          <w:kern w:val="2"/>
          <w:sz w:val="24"/>
          <w:szCs w:val="24"/>
          <w:highlight w:val="none"/>
          <w:lang w:val="en-US" w:eastAsia="zh-CN" w:bidi="ar-SA"/>
        </w:rPr>
      </w:pPr>
    </w:p>
    <w:p w14:paraId="53705FF0">
      <w:pPr>
        <w:rPr>
          <w:rFonts w:hint="eastAsia"/>
          <w:color w:val="auto"/>
          <w:highlight w:val="none"/>
          <w:lang w:val="en-US" w:eastAsia="zh-CN"/>
        </w:rPr>
      </w:pPr>
    </w:p>
    <w:p w14:paraId="21BD0DA5">
      <w:pPr>
        <w:pStyle w:val="3"/>
        <w:numPr>
          <w:ilvl w:val="0"/>
          <w:numId w:val="0"/>
        </w:numPr>
        <w:spacing w:before="156" w:after="156" w:line="480" w:lineRule="auto"/>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二十、投标人认为需要提供的其他资料</w:t>
      </w:r>
    </w:p>
    <w:p w14:paraId="40F0AAEF">
      <w:pPr>
        <w:pStyle w:val="54"/>
        <w:widowControl w:val="0"/>
        <w:numPr>
          <w:ilvl w:val="0"/>
          <w:numId w:val="0"/>
        </w:numPr>
        <w:adjustRightInd w:val="0"/>
        <w:jc w:val="center"/>
        <w:textAlignment w:val="baseline"/>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（投标人认为更有利于此次投标的其它资料，可在此附件中提交）</w:t>
      </w:r>
    </w:p>
    <w:p w14:paraId="5AF4B85D">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335BE376">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3E3A0C00">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4FC5BBFA">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0C81A735">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7F40867A">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7ADCB9AF">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387A7597">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441B338A">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058017B3">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384EEA8B">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78907795">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3AADB924">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2F4036C7">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6F008EC8">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44B0D517">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37184243">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43C495FC">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054E012C">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5C7549C5">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5B7BADD8">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2B67CBA0">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18C4292C">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3150421F">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47C61A91">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3590D6A1">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3F63F197">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5899F05F">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75E76C20">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0D25529B">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1F74EFF5">
      <w:pPr>
        <w:pStyle w:val="54"/>
        <w:widowControl w:val="0"/>
        <w:numPr>
          <w:ilvl w:val="0"/>
          <w:numId w:val="0"/>
        </w:numPr>
        <w:adjustRightInd w:val="0"/>
        <w:jc w:val="center"/>
        <w:textAlignment w:val="baseline"/>
        <w:rPr>
          <w:rFonts w:hint="eastAsia" w:ascii="仿宋" w:hAnsi="仿宋" w:eastAsia="仿宋" w:cs="仿宋"/>
          <w:b/>
          <w:bCs/>
          <w:color w:val="auto"/>
          <w:spacing w:val="60"/>
          <w:sz w:val="32"/>
          <w:szCs w:val="32"/>
          <w:highlight w:val="none"/>
        </w:rPr>
      </w:pPr>
    </w:p>
    <w:p w14:paraId="23FCB7A0">
      <w:pPr>
        <w:pStyle w:val="54"/>
        <w:widowControl w:val="0"/>
        <w:numPr>
          <w:ilvl w:val="0"/>
          <w:numId w:val="0"/>
        </w:numPr>
        <w:adjustRightInd w:val="0"/>
        <w:jc w:val="center"/>
        <w:textAlignment w:val="baseline"/>
        <w:rPr>
          <w:rFonts w:hint="eastAsia" w:ascii="仿宋" w:hAnsi="仿宋" w:eastAsia="仿宋" w:cs="仿宋"/>
          <w:color w:val="auto"/>
          <w:sz w:val="32"/>
          <w:szCs w:val="32"/>
          <w:highlight w:val="none"/>
        </w:rPr>
      </w:pPr>
      <w:r>
        <w:rPr>
          <w:rFonts w:hint="eastAsia" w:ascii="仿宋" w:hAnsi="仿宋" w:eastAsia="仿宋" w:cs="仿宋"/>
          <w:b/>
          <w:bCs/>
          <w:color w:val="auto"/>
          <w:spacing w:val="60"/>
          <w:sz w:val="32"/>
          <w:szCs w:val="32"/>
          <w:highlight w:val="none"/>
        </w:rPr>
        <w:t>注意事项</w:t>
      </w:r>
      <w:bookmarkEnd w:id="167"/>
      <w:bookmarkEnd w:id="168"/>
      <w:bookmarkEnd w:id="169"/>
      <w:bookmarkEnd w:id="170"/>
      <w:bookmarkEnd w:id="171"/>
      <w:bookmarkEnd w:id="172"/>
    </w:p>
    <w:p w14:paraId="0B28AD42">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1、投标人对所附表格中要求的资料和询问应做出肯定的回答。</w:t>
      </w:r>
    </w:p>
    <w:p w14:paraId="1913EA3A">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2、招标文件的签字人应保证他所做的声明及对一切问题的回答的真实性和准确。</w:t>
      </w:r>
    </w:p>
    <w:p w14:paraId="0F260BE6">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3、投标人提供的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文件将由招标人使用，并据此进行评价和判断，确定投标人的能力。</w:t>
      </w:r>
    </w:p>
    <w:p w14:paraId="5248119F">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4、投标人提交的文件将给予保密，但不退还。</w:t>
      </w:r>
    </w:p>
    <w:p w14:paraId="4E2DD9E1">
      <w:pPr>
        <w:spacing w:line="240" w:lineRule="auto"/>
        <w:rPr>
          <w:rFonts w:hint="eastAsia" w:ascii="仿宋" w:hAnsi="仿宋" w:eastAsia="仿宋" w:cs="仿宋"/>
          <w:color w:val="auto"/>
          <w:sz w:val="20"/>
          <w:highlight w:val="none"/>
        </w:rPr>
      </w:pPr>
      <w:r>
        <w:rPr>
          <w:rFonts w:hint="eastAsia" w:ascii="仿宋" w:hAnsi="仿宋" w:eastAsia="仿宋" w:cs="仿宋"/>
          <w:color w:val="auto"/>
          <w:sz w:val="28"/>
          <w:szCs w:val="28"/>
          <w:highlight w:val="none"/>
        </w:rPr>
        <w:t xml:space="preserve">  </w:t>
      </w:r>
    </w:p>
    <w:p w14:paraId="499EF672">
      <w:pPr>
        <w:spacing w:line="240" w:lineRule="auto"/>
        <w:rPr>
          <w:rFonts w:hint="eastAsia" w:ascii="仿宋" w:hAnsi="仿宋" w:eastAsia="仿宋" w:cs="仿宋"/>
          <w:color w:val="auto"/>
          <w:sz w:val="20"/>
          <w:highlight w:val="none"/>
        </w:rPr>
      </w:pPr>
    </w:p>
    <w:p w14:paraId="1BB1155A">
      <w:pPr>
        <w:spacing w:line="240" w:lineRule="auto"/>
        <w:rPr>
          <w:rFonts w:hint="eastAsia" w:ascii="仿宋" w:hAnsi="仿宋" w:eastAsia="仿宋" w:cs="仿宋"/>
          <w:color w:val="auto"/>
          <w:sz w:val="20"/>
          <w:highlight w:val="none"/>
        </w:rPr>
      </w:pPr>
    </w:p>
    <w:p w14:paraId="5727200A">
      <w:pPr>
        <w:spacing w:line="240" w:lineRule="auto"/>
        <w:rPr>
          <w:rFonts w:hint="eastAsia" w:ascii="仿宋" w:hAnsi="仿宋" w:eastAsia="仿宋" w:cs="仿宋"/>
          <w:color w:val="auto"/>
          <w:sz w:val="20"/>
          <w:highlight w:val="none"/>
        </w:rPr>
      </w:pPr>
    </w:p>
    <w:p w14:paraId="1FB8BAAA">
      <w:pPr>
        <w:spacing w:line="240" w:lineRule="auto"/>
        <w:jc w:val="center"/>
        <w:rPr>
          <w:rFonts w:hint="eastAsia" w:ascii="仿宋" w:hAnsi="仿宋" w:eastAsia="仿宋" w:cs="仿宋"/>
          <w:b/>
          <w:bCs/>
          <w:color w:val="auto"/>
          <w:sz w:val="44"/>
          <w:szCs w:val="44"/>
          <w:highlight w:val="none"/>
        </w:rPr>
      </w:pPr>
    </w:p>
    <w:p w14:paraId="3DDE5970">
      <w:pPr>
        <w:spacing w:line="380" w:lineRule="exact"/>
        <w:rPr>
          <w:rFonts w:hint="eastAsia" w:ascii="仿宋" w:hAnsi="仿宋" w:eastAsia="仿宋" w:cs="仿宋"/>
          <w:color w:val="auto"/>
          <w:sz w:val="28"/>
          <w:szCs w:val="28"/>
          <w:highlight w:val="none"/>
        </w:rPr>
      </w:pPr>
    </w:p>
    <w:p w14:paraId="0A5CCBD0">
      <w:pPr>
        <w:pStyle w:val="13"/>
        <w:rPr>
          <w:rFonts w:hint="eastAsia" w:ascii="仿宋" w:hAnsi="仿宋" w:eastAsia="仿宋" w:cs="仿宋"/>
          <w:color w:val="auto"/>
          <w:sz w:val="28"/>
          <w:szCs w:val="28"/>
          <w:highlight w:val="none"/>
        </w:rPr>
      </w:pPr>
    </w:p>
    <w:p w14:paraId="1C45B11A">
      <w:pPr>
        <w:rPr>
          <w:rFonts w:hint="eastAsia" w:ascii="仿宋" w:hAnsi="仿宋" w:eastAsia="仿宋" w:cs="仿宋"/>
          <w:color w:val="auto"/>
          <w:sz w:val="28"/>
          <w:szCs w:val="28"/>
          <w:highlight w:val="none"/>
        </w:rPr>
      </w:pPr>
    </w:p>
    <w:p w14:paraId="26CCAD54">
      <w:pPr>
        <w:pStyle w:val="13"/>
        <w:rPr>
          <w:rFonts w:hint="eastAsia" w:ascii="仿宋" w:hAnsi="仿宋" w:eastAsia="仿宋" w:cs="仿宋"/>
          <w:color w:val="auto"/>
          <w:sz w:val="28"/>
          <w:szCs w:val="28"/>
          <w:highlight w:val="none"/>
        </w:rPr>
      </w:pPr>
    </w:p>
    <w:p w14:paraId="032C4C23">
      <w:pPr>
        <w:rPr>
          <w:rFonts w:hint="eastAsia" w:ascii="仿宋" w:hAnsi="仿宋" w:eastAsia="仿宋" w:cs="仿宋"/>
          <w:color w:val="auto"/>
          <w:sz w:val="28"/>
          <w:szCs w:val="28"/>
          <w:highlight w:val="none"/>
        </w:rPr>
      </w:pPr>
    </w:p>
    <w:p w14:paraId="418ECEDB">
      <w:pPr>
        <w:pStyle w:val="13"/>
        <w:rPr>
          <w:rFonts w:hint="eastAsia" w:ascii="仿宋" w:hAnsi="仿宋" w:eastAsia="仿宋" w:cs="仿宋"/>
          <w:color w:val="auto"/>
          <w:sz w:val="28"/>
          <w:szCs w:val="28"/>
          <w:highlight w:val="none"/>
        </w:rPr>
      </w:pPr>
    </w:p>
    <w:p w14:paraId="1857F285">
      <w:pPr>
        <w:rPr>
          <w:rFonts w:hint="eastAsia" w:ascii="仿宋" w:hAnsi="仿宋" w:eastAsia="仿宋" w:cs="仿宋"/>
          <w:color w:val="auto"/>
          <w:sz w:val="28"/>
          <w:szCs w:val="28"/>
          <w:highlight w:val="none"/>
        </w:rPr>
      </w:pPr>
    </w:p>
    <w:p w14:paraId="0D4566F1">
      <w:pPr>
        <w:pStyle w:val="13"/>
        <w:rPr>
          <w:rFonts w:hint="eastAsia" w:ascii="仿宋" w:hAnsi="仿宋" w:eastAsia="仿宋" w:cs="仿宋"/>
          <w:color w:val="auto"/>
          <w:sz w:val="28"/>
          <w:szCs w:val="28"/>
          <w:highlight w:val="none"/>
        </w:rPr>
      </w:pPr>
    </w:p>
    <w:p w14:paraId="677CE9C7">
      <w:pPr>
        <w:rPr>
          <w:rFonts w:hint="eastAsia" w:ascii="仿宋" w:hAnsi="仿宋" w:eastAsia="仿宋" w:cs="仿宋"/>
          <w:color w:val="auto"/>
          <w:sz w:val="28"/>
          <w:szCs w:val="28"/>
          <w:highlight w:val="none"/>
        </w:rPr>
      </w:pPr>
    </w:p>
    <w:p w14:paraId="2B620F8C">
      <w:pPr>
        <w:pStyle w:val="13"/>
        <w:rPr>
          <w:rFonts w:hint="eastAsia" w:ascii="仿宋" w:hAnsi="仿宋" w:eastAsia="仿宋" w:cs="仿宋"/>
          <w:color w:val="auto"/>
          <w:sz w:val="28"/>
          <w:szCs w:val="28"/>
          <w:highlight w:val="none"/>
        </w:rPr>
      </w:pPr>
    </w:p>
    <w:p w14:paraId="2C9A6F8D">
      <w:pPr>
        <w:rPr>
          <w:rFonts w:hint="eastAsia" w:ascii="仿宋" w:hAnsi="仿宋" w:eastAsia="仿宋" w:cs="仿宋"/>
          <w:color w:val="auto"/>
          <w:sz w:val="28"/>
          <w:szCs w:val="28"/>
          <w:highlight w:val="none"/>
        </w:rPr>
      </w:pPr>
    </w:p>
    <w:p w14:paraId="36D0A9C5">
      <w:pPr>
        <w:pStyle w:val="13"/>
        <w:rPr>
          <w:rFonts w:hint="eastAsia" w:ascii="仿宋" w:hAnsi="仿宋" w:eastAsia="仿宋" w:cs="仿宋"/>
          <w:color w:val="auto"/>
          <w:sz w:val="28"/>
          <w:szCs w:val="28"/>
          <w:highlight w:val="none"/>
        </w:rPr>
      </w:pPr>
    </w:p>
    <w:p w14:paraId="3853DD5A">
      <w:pPr>
        <w:rPr>
          <w:rFonts w:hint="eastAsia" w:ascii="仿宋" w:hAnsi="仿宋" w:eastAsia="仿宋" w:cs="仿宋"/>
          <w:color w:val="auto"/>
          <w:sz w:val="28"/>
          <w:szCs w:val="28"/>
          <w:highlight w:val="none"/>
        </w:rPr>
      </w:pPr>
    </w:p>
    <w:p w14:paraId="7F846314">
      <w:pPr>
        <w:pStyle w:val="13"/>
        <w:rPr>
          <w:rFonts w:hint="eastAsia" w:ascii="仿宋" w:hAnsi="仿宋" w:eastAsia="仿宋" w:cs="仿宋"/>
          <w:color w:val="auto"/>
          <w:sz w:val="28"/>
          <w:szCs w:val="28"/>
          <w:highlight w:val="none"/>
        </w:rPr>
      </w:pPr>
    </w:p>
    <w:p w14:paraId="1DA5A435">
      <w:pPr>
        <w:rPr>
          <w:rFonts w:hint="eastAsia" w:ascii="仿宋" w:hAnsi="仿宋" w:eastAsia="仿宋" w:cs="仿宋"/>
          <w:color w:val="auto"/>
          <w:sz w:val="28"/>
          <w:szCs w:val="28"/>
          <w:highlight w:val="none"/>
        </w:rPr>
      </w:pPr>
    </w:p>
    <w:p w14:paraId="1DE4F569">
      <w:pPr>
        <w:pStyle w:val="13"/>
        <w:rPr>
          <w:rFonts w:hint="eastAsia" w:ascii="仿宋" w:hAnsi="仿宋" w:eastAsia="仿宋" w:cs="仿宋"/>
          <w:color w:val="auto"/>
          <w:sz w:val="28"/>
          <w:szCs w:val="28"/>
          <w:highlight w:val="none"/>
        </w:rPr>
      </w:pPr>
    </w:p>
    <w:p w14:paraId="606AB296">
      <w:pPr>
        <w:rPr>
          <w:rFonts w:hint="eastAsia" w:ascii="仿宋" w:hAnsi="仿宋" w:eastAsia="仿宋" w:cs="仿宋"/>
          <w:color w:val="auto"/>
          <w:sz w:val="28"/>
          <w:szCs w:val="28"/>
          <w:highlight w:val="none"/>
        </w:rPr>
      </w:pPr>
    </w:p>
    <w:p w14:paraId="042CE3C7">
      <w:pPr>
        <w:pStyle w:val="13"/>
        <w:rPr>
          <w:rFonts w:hint="eastAsia" w:ascii="仿宋" w:hAnsi="仿宋" w:eastAsia="仿宋" w:cs="仿宋"/>
          <w:color w:val="auto"/>
          <w:sz w:val="28"/>
          <w:szCs w:val="28"/>
          <w:highlight w:val="none"/>
        </w:rPr>
      </w:pPr>
    </w:p>
    <w:p w14:paraId="5249698B">
      <w:pPr>
        <w:rPr>
          <w:rFonts w:hint="eastAsia" w:ascii="仿宋" w:hAnsi="仿宋" w:eastAsia="仿宋" w:cs="仿宋"/>
          <w:color w:val="auto"/>
          <w:sz w:val="28"/>
          <w:szCs w:val="28"/>
          <w:highlight w:val="none"/>
        </w:rPr>
      </w:pPr>
    </w:p>
    <w:p w14:paraId="69A03D1B">
      <w:pPr>
        <w:pStyle w:val="13"/>
        <w:rPr>
          <w:rFonts w:hint="eastAsia" w:ascii="仿宋" w:hAnsi="仿宋" w:eastAsia="仿宋" w:cs="仿宋"/>
          <w:color w:val="auto"/>
          <w:sz w:val="28"/>
          <w:szCs w:val="28"/>
          <w:highlight w:val="none"/>
        </w:rPr>
      </w:pPr>
    </w:p>
    <w:p w14:paraId="0EFAD41F">
      <w:pPr>
        <w:pStyle w:val="26"/>
        <w:spacing w:line="360" w:lineRule="auto"/>
        <w:ind w:firstLine="2811" w:firstLineChars="1000"/>
        <w:jc w:val="both"/>
        <w:outlineLvl w:val="0"/>
        <w:rPr>
          <w:rFonts w:ascii="Times New Roman" w:hAnsi="Times New Roman" w:cs="Times New Roman"/>
          <w:b/>
          <w:bCs/>
          <w:color w:val="auto"/>
          <w:sz w:val="28"/>
          <w:szCs w:val="28"/>
          <w:highlight w:val="none"/>
        </w:rPr>
      </w:pPr>
      <w:bookmarkStart w:id="173" w:name="_Toc14041"/>
      <w:r>
        <w:rPr>
          <w:rStyle w:val="150"/>
          <w:rFonts w:ascii="Times New Roman" w:hAnsi="Times New Roman" w:cs="Times New Roman"/>
          <w:color w:val="auto"/>
          <w:sz w:val="28"/>
          <w:szCs w:val="28"/>
          <w:highlight w:val="none"/>
        </w:rPr>
        <w:t>中小企业划型标准规定</w:t>
      </w:r>
      <w:bookmarkEnd w:id="173"/>
    </w:p>
    <w:p w14:paraId="049DC190">
      <w:pPr>
        <w:spacing w:line="600" w:lineRule="exact"/>
        <w:ind w:firstLine="422" w:firstLineChars="200"/>
        <w:rPr>
          <w:color w:val="auto"/>
          <w:highlight w:val="none"/>
        </w:rPr>
      </w:pPr>
      <w:r>
        <w:rPr>
          <w:b/>
          <w:bCs/>
          <w:color w:val="auto"/>
          <w:highlight w:val="none"/>
        </w:rPr>
        <w:t>一、</w:t>
      </w:r>
      <w:r>
        <w:rPr>
          <w:color w:val="auto"/>
          <w:highlight w:val="none"/>
        </w:rPr>
        <w:t>根据《中华人民共和国中小企业促进法》和《国务院关于进一步促进中小企业发展的若干意见》(国发〔2009〕36号)，制定本规定。</w:t>
      </w:r>
    </w:p>
    <w:p w14:paraId="0A68A2D6">
      <w:pPr>
        <w:spacing w:line="600" w:lineRule="exact"/>
        <w:ind w:firstLine="422" w:firstLineChars="200"/>
        <w:rPr>
          <w:color w:val="auto"/>
          <w:highlight w:val="none"/>
        </w:rPr>
      </w:pPr>
      <w:r>
        <w:rPr>
          <w:b/>
          <w:bCs/>
          <w:color w:val="auto"/>
          <w:highlight w:val="none"/>
        </w:rPr>
        <w:t>二、</w:t>
      </w:r>
      <w:r>
        <w:rPr>
          <w:color w:val="auto"/>
          <w:highlight w:val="none"/>
        </w:rPr>
        <w:t>中小企业划分为</w:t>
      </w:r>
      <w:r>
        <w:rPr>
          <w:b/>
          <w:bCs/>
          <w:color w:val="auto"/>
          <w:highlight w:val="none"/>
          <w:u w:val="single"/>
        </w:rPr>
        <w:t>中型、小型、微型</w:t>
      </w:r>
      <w:r>
        <w:rPr>
          <w:color w:val="auto"/>
          <w:highlight w:val="none"/>
        </w:rPr>
        <w:t>三种类型，具体标准根据企业从业人员、营业收入、资产总额等指标，结合行业特点制定。</w:t>
      </w:r>
    </w:p>
    <w:p w14:paraId="1FB1D837">
      <w:pPr>
        <w:spacing w:line="600" w:lineRule="exact"/>
        <w:ind w:firstLine="422" w:firstLineChars="200"/>
        <w:rPr>
          <w:color w:val="auto"/>
          <w:highlight w:val="none"/>
        </w:rPr>
      </w:pPr>
      <w:r>
        <w:rPr>
          <w:b/>
          <w:bCs/>
          <w:color w:val="auto"/>
          <w:highlight w:val="none"/>
        </w:rPr>
        <w:t>三、</w:t>
      </w:r>
      <w:r>
        <w:rPr>
          <w:color w:val="auto"/>
          <w:highlight w:val="none"/>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1C1CF28">
      <w:pPr>
        <w:spacing w:line="600" w:lineRule="exact"/>
        <w:ind w:firstLine="420" w:firstLineChars="200"/>
        <w:outlineLvl w:val="1"/>
        <w:rPr>
          <w:color w:val="auto"/>
          <w:highlight w:val="none"/>
        </w:rPr>
      </w:pPr>
      <w:bookmarkStart w:id="174" w:name="_Toc23580"/>
      <w:r>
        <w:rPr>
          <w:color w:val="auto"/>
          <w:highlight w:val="none"/>
        </w:rPr>
        <w:t>四、各行业划型标准为：</w:t>
      </w:r>
      <w:bookmarkEnd w:id="174"/>
    </w:p>
    <w:p w14:paraId="7A01BC44">
      <w:pPr>
        <w:spacing w:line="600" w:lineRule="exact"/>
        <w:ind w:firstLine="422" w:firstLineChars="200"/>
        <w:rPr>
          <w:color w:val="auto"/>
          <w:highlight w:val="none"/>
        </w:rPr>
      </w:pPr>
      <w:r>
        <w:rPr>
          <w:b/>
          <w:bCs/>
          <w:color w:val="auto"/>
          <w:highlight w:val="none"/>
        </w:rPr>
        <w:t>（一）农、林、牧、渔业</w:t>
      </w:r>
      <w:r>
        <w:rPr>
          <w:color w:val="auto"/>
          <w:highlight w:val="none"/>
        </w:rPr>
        <w:t>。营业收入20000万元以下的为中小微型企业。其中，营业收入500万元及以上的为中型企业，营业收入50万元及以上的为小型企业，营业收入50万元以下的为微型企业。</w:t>
      </w:r>
    </w:p>
    <w:p w14:paraId="5B1805E7">
      <w:pPr>
        <w:spacing w:line="600" w:lineRule="exact"/>
        <w:ind w:firstLine="422" w:firstLineChars="200"/>
        <w:rPr>
          <w:color w:val="auto"/>
          <w:highlight w:val="none"/>
        </w:rPr>
      </w:pPr>
      <w:r>
        <w:rPr>
          <w:b/>
          <w:bCs/>
          <w:color w:val="auto"/>
          <w:highlight w:val="none"/>
        </w:rPr>
        <w:t>（二）工业</w:t>
      </w:r>
      <w:r>
        <w:rPr>
          <w:color w:val="auto"/>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0F0A6E6">
      <w:pPr>
        <w:spacing w:line="600" w:lineRule="exact"/>
        <w:ind w:firstLine="422" w:firstLineChars="200"/>
        <w:rPr>
          <w:color w:val="auto"/>
          <w:highlight w:val="none"/>
        </w:rPr>
      </w:pPr>
      <w:r>
        <w:rPr>
          <w:b/>
          <w:bCs/>
          <w:color w:val="auto"/>
          <w:highlight w:val="none"/>
        </w:rPr>
        <w:t>（三）建筑业</w:t>
      </w:r>
      <w:r>
        <w:rPr>
          <w:color w:val="auto"/>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E4E9898">
      <w:pPr>
        <w:spacing w:line="600" w:lineRule="exact"/>
        <w:ind w:firstLine="422" w:firstLineChars="200"/>
        <w:rPr>
          <w:color w:val="auto"/>
          <w:highlight w:val="none"/>
        </w:rPr>
      </w:pPr>
      <w:r>
        <w:rPr>
          <w:b/>
          <w:bCs/>
          <w:color w:val="auto"/>
          <w:highlight w:val="none"/>
        </w:rPr>
        <w:t>（四）批发业</w:t>
      </w:r>
      <w:r>
        <w:rPr>
          <w:color w:val="auto"/>
          <w:highlight w:val="none"/>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87265B9">
      <w:pPr>
        <w:spacing w:line="600" w:lineRule="exact"/>
        <w:ind w:firstLine="422" w:firstLineChars="200"/>
        <w:rPr>
          <w:color w:val="auto"/>
          <w:highlight w:val="none"/>
        </w:rPr>
      </w:pPr>
      <w:r>
        <w:rPr>
          <w:b/>
          <w:bCs/>
          <w:color w:val="auto"/>
          <w:highlight w:val="none"/>
        </w:rPr>
        <w:t>（五）零售业</w:t>
      </w:r>
      <w:r>
        <w:rPr>
          <w:color w:val="auto"/>
          <w:highlight w:val="none"/>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0B682F6">
      <w:pPr>
        <w:spacing w:line="600" w:lineRule="exact"/>
        <w:ind w:firstLine="422" w:firstLineChars="200"/>
        <w:rPr>
          <w:color w:val="auto"/>
          <w:highlight w:val="none"/>
        </w:rPr>
      </w:pPr>
      <w:r>
        <w:rPr>
          <w:b/>
          <w:bCs/>
          <w:color w:val="auto"/>
          <w:highlight w:val="none"/>
        </w:rPr>
        <w:t>（六）交通运输业</w:t>
      </w:r>
      <w:r>
        <w:rPr>
          <w:color w:val="auto"/>
          <w:highlight w:val="none"/>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9E35764">
      <w:pPr>
        <w:spacing w:line="600" w:lineRule="exact"/>
        <w:ind w:firstLine="422" w:firstLineChars="200"/>
        <w:rPr>
          <w:color w:val="auto"/>
          <w:highlight w:val="none"/>
        </w:rPr>
      </w:pPr>
      <w:r>
        <w:rPr>
          <w:b/>
          <w:bCs/>
          <w:color w:val="auto"/>
          <w:highlight w:val="none"/>
        </w:rPr>
        <w:t>（七）仓储业</w:t>
      </w:r>
      <w:r>
        <w:rPr>
          <w:color w:val="auto"/>
          <w:highlight w:val="none"/>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3364701">
      <w:pPr>
        <w:spacing w:line="600" w:lineRule="exact"/>
        <w:ind w:firstLine="422" w:firstLineChars="200"/>
        <w:rPr>
          <w:color w:val="auto"/>
          <w:highlight w:val="none"/>
        </w:rPr>
      </w:pPr>
      <w:r>
        <w:rPr>
          <w:b/>
          <w:bCs/>
          <w:color w:val="auto"/>
          <w:highlight w:val="none"/>
        </w:rPr>
        <w:t>（八）邮政业</w:t>
      </w:r>
      <w:r>
        <w:rPr>
          <w:color w:val="auto"/>
          <w:highlight w:val="none"/>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DD30124">
      <w:pPr>
        <w:spacing w:line="600" w:lineRule="exact"/>
        <w:ind w:firstLine="422" w:firstLineChars="200"/>
        <w:rPr>
          <w:color w:val="auto"/>
          <w:highlight w:val="none"/>
        </w:rPr>
      </w:pPr>
      <w:r>
        <w:rPr>
          <w:b/>
          <w:bCs/>
          <w:color w:val="auto"/>
          <w:highlight w:val="none"/>
        </w:rPr>
        <w:t>（九）住宿业</w:t>
      </w:r>
      <w:r>
        <w:rPr>
          <w:color w:val="auto"/>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3E00E5">
      <w:pPr>
        <w:spacing w:line="600" w:lineRule="exact"/>
        <w:ind w:firstLine="422" w:firstLineChars="200"/>
        <w:rPr>
          <w:color w:val="auto"/>
          <w:highlight w:val="none"/>
        </w:rPr>
      </w:pPr>
      <w:r>
        <w:rPr>
          <w:b/>
          <w:bCs/>
          <w:color w:val="auto"/>
          <w:highlight w:val="none"/>
        </w:rPr>
        <w:t>（十）餐饮业</w:t>
      </w:r>
      <w:r>
        <w:rPr>
          <w:color w:val="auto"/>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3295E9">
      <w:pPr>
        <w:spacing w:line="600" w:lineRule="exact"/>
        <w:ind w:firstLine="422" w:firstLineChars="200"/>
        <w:rPr>
          <w:color w:val="auto"/>
          <w:highlight w:val="none"/>
        </w:rPr>
      </w:pPr>
      <w:r>
        <w:rPr>
          <w:b/>
          <w:bCs/>
          <w:color w:val="auto"/>
          <w:highlight w:val="none"/>
        </w:rPr>
        <w:t>（十一）信息传输业</w:t>
      </w:r>
      <w:r>
        <w:rPr>
          <w:color w:val="auto"/>
          <w:highlight w:val="none"/>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B74E6C8">
      <w:pPr>
        <w:spacing w:line="600" w:lineRule="exact"/>
        <w:ind w:firstLine="422" w:firstLineChars="200"/>
        <w:rPr>
          <w:color w:val="auto"/>
          <w:highlight w:val="none"/>
        </w:rPr>
      </w:pPr>
      <w:r>
        <w:rPr>
          <w:b/>
          <w:bCs/>
          <w:color w:val="auto"/>
          <w:highlight w:val="none"/>
        </w:rPr>
        <w:t>（十二）软件和信息技术服务业</w:t>
      </w:r>
      <w:r>
        <w:rPr>
          <w:color w:val="auto"/>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918BABC">
      <w:pPr>
        <w:spacing w:line="600" w:lineRule="exact"/>
        <w:ind w:firstLine="422" w:firstLineChars="200"/>
        <w:rPr>
          <w:color w:val="auto"/>
          <w:highlight w:val="none"/>
        </w:rPr>
      </w:pPr>
      <w:r>
        <w:rPr>
          <w:b/>
          <w:bCs/>
          <w:color w:val="auto"/>
          <w:highlight w:val="none"/>
        </w:rPr>
        <w:t>（十三）房地产开发经营</w:t>
      </w:r>
      <w:r>
        <w:rPr>
          <w:color w:val="auto"/>
          <w:highlight w:val="none"/>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FBECC88">
      <w:pPr>
        <w:spacing w:line="600" w:lineRule="exact"/>
        <w:ind w:firstLine="422" w:firstLineChars="200"/>
        <w:rPr>
          <w:color w:val="auto"/>
          <w:highlight w:val="none"/>
        </w:rPr>
      </w:pPr>
      <w:r>
        <w:rPr>
          <w:b/>
          <w:bCs/>
          <w:color w:val="auto"/>
          <w:highlight w:val="none"/>
        </w:rPr>
        <w:t>（十四）物业管理</w:t>
      </w:r>
      <w:r>
        <w:rPr>
          <w:color w:val="auto"/>
          <w:highlight w:val="none"/>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0654A9F">
      <w:pPr>
        <w:spacing w:line="600" w:lineRule="exact"/>
        <w:ind w:firstLine="422" w:firstLineChars="200"/>
        <w:rPr>
          <w:color w:val="auto"/>
          <w:highlight w:val="none"/>
        </w:rPr>
      </w:pPr>
      <w:r>
        <w:rPr>
          <w:b/>
          <w:bCs/>
          <w:color w:val="auto"/>
          <w:highlight w:val="none"/>
        </w:rPr>
        <w:t>（十五）租赁和商务服务业</w:t>
      </w:r>
      <w:r>
        <w:rPr>
          <w:color w:val="auto"/>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B5E4036">
      <w:pPr>
        <w:spacing w:line="600" w:lineRule="exact"/>
        <w:ind w:firstLine="422" w:firstLineChars="200"/>
        <w:rPr>
          <w:color w:val="auto"/>
          <w:highlight w:val="none"/>
        </w:rPr>
      </w:pPr>
      <w:r>
        <w:rPr>
          <w:b/>
          <w:bCs/>
          <w:color w:val="auto"/>
          <w:highlight w:val="none"/>
        </w:rPr>
        <w:t>（十六）其他未列明行业</w:t>
      </w:r>
      <w:r>
        <w:rPr>
          <w:color w:val="auto"/>
          <w:highlight w:val="none"/>
        </w:rPr>
        <w:t>。从业人员300人以下的为中小微型企业。其中，从业人员100人及以上的为中型企业；从业人员10人及以上的为小型企业；从业人员10人以下的为微型企业。</w:t>
      </w:r>
    </w:p>
    <w:p w14:paraId="614CFBC4">
      <w:pPr>
        <w:spacing w:line="600" w:lineRule="exact"/>
        <w:ind w:firstLine="420" w:firstLineChars="200"/>
        <w:outlineLvl w:val="1"/>
        <w:rPr>
          <w:color w:val="auto"/>
          <w:highlight w:val="none"/>
        </w:rPr>
      </w:pPr>
      <w:bookmarkStart w:id="175" w:name="_Toc2349"/>
      <w:r>
        <w:rPr>
          <w:color w:val="auto"/>
          <w:highlight w:val="none"/>
        </w:rPr>
        <w:t>五、企业类型的划分以统计部门的统计数据为依据。</w:t>
      </w:r>
      <w:bookmarkEnd w:id="175"/>
    </w:p>
    <w:p w14:paraId="6FA6AB99">
      <w:pPr>
        <w:spacing w:line="600" w:lineRule="exact"/>
        <w:ind w:firstLine="420" w:firstLineChars="200"/>
        <w:rPr>
          <w:color w:val="auto"/>
          <w:highlight w:val="none"/>
        </w:rPr>
      </w:pPr>
      <w:r>
        <w:rPr>
          <w:color w:val="auto"/>
          <w:highlight w:val="none"/>
        </w:rPr>
        <w:t>六、本规定适用于在中华人民共和国境内依法设立的各类所有制和各种组织形式的企业。个体工商户和本规定以外的行业，参照本规定进行划型。</w:t>
      </w:r>
    </w:p>
    <w:p w14:paraId="032088CB">
      <w:pPr>
        <w:spacing w:line="600" w:lineRule="exact"/>
        <w:ind w:firstLine="420" w:firstLineChars="200"/>
        <w:rPr>
          <w:color w:val="auto"/>
          <w:highlight w:val="none"/>
        </w:rPr>
      </w:pPr>
      <w:r>
        <w:rPr>
          <w:color w:val="auto"/>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9EA9349">
      <w:pPr>
        <w:spacing w:line="600" w:lineRule="exact"/>
        <w:ind w:firstLine="420" w:firstLineChars="200"/>
        <w:rPr>
          <w:color w:val="auto"/>
          <w:highlight w:val="none"/>
        </w:rPr>
      </w:pPr>
      <w:r>
        <w:rPr>
          <w:color w:val="auto"/>
          <w:highlight w:val="none"/>
        </w:rPr>
        <w:t>八、本规定由工业和信息化部、国家统计局会同有关部门根据《国民经济行业分类》修订情况和企业发展变化情况适时修订。</w:t>
      </w:r>
    </w:p>
    <w:p w14:paraId="40579F1A">
      <w:pPr>
        <w:spacing w:line="600" w:lineRule="exact"/>
        <w:ind w:firstLine="420" w:firstLineChars="200"/>
        <w:outlineLvl w:val="1"/>
        <w:rPr>
          <w:color w:val="auto"/>
          <w:highlight w:val="none"/>
        </w:rPr>
      </w:pPr>
      <w:bookmarkStart w:id="176" w:name="_Toc14283"/>
      <w:r>
        <w:rPr>
          <w:color w:val="auto"/>
          <w:highlight w:val="none"/>
        </w:rPr>
        <w:t>九、本规定由工业和信息化部、国家统计局会同有关部门负责解释。</w:t>
      </w:r>
      <w:bookmarkEnd w:id="176"/>
    </w:p>
    <w:p w14:paraId="4534C7CB">
      <w:pPr>
        <w:pStyle w:val="19"/>
        <w:spacing w:line="600" w:lineRule="exact"/>
        <w:ind w:left="0" w:firstLine="420" w:firstLineChars="200"/>
        <w:rPr>
          <w:color w:val="auto"/>
          <w:highlight w:val="none"/>
        </w:rPr>
      </w:pPr>
      <w:r>
        <w:rPr>
          <w:color w:val="auto"/>
          <w:highlight w:val="none"/>
        </w:rPr>
        <w:t>十、本规定自发布之日起执行，原国家经贸委、原国家计委、财政部和国家统计局2003年颁布的《中小企业标准暂行规定》同时废止。</w:t>
      </w:r>
    </w:p>
    <w:p w14:paraId="5A7B4F08">
      <w:pPr>
        <w:rPr>
          <w:rFonts w:hint="eastAsia"/>
          <w:color w:val="auto"/>
          <w:highlight w:val="none"/>
        </w:rPr>
      </w:pPr>
    </w:p>
    <w:sectPr>
      <w:headerReference r:id="rId13" w:type="default"/>
      <w:footerReference r:id="rId14" w:type="default"/>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auto"/>
    <w:pitch w:val="default"/>
    <w:sig w:usb0="00000203" w:usb1="288F0000" w:usb2="00000006" w:usb3="00000000" w:csb0="00040001" w:csb1="00000000"/>
  </w:font>
  <w:font w:name="MS Gothic">
    <w:panose1 w:val="020B0609070205080204"/>
    <w:charset w:val="80"/>
    <w:family w:val="auto"/>
    <w:pitch w:val="default"/>
    <w:sig w:usb0="E00002FF" w:usb1="6AC7FDFB" w:usb2="08000012" w:usb3="00000000" w:csb0="4002009F" w:csb1="DFD70000"/>
  </w:font>
  <w:font w:name="Cambria Math">
    <w:panose1 w:val="02040503050406030204"/>
    <w:charset w:val="00"/>
    <w:family w:val="auto"/>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A0365">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3502B00">
                          <w:pPr>
                            <w:pStyle w:val="31"/>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oaYJL0wAAAAUBAAAPAAAAAAAA&#10;AAEAIAAAACIAAABkcnMvZG93bnJldi54bWxQSwECFAAUAAAACACHTuJAp9xmRN4BAAC8AwAADgAA&#10;AAAAAAABACAAAAAiAQAAZHJzL2Uyb0RvYy54bWxQSwUGAAAAAAYABgBZAQAAcgUAAAAA&#10;">
              <v:fill on="f" focussize="0,0"/>
              <v:stroke on="f" weight="1.25pt"/>
              <v:imagedata o:title=""/>
              <o:lock v:ext="edit" aspectratio="f"/>
              <v:textbox inset="0mm,0mm,0mm,0mm" style="mso-fit-shape-to-text:t;">
                <w:txbxContent>
                  <w:p w14:paraId="03502B00">
                    <w:pPr>
                      <w:pStyle w:val="31"/>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14:paraId="71C87041">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5E705">
    <w:pPr>
      <w:pStyle w:val="31"/>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FFB24C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KIZtLvTAQAApQMAAA4AAAAAAAAAAQAgAAAA&#10;IgEAAGRycy9lMm9Eb2MueG1sUEsFBgAAAAAGAAYAWQEAAGcFAAAAAA==&#10;">
              <v:fill on="f" focussize="0,0"/>
              <v:stroke on="f" weight="1.25pt"/>
              <v:imagedata o:title=""/>
              <o:lock v:ext="edit" aspectratio="f"/>
              <v:textbox inset="0mm,0mm,0mm,0mm" style="mso-fit-shape-to-text:t;">
                <w:txbxContent>
                  <w:p w14:paraId="0FFB24C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v:textbox>
            </v:shape>
          </w:pict>
        </mc:Fallback>
      </mc:AlternateContent>
    </w:r>
  </w:p>
  <w:p w14:paraId="59274F9C">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5CBEB">
    <w:pPr>
      <w:pStyle w:val="31"/>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D4B7D7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1LqLzTAQAApQMAAA4AAAAAAAAAAQAgAAAA&#10;IgEAAGRycy9lMm9Eb2MueG1sUEsFBgAAAAAGAAYAWQEAAGcFAAAAAA==&#10;">
              <v:fill on="f" focussize="0,0"/>
              <v:stroke on="f" weight="1.25pt"/>
              <v:imagedata o:title=""/>
              <o:lock v:ext="edit" aspectratio="f"/>
              <v:textbox inset="0mm,0mm,0mm,0mm" style="mso-fit-shape-to-text:t;">
                <w:txbxContent>
                  <w:p w14:paraId="1D4B7D7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v:textbox>
            </v:shape>
          </w:pict>
        </mc:Fallback>
      </mc:AlternateContent>
    </w:r>
  </w:p>
  <w:p w14:paraId="6D1A2F4E">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F770B">
    <w:pPr>
      <w:pStyle w:val="31"/>
      <w:tabs>
        <w:tab w:val="center" w:pos="4873"/>
        <w:tab w:val="clear" w:pos="4153"/>
      </w:tabs>
      <w:jc w:val="right"/>
      <w:rPr>
        <w:rFonts w:eastAsia="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77573">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8489B">
    <w:pPr>
      <w:pStyle w:val="31"/>
      <w:ind w:right="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4C29A96">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NpGRx+EBAAC8AwAA&#10;DgAAAAAAAAABACAAAAAiAQAAZHJzL2Uyb0RvYy54bWxQSwUGAAAAAAYABgBZAQAAdQUAAAAA&#10;">
              <v:fill on="f" focussize="0,0"/>
              <v:stroke on="f" weight="1.25pt"/>
              <v:imagedata o:title=""/>
              <o:lock v:ext="edit" aspectratio="f"/>
              <v:textbox inset="0mm,0mm,0mm,0mm" style="mso-fit-shape-to-text:t;">
                <w:txbxContent>
                  <w:p w14:paraId="24C29A96">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0889B">
    <w:pPr>
      <w:pStyle w:val="3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01E08">
    <w:pPr>
      <w:tabs>
        <w:tab w:val="left" w:pos="2863"/>
      </w:tabs>
      <w:jc w:val="cente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6E6C5">
    <w:pPr>
      <w:tabs>
        <w:tab w:val="left" w:pos="2863"/>
      </w:tabs>
      <w:jc w:val="cente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8DC19">
    <w:pPr>
      <w:pStyle w:val="3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1DC9D">
    <w:pPr>
      <w:pStyle w:val="32"/>
      <w:pBdr>
        <w:bottom w:val="single" w:color="auto" w:sz="4" w:space="1"/>
      </w:pBdr>
      <w:jc w:val="both"/>
    </w:pPr>
    <w:r>
      <w:rPr>
        <w:rFonts w:hint="eastAsia" w:eastAsia="楷体_GB2312"/>
      </w:rPr>
      <w:t xml:space="preserve">                                        </w:t>
    </w:r>
  </w:p>
  <w:p w14:paraId="2BC79E5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70C22">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6CC2A"/>
    <w:multiLevelType w:val="singleLevel"/>
    <w:tmpl w:val="BD96CC2A"/>
    <w:lvl w:ilvl="0" w:tentative="0">
      <w:start w:val="2"/>
      <w:numFmt w:val="chineseCounting"/>
      <w:suff w:val="nothing"/>
      <w:lvlText w:val="（%1）"/>
      <w:lvlJc w:val="left"/>
      <w:rPr>
        <w:rFonts w:hint="eastAsia"/>
      </w:rPr>
    </w:lvl>
  </w:abstractNum>
  <w:abstractNum w:abstractNumId="1">
    <w:nsid w:val="CE48D951"/>
    <w:multiLevelType w:val="singleLevel"/>
    <w:tmpl w:val="CE48D951"/>
    <w:lvl w:ilvl="0" w:tentative="0">
      <w:start w:val="1"/>
      <w:numFmt w:val="decimal"/>
      <w:pStyle w:val="78"/>
      <w:suff w:val="nothing"/>
      <w:lvlText w:val="%1、"/>
      <w:lvlJc w:val="left"/>
    </w:lvl>
  </w:abstractNum>
  <w:abstractNum w:abstractNumId="2">
    <w:nsid w:val="D4CA1886"/>
    <w:multiLevelType w:val="singleLevel"/>
    <w:tmpl w:val="D4CA1886"/>
    <w:lvl w:ilvl="0" w:tentative="0">
      <w:start w:val="1"/>
      <w:numFmt w:val="decimal"/>
      <w:suff w:val="nothing"/>
      <w:lvlText w:val="%1）"/>
      <w:lvlJc w:val="left"/>
    </w:lvl>
  </w:abstractNum>
  <w:abstractNum w:abstractNumId="3">
    <w:nsid w:val="D7B87AE9"/>
    <w:multiLevelType w:val="singleLevel"/>
    <w:tmpl w:val="D7B87AE9"/>
    <w:lvl w:ilvl="0" w:tentative="0">
      <w:start w:val="1"/>
      <w:numFmt w:val="chineseCounting"/>
      <w:suff w:val="nothing"/>
      <w:lvlText w:val="%1、"/>
      <w:lvlJc w:val="left"/>
      <w:rPr>
        <w:rFonts w:hint="eastAsia"/>
      </w:rPr>
    </w:lvl>
  </w:abstractNum>
  <w:abstractNum w:abstractNumId="4">
    <w:nsid w:val="DF94D54F"/>
    <w:multiLevelType w:val="singleLevel"/>
    <w:tmpl w:val="DF94D54F"/>
    <w:lvl w:ilvl="0" w:tentative="0">
      <w:start w:val="1"/>
      <w:numFmt w:val="decimal"/>
      <w:lvlText w:val="%1)"/>
      <w:lvlJc w:val="left"/>
      <w:pPr>
        <w:tabs>
          <w:tab w:val="left" w:pos="312"/>
        </w:tabs>
      </w:pPr>
    </w:lvl>
  </w:abstractNum>
  <w:abstractNum w:abstractNumId="5">
    <w:nsid w:val="EC1895E5"/>
    <w:multiLevelType w:val="singleLevel"/>
    <w:tmpl w:val="EC1895E5"/>
    <w:lvl w:ilvl="0" w:tentative="0">
      <w:start w:val="1"/>
      <w:numFmt w:val="decimal"/>
      <w:suff w:val="nothing"/>
      <w:lvlText w:val="%1、"/>
      <w:lvlJc w:val="left"/>
    </w:lvl>
  </w:abstractNum>
  <w:abstractNum w:abstractNumId="6">
    <w:nsid w:val="FC49145A"/>
    <w:multiLevelType w:val="singleLevel"/>
    <w:tmpl w:val="FC49145A"/>
    <w:lvl w:ilvl="0" w:tentative="0">
      <w:start w:val="4"/>
      <w:numFmt w:val="decimal"/>
      <w:lvlText w:val="%1."/>
      <w:lvlJc w:val="left"/>
      <w:pPr>
        <w:tabs>
          <w:tab w:val="left" w:pos="312"/>
        </w:tabs>
      </w:pPr>
    </w:lvl>
  </w:abstractNum>
  <w:abstractNum w:abstractNumId="7">
    <w:nsid w:val="0000000C"/>
    <w:multiLevelType w:val="multilevel"/>
    <w:tmpl w:val="0000000C"/>
    <w:lvl w:ilvl="0" w:tentative="0">
      <w:start w:val="2"/>
      <w:numFmt w:val="decimal"/>
      <w:pStyle w:val="54"/>
      <w:suff w:val="nothing"/>
      <w:lvlText w:val="%1、"/>
      <w:lvlJc w:val="left"/>
    </w:lvl>
    <w:lvl w:ilvl="1" w:tentative="0">
      <w:start w:val="1"/>
      <w:numFmt w:val="decimal"/>
      <w:pStyle w:val="77"/>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pStyle w:val="5"/>
      <w:lvlText w:val="%4)"/>
      <w:lvlJc w:val="left"/>
      <w:pPr>
        <w:tabs>
          <w:tab w:val="left" w:pos="1680"/>
        </w:tabs>
        <w:ind w:left="1680" w:hanging="420"/>
      </w:pPr>
      <w:rPr>
        <w:rFonts w:hint="default"/>
      </w:rPr>
    </w:lvl>
    <w:lvl w:ilvl="4" w:tentative="0">
      <w:start w:val="1"/>
      <w:numFmt w:val="lowerLetter"/>
      <w:pStyle w:val="6"/>
      <w:lvlText w:val="%5."/>
      <w:lvlJc w:val="left"/>
      <w:pPr>
        <w:tabs>
          <w:tab w:val="left" w:pos="2100"/>
        </w:tabs>
        <w:ind w:left="2100" w:hanging="420"/>
      </w:pPr>
      <w:rPr>
        <w:rFonts w:hint="default"/>
      </w:rPr>
    </w:lvl>
    <w:lvl w:ilvl="5" w:tentative="0">
      <w:start w:val="1"/>
      <w:numFmt w:val="lowerLetter"/>
      <w:pStyle w:val="7"/>
      <w:lvlText w:val="%6)"/>
      <w:lvlJc w:val="left"/>
      <w:pPr>
        <w:tabs>
          <w:tab w:val="left" w:pos="2520"/>
        </w:tabs>
        <w:ind w:left="2520" w:hanging="420"/>
      </w:pPr>
      <w:rPr>
        <w:rFonts w:hint="default"/>
      </w:rPr>
    </w:lvl>
    <w:lvl w:ilvl="6" w:tentative="0">
      <w:start w:val="1"/>
      <w:numFmt w:val="lowerRoman"/>
      <w:pStyle w:val="8"/>
      <w:lvlText w:val="%7."/>
      <w:lvlJc w:val="left"/>
      <w:pPr>
        <w:tabs>
          <w:tab w:val="left" w:pos="2940"/>
        </w:tabs>
        <w:ind w:left="2940" w:hanging="420"/>
      </w:pPr>
      <w:rPr>
        <w:rFonts w:hint="default"/>
      </w:rPr>
    </w:lvl>
    <w:lvl w:ilvl="7" w:tentative="0">
      <w:start w:val="1"/>
      <w:numFmt w:val="lowerRoman"/>
      <w:pStyle w:val="9"/>
      <w:lvlText w:val="%8)"/>
      <w:lvlJc w:val="left"/>
      <w:pPr>
        <w:tabs>
          <w:tab w:val="left" w:pos="3360"/>
        </w:tabs>
        <w:ind w:left="3360" w:hanging="420"/>
      </w:pPr>
      <w:rPr>
        <w:rFonts w:hint="default"/>
      </w:rPr>
    </w:lvl>
    <w:lvl w:ilvl="8" w:tentative="0">
      <w:start w:val="1"/>
      <w:numFmt w:val="lowerLetter"/>
      <w:pStyle w:val="10"/>
      <w:lvlText w:val="%9."/>
      <w:lvlJc w:val="left"/>
      <w:pPr>
        <w:tabs>
          <w:tab w:val="left" w:pos="3780"/>
        </w:tabs>
        <w:ind w:left="3780" w:hanging="420"/>
      </w:pPr>
      <w:rPr>
        <w:rFonts w:hint="default"/>
      </w:rPr>
    </w:lvl>
  </w:abstractNum>
  <w:abstractNum w:abstractNumId="8">
    <w:nsid w:val="0000001B"/>
    <w:multiLevelType w:val="singleLevel"/>
    <w:tmpl w:val="0000001B"/>
    <w:lvl w:ilvl="0" w:tentative="0">
      <w:start w:val="2"/>
      <w:numFmt w:val="chineseCounting"/>
      <w:suff w:val="nothing"/>
      <w:lvlText w:val="%1、"/>
      <w:lvlJc w:val="left"/>
    </w:lvl>
  </w:abstractNum>
  <w:abstractNum w:abstractNumId="9">
    <w:nsid w:val="19C5E42D"/>
    <w:multiLevelType w:val="singleLevel"/>
    <w:tmpl w:val="19C5E42D"/>
    <w:lvl w:ilvl="0" w:tentative="0">
      <w:start w:val="1"/>
      <w:numFmt w:val="decimal"/>
      <w:pStyle w:val="12"/>
      <w:lvlText w:val="%1."/>
      <w:lvlJc w:val="left"/>
      <w:pPr>
        <w:tabs>
          <w:tab w:val="left" w:pos="360"/>
        </w:tabs>
        <w:ind w:left="360" w:hanging="360"/>
      </w:pPr>
    </w:lvl>
  </w:abstractNum>
  <w:abstractNum w:abstractNumId="10">
    <w:nsid w:val="1DB9773E"/>
    <w:multiLevelType w:val="singleLevel"/>
    <w:tmpl w:val="1DB9773E"/>
    <w:lvl w:ilvl="0" w:tentative="0">
      <w:start w:val="14"/>
      <w:numFmt w:val="chineseCounting"/>
      <w:suff w:val="nothing"/>
      <w:lvlText w:val="%1、"/>
      <w:lvlJc w:val="left"/>
      <w:rPr>
        <w:rFonts w:hint="eastAsia"/>
      </w:rPr>
    </w:lvl>
  </w:abstractNum>
  <w:abstractNum w:abstractNumId="11">
    <w:nsid w:val="20D73873"/>
    <w:multiLevelType w:val="singleLevel"/>
    <w:tmpl w:val="20D73873"/>
    <w:lvl w:ilvl="0" w:tentative="0">
      <w:start w:val="3"/>
      <w:numFmt w:val="chineseCounting"/>
      <w:suff w:val="space"/>
      <w:lvlText w:val="第%1章、"/>
      <w:lvlJc w:val="left"/>
      <w:rPr>
        <w:rFonts w:hint="eastAsia"/>
      </w:rPr>
    </w:lvl>
  </w:abstractNum>
  <w:abstractNum w:abstractNumId="12">
    <w:nsid w:val="39403770"/>
    <w:multiLevelType w:val="singleLevel"/>
    <w:tmpl w:val="39403770"/>
    <w:lvl w:ilvl="0" w:tentative="0">
      <w:start w:val="1"/>
      <w:numFmt w:val="decimal"/>
      <w:suff w:val="nothing"/>
      <w:lvlText w:val="%1、"/>
      <w:lvlJc w:val="left"/>
    </w:lvl>
  </w:abstractNum>
  <w:abstractNum w:abstractNumId="13">
    <w:nsid w:val="3987E017"/>
    <w:multiLevelType w:val="singleLevel"/>
    <w:tmpl w:val="3987E017"/>
    <w:lvl w:ilvl="0" w:tentative="0">
      <w:start w:val="1"/>
      <w:numFmt w:val="decimal"/>
      <w:lvlText w:val="%1."/>
      <w:lvlJc w:val="left"/>
      <w:pPr>
        <w:tabs>
          <w:tab w:val="left" w:pos="312"/>
        </w:tabs>
      </w:pPr>
    </w:lvl>
  </w:abstractNum>
  <w:abstractNum w:abstractNumId="14">
    <w:nsid w:val="41E5A38C"/>
    <w:multiLevelType w:val="singleLevel"/>
    <w:tmpl w:val="41E5A38C"/>
    <w:lvl w:ilvl="0" w:tentative="0">
      <w:start w:val="11"/>
      <w:numFmt w:val="chineseCounting"/>
      <w:suff w:val="nothing"/>
      <w:lvlText w:val="%1、"/>
      <w:lvlJc w:val="left"/>
      <w:rPr>
        <w:rFonts w:hint="eastAsia"/>
      </w:rPr>
    </w:lvl>
  </w:abstractNum>
  <w:abstractNum w:abstractNumId="15">
    <w:nsid w:val="508F8EA0"/>
    <w:multiLevelType w:val="singleLevel"/>
    <w:tmpl w:val="508F8EA0"/>
    <w:lvl w:ilvl="0" w:tentative="0">
      <w:start w:val="6"/>
      <w:numFmt w:val="chineseCounting"/>
      <w:suff w:val="nothing"/>
      <w:lvlText w:val="%1、"/>
      <w:lvlJc w:val="left"/>
      <w:rPr>
        <w:rFonts w:hint="eastAsia"/>
      </w:rPr>
    </w:lvl>
  </w:abstractNum>
  <w:abstractNum w:abstractNumId="16">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5786B327"/>
    <w:multiLevelType w:val="singleLevel"/>
    <w:tmpl w:val="5786B327"/>
    <w:lvl w:ilvl="0" w:tentative="0">
      <w:start w:val="1"/>
      <w:numFmt w:val="decimal"/>
      <w:suff w:val="nothing"/>
      <w:lvlText w:val="%1、"/>
      <w:lvlJc w:val="left"/>
    </w:lvl>
  </w:abstractNum>
  <w:abstractNum w:abstractNumId="18">
    <w:nsid w:val="651D3453"/>
    <w:multiLevelType w:val="singleLevel"/>
    <w:tmpl w:val="651D3453"/>
    <w:lvl w:ilvl="0" w:tentative="0">
      <w:start w:val="1"/>
      <w:numFmt w:val="decimal"/>
      <w:suff w:val="nothing"/>
      <w:lvlText w:val="%1、"/>
      <w:lvlJc w:val="left"/>
    </w:lvl>
  </w:abstractNum>
  <w:abstractNum w:abstractNumId="19">
    <w:nsid w:val="6CAAD70C"/>
    <w:multiLevelType w:val="singleLevel"/>
    <w:tmpl w:val="6CAAD70C"/>
    <w:lvl w:ilvl="0" w:tentative="0">
      <w:start w:val="11"/>
      <w:numFmt w:val="decimal"/>
      <w:suff w:val="nothing"/>
      <w:lvlText w:val="%1、"/>
      <w:lvlJc w:val="left"/>
      <w:pPr>
        <w:ind w:left="481" w:firstLine="0"/>
      </w:pPr>
    </w:lvl>
  </w:abstractNum>
  <w:num w:numId="1">
    <w:abstractNumId w:val="7"/>
  </w:num>
  <w:num w:numId="2">
    <w:abstractNumId w:val="9"/>
  </w:num>
  <w:num w:numId="3">
    <w:abstractNumId w:val="1"/>
  </w:num>
  <w:num w:numId="4">
    <w:abstractNumId w:val="5"/>
  </w:num>
  <w:num w:numId="5">
    <w:abstractNumId w:val="3"/>
  </w:num>
  <w:num w:numId="6">
    <w:abstractNumId w:val="19"/>
  </w:num>
  <w:num w:numId="7">
    <w:abstractNumId w:val="14"/>
  </w:num>
  <w:num w:numId="8">
    <w:abstractNumId w:val="11"/>
  </w:num>
  <w:num w:numId="9">
    <w:abstractNumId w:val="13"/>
  </w:num>
  <w:num w:numId="10">
    <w:abstractNumId w:val="2"/>
  </w:num>
  <w:num w:numId="11">
    <w:abstractNumId w:val="4"/>
  </w:num>
  <w:num w:numId="12">
    <w:abstractNumId w:val="12"/>
  </w:num>
  <w:num w:numId="13">
    <w:abstractNumId w:val="6"/>
  </w:num>
  <w:num w:numId="14">
    <w:abstractNumId w:val="16"/>
  </w:num>
  <w:num w:numId="15">
    <w:abstractNumId w:val="8"/>
  </w:num>
  <w:num w:numId="16">
    <w:abstractNumId w:val="0"/>
  </w:num>
  <w:num w:numId="17">
    <w:abstractNumId w:val="15"/>
  </w:num>
  <w:num w:numId="18">
    <w:abstractNumId w:val="17"/>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YjM4ZTc4MjlmMjE3MWI1YjA1OWM0YWIzZTkzMWUifQ=="/>
  </w:docVars>
  <w:rsids>
    <w:rsidRoot w:val="00172A27"/>
    <w:rsid w:val="000F78F8"/>
    <w:rsid w:val="00164C33"/>
    <w:rsid w:val="002F5EFC"/>
    <w:rsid w:val="002F6D43"/>
    <w:rsid w:val="003A2848"/>
    <w:rsid w:val="004852A3"/>
    <w:rsid w:val="006843FA"/>
    <w:rsid w:val="006A7838"/>
    <w:rsid w:val="00735ACC"/>
    <w:rsid w:val="0078578F"/>
    <w:rsid w:val="00842086"/>
    <w:rsid w:val="009D1D6B"/>
    <w:rsid w:val="00A54779"/>
    <w:rsid w:val="00B42D9D"/>
    <w:rsid w:val="00B71FBF"/>
    <w:rsid w:val="00C56DFF"/>
    <w:rsid w:val="00D41950"/>
    <w:rsid w:val="00D4336C"/>
    <w:rsid w:val="00D70EA7"/>
    <w:rsid w:val="00E3321F"/>
    <w:rsid w:val="00E77F2B"/>
    <w:rsid w:val="00E83F8F"/>
    <w:rsid w:val="00EF1595"/>
    <w:rsid w:val="00FD7FED"/>
    <w:rsid w:val="014673F9"/>
    <w:rsid w:val="017753C6"/>
    <w:rsid w:val="017F5739"/>
    <w:rsid w:val="01916D9E"/>
    <w:rsid w:val="01D10442"/>
    <w:rsid w:val="01DE5A0A"/>
    <w:rsid w:val="022A7A8C"/>
    <w:rsid w:val="024A0BA6"/>
    <w:rsid w:val="025678F5"/>
    <w:rsid w:val="02590402"/>
    <w:rsid w:val="02594110"/>
    <w:rsid w:val="02647AD4"/>
    <w:rsid w:val="02C1531D"/>
    <w:rsid w:val="03062D2F"/>
    <w:rsid w:val="03164A81"/>
    <w:rsid w:val="033A01A8"/>
    <w:rsid w:val="03793B97"/>
    <w:rsid w:val="03833451"/>
    <w:rsid w:val="03895ADE"/>
    <w:rsid w:val="03910145"/>
    <w:rsid w:val="03C61693"/>
    <w:rsid w:val="03CA7259"/>
    <w:rsid w:val="03D604BB"/>
    <w:rsid w:val="04257B1C"/>
    <w:rsid w:val="048C2C9E"/>
    <w:rsid w:val="04FD70C7"/>
    <w:rsid w:val="0510448D"/>
    <w:rsid w:val="051200B1"/>
    <w:rsid w:val="05170E97"/>
    <w:rsid w:val="05536562"/>
    <w:rsid w:val="055920B6"/>
    <w:rsid w:val="05621F2C"/>
    <w:rsid w:val="05692D56"/>
    <w:rsid w:val="05DC228D"/>
    <w:rsid w:val="060D148A"/>
    <w:rsid w:val="062B7991"/>
    <w:rsid w:val="06717375"/>
    <w:rsid w:val="06AF013D"/>
    <w:rsid w:val="06F9464B"/>
    <w:rsid w:val="07436C5F"/>
    <w:rsid w:val="07B25F62"/>
    <w:rsid w:val="07BA1167"/>
    <w:rsid w:val="07DD5D59"/>
    <w:rsid w:val="07E01D22"/>
    <w:rsid w:val="07E15CC2"/>
    <w:rsid w:val="082F3FD3"/>
    <w:rsid w:val="08501B4C"/>
    <w:rsid w:val="08AF0112"/>
    <w:rsid w:val="08E22E13"/>
    <w:rsid w:val="08F5187D"/>
    <w:rsid w:val="091559BB"/>
    <w:rsid w:val="095C4021"/>
    <w:rsid w:val="095D5764"/>
    <w:rsid w:val="097A4F8F"/>
    <w:rsid w:val="099A5D5B"/>
    <w:rsid w:val="09AF7DF6"/>
    <w:rsid w:val="09F758E1"/>
    <w:rsid w:val="0A035572"/>
    <w:rsid w:val="0A8214DE"/>
    <w:rsid w:val="0A932CCA"/>
    <w:rsid w:val="0A964AA8"/>
    <w:rsid w:val="0AB637A9"/>
    <w:rsid w:val="0AD1579D"/>
    <w:rsid w:val="0B3617DA"/>
    <w:rsid w:val="0B410F8B"/>
    <w:rsid w:val="0B58238F"/>
    <w:rsid w:val="0B7E012E"/>
    <w:rsid w:val="0B8C1F3D"/>
    <w:rsid w:val="0BBA6113"/>
    <w:rsid w:val="0BD81D82"/>
    <w:rsid w:val="0C6243A4"/>
    <w:rsid w:val="0C70367A"/>
    <w:rsid w:val="0CC54204"/>
    <w:rsid w:val="0D3851A2"/>
    <w:rsid w:val="0D410B01"/>
    <w:rsid w:val="0DC54E21"/>
    <w:rsid w:val="0E187EE3"/>
    <w:rsid w:val="0E395338"/>
    <w:rsid w:val="0E4323FD"/>
    <w:rsid w:val="0EAC48BD"/>
    <w:rsid w:val="0EBF3FBE"/>
    <w:rsid w:val="0EF62538"/>
    <w:rsid w:val="0F2A5FF8"/>
    <w:rsid w:val="0F2D4EC8"/>
    <w:rsid w:val="0F36499C"/>
    <w:rsid w:val="0F3B0774"/>
    <w:rsid w:val="0F597EC1"/>
    <w:rsid w:val="0F6D24C6"/>
    <w:rsid w:val="1046608D"/>
    <w:rsid w:val="105D6BCF"/>
    <w:rsid w:val="10824ED0"/>
    <w:rsid w:val="108B08F2"/>
    <w:rsid w:val="10907D37"/>
    <w:rsid w:val="10AC6E3D"/>
    <w:rsid w:val="11114205"/>
    <w:rsid w:val="1120496E"/>
    <w:rsid w:val="11471B69"/>
    <w:rsid w:val="11693E13"/>
    <w:rsid w:val="119874BB"/>
    <w:rsid w:val="11B531AD"/>
    <w:rsid w:val="11D9089D"/>
    <w:rsid w:val="11E93B5E"/>
    <w:rsid w:val="11EE5908"/>
    <w:rsid w:val="12723C85"/>
    <w:rsid w:val="12C246A7"/>
    <w:rsid w:val="131655CE"/>
    <w:rsid w:val="1320787A"/>
    <w:rsid w:val="134B13CE"/>
    <w:rsid w:val="134C2C02"/>
    <w:rsid w:val="13EA53A0"/>
    <w:rsid w:val="14561156"/>
    <w:rsid w:val="14710DC1"/>
    <w:rsid w:val="14754F4B"/>
    <w:rsid w:val="14953C68"/>
    <w:rsid w:val="14D868FD"/>
    <w:rsid w:val="152F1C9B"/>
    <w:rsid w:val="153F193C"/>
    <w:rsid w:val="15466194"/>
    <w:rsid w:val="15524BE4"/>
    <w:rsid w:val="15C745A0"/>
    <w:rsid w:val="15DB6150"/>
    <w:rsid w:val="1602224A"/>
    <w:rsid w:val="162D6097"/>
    <w:rsid w:val="165E2C35"/>
    <w:rsid w:val="17292AE8"/>
    <w:rsid w:val="175B1B2C"/>
    <w:rsid w:val="178253FE"/>
    <w:rsid w:val="17842684"/>
    <w:rsid w:val="17A0586A"/>
    <w:rsid w:val="184F474B"/>
    <w:rsid w:val="1867248F"/>
    <w:rsid w:val="18725D99"/>
    <w:rsid w:val="189E2620"/>
    <w:rsid w:val="18D46954"/>
    <w:rsid w:val="18FF6DAC"/>
    <w:rsid w:val="191663F0"/>
    <w:rsid w:val="197163E1"/>
    <w:rsid w:val="19A253D3"/>
    <w:rsid w:val="19D40F30"/>
    <w:rsid w:val="1A094190"/>
    <w:rsid w:val="1A351DCE"/>
    <w:rsid w:val="1A415875"/>
    <w:rsid w:val="1B2158C7"/>
    <w:rsid w:val="1BE735CF"/>
    <w:rsid w:val="1C006EAF"/>
    <w:rsid w:val="1C190A99"/>
    <w:rsid w:val="1C206580"/>
    <w:rsid w:val="1C3D63ED"/>
    <w:rsid w:val="1C5D66E6"/>
    <w:rsid w:val="1CCB2A5A"/>
    <w:rsid w:val="1CCC2A5F"/>
    <w:rsid w:val="1CD91ED5"/>
    <w:rsid w:val="1CE2284F"/>
    <w:rsid w:val="1CE27665"/>
    <w:rsid w:val="1D1F7314"/>
    <w:rsid w:val="1D985169"/>
    <w:rsid w:val="1DAA1CFA"/>
    <w:rsid w:val="1DB176EC"/>
    <w:rsid w:val="1DF47391"/>
    <w:rsid w:val="1E046ED9"/>
    <w:rsid w:val="1E0B6D0F"/>
    <w:rsid w:val="1E436CBC"/>
    <w:rsid w:val="1E4F29BA"/>
    <w:rsid w:val="1E4F50EF"/>
    <w:rsid w:val="1E8C66EB"/>
    <w:rsid w:val="1E9637FD"/>
    <w:rsid w:val="1EBB7EAA"/>
    <w:rsid w:val="1F026509"/>
    <w:rsid w:val="1F737C87"/>
    <w:rsid w:val="1F771A4D"/>
    <w:rsid w:val="202265AF"/>
    <w:rsid w:val="20346CD6"/>
    <w:rsid w:val="20451F26"/>
    <w:rsid w:val="206705CC"/>
    <w:rsid w:val="207C716F"/>
    <w:rsid w:val="20A6633B"/>
    <w:rsid w:val="20C91761"/>
    <w:rsid w:val="20D11B48"/>
    <w:rsid w:val="20F011EF"/>
    <w:rsid w:val="21310218"/>
    <w:rsid w:val="21A16738"/>
    <w:rsid w:val="21BA4918"/>
    <w:rsid w:val="21BB1762"/>
    <w:rsid w:val="21DC0A70"/>
    <w:rsid w:val="21DD2101"/>
    <w:rsid w:val="21E620E9"/>
    <w:rsid w:val="21FA7FF4"/>
    <w:rsid w:val="220215B6"/>
    <w:rsid w:val="22235A2F"/>
    <w:rsid w:val="223337BE"/>
    <w:rsid w:val="226A2E83"/>
    <w:rsid w:val="22702D55"/>
    <w:rsid w:val="23915BF2"/>
    <w:rsid w:val="23AE6F3A"/>
    <w:rsid w:val="23B213C1"/>
    <w:rsid w:val="23E80503"/>
    <w:rsid w:val="23F9781D"/>
    <w:rsid w:val="247B615F"/>
    <w:rsid w:val="248E4857"/>
    <w:rsid w:val="24ED1F1B"/>
    <w:rsid w:val="2567077F"/>
    <w:rsid w:val="259B4ADE"/>
    <w:rsid w:val="25BB2B7A"/>
    <w:rsid w:val="25ED53CE"/>
    <w:rsid w:val="25F24BE2"/>
    <w:rsid w:val="25F27250"/>
    <w:rsid w:val="262D4932"/>
    <w:rsid w:val="26360BC2"/>
    <w:rsid w:val="26527375"/>
    <w:rsid w:val="265D3178"/>
    <w:rsid w:val="266542FD"/>
    <w:rsid w:val="267F66F4"/>
    <w:rsid w:val="26845B90"/>
    <w:rsid w:val="26955E2C"/>
    <w:rsid w:val="26A15028"/>
    <w:rsid w:val="26F70735"/>
    <w:rsid w:val="27475FD7"/>
    <w:rsid w:val="27585507"/>
    <w:rsid w:val="275E310C"/>
    <w:rsid w:val="27AB234F"/>
    <w:rsid w:val="27C54C43"/>
    <w:rsid w:val="27CB1478"/>
    <w:rsid w:val="27D677D0"/>
    <w:rsid w:val="27FE496D"/>
    <w:rsid w:val="281015F1"/>
    <w:rsid w:val="28414686"/>
    <w:rsid w:val="285D6E5B"/>
    <w:rsid w:val="28727659"/>
    <w:rsid w:val="28845CC2"/>
    <w:rsid w:val="28A702B9"/>
    <w:rsid w:val="28AA25E9"/>
    <w:rsid w:val="28BE3623"/>
    <w:rsid w:val="28C96735"/>
    <w:rsid w:val="28DB6EAA"/>
    <w:rsid w:val="296C4096"/>
    <w:rsid w:val="29A123BB"/>
    <w:rsid w:val="29B80F87"/>
    <w:rsid w:val="2A3558B4"/>
    <w:rsid w:val="2A45792B"/>
    <w:rsid w:val="2A613DB9"/>
    <w:rsid w:val="2AA8758A"/>
    <w:rsid w:val="2AAE6BCF"/>
    <w:rsid w:val="2AE06085"/>
    <w:rsid w:val="2AEB1AEB"/>
    <w:rsid w:val="2B433BE2"/>
    <w:rsid w:val="2B593A6F"/>
    <w:rsid w:val="2BC316BB"/>
    <w:rsid w:val="2C0078D2"/>
    <w:rsid w:val="2C2B5431"/>
    <w:rsid w:val="2C2C721C"/>
    <w:rsid w:val="2C471DB1"/>
    <w:rsid w:val="2C493A27"/>
    <w:rsid w:val="2CDA0972"/>
    <w:rsid w:val="2D3F156A"/>
    <w:rsid w:val="2D4F7387"/>
    <w:rsid w:val="2D913ECB"/>
    <w:rsid w:val="2DAC20F9"/>
    <w:rsid w:val="2DC16D9B"/>
    <w:rsid w:val="2E231423"/>
    <w:rsid w:val="2E4B76EC"/>
    <w:rsid w:val="2EC51780"/>
    <w:rsid w:val="2EE95130"/>
    <w:rsid w:val="2EF56EA2"/>
    <w:rsid w:val="2F1D1D8E"/>
    <w:rsid w:val="2F2A04CA"/>
    <w:rsid w:val="2F4C12F7"/>
    <w:rsid w:val="2F52087C"/>
    <w:rsid w:val="2F570AD7"/>
    <w:rsid w:val="2F6B12EF"/>
    <w:rsid w:val="2F84708E"/>
    <w:rsid w:val="2F9D1627"/>
    <w:rsid w:val="2FA0650B"/>
    <w:rsid w:val="2FC53ABC"/>
    <w:rsid w:val="2FD76221"/>
    <w:rsid w:val="2FEA776D"/>
    <w:rsid w:val="300A4BE4"/>
    <w:rsid w:val="302225B6"/>
    <w:rsid w:val="302945C4"/>
    <w:rsid w:val="303259D2"/>
    <w:rsid w:val="30384235"/>
    <w:rsid w:val="306758CD"/>
    <w:rsid w:val="30B240A1"/>
    <w:rsid w:val="30C51766"/>
    <w:rsid w:val="30EB3AFB"/>
    <w:rsid w:val="30F465F9"/>
    <w:rsid w:val="30F9075B"/>
    <w:rsid w:val="31102E48"/>
    <w:rsid w:val="31665252"/>
    <w:rsid w:val="317131A4"/>
    <w:rsid w:val="31AE472F"/>
    <w:rsid w:val="31B47C77"/>
    <w:rsid w:val="31CB168D"/>
    <w:rsid w:val="31D01CB1"/>
    <w:rsid w:val="31EB38F9"/>
    <w:rsid w:val="31F877A0"/>
    <w:rsid w:val="320B3E33"/>
    <w:rsid w:val="322C0915"/>
    <w:rsid w:val="3256662F"/>
    <w:rsid w:val="32695BC1"/>
    <w:rsid w:val="32731930"/>
    <w:rsid w:val="32842C28"/>
    <w:rsid w:val="329218B6"/>
    <w:rsid w:val="32A25B59"/>
    <w:rsid w:val="332E6D2C"/>
    <w:rsid w:val="33374CE0"/>
    <w:rsid w:val="33650BC1"/>
    <w:rsid w:val="33A9307D"/>
    <w:rsid w:val="33AD37C7"/>
    <w:rsid w:val="33F64849"/>
    <w:rsid w:val="34024F70"/>
    <w:rsid w:val="3405793E"/>
    <w:rsid w:val="341A69F5"/>
    <w:rsid w:val="342601B1"/>
    <w:rsid w:val="34291C03"/>
    <w:rsid w:val="347C79C5"/>
    <w:rsid w:val="34873421"/>
    <w:rsid w:val="34D23D8F"/>
    <w:rsid w:val="34E17CC1"/>
    <w:rsid w:val="351C3972"/>
    <w:rsid w:val="355E6877"/>
    <w:rsid w:val="357830FD"/>
    <w:rsid w:val="358A639D"/>
    <w:rsid w:val="35B23334"/>
    <w:rsid w:val="35DD617F"/>
    <w:rsid w:val="36101977"/>
    <w:rsid w:val="363A12E4"/>
    <w:rsid w:val="365517B7"/>
    <w:rsid w:val="366F192D"/>
    <w:rsid w:val="36722E94"/>
    <w:rsid w:val="3681127D"/>
    <w:rsid w:val="368C74AA"/>
    <w:rsid w:val="369A4AAB"/>
    <w:rsid w:val="36B63A76"/>
    <w:rsid w:val="36D16E9F"/>
    <w:rsid w:val="37180D0B"/>
    <w:rsid w:val="372C5A2A"/>
    <w:rsid w:val="37322849"/>
    <w:rsid w:val="37352257"/>
    <w:rsid w:val="374C7D9F"/>
    <w:rsid w:val="374F4745"/>
    <w:rsid w:val="375A3AF3"/>
    <w:rsid w:val="37622048"/>
    <w:rsid w:val="381370C2"/>
    <w:rsid w:val="388C0E59"/>
    <w:rsid w:val="38C60AB9"/>
    <w:rsid w:val="38EE5DE8"/>
    <w:rsid w:val="38FA6EBF"/>
    <w:rsid w:val="39083B56"/>
    <w:rsid w:val="39492C1E"/>
    <w:rsid w:val="395E28CA"/>
    <w:rsid w:val="39C2520B"/>
    <w:rsid w:val="39DD53FD"/>
    <w:rsid w:val="3A05640B"/>
    <w:rsid w:val="3A34505A"/>
    <w:rsid w:val="3A442FE9"/>
    <w:rsid w:val="3A5969B4"/>
    <w:rsid w:val="3AF854C3"/>
    <w:rsid w:val="3B634059"/>
    <w:rsid w:val="3B7F4C3A"/>
    <w:rsid w:val="3B887742"/>
    <w:rsid w:val="3B9628EE"/>
    <w:rsid w:val="3B9B23CA"/>
    <w:rsid w:val="3BDF6C19"/>
    <w:rsid w:val="3C3A012D"/>
    <w:rsid w:val="3C457305"/>
    <w:rsid w:val="3C5B7C42"/>
    <w:rsid w:val="3C621722"/>
    <w:rsid w:val="3CB31014"/>
    <w:rsid w:val="3CBF63D0"/>
    <w:rsid w:val="3CE17E80"/>
    <w:rsid w:val="3CF83553"/>
    <w:rsid w:val="3D2F72C4"/>
    <w:rsid w:val="3D3D6556"/>
    <w:rsid w:val="3D622C7D"/>
    <w:rsid w:val="3DCC35FF"/>
    <w:rsid w:val="3DE758F0"/>
    <w:rsid w:val="3DF46EE2"/>
    <w:rsid w:val="3E0151D6"/>
    <w:rsid w:val="3E247F32"/>
    <w:rsid w:val="3E3B3C8A"/>
    <w:rsid w:val="3E5F0393"/>
    <w:rsid w:val="3EA70407"/>
    <w:rsid w:val="3EB267C9"/>
    <w:rsid w:val="3EDA5274"/>
    <w:rsid w:val="3F1D60A0"/>
    <w:rsid w:val="3F345B16"/>
    <w:rsid w:val="3F6E1C6A"/>
    <w:rsid w:val="3FA13A7E"/>
    <w:rsid w:val="3FB13644"/>
    <w:rsid w:val="3FB90913"/>
    <w:rsid w:val="3FC94073"/>
    <w:rsid w:val="403826DB"/>
    <w:rsid w:val="40513BC4"/>
    <w:rsid w:val="40561F9F"/>
    <w:rsid w:val="406946E9"/>
    <w:rsid w:val="41016309"/>
    <w:rsid w:val="41661607"/>
    <w:rsid w:val="41B164B6"/>
    <w:rsid w:val="41CF588A"/>
    <w:rsid w:val="41D32FFC"/>
    <w:rsid w:val="41D628A7"/>
    <w:rsid w:val="41E24788"/>
    <w:rsid w:val="41EE08A5"/>
    <w:rsid w:val="420C2C04"/>
    <w:rsid w:val="427325F4"/>
    <w:rsid w:val="42882165"/>
    <w:rsid w:val="4307764F"/>
    <w:rsid w:val="430C2C22"/>
    <w:rsid w:val="43647C50"/>
    <w:rsid w:val="439E61FC"/>
    <w:rsid w:val="44213529"/>
    <w:rsid w:val="44BD7C24"/>
    <w:rsid w:val="44C755A9"/>
    <w:rsid w:val="44DD2EE3"/>
    <w:rsid w:val="450D65D4"/>
    <w:rsid w:val="455E4BA2"/>
    <w:rsid w:val="456071E7"/>
    <w:rsid w:val="45863910"/>
    <w:rsid w:val="459534C4"/>
    <w:rsid w:val="459D123E"/>
    <w:rsid w:val="459F71EB"/>
    <w:rsid w:val="45DC5978"/>
    <w:rsid w:val="45EB3DD6"/>
    <w:rsid w:val="461C6256"/>
    <w:rsid w:val="46291EB8"/>
    <w:rsid w:val="462D5C7F"/>
    <w:rsid w:val="46325C58"/>
    <w:rsid w:val="46466F77"/>
    <w:rsid w:val="466149D1"/>
    <w:rsid w:val="467008B0"/>
    <w:rsid w:val="46A74B88"/>
    <w:rsid w:val="46B76B4B"/>
    <w:rsid w:val="46BA07E8"/>
    <w:rsid w:val="46C155A5"/>
    <w:rsid w:val="46D149CF"/>
    <w:rsid w:val="46E4489A"/>
    <w:rsid w:val="47304E59"/>
    <w:rsid w:val="475C5EF4"/>
    <w:rsid w:val="47B944D6"/>
    <w:rsid w:val="47E44BEF"/>
    <w:rsid w:val="48690401"/>
    <w:rsid w:val="486D481D"/>
    <w:rsid w:val="48AC1460"/>
    <w:rsid w:val="48B40A50"/>
    <w:rsid w:val="48C87B66"/>
    <w:rsid w:val="48E716FF"/>
    <w:rsid w:val="49154F13"/>
    <w:rsid w:val="49261F57"/>
    <w:rsid w:val="493731C3"/>
    <w:rsid w:val="496E2020"/>
    <w:rsid w:val="4971269F"/>
    <w:rsid w:val="498B2FA1"/>
    <w:rsid w:val="49C71CCA"/>
    <w:rsid w:val="49E13B64"/>
    <w:rsid w:val="4A1B7A43"/>
    <w:rsid w:val="4A2732E1"/>
    <w:rsid w:val="4A2951D7"/>
    <w:rsid w:val="4A4D0245"/>
    <w:rsid w:val="4A9D7E98"/>
    <w:rsid w:val="4AC71713"/>
    <w:rsid w:val="4AED40DB"/>
    <w:rsid w:val="4B037A9E"/>
    <w:rsid w:val="4B5931AB"/>
    <w:rsid w:val="4B9314C2"/>
    <w:rsid w:val="4B9F73FC"/>
    <w:rsid w:val="4BA708E2"/>
    <w:rsid w:val="4C272F70"/>
    <w:rsid w:val="4C703E50"/>
    <w:rsid w:val="4C770388"/>
    <w:rsid w:val="4C816D27"/>
    <w:rsid w:val="4C863258"/>
    <w:rsid w:val="4CA014AC"/>
    <w:rsid w:val="4CD7475C"/>
    <w:rsid w:val="4D2F41FE"/>
    <w:rsid w:val="4D3105D5"/>
    <w:rsid w:val="4D790D7A"/>
    <w:rsid w:val="4D8773EE"/>
    <w:rsid w:val="4DB724AF"/>
    <w:rsid w:val="4DF32B56"/>
    <w:rsid w:val="4E37382D"/>
    <w:rsid w:val="4E627E3E"/>
    <w:rsid w:val="4E984E43"/>
    <w:rsid w:val="4EA47397"/>
    <w:rsid w:val="4F59232C"/>
    <w:rsid w:val="4F8B03CD"/>
    <w:rsid w:val="4FBF0985"/>
    <w:rsid w:val="4FE03751"/>
    <w:rsid w:val="4FF2658A"/>
    <w:rsid w:val="50646DBF"/>
    <w:rsid w:val="50666188"/>
    <w:rsid w:val="506C4329"/>
    <w:rsid w:val="50741237"/>
    <w:rsid w:val="50DF7BCD"/>
    <w:rsid w:val="50F01832"/>
    <w:rsid w:val="512F2209"/>
    <w:rsid w:val="51681AE8"/>
    <w:rsid w:val="518728D1"/>
    <w:rsid w:val="519F6E1A"/>
    <w:rsid w:val="51A60DC3"/>
    <w:rsid w:val="52103A14"/>
    <w:rsid w:val="521C76E1"/>
    <w:rsid w:val="52BB5599"/>
    <w:rsid w:val="52BE22AC"/>
    <w:rsid w:val="52E2398A"/>
    <w:rsid w:val="52F3391C"/>
    <w:rsid w:val="530E61AC"/>
    <w:rsid w:val="53151A46"/>
    <w:rsid w:val="531C15FC"/>
    <w:rsid w:val="53395CCF"/>
    <w:rsid w:val="53510116"/>
    <w:rsid w:val="53AD5812"/>
    <w:rsid w:val="541E5E06"/>
    <w:rsid w:val="545413CC"/>
    <w:rsid w:val="549C486F"/>
    <w:rsid w:val="54B47EFB"/>
    <w:rsid w:val="54DB0F18"/>
    <w:rsid w:val="55011C7A"/>
    <w:rsid w:val="55543AF1"/>
    <w:rsid w:val="55706241"/>
    <w:rsid w:val="559C6CBA"/>
    <w:rsid w:val="55A82D9F"/>
    <w:rsid w:val="55A91602"/>
    <w:rsid w:val="55B94875"/>
    <w:rsid w:val="55D51B93"/>
    <w:rsid w:val="55EC2E3C"/>
    <w:rsid w:val="55ED6C5F"/>
    <w:rsid w:val="56625829"/>
    <w:rsid w:val="56F559E3"/>
    <w:rsid w:val="57034309"/>
    <w:rsid w:val="5719502F"/>
    <w:rsid w:val="577A2BF6"/>
    <w:rsid w:val="578339E3"/>
    <w:rsid w:val="57C54D03"/>
    <w:rsid w:val="57E53B64"/>
    <w:rsid w:val="583409BB"/>
    <w:rsid w:val="583515C0"/>
    <w:rsid w:val="5835412C"/>
    <w:rsid w:val="58394ABD"/>
    <w:rsid w:val="588F48D4"/>
    <w:rsid w:val="58AB7BD9"/>
    <w:rsid w:val="58AF759C"/>
    <w:rsid w:val="58D618BF"/>
    <w:rsid w:val="58E66A6D"/>
    <w:rsid w:val="597328A2"/>
    <w:rsid w:val="59DB079F"/>
    <w:rsid w:val="59E27009"/>
    <w:rsid w:val="59F703B2"/>
    <w:rsid w:val="59FA4317"/>
    <w:rsid w:val="5A6539D1"/>
    <w:rsid w:val="5A88315D"/>
    <w:rsid w:val="5AA2162F"/>
    <w:rsid w:val="5ADD5E18"/>
    <w:rsid w:val="5B212785"/>
    <w:rsid w:val="5B2F01EA"/>
    <w:rsid w:val="5B8D718C"/>
    <w:rsid w:val="5BB500C9"/>
    <w:rsid w:val="5C2E0652"/>
    <w:rsid w:val="5C514CA0"/>
    <w:rsid w:val="5C891AE0"/>
    <w:rsid w:val="5CA57B86"/>
    <w:rsid w:val="5CC77C96"/>
    <w:rsid w:val="5CF557A7"/>
    <w:rsid w:val="5D2327C3"/>
    <w:rsid w:val="5D523508"/>
    <w:rsid w:val="5D546753"/>
    <w:rsid w:val="5D6D7EF5"/>
    <w:rsid w:val="5DA930C5"/>
    <w:rsid w:val="5DFE458C"/>
    <w:rsid w:val="5E0A1538"/>
    <w:rsid w:val="5E2A239D"/>
    <w:rsid w:val="5E5B1E18"/>
    <w:rsid w:val="5E5E2B95"/>
    <w:rsid w:val="5E715E4E"/>
    <w:rsid w:val="5F480A20"/>
    <w:rsid w:val="5F541A66"/>
    <w:rsid w:val="5F6A29B1"/>
    <w:rsid w:val="5FDF599A"/>
    <w:rsid w:val="5FE56811"/>
    <w:rsid w:val="5FF37A81"/>
    <w:rsid w:val="602C45FD"/>
    <w:rsid w:val="602F35F7"/>
    <w:rsid w:val="60795CBD"/>
    <w:rsid w:val="60F23855"/>
    <w:rsid w:val="60F47BEC"/>
    <w:rsid w:val="61816125"/>
    <w:rsid w:val="62117254"/>
    <w:rsid w:val="622A5268"/>
    <w:rsid w:val="624806F1"/>
    <w:rsid w:val="62564AAE"/>
    <w:rsid w:val="628A3F58"/>
    <w:rsid w:val="629D0895"/>
    <w:rsid w:val="62B32460"/>
    <w:rsid w:val="62C0222F"/>
    <w:rsid w:val="63443247"/>
    <w:rsid w:val="63CE5C30"/>
    <w:rsid w:val="63EA5A54"/>
    <w:rsid w:val="63EE3661"/>
    <w:rsid w:val="6415508D"/>
    <w:rsid w:val="644019DA"/>
    <w:rsid w:val="648038FA"/>
    <w:rsid w:val="64E421D7"/>
    <w:rsid w:val="64FD71A8"/>
    <w:rsid w:val="658978B2"/>
    <w:rsid w:val="65EB6652"/>
    <w:rsid w:val="66122755"/>
    <w:rsid w:val="66212F88"/>
    <w:rsid w:val="66496768"/>
    <w:rsid w:val="66574FE9"/>
    <w:rsid w:val="669727FD"/>
    <w:rsid w:val="66C8233B"/>
    <w:rsid w:val="66F629D6"/>
    <w:rsid w:val="6744454D"/>
    <w:rsid w:val="67754838"/>
    <w:rsid w:val="67762C3A"/>
    <w:rsid w:val="677A4210"/>
    <w:rsid w:val="679715F1"/>
    <w:rsid w:val="679B13E4"/>
    <w:rsid w:val="67BB4BB4"/>
    <w:rsid w:val="67F264CF"/>
    <w:rsid w:val="67FF6CD4"/>
    <w:rsid w:val="681A7E9D"/>
    <w:rsid w:val="682F0FB6"/>
    <w:rsid w:val="684A5B66"/>
    <w:rsid w:val="68522DA9"/>
    <w:rsid w:val="688C2FB0"/>
    <w:rsid w:val="68BE0772"/>
    <w:rsid w:val="691E5105"/>
    <w:rsid w:val="696B5AAD"/>
    <w:rsid w:val="69803202"/>
    <w:rsid w:val="69AC6EAA"/>
    <w:rsid w:val="69F60484"/>
    <w:rsid w:val="6A354541"/>
    <w:rsid w:val="6A6F5F93"/>
    <w:rsid w:val="6AAA163C"/>
    <w:rsid w:val="6B453FD7"/>
    <w:rsid w:val="6B5B576C"/>
    <w:rsid w:val="6B707A3D"/>
    <w:rsid w:val="6B7B1A68"/>
    <w:rsid w:val="6BA537D6"/>
    <w:rsid w:val="6BB1273B"/>
    <w:rsid w:val="6BB85D17"/>
    <w:rsid w:val="6BC82C73"/>
    <w:rsid w:val="6C071FC4"/>
    <w:rsid w:val="6C2C7FB1"/>
    <w:rsid w:val="6C5B4CE2"/>
    <w:rsid w:val="6CD664AB"/>
    <w:rsid w:val="6CE67D46"/>
    <w:rsid w:val="6D4E4680"/>
    <w:rsid w:val="6D535911"/>
    <w:rsid w:val="6D785ABE"/>
    <w:rsid w:val="6D7878FB"/>
    <w:rsid w:val="6DBA6446"/>
    <w:rsid w:val="6DC64D96"/>
    <w:rsid w:val="6DE61BA4"/>
    <w:rsid w:val="6E6811D8"/>
    <w:rsid w:val="6E7D3EAA"/>
    <w:rsid w:val="6EB935FC"/>
    <w:rsid w:val="6EC47B07"/>
    <w:rsid w:val="6EEE1ED2"/>
    <w:rsid w:val="6EF9070E"/>
    <w:rsid w:val="6EFA2348"/>
    <w:rsid w:val="6EFC7DC4"/>
    <w:rsid w:val="6F347C9A"/>
    <w:rsid w:val="6FBC32DD"/>
    <w:rsid w:val="6FC92611"/>
    <w:rsid w:val="6FEB70E8"/>
    <w:rsid w:val="70017D21"/>
    <w:rsid w:val="70023AB3"/>
    <w:rsid w:val="702678A4"/>
    <w:rsid w:val="70957B36"/>
    <w:rsid w:val="70BA2FFA"/>
    <w:rsid w:val="70C5527D"/>
    <w:rsid w:val="70CA3CD6"/>
    <w:rsid w:val="710802A6"/>
    <w:rsid w:val="713A744C"/>
    <w:rsid w:val="7141561C"/>
    <w:rsid w:val="71465DA4"/>
    <w:rsid w:val="715A74D5"/>
    <w:rsid w:val="718E0763"/>
    <w:rsid w:val="71B50FA0"/>
    <w:rsid w:val="71D37FA9"/>
    <w:rsid w:val="723E5522"/>
    <w:rsid w:val="7268421C"/>
    <w:rsid w:val="728968DA"/>
    <w:rsid w:val="72A82C84"/>
    <w:rsid w:val="72AA61C2"/>
    <w:rsid w:val="72B15531"/>
    <w:rsid w:val="73050C51"/>
    <w:rsid w:val="73353A7F"/>
    <w:rsid w:val="733F6D56"/>
    <w:rsid w:val="73813156"/>
    <w:rsid w:val="73870838"/>
    <w:rsid w:val="739871D5"/>
    <w:rsid w:val="73F11288"/>
    <w:rsid w:val="73F23F7B"/>
    <w:rsid w:val="74067081"/>
    <w:rsid w:val="741C1C19"/>
    <w:rsid w:val="744D017B"/>
    <w:rsid w:val="745E05AD"/>
    <w:rsid w:val="74835184"/>
    <w:rsid w:val="74A4132C"/>
    <w:rsid w:val="74FA5E60"/>
    <w:rsid w:val="75787206"/>
    <w:rsid w:val="75A512B8"/>
    <w:rsid w:val="75BF77EE"/>
    <w:rsid w:val="75D70FF2"/>
    <w:rsid w:val="75F479B7"/>
    <w:rsid w:val="75FA1E0C"/>
    <w:rsid w:val="75FB3FF3"/>
    <w:rsid w:val="76186A30"/>
    <w:rsid w:val="762C31BE"/>
    <w:rsid w:val="7653467E"/>
    <w:rsid w:val="76631D46"/>
    <w:rsid w:val="76AC0DC8"/>
    <w:rsid w:val="772B4ED2"/>
    <w:rsid w:val="77381D7D"/>
    <w:rsid w:val="77777E50"/>
    <w:rsid w:val="77D76B2B"/>
    <w:rsid w:val="77D858AF"/>
    <w:rsid w:val="77E652C6"/>
    <w:rsid w:val="780C6E9C"/>
    <w:rsid w:val="782563F5"/>
    <w:rsid w:val="78880F29"/>
    <w:rsid w:val="789C1508"/>
    <w:rsid w:val="794723D1"/>
    <w:rsid w:val="7977267E"/>
    <w:rsid w:val="7AA6237E"/>
    <w:rsid w:val="7AB67AD9"/>
    <w:rsid w:val="7ACA6A91"/>
    <w:rsid w:val="7ACE1913"/>
    <w:rsid w:val="7B0E23F7"/>
    <w:rsid w:val="7B515EAC"/>
    <w:rsid w:val="7BAA251B"/>
    <w:rsid w:val="7C06770E"/>
    <w:rsid w:val="7C4927BF"/>
    <w:rsid w:val="7C6F65A8"/>
    <w:rsid w:val="7C8D3CA3"/>
    <w:rsid w:val="7C8E03A3"/>
    <w:rsid w:val="7C90112B"/>
    <w:rsid w:val="7C946125"/>
    <w:rsid w:val="7CC32006"/>
    <w:rsid w:val="7CD35C4B"/>
    <w:rsid w:val="7CD67A48"/>
    <w:rsid w:val="7CE017BB"/>
    <w:rsid w:val="7CE335DB"/>
    <w:rsid w:val="7D0664BA"/>
    <w:rsid w:val="7D0C45FF"/>
    <w:rsid w:val="7D2324BD"/>
    <w:rsid w:val="7DE61A14"/>
    <w:rsid w:val="7E0D5970"/>
    <w:rsid w:val="7E3566D4"/>
    <w:rsid w:val="7E367B16"/>
    <w:rsid w:val="7E3937A2"/>
    <w:rsid w:val="7E431733"/>
    <w:rsid w:val="7E5A6E32"/>
    <w:rsid w:val="7E604E32"/>
    <w:rsid w:val="7EAF0B77"/>
    <w:rsid w:val="7EC34539"/>
    <w:rsid w:val="7F3103EC"/>
    <w:rsid w:val="7F5176FB"/>
    <w:rsid w:val="7F743B6E"/>
    <w:rsid w:val="7FB97105"/>
    <w:rsid w:val="7FD650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6"/>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link w:val="150"/>
    <w:qFormat/>
    <w:uiPriority w:val="0"/>
    <w:pPr>
      <w:keepNext/>
      <w:keepLines/>
      <w:spacing w:before="260" w:beforeLines="0" w:after="260" w:afterLines="0" w:line="416" w:lineRule="auto"/>
      <w:outlineLvl w:val="1"/>
    </w:pPr>
    <w:rPr>
      <w:rFonts w:ascii="Arial Black" w:hAnsi="Arial Black" w:eastAsia="黑体"/>
      <w:b/>
      <w:bCs/>
      <w:sz w:val="32"/>
      <w:szCs w:val="32"/>
    </w:rPr>
  </w:style>
  <w:style w:type="paragraph" w:styleId="4">
    <w:name w:val="heading 3"/>
    <w:basedOn w:val="1"/>
    <w:next w:val="1"/>
    <w:link w:val="144"/>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5">
    <w:name w:val="heading 4"/>
    <w:basedOn w:val="1"/>
    <w:next w:val="1"/>
    <w:link w:val="1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134"/>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110"/>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8">
    <w:name w:val="heading 7"/>
    <w:basedOn w:val="1"/>
    <w:next w:val="1"/>
    <w:link w:val="135"/>
    <w:qFormat/>
    <w:uiPriority w:val="0"/>
    <w:pPr>
      <w:keepNext/>
      <w:keepLines/>
      <w:numPr>
        <w:ilvl w:val="6"/>
        <w:numId w:val="1"/>
      </w:numPr>
      <w:adjustRightInd w:val="0"/>
      <w:spacing w:before="240" w:after="64" w:line="320" w:lineRule="atLeast"/>
      <w:jc w:val="left"/>
      <w:textAlignment w:val="baseline"/>
      <w:outlineLvl w:val="6"/>
    </w:pPr>
    <w:rPr>
      <w:b/>
      <w:bCs/>
      <w:kern w:val="0"/>
      <w:sz w:val="24"/>
      <w:szCs w:val="24"/>
    </w:rPr>
  </w:style>
  <w:style w:type="paragraph" w:styleId="9">
    <w:name w:val="heading 8"/>
    <w:basedOn w:val="1"/>
    <w:next w:val="1"/>
    <w:link w:val="115"/>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szCs w:val="24"/>
    </w:rPr>
  </w:style>
  <w:style w:type="paragraph" w:styleId="10">
    <w:name w:val="heading 9"/>
    <w:basedOn w:val="1"/>
    <w:next w:val="1"/>
    <w:link w:val="139"/>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47">
    <w:name w:val="Default Paragraph Font"/>
    <w:link w:val="48"/>
    <w:qFormat/>
    <w:uiPriority w:val="0"/>
    <w:rPr>
      <w:szCs w:val="21"/>
    </w:rPr>
  </w:style>
  <w:style w:type="table" w:default="1" w:styleId="45">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4"/>
    </w:rPr>
  </w:style>
  <w:style w:type="paragraph" w:styleId="12">
    <w:name w:val="List Number"/>
    <w:basedOn w:val="1"/>
    <w:qFormat/>
    <w:uiPriority w:val="0"/>
    <w:pPr>
      <w:numPr>
        <w:ilvl w:val="0"/>
        <w:numId w:val="2"/>
      </w:numPr>
    </w:pPr>
  </w:style>
  <w:style w:type="paragraph" w:styleId="13">
    <w:name w:val="Normal Indent"/>
    <w:basedOn w:val="1"/>
    <w:next w:val="1"/>
    <w:qFormat/>
    <w:uiPriority w:val="0"/>
    <w:pPr>
      <w:adjustRightInd w:val="0"/>
      <w:ind w:firstLine="420"/>
    </w:pPr>
    <w:rPr>
      <w:rFonts w:eastAsia="楷体_GB2312"/>
      <w:sz w:val="24"/>
      <w:lang w:val="en-US" w:eastAsia="zh-CN" w:bidi="ar-SA"/>
    </w:rPr>
  </w:style>
  <w:style w:type="paragraph" w:styleId="14">
    <w:name w:val="caption"/>
    <w:basedOn w:val="1"/>
    <w:next w:val="1"/>
    <w:qFormat/>
    <w:uiPriority w:val="0"/>
    <w:pPr>
      <w:spacing w:before="152" w:after="160"/>
    </w:pPr>
    <w:rPr>
      <w:rFonts w:ascii="Arial" w:hAnsi="Arial" w:eastAsia="黑体" w:cs="Arial"/>
      <w:sz w:val="20"/>
    </w:rPr>
  </w:style>
  <w:style w:type="paragraph" w:styleId="15">
    <w:name w:val="index 5"/>
    <w:basedOn w:val="1"/>
    <w:next w:val="1"/>
    <w:qFormat/>
    <w:uiPriority w:val="0"/>
    <w:pPr>
      <w:ind w:left="800" w:leftChars="800"/>
    </w:pPr>
  </w:style>
  <w:style w:type="paragraph" w:styleId="16">
    <w:name w:val="Document Map"/>
    <w:basedOn w:val="1"/>
    <w:link w:val="113"/>
    <w:qFormat/>
    <w:uiPriority w:val="0"/>
    <w:pPr>
      <w:shd w:val="clear" w:color="auto" w:fill="000080"/>
    </w:pPr>
    <w:rPr>
      <w:szCs w:val="24"/>
    </w:rPr>
  </w:style>
  <w:style w:type="paragraph" w:styleId="17">
    <w:name w:val="toa heading"/>
    <w:basedOn w:val="1"/>
    <w:next w:val="1"/>
    <w:qFormat/>
    <w:uiPriority w:val="0"/>
    <w:rPr>
      <w:rFonts w:ascii="Arial" w:hAnsi="Arial"/>
      <w:sz w:val="24"/>
    </w:rPr>
  </w:style>
  <w:style w:type="paragraph" w:styleId="18">
    <w:name w:val="annotation text"/>
    <w:basedOn w:val="1"/>
    <w:link w:val="96"/>
    <w:qFormat/>
    <w:uiPriority w:val="0"/>
    <w:pPr>
      <w:jc w:val="left"/>
    </w:pPr>
  </w:style>
  <w:style w:type="paragraph" w:styleId="19">
    <w:name w:val="index 6"/>
    <w:basedOn w:val="1"/>
    <w:next w:val="1"/>
    <w:qFormat/>
    <w:uiPriority w:val="99"/>
    <w:pPr>
      <w:ind w:left="2100"/>
    </w:pPr>
  </w:style>
  <w:style w:type="paragraph" w:styleId="20">
    <w:name w:val="Body Text 3"/>
    <w:basedOn w:val="1"/>
    <w:link w:val="136"/>
    <w:qFormat/>
    <w:uiPriority w:val="0"/>
    <w:pPr>
      <w:spacing w:after="120"/>
    </w:pPr>
    <w:rPr>
      <w:sz w:val="16"/>
      <w:szCs w:val="16"/>
    </w:rPr>
  </w:style>
  <w:style w:type="paragraph" w:styleId="21">
    <w:name w:val="Body Text"/>
    <w:basedOn w:val="1"/>
    <w:next w:val="1"/>
    <w:link w:val="127"/>
    <w:qFormat/>
    <w:uiPriority w:val="0"/>
    <w:pPr>
      <w:spacing w:after="120"/>
    </w:pPr>
    <w:rPr>
      <w:szCs w:val="24"/>
    </w:rPr>
  </w:style>
  <w:style w:type="paragraph" w:styleId="22">
    <w:name w:val="Body Text Indent"/>
    <w:basedOn w:val="1"/>
    <w:next w:val="23"/>
    <w:link w:val="120"/>
    <w:qFormat/>
    <w:uiPriority w:val="0"/>
    <w:pPr>
      <w:spacing w:line="360" w:lineRule="auto"/>
      <w:ind w:firstLine="560" w:firstLineChars="200"/>
    </w:pPr>
    <w:rPr>
      <w:sz w:val="28"/>
    </w:rPr>
  </w:style>
  <w:style w:type="paragraph" w:customStyle="1" w:styleId="2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4">
    <w:name w:val="List 2"/>
    <w:basedOn w:val="1"/>
    <w:qFormat/>
    <w:uiPriority w:val="0"/>
    <w:pPr>
      <w:ind w:left="100" w:leftChars="200" w:hanging="200" w:hangingChars="200"/>
    </w:pPr>
    <w:rPr>
      <w:szCs w:val="24"/>
    </w:rPr>
  </w:style>
  <w:style w:type="paragraph" w:styleId="25">
    <w:name w:val="toc 3"/>
    <w:basedOn w:val="1"/>
    <w:next w:val="1"/>
    <w:qFormat/>
    <w:uiPriority w:val="39"/>
    <w:pPr>
      <w:ind w:left="840" w:leftChars="400"/>
    </w:pPr>
    <w:rPr>
      <w:szCs w:val="24"/>
    </w:rPr>
  </w:style>
  <w:style w:type="paragraph" w:styleId="26">
    <w:name w:val="Plain Text"/>
    <w:basedOn w:val="1"/>
    <w:next w:val="27"/>
    <w:link w:val="116"/>
    <w:qFormat/>
    <w:uiPriority w:val="0"/>
    <w:rPr>
      <w:rFonts w:ascii="宋体" w:hAnsi="Courier New"/>
    </w:rPr>
  </w:style>
  <w:style w:type="paragraph" w:styleId="27">
    <w:name w:val="index 7"/>
    <w:basedOn w:val="1"/>
    <w:next w:val="1"/>
    <w:qFormat/>
    <w:uiPriority w:val="0"/>
    <w:pPr>
      <w:ind w:left="1200" w:leftChars="1200"/>
    </w:pPr>
    <w:rPr>
      <w:szCs w:val="24"/>
    </w:rPr>
  </w:style>
  <w:style w:type="paragraph" w:styleId="28">
    <w:name w:val="Date"/>
    <w:basedOn w:val="1"/>
    <w:next w:val="1"/>
    <w:link w:val="130"/>
    <w:qFormat/>
    <w:uiPriority w:val="0"/>
    <w:pPr>
      <w:ind w:left="100" w:leftChars="2500"/>
    </w:pPr>
    <w:rPr>
      <w:szCs w:val="24"/>
    </w:rPr>
  </w:style>
  <w:style w:type="paragraph" w:styleId="29">
    <w:name w:val="Body Text Indent 2"/>
    <w:basedOn w:val="1"/>
    <w:link w:val="138"/>
    <w:qFormat/>
    <w:uiPriority w:val="0"/>
    <w:pPr>
      <w:spacing w:after="120" w:line="480" w:lineRule="auto"/>
      <w:ind w:left="420" w:leftChars="200"/>
    </w:pPr>
    <w:rPr>
      <w:szCs w:val="24"/>
    </w:rPr>
  </w:style>
  <w:style w:type="paragraph" w:styleId="30">
    <w:name w:val="Balloon Text"/>
    <w:basedOn w:val="1"/>
    <w:link w:val="137"/>
    <w:qFormat/>
    <w:uiPriority w:val="0"/>
    <w:rPr>
      <w:sz w:val="18"/>
      <w:szCs w:val="18"/>
    </w:rPr>
  </w:style>
  <w:style w:type="paragraph" w:styleId="31">
    <w:name w:val="footer"/>
    <w:basedOn w:val="1"/>
    <w:next w:val="1"/>
    <w:link w:val="114"/>
    <w:qFormat/>
    <w:uiPriority w:val="99"/>
    <w:pPr>
      <w:tabs>
        <w:tab w:val="center" w:pos="4153"/>
        <w:tab w:val="right" w:pos="8306"/>
      </w:tabs>
      <w:snapToGrid w:val="0"/>
      <w:jc w:val="left"/>
    </w:pPr>
    <w:rPr>
      <w:sz w:val="18"/>
      <w:szCs w:val="18"/>
    </w:rPr>
  </w:style>
  <w:style w:type="paragraph" w:styleId="32">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33">
    <w:name w:val="toc 1"/>
    <w:basedOn w:val="1"/>
    <w:next w:val="1"/>
    <w:qFormat/>
    <w:uiPriority w:val="39"/>
    <w:rPr>
      <w:szCs w:val="24"/>
    </w:rPr>
  </w:style>
  <w:style w:type="paragraph" w:styleId="34">
    <w:name w:val="Subtitle"/>
    <w:basedOn w:val="1"/>
    <w:next w:val="1"/>
    <w:link w:val="125"/>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List"/>
    <w:basedOn w:val="1"/>
    <w:qFormat/>
    <w:uiPriority w:val="0"/>
    <w:pPr>
      <w:spacing w:before="312" w:beforeLines="100" w:line="360" w:lineRule="auto"/>
      <w:jc w:val="center"/>
    </w:pPr>
    <w:rPr>
      <w:rFonts w:ascii="宋体" w:hAnsi="宋体"/>
      <w:b/>
      <w:sz w:val="28"/>
      <w:szCs w:val="24"/>
    </w:rPr>
  </w:style>
  <w:style w:type="paragraph" w:styleId="36">
    <w:name w:val="footnote text"/>
    <w:basedOn w:val="1"/>
    <w:link w:val="124"/>
    <w:qFormat/>
    <w:uiPriority w:val="0"/>
    <w:pPr>
      <w:adjustRightInd w:val="0"/>
      <w:spacing w:line="312" w:lineRule="atLeast"/>
      <w:textAlignment w:val="baseline"/>
    </w:pPr>
    <w:rPr>
      <w:kern w:val="0"/>
      <w:sz w:val="18"/>
    </w:rPr>
  </w:style>
  <w:style w:type="paragraph" w:styleId="37">
    <w:name w:val="Body Text Indent 3"/>
    <w:basedOn w:val="1"/>
    <w:link w:val="101"/>
    <w:qFormat/>
    <w:uiPriority w:val="0"/>
    <w:pPr>
      <w:tabs>
        <w:tab w:val="left" w:pos="1134"/>
        <w:tab w:val="left" w:pos="5481"/>
        <w:tab w:val="left" w:pos="5859"/>
      </w:tabs>
      <w:spacing w:line="500" w:lineRule="exact"/>
      <w:ind w:firstLine="8275" w:firstLineChars="1200"/>
    </w:pPr>
    <w:rPr>
      <w:rFonts w:eastAsia="黑体"/>
      <w:b/>
      <w:bCs/>
      <w:sz w:val="72"/>
      <w:szCs w:val="24"/>
    </w:rPr>
  </w:style>
  <w:style w:type="paragraph" w:styleId="38">
    <w:name w:val="toc 2"/>
    <w:basedOn w:val="1"/>
    <w:next w:val="1"/>
    <w:qFormat/>
    <w:uiPriority w:val="39"/>
    <w:pPr>
      <w:ind w:left="420" w:leftChars="200"/>
    </w:pPr>
    <w:rPr>
      <w:szCs w:val="24"/>
    </w:rPr>
  </w:style>
  <w:style w:type="paragraph" w:styleId="39">
    <w:name w:val="HTML Preformatted"/>
    <w:basedOn w:val="1"/>
    <w:link w:val="1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0">
    <w:name w:val="Normal (Web)"/>
    <w:basedOn w:val="1"/>
    <w:qFormat/>
    <w:uiPriority w:val="0"/>
    <w:pPr>
      <w:spacing w:before="100" w:beforeLines="0" w:beforeAutospacing="1" w:after="100" w:afterLines="0" w:afterAutospacing="1"/>
      <w:jc w:val="left"/>
    </w:pPr>
    <w:rPr>
      <w:rFonts w:ascii="Calibri" w:hAnsi="Calibri"/>
      <w:kern w:val="0"/>
      <w:sz w:val="24"/>
      <w:szCs w:val="24"/>
    </w:rPr>
  </w:style>
  <w:style w:type="paragraph" w:styleId="41">
    <w:name w:val="Title"/>
    <w:basedOn w:val="1"/>
    <w:next w:val="1"/>
    <w:link w:val="129"/>
    <w:qFormat/>
    <w:uiPriority w:val="0"/>
    <w:pPr>
      <w:spacing w:before="240" w:after="60"/>
      <w:jc w:val="center"/>
      <w:outlineLvl w:val="0"/>
    </w:pPr>
    <w:rPr>
      <w:rFonts w:ascii="Cambria" w:hAnsi="Cambria"/>
      <w:b/>
      <w:bCs/>
      <w:sz w:val="32"/>
      <w:szCs w:val="32"/>
    </w:rPr>
  </w:style>
  <w:style w:type="paragraph" w:styleId="42">
    <w:name w:val="annotation subject"/>
    <w:basedOn w:val="18"/>
    <w:next w:val="18"/>
    <w:link w:val="109"/>
    <w:qFormat/>
    <w:uiPriority w:val="0"/>
    <w:rPr>
      <w:b/>
      <w:bCs/>
      <w:szCs w:val="24"/>
    </w:rPr>
  </w:style>
  <w:style w:type="paragraph" w:styleId="43">
    <w:name w:val="Body Text First Indent"/>
    <w:basedOn w:val="21"/>
    <w:qFormat/>
    <w:uiPriority w:val="0"/>
    <w:pPr>
      <w:tabs>
        <w:tab w:val="left" w:pos="9214"/>
      </w:tabs>
      <w:spacing w:after="0"/>
      <w:ind w:firstLine="200" w:firstLineChars="200"/>
    </w:pPr>
  </w:style>
  <w:style w:type="paragraph" w:styleId="44">
    <w:name w:val="Body Text First Indent 2"/>
    <w:basedOn w:val="22"/>
    <w:next w:val="1"/>
    <w:link w:val="119"/>
    <w:qFormat/>
    <w:uiPriority w:val="0"/>
    <w:pPr>
      <w:ind w:left="1588" w:leftChars="832" w:firstLine="433"/>
    </w:pPr>
    <w:rPr>
      <w:rFonts w:eastAsia="仿宋_GB2312"/>
      <w:spacing w:val="15"/>
      <w:kern w:val="10"/>
      <w:sz w:val="24"/>
      <w:szCs w:val="24"/>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Char Char Char Char"/>
    <w:basedOn w:val="1"/>
    <w:link w:val="47"/>
    <w:qFormat/>
    <w:uiPriority w:val="0"/>
    <w:rPr>
      <w:szCs w:val="21"/>
    </w:rPr>
  </w:style>
  <w:style w:type="character" w:styleId="49">
    <w:name w:val="Strong"/>
    <w:basedOn w:val="47"/>
    <w:qFormat/>
    <w:uiPriority w:val="0"/>
    <w:rPr>
      <w:b/>
      <w:bCs/>
    </w:rPr>
  </w:style>
  <w:style w:type="character" w:styleId="50">
    <w:name w:val="page number"/>
    <w:basedOn w:val="47"/>
    <w:qFormat/>
    <w:uiPriority w:val="0"/>
  </w:style>
  <w:style w:type="character" w:styleId="51">
    <w:name w:val="Emphasis"/>
    <w:basedOn w:val="47"/>
    <w:qFormat/>
    <w:uiPriority w:val="0"/>
    <w:rPr>
      <w:i/>
    </w:rPr>
  </w:style>
  <w:style w:type="character" w:styleId="52">
    <w:name w:val="Hyperlink"/>
    <w:basedOn w:val="47"/>
    <w:qFormat/>
    <w:uiPriority w:val="99"/>
    <w:rPr>
      <w:color w:val="0000FF"/>
      <w:u w:val="single"/>
    </w:rPr>
  </w:style>
  <w:style w:type="character" w:styleId="53">
    <w:name w:val="annotation reference"/>
    <w:qFormat/>
    <w:uiPriority w:val="0"/>
    <w:rPr>
      <w:sz w:val="21"/>
      <w:szCs w:val="21"/>
    </w:rPr>
  </w:style>
  <w:style w:type="paragraph" w:customStyle="1" w:styleId="54">
    <w:name w:val="样式1"/>
    <w:basedOn w:val="17"/>
    <w:next w:val="5"/>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55">
    <w:name w:val="文本正文"/>
    <w:basedOn w:val="1"/>
    <w:qFormat/>
    <w:uiPriority w:val="0"/>
    <w:pPr>
      <w:spacing w:afterLines="50"/>
      <w:ind w:firstLine="200" w:firstLineChars="200"/>
      <w:jc w:val="left"/>
    </w:pPr>
    <w:rPr>
      <w:rFonts w:ascii="Calibri" w:hAnsi="Calibri"/>
      <w:szCs w:val="22"/>
      <w:lang w:bidi="en-US"/>
    </w:rPr>
  </w:style>
  <w:style w:type="character" w:customStyle="1" w:styleId="56">
    <w:name w:val="标题 1 Char"/>
    <w:link w:val="2"/>
    <w:qFormat/>
    <w:uiPriority w:val="0"/>
    <w:rPr>
      <w:b/>
      <w:bCs/>
      <w:kern w:val="44"/>
      <w:sz w:val="44"/>
      <w:szCs w:val="44"/>
    </w:rPr>
  </w:style>
  <w:style w:type="paragraph" w:customStyle="1" w:styleId="57">
    <w:name w:val="_Style 5"/>
    <w:basedOn w:val="1"/>
    <w:qFormat/>
    <w:uiPriority w:val="0"/>
    <w:pPr>
      <w:tabs>
        <w:tab w:val="left" w:pos="360"/>
      </w:tabs>
      <w:ind w:firstLine="420" w:firstLineChars="150"/>
    </w:pPr>
    <w:rPr>
      <w:rFonts w:ascii="Arial" w:hAnsi="Arial" w:cs="Arial"/>
      <w:sz w:val="20"/>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pa-7"/>
    <w:basedOn w:val="1"/>
    <w:qFormat/>
    <w:uiPriority w:val="0"/>
    <w:pPr>
      <w:widowControl/>
      <w:spacing w:before="150" w:beforeLines="0" w:after="150" w:afterLines="0"/>
      <w:jc w:val="left"/>
    </w:pPr>
    <w:rPr>
      <w:rFonts w:ascii="宋体" w:hAnsi="宋体" w:cs="宋体"/>
      <w:kern w:val="0"/>
      <w:sz w:val="24"/>
      <w:szCs w:val="24"/>
    </w:rPr>
  </w:style>
  <w:style w:type="paragraph" w:customStyle="1" w:styleId="60">
    <w:name w:val="Char Char Char Char Char Char"/>
    <w:basedOn w:val="16"/>
    <w:qFormat/>
    <w:uiPriority w:val="0"/>
    <w:rPr>
      <w:rFonts w:ascii="Tahoma" w:hAnsi="Tahoma"/>
      <w:sz w:val="24"/>
    </w:rPr>
  </w:style>
  <w:style w:type="paragraph" w:customStyle="1" w:styleId="61">
    <w:name w:val="缺省文本"/>
    <w:qFormat/>
    <w:uiPriority w:val="99"/>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62">
    <w:name w:val="p16"/>
    <w:basedOn w:val="1"/>
    <w:qFormat/>
    <w:uiPriority w:val="0"/>
    <w:pPr>
      <w:widowControl/>
    </w:pPr>
    <w:rPr>
      <w:kern w:val="0"/>
      <w:szCs w:val="21"/>
    </w:rPr>
  </w:style>
  <w:style w:type="paragraph" w:customStyle="1" w:styleId="63">
    <w:name w:val="WPSOffice手动目录 2"/>
    <w:qFormat/>
    <w:uiPriority w:val="0"/>
    <w:pPr>
      <w:ind w:leftChars="200"/>
    </w:pPr>
    <w:rPr>
      <w:rFonts w:ascii="Times New Roman" w:hAnsi="Times New Roman" w:eastAsia="宋体" w:cs="Times New Roman"/>
      <w:sz w:val="20"/>
      <w:szCs w:val="20"/>
    </w:rPr>
  </w:style>
  <w:style w:type="paragraph" w:customStyle="1" w:styleId="64">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5">
    <w:name w:val=" Char Char Char Char"/>
    <w:basedOn w:val="1"/>
    <w:qFormat/>
    <w:uiPriority w:val="0"/>
    <w:pPr>
      <w:tabs>
        <w:tab w:val="left" w:pos="360"/>
      </w:tabs>
      <w:ind w:firstLine="420" w:firstLineChars="150"/>
    </w:pPr>
    <w:rPr>
      <w:rFonts w:ascii="Arial" w:hAnsi="Arial" w:cs="Arial"/>
      <w:sz w:val="20"/>
    </w:rPr>
  </w:style>
  <w:style w:type="paragraph" w:customStyle="1" w:styleId="66">
    <w:name w:val="Plain Text1"/>
    <w:basedOn w:val="1"/>
    <w:qFormat/>
    <w:uiPriority w:val="99"/>
    <w:rPr>
      <w:rFonts w:ascii="宋体" w:hAnsi="Courier New"/>
    </w:rPr>
  </w:style>
  <w:style w:type="paragraph" w:customStyle="1" w:styleId="67">
    <w:name w:val="Char Char Char"/>
    <w:basedOn w:val="1"/>
    <w:qFormat/>
    <w:uiPriority w:val="0"/>
    <w:pPr>
      <w:widowControl/>
      <w:spacing w:after="160" w:line="240" w:lineRule="exact"/>
      <w:jc w:val="left"/>
    </w:pPr>
    <w:rPr>
      <w:szCs w:val="24"/>
    </w:rPr>
  </w:style>
  <w:style w:type="paragraph" w:customStyle="1" w:styleId="68">
    <w:name w:val="正文缩进1"/>
    <w:basedOn w:val="1"/>
    <w:qFormat/>
    <w:uiPriority w:val="0"/>
    <w:pPr>
      <w:autoSpaceDE w:val="0"/>
      <w:autoSpaceDN w:val="0"/>
      <w:adjustRightInd w:val="0"/>
      <w:ind w:firstLine="420"/>
    </w:pPr>
    <w:rPr>
      <w:rFonts w:ascii="宋体" w:hAnsi="Calibri"/>
      <w:szCs w:val="22"/>
    </w:rPr>
  </w:style>
  <w:style w:type="paragraph" w:customStyle="1" w:styleId="69">
    <w:name w:val="Normal"/>
    <w:qFormat/>
    <w:uiPriority w:val="0"/>
    <w:rPr>
      <w:rFonts w:ascii="Times New Roman" w:hAnsi="Times New Roman" w:eastAsia="Times New Roman" w:cs="Times New Roman"/>
      <w:sz w:val="24"/>
      <w:szCs w:val="24"/>
      <w:lang w:val="en-US" w:eastAsia="zh-CN" w:bidi="ar-SA"/>
    </w:rPr>
  </w:style>
  <w:style w:type="paragraph" w:customStyle="1" w:styleId="70">
    <w:name w:val="List 2"/>
    <w:basedOn w:val="1"/>
    <w:qFormat/>
    <w:uiPriority w:val="0"/>
    <w:pPr>
      <w:spacing w:beforeAutospacing="1" w:afterAutospacing="1" w:line="360" w:lineRule="auto"/>
      <w:ind w:left="100" w:leftChars="200" w:hanging="200" w:hangingChars="200"/>
      <w:contextualSpacing/>
    </w:pPr>
    <w:rPr>
      <w:sz w:val="24"/>
    </w:rPr>
  </w:style>
  <w:style w:type="paragraph" w:customStyle="1" w:styleId="71">
    <w:name w:val="_Style 62"/>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2">
    <w:name w:val="_Style 7"/>
    <w:basedOn w:val="1"/>
    <w:qFormat/>
    <w:uiPriority w:val="0"/>
    <w:pPr>
      <w:tabs>
        <w:tab w:val="left" w:pos="360"/>
      </w:tabs>
      <w:ind w:firstLine="420" w:firstLineChars="150"/>
    </w:pPr>
    <w:rPr>
      <w:rFonts w:ascii="Arial" w:hAnsi="Arial" w:cs="Arial"/>
      <w:sz w:val="20"/>
    </w:rPr>
  </w:style>
  <w:style w:type="paragraph" w:customStyle="1" w:styleId="73">
    <w:name w:val="_Style 11"/>
    <w:basedOn w:val="1"/>
    <w:qFormat/>
    <w:uiPriority w:val="0"/>
    <w:pPr>
      <w:tabs>
        <w:tab w:val="left" w:pos="360"/>
      </w:tabs>
      <w:ind w:firstLine="420" w:firstLineChars="150"/>
    </w:pPr>
    <w:rPr>
      <w:rFonts w:ascii="Arial" w:hAnsi="Arial" w:cs="Arial"/>
      <w:sz w:val="20"/>
    </w:rPr>
  </w:style>
  <w:style w:type="paragraph" w:customStyle="1" w:styleId="74">
    <w:name w:val="p15"/>
    <w:basedOn w:val="1"/>
    <w:qFormat/>
    <w:uiPriority w:val="0"/>
    <w:pPr>
      <w:widowControl/>
    </w:pPr>
    <w:rPr>
      <w:rFonts w:ascii="宋体" w:hAnsi="宋体" w:cs="宋体"/>
      <w:kern w:val="0"/>
      <w:szCs w:val="21"/>
    </w:rPr>
  </w:style>
  <w:style w:type="paragraph" w:customStyle="1" w:styleId="75">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76">
    <w:name w:val="正文1"/>
    <w:basedOn w:val="1"/>
    <w:qFormat/>
    <w:uiPriority w:val="0"/>
    <w:pPr>
      <w:spacing w:before="156" w:beforeLines="50" w:line="360" w:lineRule="auto"/>
      <w:ind w:firstLine="420" w:firstLineChars="200"/>
    </w:pPr>
    <w:rPr>
      <w:rFonts w:ascii="宋体" w:hAnsi="宋体"/>
      <w:iCs/>
      <w:szCs w:val="21"/>
    </w:rPr>
  </w:style>
  <w:style w:type="paragraph" w:customStyle="1" w:styleId="77">
    <w:name w:val="样式 标题 2 + 宋体 五号 非加粗 黑色"/>
    <w:basedOn w:val="3"/>
    <w:qFormat/>
    <w:uiPriority w:val="0"/>
    <w:pPr>
      <w:numPr>
        <w:ilvl w:val="1"/>
        <w:numId w:val="1"/>
      </w:numPr>
      <w:adjustRightInd w:val="0"/>
      <w:spacing w:line="416" w:lineRule="atLeast"/>
      <w:jc w:val="left"/>
      <w:textAlignment w:val="baseline"/>
    </w:pPr>
    <w:rPr>
      <w:rFonts w:ascii="宋体" w:hAnsi="宋体" w:eastAsia="宋体"/>
      <w:b w:val="0"/>
      <w:bCs w:val="0"/>
      <w:color w:val="000000"/>
      <w:kern w:val="0"/>
      <w:sz w:val="21"/>
    </w:rPr>
  </w:style>
  <w:style w:type="paragraph" w:customStyle="1" w:styleId="78">
    <w:name w:val="正文序号 1"/>
    <w:basedOn w:val="1"/>
    <w:qFormat/>
    <w:uiPriority w:val="0"/>
    <w:pPr>
      <w:numPr>
        <w:ilvl w:val="0"/>
        <w:numId w:val="3"/>
      </w:numPr>
      <w:tabs>
        <w:tab w:val="left" w:pos="502"/>
        <w:tab w:val="left" w:pos="839"/>
      </w:tabs>
      <w:spacing w:before="60"/>
    </w:pPr>
    <w:rPr>
      <w:szCs w:val="24"/>
    </w:rPr>
  </w:style>
  <w:style w:type="paragraph" w:customStyle="1" w:styleId="79">
    <w:name w:val="p0"/>
    <w:basedOn w:val="1"/>
    <w:qFormat/>
    <w:uiPriority w:val="0"/>
    <w:pPr>
      <w:widowControl/>
      <w:jc w:val="left"/>
    </w:pPr>
    <w:rPr>
      <w:kern w:val="0"/>
      <w:szCs w:val="21"/>
    </w:rPr>
  </w:style>
  <w:style w:type="paragraph" w:customStyle="1" w:styleId="80">
    <w:name w:val="Char Char2"/>
    <w:basedOn w:val="1"/>
    <w:qFormat/>
    <w:uiPriority w:val="0"/>
    <w:pPr>
      <w:widowControl/>
      <w:spacing w:after="160" w:line="240" w:lineRule="exact"/>
      <w:jc w:val="left"/>
    </w:pPr>
    <w:rPr>
      <w:rFonts w:ascii="Verdana" w:hAnsi="Verdana"/>
      <w:kern w:val="0"/>
      <w:sz w:val="20"/>
      <w:lang w:eastAsia="en-US"/>
    </w:rPr>
  </w:style>
  <w:style w:type="paragraph" w:customStyle="1" w:styleId="81">
    <w:name w:val="样式 标题 4 + 段前: 5 磅 段后: 5 磅 行距: 单倍行距"/>
    <w:basedOn w:val="5"/>
    <w:qFormat/>
    <w:uiPriority w:val="0"/>
    <w:pPr>
      <w:spacing w:before="100" w:after="100" w:line="240" w:lineRule="auto"/>
    </w:pPr>
    <w:rPr>
      <w:rFonts w:cs="宋体"/>
      <w:szCs w:val="20"/>
    </w:rPr>
  </w:style>
  <w:style w:type="paragraph" w:customStyle="1" w:styleId="82">
    <w:name w:val=" Char"/>
    <w:basedOn w:val="1"/>
    <w:qFormat/>
    <w:uiPriority w:val="0"/>
    <w:pPr>
      <w:widowControl/>
      <w:spacing w:after="160" w:afterLines="0" w:line="240" w:lineRule="exact"/>
      <w:jc w:val="left"/>
    </w:pPr>
    <w:rPr>
      <w:rFonts w:ascii="Verdana" w:hAnsi="Verdana" w:cs="Verdana"/>
      <w:kern w:val="0"/>
      <w:szCs w:val="21"/>
      <w:lang w:eastAsia="en-US"/>
    </w:rPr>
  </w:style>
  <w:style w:type="paragraph" w:customStyle="1" w:styleId="83">
    <w:name w:val="列出段落1"/>
    <w:basedOn w:val="1"/>
    <w:qFormat/>
    <w:uiPriority w:val="34"/>
    <w:pPr>
      <w:ind w:firstLine="420" w:firstLineChars="200"/>
    </w:pPr>
  </w:style>
  <w:style w:type="paragraph" w:customStyle="1" w:styleId="8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5">
    <w:name w:val="Char"/>
    <w:basedOn w:val="1"/>
    <w:qFormat/>
    <w:uiPriority w:val="0"/>
    <w:pPr>
      <w:tabs>
        <w:tab w:val="left" w:pos="360"/>
      </w:tabs>
      <w:spacing w:line="360" w:lineRule="auto"/>
      <w:ind w:firstLine="480" w:firstLineChars="200"/>
    </w:pPr>
    <w:rPr>
      <w:rFonts w:ascii="楷体_GB2312" w:eastAsia="楷体_GB2312"/>
      <w:sz w:val="24"/>
      <w:szCs w:val="24"/>
    </w:rPr>
  </w:style>
  <w:style w:type="paragraph" w:customStyle="1" w:styleId="86">
    <w:name w:val="表头文本"/>
    <w:basedOn w:val="1"/>
    <w:qFormat/>
    <w:uiPriority w:val="0"/>
    <w:pPr>
      <w:autoSpaceDE w:val="0"/>
      <w:autoSpaceDN w:val="0"/>
      <w:adjustRightInd w:val="0"/>
      <w:jc w:val="center"/>
    </w:pPr>
    <w:rPr>
      <w:b/>
      <w:kern w:val="0"/>
      <w:sz w:val="24"/>
    </w:rPr>
  </w:style>
  <w:style w:type="paragraph" w:customStyle="1" w:styleId="87">
    <w:name w:val="默认段落字体 Para Char Char Char Char Char Char Char Char Char Char Char Char Char Char Char Char"/>
    <w:basedOn w:val="1"/>
    <w:qFormat/>
    <w:uiPriority w:val="0"/>
    <w:rPr>
      <w:rFonts w:ascii="Tahoma" w:hAnsi="Tahoma"/>
      <w:sz w:val="24"/>
    </w:rPr>
  </w:style>
  <w:style w:type="paragraph" w:customStyle="1" w:styleId="88">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样式2"/>
    <w:basedOn w:val="1"/>
    <w:qFormat/>
    <w:uiPriority w:val="0"/>
    <w:pPr>
      <w:spacing w:line="560" w:lineRule="exact"/>
      <w:ind w:firstLine="601"/>
    </w:pPr>
    <w:rPr>
      <w:rFonts w:eastAsia="宋体"/>
      <w:kern w:val="2"/>
      <w:sz w:val="28"/>
      <w:lang w:val="en-US" w:eastAsia="zh-CN" w:bidi="ar-SA"/>
    </w:rPr>
  </w:style>
  <w:style w:type="paragraph" w:customStyle="1" w:styleId="9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1">
    <w:name w:val="标题 3_0"/>
    <w:basedOn w:val="75"/>
    <w:next w:val="75"/>
    <w:link w:val="122"/>
    <w:qFormat/>
    <w:uiPriority w:val="0"/>
    <w:pPr>
      <w:autoSpaceDE w:val="0"/>
      <w:autoSpaceDN w:val="0"/>
      <w:adjustRightInd w:val="0"/>
      <w:spacing w:line="500" w:lineRule="exact"/>
      <w:jc w:val="center"/>
      <w:outlineLvl w:val="2"/>
    </w:pPr>
    <w:rPr>
      <w:rFonts w:ascii="宋体" w:hAnsi="宋体"/>
      <w:b/>
      <w:szCs w:val="28"/>
    </w:rPr>
  </w:style>
  <w:style w:type="paragraph" w:customStyle="1" w:styleId="92">
    <w:name w:val="附件正文"/>
    <w:basedOn w:val="1"/>
    <w:qFormat/>
    <w:uiPriority w:val="0"/>
    <w:pPr>
      <w:snapToGrid w:val="0"/>
      <w:spacing w:line="500" w:lineRule="exact"/>
      <w:ind w:firstLine="540" w:firstLineChars="225"/>
    </w:pPr>
    <w:rPr>
      <w:kern w:val="0"/>
      <w:sz w:val="24"/>
      <w:szCs w:val="24"/>
    </w:rPr>
  </w:style>
  <w:style w:type="paragraph" w:styleId="93">
    <w:name w:val="List Paragraph"/>
    <w:basedOn w:val="1"/>
    <w:qFormat/>
    <w:uiPriority w:val="0"/>
    <w:pPr>
      <w:ind w:firstLine="420" w:firstLineChars="200"/>
    </w:pPr>
    <w:rPr>
      <w:rFonts w:ascii="Calibri" w:hAnsi="Calibri"/>
      <w:szCs w:val="22"/>
    </w:rPr>
  </w:style>
  <w:style w:type="paragraph" w:customStyle="1" w:styleId="94">
    <w:name w:val="正文文字"/>
    <w:basedOn w:val="1"/>
    <w:link w:val="121"/>
    <w:qFormat/>
    <w:uiPriority w:val="0"/>
    <w:pPr>
      <w:widowControl/>
      <w:spacing w:line="2375" w:lineRule="atLeast"/>
      <w:ind w:firstLine="419"/>
      <w:textAlignment w:val="baseline"/>
    </w:pPr>
    <w:rPr>
      <w:rFonts w:ascii="宋体"/>
      <w:color w:val="000000"/>
      <w:kern w:val="0"/>
      <w:sz w:val="28"/>
      <w:u w:val="none" w:color="000000"/>
    </w:rPr>
  </w:style>
  <w:style w:type="paragraph" w:customStyle="1" w:styleId="95">
    <w:name w:val="WPSOffice手动目录 3"/>
    <w:qFormat/>
    <w:uiPriority w:val="0"/>
    <w:pPr>
      <w:ind w:leftChars="400"/>
    </w:pPr>
    <w:rPr>
      <w:rFonts w:ascii="Times New Roman" w:hAnsi="Times New Roman" w:eastAsia="宋体" w:cs="Times New Roman"/>
      <w:sz w:val="20"/>
      <w:szCs w:val="20"/>
    </w:rPr>
  </w:style>
  <w:style w:type="character" w:customStyle="1" w:styleId="96">
    <w:name w:val="批注文字 Char1"/>
    <w:basedOn w:val="47"/>
    <w:link w:val="18"/>
    <w:qFormat/>
    <w:uiPriority w:val="0"/>
    <w:rPr>
      <w:kern w:val="2"/>
      <w:sz w:val="21"/>
    </w:rPr>
  </w:style>
  <w:style w:type="character" w:customStyle="1" w:styleId="97">
    <w:name w:val="批注文字 Char"/>
    <w:qFormat/>
    <w:uiPriority w:val="0"/>
    <w:rPr>
      <w:rFonts w:eastAsia="宋体"/>
      <w:kern w:val="2"/>
      <w:sz w:val="21"/>
      <w:szCs w:val="24"/>
      <w:lang w:val="en-US" w:eastAsia="zh-CN" w:bidi="ar-SA"/>
    </w:rPr>
  </w:style>
  <w:style w:type="character" w:customStyle="1" w:styleId="98">
    <w:name w:val="font41"/>
    <w:basedOn w:val="47"/>
    <w:qFormat/>
    <w:uiPriority w:val="0"/>
    <w:rPr>
      <w:rFonts w:hint="eastAsia" w:ascii="宋体" w:hAnsi="宋体" w:eastAsia="宋体" w:cs="宋体"/>
      <w:color w:val="000000"/>
      <w:sz w:val="20"/>
      <w:szCs w:val="20"/>
      <w:u w:val="none"/>
    </w:rPr>
  </w:style>
  <w:style w:type="character" w:customStyle="1" w:styleId="99">
    <w:name w:val="font141"/>
    <w:basedOn w:val="47"/>
    <w:qFormat/>
    <w:uiPriority w:val="0"/>
    <w:rPr>
      <w:rFonts w:hint="eastAsia" w:ascii="宋体" w:hAnsi="宋体" w:eastAsia="宋体" w:cs="宋体"/>
      <w:color w:val="000000"/>
      <w:sz w:val="24"/>
      <w:szCs w:val="24"/>
      <w:u w:val="none"/>
    </w:rPr>
  </w:style>
  <w:style w:type="character" w:customStyle="1" w:styleId="100">
    <w:name w:val="font51"/>
    <w:basedOn w:val="47"/>
    <w:qFormat/>
    <w:uiPriority w:val="0"/>
    <w:rPr>
      <w:rFonts w:hint="eastAsia" w:ascii="宋体" w:hAnsi="宋体" w:eastAsia="宋体" w:cs="宋体"/>
      <w:color w:val="FF0000"/>
      <w:sz w:val="20"/>
      <w:szCs w:val="20"/>
      <w:u w:val="none"/>
    </w:rPr>
  </w:style>
  <w:style w:type="character" w:customStyle="1" w:styleId="101">
    <w:name w:val="正文文本缩进 3 Char"/>
    <w:basedOn w:val="47"/>
    <w:link w:val="37"/>
    <w:qFormat/>
    <w:uiPriority w:val="0"/>
    <w:rPr>
      <w:rFonts w:eastAsia="黑体"/>
      <w:b/>
      <w:bCs/>
      <w:kern w:val="2"/>
      <w:sz w:val="72"/>
      <w:szCs w:val="24"/>
    </w:rPr>
  </w:style>
  <w:style w:type="character" w:customStyle="1" w:styleId="102">
    <w:name w:val="HTML 预设格式 Char"/>
    <w:basedOn w:val="47"/>
    <w:link w:val="39"/>
    <w:qFormat/>
    <w:uiPriority w:val="0"/>
    <w:rPr>
      <w:rFonts w:ascii="宋体" w:hAnsi="宋体"/>
      <w:sz w:val="24"/>
      <w:szCs w:val="24"/>
    </w:rPr>
  </w:style>
  <w:style w:type="character" w:customStyle="1" w:styleId="103">
    <w:name w:val="font31"/>
    <w:basedOn w:val="47"/>
    <w:qFormat/>
    <w:uiPriority w:val="0"/>
    <w:rPr>
      <w:rFonts w:hint="eastAsia" w:ascii="宋体" w:hAnsi="宋体" w:eastAsia="宋体" w:cs="宋体"/>
      <w:color w:val="000000"/>
      <w:sz w:val="16"/>
      <w:szCs w:val="16"/>
      <w:u w:val="none"/>
    </w:rPr>
  </w:style>
  <w:style w:type="character" w:customStyle="1" w:styleId="104">
    <w:name w:val="标题 3 Char"/>
    <w:basedOn w:val="47"/>
    <w:link w:val="4"/>
    <w:qFormat/>
    <w:uiPriority w:val="0"/>
    <w:rPr>
      <w:b/>
      <w:bCs/>
      <w:kern w:val="2"/>
      <w:sz w:val="32"/>
      <w:szCs w:val="32"/>
    </w:rPr>
  </w:style>
  <w:style w:type="character" w:customStyle="1" w:styleId="105">
    <w:name w:val="正文文本缩进 Char"/>
    <w:qFormat/>
    <w:uiPriority w:val="0"/>
    <w:rPr>
      <w:rFonts w:eastAsia="宋体"/>
      <w:kern w:val="2"/>
      <w:sz w:val="24"/>
      <w:szCs w:val="24"/>
      <w:lang w:val="en-US" w:eastAsia="zh-CN" w:bidi="ar-SA"/>
    </w:rPr>
  </w:style>
  <w:style w:type="character" w:customStyle="1" w:styleId="106">
    <w:name w:val="font11"/>
    <w:basedOn w:val="47"/>
    <w:qFormat/>
    <w:uiPriority w:val="0"/>
    <w:rPr>
      <w:rFonts w:hint="eastAsia" w:ascii="宋体" w:hAnsi="宋体" w:eastAsia="宋体" w:cs="宋体"/>
      <w:color w:val="000000"/>
      <w:sz w:val="16"/>
      <w:szCs w:val="16"/>
      <w:u w:val="none"/>
    </w:rPr>
  </w:style>
  <w:style w:type="character" w:customStyle="1" w:styleId="107">
    <w:name w:val="font01"/>
    <w:basedOn w:val="47"/>
    <w:qFormat/>
    <w:uiPriority w:val="0"/>
    <w:rPr>
      <w:rFonts w:hint="eastAsia" w:ascii="宋体" w:hAnsi="宋体" w:eastAsia="宋体" w:cs="宋体"/>
      <w:color w:val="000000"/>
      <w:sz w:val="24"/>
      <w:szCs w:val="24"/>
      <w:u w:val="none"/>
    </w:rPr>
  </w:style>
  <w:style w:type="character" w:customStyle="1" w:styleId="108">
    <w:name w:val="正文文本 Char1"/>
    <w:basedOn w:val="47"/>
    <w:link w:val="21"/>
    <w:qFormat/>
    <w:uiPriority w:val="0"/>
    <w:rPr>
      <w:kern w:val="2"/>
      <w:sz w:val="21"/>
    </w:rPr>
  </w:style>
  <w:style w:type="character" w:customStyle="1" w:styleId="109">
    <w:name w:val="批注主题 Char"/>
    <w:basedOn w:val="96"/>
    <w:link w:val="42"/>
    <w:qFormat/>
    <w:uiPriority w:val="0"/>
  </w:style>
  <w:style w:type="character" w:customStyle="1" w:styleId="110">
    <w:name w:val="标题 6 Char"/>
    <w:basedOn w:val="47"/>
    <w:link w:val="7"/>
    <w:qFormat/>
    <w:uiPriority w:val="0"/>
    <w:rPr>
      <w:rFonts w:eastAsia="黑体"/>
      <w:b/>
      <w:bCs/>
      <w:sz w:val="24"/>
      <w:szCs w:val="24"/>
    </w:rPr>
  </w:style>
  <w:style w:type="character" w:customStyle="1" w:styleId="111">
    <w:name w:val="font151"/>
    <w:basedOn w:val="47"/>
    <w:qFormat/>
    <w:uiPriority w:val="0"/>
    <w:rPr>
      <w:rFonts w:hint="default" w:ascii="Times New Roman" w:hAnsi="Times New Roman" w:cs="Times New Roman"/>
      <w:color w:val="000000"/>
      <w:sz w:val="20"/>
      <w:szCs w:val="20"/>
      <w:u w:val="none"/>
    </w:rPr>
  </w:style>
  <w:style w:type="character" w:customStyle="1" w:styleId="112">
    <w:name w:val="font61"/>
    <w:basedOn w:val="47"/>
    <w:qFormat/>
    <w:uiPriority w:val="0"/>
    <w:rPr>
      <w:rFonts w:hint="eastAsia" w:ascii="微软雅黑" w:hAnsi="微软雅黑" w:eastAsia="微软雅黑" w:cs="微软雅黑"/>
      <w:color w:val="000000"/>
      <w:sz w:val="16"/>
      <w:szCs w:val="16"/>
      <w:u w:val="none"/>
    </w:rPr>
  </w:style>
  <w:style w:type="character" w:customStyle="1" w:styleId="113">
    <w:name w:val="文档结构图 Char"/>
    <w:basedOn w:val="47"/>
    <w:link w:val="16"/>
    <w:qFormat/>
    <w:uiPriority w:val="0"/>
    <w:rPr>
      <w:kern w:val="2"/>
      <w:sz w:val="21"/>
      <w:szCs w:val="24"/>
      <w:shd w:val="clear" w:color="auto" w:fill="000080"/>
    </w:rPr>
  </w:style>
  <w:style w:type="character" w:customStyle="1" w:styleId="114">
    <w:name w:val="页脚 Char"/>
    <w:link w:val="31"/>
    <w:qFormat/>
    <w:uiPriority w:val="99"/>
    <w:rPr>
      <w:kern w:val="2"/>
      <w:sz w:val="18"/>
      <w:szCs w:val="18"/>
    </w:rPr>
  </w:style>
  <w:style w:type="character" w:customStyle="1" w:styleId="115">
    <w:name w:val="标题 8 Char"/>
    <w:basedOn w:val="47"/>
    <w:link w:val="9"/>
    <w:qFormat/>
    <w:uiPriority w:val="0"/>
    <w:rPr>
      <w:rFonts w:eastAsia="黑体"/>
      <w:sz w:val="24"/>
      <w:szCs w:val="24"/>
    </w:rPr>
  </w:style>
  <w:style w:type="character" w:customStyle="1" w:styleId="116">
    <w:name w:val="纯文本 Char"/>
    <w:link w:val="26"/>
    <w:qFormat/>
    <w:uiPriority w:val="0"/>
    <w:rPr>
      <w:rFonts w:ascii="宋体" w:hAnsi="Courier New"/>
      <w:kern w:val="2"/>
      <w:sz w:val="21"/>
    </w:rPr>
  </w:style>
  <w:style w:type="character" w:customStyle="1" w:styleId="117">
    <w:name w:val="font112"/>
    <w:basedOn w:val="47"/>
    <w:qFormat/>
    <w:uiPriority w:val="0"/>
    <w:rPr>
      <w:rFonts w:hint="eastAsia" w:ascii="宋体" w:hAnsi="宋体" w:eastAsia="宋体" w:cs="宋体"/>
      <w:color w:val="000000"/>
      <w:sz w:val="16"/>
      <w:szCs w:val="16"/>
      <w:u w:val="none"/>
    </w:rPr>
  </w:style>
  <w:style w:type="character" w:customStyle="1" w:styleId="118">
    <w:name w:val="纯文本 Char1"/>
    <w:basedOn w:val="47"/>
    <w:qFormat/>
    <w:uiPriority w:val="0"/>
    <w:rPr>
      <w:rFonts w:eastAsia="宋体"/>
      <w:kern w:val="2"/>
      <w:sz w:val="24"/>
      <w:lang w:val="en-US" w:eastAsia="zh-CN" w:bidi="ar-SA"/>
    </w:rPr>
  </w:style>
  <w:style w:type="character" w:customStyle="1" w:styleId="119">
    <w:name w:val="正文首行缩进 2 Char"/>
    <w:basedOn w:val="120"/>
    <w:link w:val="44"/>
    <w:qFormat/>
    <w:uiPriority w:val="0"/>
  </w:style>
  <w:style w:type="character" w:customStyle="1" w:styleId="120">
    <w:name w:val="正文文本缩进 Char1"/>
    <w:basedOn w:val="47"/>
    <w:link w:val="22"/>
    <w:qFormat/>
    <w:uiPriority w:val="0"/>
    <w:rPr>
      <w:kern w:val="2"/>
      <w:sz w:val="28"/>
    </w:rPr>
  </w:style>
  <w:style w:type="character" w:customStyle="1" w:styleId="121">
    <w:name w:val="正文文字 Char1"/>
    <w:basedOn w:val="47"/>
    <w:link w:val="94"/>
    <w:qFormat/>
    <w:uiPriority w:val="0"/>
    <w:rPr>
      <w:rFonts w:ascii="宋体"/>
      <w:color w:val="000000"/>
      <w:kern w:val="0"/>
      <w:sz w:val="28"/>
      <w:u w:val="none" w:color="000000"/>
    </w:rPr>
  </w:style>
  <w:style w:type="character" w:customStyle="1" w:styleId="122">
    <w:name w:val="标题 3 Char_0"/>
    <w:link w:val="91"/>
    <w:qFormat/>
    <w:uiPriority w:val="0"/>
    <w:rPr>
      <w:rFonts w:ascii="宋体" w:hAnsi="宋体"/>
      <w:b/>
      <w:kern w:val="2"/>
      <w:sz w:val="28"/>
      <w:szCs w:val="28"/>
    </w:rPr>
  </w:style>
  <w:style w:type="character" w:customStyle="1" w:styleId="123">
    <w:name w:val="font21"/>
    <w:basedOn w:val="47"/>
    <w:qFormat/>
    <w:uiPriority w:val="0"/>
    <w:rPr>
      <w:rFonts w:hint="eastAsia" w:ascii="宋体" w:hAnsi="宋体" w:eastAsia="宋体" w:cs="宋体"/>
      <w:color w:val="000000"/>
      <w:sz w:val="22"/>
      <w:szCs w:val="22"/>
      <w:u w:val="none"/>
    </w:rPr>
  </w:style>
  <w:style w:type="character" w:customStyle="1" w:styleId="124">
    <w:name w:val="脚注文本 Char"/>
    <w:basedOn w:val="47"/>
    <w:link w:val="36"/>
    <w:qFormat/>
    <w:uiPriority w:val="0"/>
    <w:rPr>
      <w:sz w:val="18"/>
    </w:rPr>
  </w:style>
  <w:style w:type="character" w:customStyle="1" w:styleId="125">
    <w:name w:val="副标题 Char"/>
    <w:link w:val="34"/>
    <w:qFormat/>
    <w:uiPriority w:val="0"/>
    <w:rPr>
      <w:rFonts w:ascii="Cambria" w:hAnsi="Cambria" w:eastAsia="宋体"/>
      <w:b/>
      <w:bCs/>
      <w:kern w:val="28"/>
      <w:sz w:val="32"/>
      <w:szCs w:val="32"/>
      <w:lang w:val="en-US" w:eastAsia="zh-CN" w:bidi="ar-SA"/>
    </w:rPr>
  </w:style>
  <w:style w:type="character" w:customStyle="1" w:styleId="126">
    <w:name w:val=" Char Char3"/>
    <w:qFormat/>
    <w:uiPriority w:val="0"/>
    <w:rPr>
      <w:rFonts w:eastAsia="宋体"/>
      <w:kern w:val="2"/>
      <w:sz w:val="21"/>
      <w:szCs w:val="24"/>
      <w:lang w:val="en-US" w:eastAsia="zh-CN" w:bidi="ar-SA"/>
    </w:rPr>
  </w:style>
  <w:style w:type="character" w:customStyle="1" w:styleId="127">
    <w:name w:val="正文文本 Char"/>
    <w:link w:val="21"/>
    <w:qFormat/>
    <w:uiPriority w:val="0"/>
    <w:rPr>
      <w:kern w:val="2"/>
      <w:sz w:val="21"/>
      <w:szCs w:val="24"/>
    </w:rPr>
  </w:style>
  <w:style w:type="character" w:customStyle="1" w:styleId="128">
    <w:name w:val=" Char Char6"/>
    <w:qFormat/>
    <w:uiPriority w:val="0"/>
    <w:rPr>
      <w:rFonts w:eastAsia="宋体"/>
      <w:kern w:val="2"/>
      <w:sz w:val="21"/>
      <w:szCs w:val="24"/>
      <w:lang w:val="en-US" w:eastAsia="zh-CN" w:bidi="ar-SA"/>
    </w:rPr>
  </w:style>
  <w:style w:type="character" w:customStyle="1" w:styleId="129">
    <w:name w:val="标题 Char"/>
    <w:basedOn w:val="47"/>
    <w:link w:val="41"/>
    <w:qFormat/>
    <w:uiPriority w:val="0"/>
    <w:rPr>
      <w:rFonts w:ascii="Cambria" w:hAnsi="Cambria"/>
      <w:b/>
      <w:bCs/>
      <w:kern w:val="2"/>
      <w:sz w:val="32"/>
      <w:szCs w:val="32"/>
    </w:rPr>
  </w:style>
  <w:style w:type="character" w:customStyle="1" w:styleId="130">
    <w:name w:val="日期 Char"/>
    <w:basedOn w:val="47"/>
    <w:link w:val="28"/>
    <w:qFormat/>
    <w:uiPriority w:val="0"/>
    <w:rPr>
      <w:kern w:val="2"/>
      <w:sz w:val="21"/>
      <w:szCs w:val="24"/>
    </w:rPr>
  </w:style>
  <w:style w:type="character" w:customStyle="1" w:styleId="131">
    <w:name w:val="ca-1"/>
    <w:basedOn w:val="47"/>
    <w:qFormat/>
    <w:uiPriority w:val="0"/>
  </w:style>
  <w:style w:type="character" w:customStyle="1" w:styleId="132">
    <w:name w:val="font101"/>
    <w:basedOn w:val="47"/>
    <w:qFormat/>
    <w:uiPriority w:val="0"/>
    <w:rPr>
      <w:rFonts w:ascii="Arial Unicode MS" w:hAnsi="Arial Unicode MS" w:eastAsia="Arial Unicode MS" w:cs="Arial Unicode MS"/>
      <w:color w:val="000000"/>
      <w:sz w:val="16"/>
      <w:szCs w:val="16"/>
      <w:u w:val="none"/>
    </w:rPr>
  </w:style>
  <w:style w:type="character" w:customStyle="1" w:styleId="133">
    <w:name w:val="标题 2 Char"/>
    <w:link w:val="3"/>
    <w:qFormat/>
    <w:uiPriority w:val="0"/>
    <w:rPr>
      <w:rFonts w:ascii="Arial Black" w:hAnsi="Arial Black" w:eastAsia="黑体"/>
      <w:b/>
      <w:bCs/>
      <w:kern w:val="2"/>
      <w:sz w:val="32"/>
      <w:szCs w:val="32"/>
      <w:lang w:val="en-US" w:eastAsia="zh-CN" w:bidi="ar-SA"/>
    </w:rPr>
  </w:style>
  <w:style w:type="character" w:customStyle="1" w:styleId="134">
    <w:name w:val="标题 5 Char"/>
    <w:basedOn w:val="47"/>
    <w:link w:val="6"/>
    <w:qFormat/>
    <w:uiPriority w:val="0"/>
    <w:rPr>
      <w:b/>
      <w:bCs/>
      <w:sz w:val="28"/>
      <w:szCs w:val="28"/>
    </w:rPr>
  </w:style>
  <w:style w:type="character" w:customStyle="1" w:styleId="135">
    <w:name w:val="标题 7 Char"/>
    <w:basedOn w:val="47"/>
    <w:link w:val="8"/>
    <w:qFormat/>
    <w:uiPriority w:val="0"/>
    <w:rPr>
      <w:b/>
      <w:bCs/>
      <w:sz w:val="24"/>
      <w:szCs w:val="24"/>
    </w:rPr>
  </w:style>
  <w:style w:type="character" w:customStyle="1" w:styleId="136">
    <w:name w:val="正文文本 3 Char"/>
    <w:basedOn w:val="47"/>
    <w:link w:val="20"/>
    <w:qFormat/>
    <w:uiPriority w:val="0"/>
    <w:rPr>
      <w:kern w:val="2"/>
      <w:sz w:val="16"/>
      <w:szCs w:val="16"/>
    </w:rPr>
  </w:style>
  <w:style w:type="character" w:customStyle="1" w:styleId="137">
    <w:name w:val="批注框文本 Char"/>
    <w:basedOn w:val="47"/>
    <w:link w:val="30"/>
    <w:qFormat/>
    <w:uiPriority w:val="0"/>
    <w:rPr>
      <w:kern w:val="2"/>
      <w:sz w:val="18"/>
      <w:szCs w:val="18"/>
    </w:rPr>
  </w:style>
  <w:style w:type="character" w:customStyle="1" w:styleId="138">
    <w:name w:val="正文文本缩进 2 Char"/>
    <w:basedOn w:val="47"/>
    <w:link w:val="29"/>
    <w:qFormat/>
    <w:uiPriority w:val="0"/>
    <w:rPr>
      <w:kern w:val="2"/>
      <w:sz w:val="21"/>
      <w:szCs w:val="24"/>
    </w:rPr>
  </w:style>
  <w:style w:type="character" w:customStyle="1" w:styleId="139">
    <w:name w:val="标题 9 Char"/>
    <w:basedOn w:val="47"/>
    <w:link w:val="10"/>
    <w:qFormat/>
    <w:uiPriority w:val="0"/>
    <w:rPr>
      <w:rFonts w:eastAsia="黑体"/>
      <w:sz w:val="21"/>
      <w:szCs w:val="21"/>
    </w:rPr>
  </w:style>
  <w:style w:type="character" w:customStyle="1" w:styleId="140">
    <w:name w:val="标题 4 Char"/>
    <w:basedOn w:val="47"/>
    <w:link w:val="5"/>
    <w:qFormat/>
    <w:uiPriority w:val="0"/>
    <w:rPr>
      <w:rFonts w:eastAsia="黑体"/>
      <w:b/>
      <w:bCs/>
      <w:sz w:val="28"/>
      <w:szCs w:val="28"/>
    </w:rPr>
  </w:style>
  <w:style w:type="character" w:customStyle="1" w:styleId="141">
    <w:name w:val="font91"/>
    <w:basedOn w:val="47"/>
    <w:qFormat/>
    <w:uiPriority w:val="0"/>
    <w:rPr>
      <w:rFonts w:hint="eastAsia" w:ascii="宋体" w:hAnsi="宋体" w:eastAsia="宋体" w:cs="宋体"/>
      <w:b/>
      <w:color w:val="FF0000"/>
      <w:sz w:val="20"/>
      <w:szCs w:val="20"/>
      <w:u w:val="none"/>
    </w:rPr>
  </w:style>
  <w:style w:type="paragraph" w:customStyle="1" w:styleId="142">
    <w:name w:val="Table Paragraph"/>
    <w:basedOn w:val="1"/>
    <w:qFormat/>
    <w:uiPriority w:val="1"/>
    <w:rPr>
      <w:rFonts w:ascii="宋体" w:hAnsi="宋体" w:eastAsia="宋体" w:cs="宋体"/>
      <w:lang w:val="zh-CN" w:eastAsia="zh-CN" w:bidi="zh-CN"/>
    </w:rPr>
  </w:style>
  <w:style w:type="paragraph" w:customStyle="1" w:styleId="143">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character" w:customStyle="1" w:styleId="144">
    <w:name w:val="标题 3 字符"/>
    <w:basedOn w:val="47"/>
    <w:link w:val="4"/>
    <w:semiHidden/>
    <w:qFormat/>
    <w:locked/>
    <w:uiPriority w:val="99"/>
    <w:rPr>
      <w:rFonts w:cs="Times New Roman"/>
      <w:b/>
      <w:bCs/>
      <w:sz w:val="32"/>
      <w:szCs w:val="32"/>
    </w:rPr>
  </w:style>
  <w:style w:type="paragraph" w:customStyle="1" w:styleId="145">
    <w:name w:val="样式3"/>
    <w:basedOn w:val="26"/>
    <w:qFormat/>
    <w:uiPriority w:val="0"/>
    <w:pPr>
      <w:spacing w:line="0" w:lineRule="atLeast"/>
      <w:outlineLvl w:val="0"/>
    </w:pPr>
    <w:rPr>
      <w:sz w:val="28"/>
    </w:rPr>
  </w:style>
  <w:style w:type="paragraph" w:customStyle="1" w:styleId="146">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147">
    <w:name w:val="纯文本1"/>
    <w:basedOn w:val="1"/>
    <w:qFormat/>
    <w:uiPriority w:val="0"/>
    <w:rPr>
      <w:rFonts w:ascii="宋体" w:hAnsi="Courier New" w:eastAsia="宋体" w:cs="Times New Roman"/>
      <w:szCs w:val="22"/>
    </w:rPr>
  </w:style>
  <w:style w:type="paragraph" w:customStyle="1" w:styleId="148">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9">
    <w:name w:val="表格"/>
    <w:basedOn w:val="1"/>
    <w:qFormat/>
    <w:uiPriority w:val="0"/>
    <w:pPr>
      <w:spacing w:line="360" w:lineRule="auto"/>
      <w:jc w:val="left"/>
    </w:pPr>
    <w:rPr>
      <w:rFonts w:eastAsia="新宋体" w:cs="新宋体"/>
      <w:spacing w:val="24"/>
      <w:sz w:val="21"/>
      <w:szCs w:val="21"/>
    </w:rPr>
  </w:style>
  <w:style w:type="character" w:customStyle="1" w:styleId="150">
    <w:name w:val="标题 2 字符"/>
    <w:link w:val="3"/>
    <w:qFormat/>
    <w:uiPriority w:val="0"/>
    <w:rPr>
      <w:rFonts w:ascii="Arial" w:hAnsi="Arial"/>
      <w:b/>
      <w:bCs/>
      <w:sz w:val="24"/>
      <w:szCs w:val="32"/>
    </w:rPr>
  </w:style>
  <w:style w:type="character" w:customStyle="1" w:styleId="151">
    <w:name w:val="font181"/>
    <w:basedOn w:val="47"/>
    <w:qFormat/>
    <w:uiPriority w:val="0"/>
    <w:rPr>
      <w:rFonts w:ascii="MS Gothic" w:hAnsi="MS Gothic" w:eastAsia="MS Gothic" w:cs="MS Gothic"/>
      <w:color w:val="000000"/>
      <w:sz w:val="20"/>
      <w:szCs w:val="20"/>
      <w:u w:val="none"/>
    </w:rPr>
  </w:style>
  <w:style w:type="character" w:customStyle="1" w:styleId="152">
    <w:name w:val="font161"/>
    <w:basedOn w:val="47"/>
    <w:qFormat/>
    <w:uiPriority w:val="0"/>
    <w:rPr>
      <w:rFonts w:hint="eastAsia" w:ascii="宋体" w:hAnsi="宋体" w:eastAsia="宋体" w:cs="宋体"/>
      <w:color w:val="000000"/>
      <w:sz w:val="20"/>
      <w:szCs w:val="20"/>
      <w:u w:val="none"/>
    </w:rPr>
  </w:style>
  <w:style w:type="character" w:customStyle="1" w:styleId="153">
    <w:name w:val="font271"/>
    <w:basedOn w:val="47"/>
    <w:qFormat/>
    <w:uiPriority w:val="0"/>
    <w:rPr>
      <w:rFonts w:hint="default" w:ascii="Times New Roman" w:hAnsi="Times New Roman" w:cs="Times New Roman"/>
      <w:color w:val="000000"/>
      <w:sz w:val="20"/>
      <w:szCs w:val="20"/>
      <w:u w:val="none"/>
    </w:rPr>
  </w:style>
  <w:style w:type="character" w:customStyle="1" w:styleId="154">
    <w:name w:val="font381"/>
    <w:basedOn w:val="47"/>
    <w:qFormat/>
    <w:uiPriority w:val="0"/>
    <w:rPr>
      <w:rFonts w:ascii="Cambria Math" w:hAnsi="Cambria Math" w:eastAsia="Cambria Math" w:cs="Cambria Math"/>
      <w:color w:val="000000"/>
      <w:sz w:val="20"/>
      <w:szCs w:val="20"/>
      <w:u w:val="none"/>
    </w:rPr>
  </w:style>
  <w:style w:type="character" w:customStyle="1" w:styleId="155">
    <w:name w:val="font451"/>
    <w:basedOn w:val="47"/>
    <w:qFormat/>
    <w:uiPriority w:val="0"/>
    <w:rPr>
      <w:rFonts w:ascii="Arial" w:hAnsi="Arial" w:cs="Arial"/>
      <w:color w:val="000000"/>
      <w:sz w:val="20"/>
      <w:szCs w:val="20"/>
      <w:u w:val="none"/>
    </w:rPr>
  </w:style>
  <w:style w:type="character" w:customStyle="1" w:styleId="156">
    <w:name w:val="font391"/>
    <w:basedOn w:val="47"/>
    <w:qFormat/>
    <w:uiPriority w:val="0"/>
    <w:rPr>
      <w:rFonts w:hint="eastAsia" w:ascii="仿宋" w:hAnsi="仿宋" w:eastAsia="仿宋" w:cs="仿宋"/>
      <w:color w:val="000000"/>
      <w:sz w:val="20"/>
      <w:szCs w:val="20"/>
      <w:u w:val="none"/>
    </w:rPr>
  </w:style>
  <w:style w:type="character" w:customStyle="1" w:styleId="157">
    <w:name w:val="font461"/>
    <w:basedOn w:val="47"/>
    <w:qFormat/>
    <w:uiPriority w:val="0"/>
    <w:rPr>
      <w:rFonts w:hint="eastAsia" w:ascii="仿宋" w:hAnsi="仿宋" w:eastAsia="仿宋" w:cs="仿宋"/>
      <w:color w:val="FF0000"/>
      <w:sz w:val="20"/>
      <w:szCs w:val="20"/>
      <w:u w:val="none"/>
    </w:rPr>
  </w:style>
  <w:style w:type="character" w:customStyle="1" w:styleId="158">
    <w:name w:val="font321"/>
    <w:basedOn w:val="47"/>
    <w:qFormat/>
    <w:uiPriority w:val="0"/>
    <w:rPr>
      <w:rFonts w:hint="default" w:ascii="Times New Roman" w:hAnsi="Times New Roman" w:cs="Times New Roman"/>
      <w:color w:val="000000"/>
      <w:sz w:val="20"/>
      <w:szCs w:val="20"/>
      <w:u w:val="none"/>
    </w:rPr>
  </w:style>
  <w:style w:type="character" w:customStyle="1" w:styleId="159">
    <w:name w:val="font71"/>
    <w:basedOn w:val="47"/>
    <w:qFormat/>
    <w:uiPriority w:val="0"/>
    <w:rPr>
      <w:rFonts w:ascii="MS Gothic" w:hAnsi="MS Gothic" w:eastAsia="MS Gothic" w:cs="MS Gothic"/>
      <w:color w:val="000000"/>
      <w:sz w:val="20"/>
      <w:szCs w:val="20"/>
      <w:u w:val="none"/>
    </w:rPr>
  </w:style>
  <w:style w:type="character" w:customStyle="1" w:styleId="160">
    <w:name w:val="font81"/>
    <w:basedOn w:val="47"/>
    <w:qFormat/>
    <w:uiPriority w:val="0"/>
    <w:rPr>
      <w:rFonts w:hint="eastAsia" w:ascii="宋体" w:hAnsi="宋体" w:eastAsia="宋体" w:cs="宋体"/>
      <w:color w:val="000000"/>
      <w:sz w:val="20"/>
      <w:szCs w:val="20"/>
      <w:u w:val="none"/>
    </w:rPr>
  </w:style>
  <w:style w:type="character" w:customStyle="1" w:styleId="161">
    <w:name w:val="font131"/>
    <w:basedOn w:val="4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147</Pages>
  <Words>47228</Words>
  <Characters>51217</Characters>
  <Lines>227</Lines>
  <Paragraphs>64</Paragraphs>
  <TotalTime>16</TotalTime>
  <ScaleCrop>false</ScaleCrop>
  <LinksUpToDate>false</LinksUpToDate>
  <CharactersWithSpaces>52143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2011-04-12T08:42:00Z</dcterms:created>
  <dc:creator>微软用户</dc:creator>
  <cp:lastModifiedBy>就这样吧</cp:lastModifiedBy>
  <cp:lastPrinted>2023-04-23T10:18:00Z</cp:lastPrinted>
  <dcterms:modified xsi:type="dcterms:W3CDTF">2025-06-24T09:37:45Z</dcterms:modified>
  <dc:title>招标文件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4A07EE81F227495A887596E0C254699E_13</vt:lpwstr>
  </property>
  <property fmtid="{D5CDD505-2E9C-101B-9397-08002B2CF9AE}" pid="4" name="KSOTemplateDocerSaveRecord">
    <vt:lpwstr>eyJoZGlkIjoiYmRjYTI1NjdjMzkxMTQ5NzU0NGZmNDMyMDI0MmMyMzQiLCJ1c2VySWQiOiI2MTQ4MTEwNzUifQ==</vt:lpwstr>
  </property>
</Properties>
</file>