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43503">
      <w:pPr>
        <w:pStyle w:val="2"/>
        <w:tabs>
          <w:tab w:val="left" w:pos="0"/>
        </w:tabs>
        <w:autoSpaceDE w:val="0"/>
        <w:autoSpaceDN w:val="0"/>
        <w:adjustRightInd w:val="0"/>
        <w:spacing w:before="0" w:after="0" w:line="360" w:lineRule="auto"/>
        <w:jc w:val="center"/>
        <w:rPr>
          <w:rFonts w:hint="eastAsia" w:ascii="华文中宋" w:hAnsi="华文中宋" w:eastAsia="华文中宋"/>
          <w:color w:val="auto"/>
          <w:highlight w:val="none"/>
        </w:rPr>
      </w:pPr>
      <w:r>
        <w:rPr>
          <w:rFonts w:hint="eastAsia" w:ascii="华文中宋" w:hAnsi="华文中宋" w:eastAsia="华文中宋"/>
          <w:color w:val="auto"/>
          <w:highlight w:val="none"/>
          <w:lang w:val="en-US" w:eastAsia="zh-CN"/>
        </w:rPr>
        <w:t>公开</w:t>
      </w:r>
      <w:r>
        <w:rPr>
          <w:rFonts w:hint="eastAsia" w:ascii="华文中宋" w:hAnsi="华文中宋" w:eastAsia="华文中宋"/>
          <w:color w:val="auto"/>
          <w:highlight w:val="none"/>
          <w:lang w:eastAsia="zh-CN"/>
        </w:rPr>
        <w:t>招标</w:t>
      </w:r>
      <w:r>
        <w:rPr>
          <w:rFonts w:hint="eastAsia" w:ascii="华文中宋" w:hAnsi="华文中宋" w:eastAsia="华文中宋"/>
          <w:color w:val="auto"/>
          <w:highlight w:val="none"/>
        </w:rPr>
        <w:t>公告</w:t>
      </w:r>
    </w:p>
    <w:p w14:paraId="4390A921">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5C25C511">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color w:val="auto"/>
          <w:highlight w:val="none"/>
        </w:rPr>
      </w:pPr>
      <w:r>
        <w:rPr>
          <w:rFonts w:hint="eastAsia" w:ascii="仿宋" w:hAnsi="仿宋" w:eastAsia="仿宋" w:cs="仿宋"/>
          <w:color w:val="auto"/>
          <w:sz w:val="28"/>
          <w:szCs w:val="28"/>
          <w:highlight w:val="none"/>
          <w:u w:val="single"/>
          <w:lang w:val="en-US" w:eastAsia="zh-CN"/>
        </w:rPr>
        <w:t>吉木乃县2025年义务教育薄弱环节与能力提升项目-实验设备</w:t>
      </w:r>
      <w:r>
        <w:rPr>
          <w:rFonts w:hint="eastAsia" w:ascii="仿宋" w:hAnsi="仿宋" w:eastAsia="仿宋" w:cs="仿宋"/>
          <w:color w:val="auto"/>
          <w:sz w:val="28"/>
          <w:szCs w:val="28"/>
          <w:highlight w:val="none"/>
        </w:rPr>
        <w:t>的潜在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 xml:space="preserve">应在 </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olor w:val="auto"/>
          <w:sz w:val="28"/>
          <w:szCs w:val="28"/>
          <w:highlight w:val="none"/>
          <w:u w:val="single"/>
          <w:lang w:val="en-US" w:eastAsia="zh-CN"/>
        </w:rPr>
        <w:t>政采云平台线上获取采购文件</w:t>
      </w:r>
      <w:r>
        <w:rPr>
          <w:rFonts w:hint="eastAsia" w:ascii="仿宋" w:hAnsi="仿宋" w:eastAsia="仿宋" w:cs="仿宋"/>
          <w:color w:val="auto"/>
          <w:sz w:val="28"/>
          <w:szCs w:val="28"/>
          <w:highlight w:val="none"/>
        </w:rPr>
        <w:t>获取</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，并于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2025 年</w:t>
      </w:r>
      <w:r>
        <w:rPr>
          <w:rFonts w:hint="eastAsia" w:ascii="仿宋" w:hAnsi="仿宋" w:eastAsia="仿宋" w:cs="仿宋"/>
          <w:color w:val="auto"/>
          <w:sz w:val="28"/>
          <w:szCs w:val="28"/>
          <w:highlight w:val="none"/>
          <w:u w:val="single"/>
          <w:lang w:val="en-US" w:eastAsia="zh-CN"/>
        </w:rPr>
        <w:t>07</w:t>
      </w:r>
      <w:r>
        <w:rPr>
          <w:rFonts w:hint="eastAsia" w:ascii="仿宋" w:hAnsi="仿宋" w:eastAsia="仿宋" w:cs="仿宋"/>
          <w:color w:val="auto"/>
          <w:sz w:val="28"/>
          <w:szCs w:val="28"/>
          <w:highlight w:val="none"/>
          <w:u w:val="single"/>
          <w:lang w:eastAsia="zh-CN"/>
        </w:rPr>
        <w:t>月</w:t>
      </w:r>
      <w:r>
        <w:rPr>
          <w:rFonts w:hint="eastAsia" w:ascii="仿宋" w:hAnsi="仿宋" w:eastAsia="仿宋" w:cs="仿宋"/>
          <w:color w:val="auto"/>
          <w:sz w:val="28"/>
          <w:szCs w:val="28"/>
          <w:highlight w:val="none"/>
          <w:u w:val="single"/>
          <w:lang w:val="en-US" w:eastAsia="zh-CN"/>
        </w:rPr>
        <w:t>25</w:t>
      </w:r>
      <w:r>
        <w:rPr>
          <w:rFonts w:hint="eastAsia" w:ascii="仿宋" w:hAnsi="仿宋" w:eastAsia="仿宋" w:cs="仿宋"/>
          <w:color w:val="auto"/>
          <w:sz w:val="28"/>
          <w:szCs w:val="28"/>
          <w:highlight w:val="none"/>
          <w:u w:val="single"/>
          <w:lang w:eastAsia="zh-CN"/>
        </w:rPr>
        <w:t>日</w:t>
      </w:r>
      <w:r>
        <w:rPr>
          <w:rFonts w:hint="eastAsia" w:ascii="仿宋" w:hAnsi="仿宋" w:eastAsia="仿宋" w:cs="仿宋"/>
          <w:color w:val="auto"/>
          <w:sz w:val="28"/>
          <w:szCs w:val="28"/>
          <w:highlight w:val="none"/>
          <w:u w:val="single"/>
          <w:lang w:val="en-US" w:eastAsia="zh-CN"/>
        </w:rPr>
        <w:t>11</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single"/>
        </w:rPr>
        <w:t xml:space="preserve"> 分（</w:t>
      </w:r>
      <w:r>
        <w:rPr>
          <w:rFonts w:hint="eastAsia" w:ascii="仿宋" w:hAnsi="仿宋" w:eastAsia="仿宋" w:cs="仿宋"/>
          <w:bCs/>
          <w:color w:val="auto"/>
          <w:sz w:val="28"/>
          <w:szCs w:val="28"/>
          <w:highlight w:val="none"/>
        </w:rPr>
        <w:t>北京时间）前递交</w:t>
      </w:r>
      <w:r>
        <w:rPr>
          <w:rFonts w:hint="eastAsia" w:ascii="仿宋" w:hAnsi="仿宋" w:eastAsia="仿宋" w:cs="仿宋"/>
          <w:bCs/>
          <w:color w:val="auto"/>
          <w:sz w:val="28"/>
          <w:szCs w:val="28"/>
          <w:highlight w:val="none"/>
          <w:lang w:eastAsia="zh-CN"/>
        </w:rPr>
        <w:t>投标文件</w:t>
      </w:r>
      <w:r>
        <w:rPr>
          <w:rFonts w:hint="eastAsia" w:ascii="仿宋" w:hAnsi="仿宋" w:eastAsia="仿宋" w:cs="仿宋"/>
          <w:color w:val="auto"/>
          <w:sz w:val="28"/>
          <w:szCs w:val="28"/>
          <w:highlight w:val="none"/>
        </w:rPr>
        <w:t>。</w:t>
      </w:r>
    </w:p>
    <w:p w14:paraId="541667DB">
      <w:pPr>
        <w:pStyle w:val="3"/>
        <w:spacing w:line="360" w:lineRule="auto"/>
        <w:jc w:val="both"/>
        <w:rPr>
          <w:rFonts w:ascii="黑体" w:hAnsi="黑体" w:cs="宋体"/>
          <w:b w:val="0"/>
          <w:color w:val="auto"/>
          <w:sz w:val="28"/>
          <w:szCs w:val="28"/>
          <w:highlight w:val="none"/>
        </w:rPr>
      </w:pPr>
      <w:bookmarkStart w:id="0" w:name="_Toc28359079"/>
      <w:bookmarkStart w:id="1" w:name="_Toc35393790"/>
      <w:bookmarkStart w:id="2" w:name="_Toc28359002"/>
      <w:bookmarkStart w:id="3" w:name="_Toc35393621"/>
      <w:bookmarkStart w:id="4" w:name="_Hlk24379207"/>
      <w:r>
        <w:rPr>
          <w:rFonts w:hint="eastAsia" w:ascii="黑体" w:hAnsi="黑体" w:cs="宋体"/>
          <w:b w:val="0"/>
          <w:color w:val="auto"/>
          <w:sz w:val="28"/>
          <w:szCs w:val="28"/>
          <w:highlight w:val="none"/>
        </w:rPr>
        <w:t>一、项目基本情况</w:t>
      </w:r>
      <w:bookmarkEnd w:id="0"/>
      <w:bookmarkEnd w:id="1"/>
      <w:bookmarkEnd w:id="2"/>
      <w:bookmarkEnd w:id="3"/>
    </w:p>
    <w:p w14:paraId="1051239D">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ZFCG-JTSZZB2025-76</w:t>
      </w:r>
    </w:p>
    <w:p w14:paraId="2D85B1E9">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bookmarkEnd w:id="4"/>
      <w:r>
        <w:rPr>
          <w:rFonts w:hint="eastAsia" w:ascii="仿宋" w:hAnsi="仿宋" w:eastAsia="仿宋"/>
          <w:color w:val="auto"/>
          <w:sz w:val="28"/>
          <w:szCs w:val="28"/>
          <w:highlight w:val="none"/>
          <w:lang w:val="en-US" w:eastAsia="zh-CN"/>
        </w:rPr>
        <w:t>吉木乃县2025年义务教育薄弱环节与能力提升项目-实验设备</w:t>
      </w:r>
    </w:p>
    <w:p w14:paraId="67CD7E16">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 xml:space="preserve">1398000元 </w:t>
      </w:r>
    </w:p>
    <w:p w14:paraId="30781683">
      <w:pPr>
        <w:pageBreakBefore w:val="0"/>
        <w:widowControl w:val="0"/>
        <w:kinsoku/>
        <w:wordWrap/>
        <w:overflowPunct/>
        <w:topLinePunct w:val="0"/>
        <w:autoSpaceDE/>
        <w:autoSpaceDN/>
        <w:bidi w:val="0"/>
        <w:adjustRightInd/>
        <w:snapToGrid/>
        <w:spacing w:line="360" w:lineRule="auto"/>
        <w:ind w:left="1959" w:leftChars="266" w:hanging="1400" w:hangingChars="5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物理、化学实验室设备等</w:t>
      </w:r>
    </w:p>
    <w:p w14:paraId="7E136AA6">
      <w:pPr>
        <w:keepNext w:val="0"/>
        <w:keepLines w:val="0"/>
        <w:widowControl/>
        <w:suppressLineNumbers w:val="0"/>
        <w:ind w:firstLine="560" w:firstLineChars="200"/>
        <w:jc w:val="lef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合同履行期限：</w:t>
      </w:r>
      <w:r>
        <w:rPr>
          <w:rFonts w:hint="eastAsia" w:ascii="仿宋" w:hAnsi="仿宋" w:eastAsia="仿宋" w:cs="Times New Roman"/>
          <w:color w:val="auto"/>
          <w:kern w:val="2"/>
          <w:sz w:val="28"/>
          <w:szCs w:val="28"/>
          <w:highlight w:val="none"/>
          <w:lang w:val="en-US" w:eastAsia="zh-CN" w:bidi="ar-SA"/>
        </w:rPr>
        <w:t>合同签订后20日历日内完成供货安装、调试、培训等。</w:t>
      </w:r>
    </w:p>
    <w:p w14:paraId="379769FE">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eastAsia="zh-CN"/>
        </w:rPr>
        <w:t>不</w:t>
      </w:r>
      <w:r>
        <w:rPr>
          <w:rFonts w:hint="eastAsia" w:ascii="仿宋" w:hAnsi="仿宋" w:eastAsia="仿宋"/>
          <w:color w:val="auto"/>
          <w:sz w:val="28"/>
          <w:szCs w:val="28"/>
          <w:highlight w:val="none"/>
        </w:rPr>
        <w:t>接受联合体投标。</w:t>
      </w:r>
    </w:p>
    <w:p w14:paraId="18584008">
      <w:pPr>
        <w:pStyle w:val="3"/>
        <w:spacing w:line="360" w:lineRule="auto"/>
        <w:jc w:val="both"/>
        <w:rPr>
          <w:rFonts w:ascii="黑体" w:hAnsi="黑体" w:cs="宋体"/>
          <w:b w:val="0"/>
          <w:color w:val="auto"/>
          <w:sz w:val="28"/>
          <w:szCs w:val="28"/>
          <w:highlight w:val="none"/>
        </w:rPr>
      </w:pPr>
      <w:bookmarkStart w:id="5" w:name="_Toc35393622"/>
      <w:bookmarkStart w:id="6" w:name="_Toc28359080"/>
      <w:bookmarkStart w:id="7" w:name="_Toc28359003"/>
      <w:bookmarkStart w:id="8" w:name="_Toc35393791"/>
      <w:r>
        <w:rPr>
          <w:rFonts w:hint="eastAsia" w:ascii="黑体" w:hAnsi="黑体" w:cs="宋体"/>
          <w:b w:val="0"/>
          <w:color w:val="auto"/>
          <w:sz w:val="28"/>
          <w:szCs w:val="28"/>
          <w:highlight w:val="none"/>
        </w:rPr>
        <w:t>二、申请人的资格要求：</w:t>
      </w:r>
      <w:bookmarkEnd w:id="5"/>
      <w:bookmarkEnd w:id="6"/>
      <w:bookmarkEnd w:id="7"/>
      <w:bookmarkEnd w:id="8"/>
    </w:p>
    <w:p w14:paraId="3F5F90E0">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color w:val="auto"/>
          <w:sz w:val="28"/>
          <w:szCs w:val="28"/>
          <w:highlight w:val="none"/>
          <w:lang w:val="en-US" w:eastAsia="zh-CN"/>
        </w:rPr>
      </w:pPr>
      <w:bookmarkStart w:id="9" w:name="_Toc35393623"/>
      <w:bookmarkStart w:id="10" w:name="_Toc28359081"/>
      <w:bookmarkStart w:id="11" w:name="_Toc28359004"/>
      <w:bookmarkStart w:id="12" w:name="_Toc35393792"/>
      <w:r>
        <w:rPr>
          <w:rFonts w:hint="eastAsia" w:ascii="仿宋" w:hAnsi="仿宋" w:eastAsia="仿宋" w:cs="Times New Roman"/>
          <w:color w:val="auto"/>
          <w:sz w:val="28"/>
          <w:szCs w:val="28"/>
          <w:highlight w:val="none"/>
          <w:lang w:val="en-US" w:eastAsia="zh-CN"/>
        </w:rPr>
        <w:t>1.满足《中华人民共和国政府采购法》第二十二条规定；</w:t>
      </w:r>
    </w:p>
    <w:p w14:paraId="27240B7B">
      <w:pPr>
        <w:spacing w:line="360" w:lineRule="auto"/>
        <w:ind w:firstLine="560" w:firstLineChars="200"/>
        <w:jc w:val="left"/>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2.落实政府采购政策需满足的资格要求：中小企业政策符合《政府采购促进中小企业发展管理办法》(财库〔2020〕46号)、《关于进一步加大政府采购支持中小企业力度的通知》财库〔2022〕19号</w:t>
      </w:r>
      <w:r>
        <w:rPr>
          <w:rFonts w:hint="eastAsia" w:ascii="仿宋" w:hAnsi="仿宋" w:eastAsia="仿宋" w:cs="Times New Roman"/>
          <w:b/>
          <w:bCs/>
          <w:color w:val="auto"/>
          <w:sz w:val="28"/>
          <w:szCs w:val="28"/>
          <w:highlight w:val="none"/>
          <w:lang w:val="en-US" w:eastAsia="zh-CN"/>
        </w:rPr>
        <w:t>；本项目专门面向中小企业采购，即：提供的货物全部由符合政策要求的中小企业制造；</w:t>
      </w:r>
    </w:p>
    <w:p w14:paraId="05BD0DEC">
      <w:pPr>
        <w:spacing w:line="360" w:lineRule="auto"/>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 具有良好的商业信誉和健全的财务会计制度，提供2024年经审计财务报告（新成立公司不满一年提供公告截止日后基本账户或开户许可证银行出具的资信证明）；</w:t>
      </w:r>
    </w:p>
    <w:p w14:paraId="13B0AC65">
      <w:pPr>
        <w:spacing w:line="360" w:lineRule="auto"/>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4、有依法缴纳税收和社会保障资金的良好记录（具体要求见投标人须知）；</w:t>
      </w:r>
    </w:p>
    <w:p w14:paraId="69DE2311">
      <w:pPr>
        <w:spacing w:line="360" w:lineRule="auto"/>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5、具有履行合同所必需的设备和专业技术能力；（提供具有履行合同所必需的设备和专业技术能力相关证明材料或声明）；</w:t>
      </w:r>
    </w:p>
    <w:p w14:paraId="0B76BB4B">
      <w:pPr>
        <w:spacing w:line="360" w:lineRule="auto"/>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6、法律、行政法规规定的其他条件；</w:t>
      </w:r>
    </w:p>
    <w:p w14:paraId="11B480EB">
      <w:pPr>
        <w:spacing w:line="360" w:lineRule="auto"/>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6.1、具有有效的营业执照，具有独立承担民事责任的能力；（法人或者其他组织的营业执照等证明文件，自然人的身份证明）；</w:t>
      </w:r>
    </w:p>
    <w:p w14:paraId="07589245">
      <w:pPr>
        <w:spacing w:line="360" w:lineRule="auto"/>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7、参加政府采购活动前三年内，在经营活动中没有重大违法记录；（提供参加政府采购活动近三年无重大违法记录声明书）；投标供应商在“信用中国”（www.creditchina.gov.cn）和中国政府采购网（www.ccgp.gov.cn）网站上未被列入失信被执行人、重大税收违法案件当事人名单以及政府采购严重违法失信行为记录名单。</w:t>
      </w:r>
    </w:p>
    <w:p w14:paraId="7E6BE7CE">
      <w:pPr>
        <w:spacing w:line="360" w:lineRule="auto"/>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bookmarkEnd w:id="9"/>
    <w:bookmarkEnd w:id="10"/>
    <w:bookmarkEnd w:id="11"/>
    <w:bookmarkEnd w:id="12"/>
    <w:p w14:paraId="35868D6D">
      <w:pPr>
        <w:pStyle w:val="3"/>
        <w:numPr>
          <w:ilvl w:val="0"/>
          <w:numId w:val="0"/>
        </w:numPr>
        <w:spacing w:line="360" w:lineRule="auto"/>
        <w:rPr>
          <w:rFonts w:hint="eastAsia" w:ascii="黑体" w:hAnsi="黑体" w:eastAsia="黑体" w:cs="宋体"/>
          <w:b w:val="0"/>
          <w:bCs/>
          <w:snapToGrid/>
          <w:color w:val="auto"/>
          <w:spacing w:val="0"/>
          <w:kern w:val="2"/>
          <w:sz w:val="28"/>
          <w:szCs w:val="28"/>
          <w:highlight w:val="none"/>
          <w:lang w:val="en-US" w:eastAsia="zh-CN" w:bidi="ar-SA"/>
        </w:rPr>
      </w:pPr>
      <w:bookmarkStart w:id="13" w:name="_Toc28359085"/>
      <w:bookmarkStart w:id="14" w:name="_Toc28359008"/>
      <w:bookmarkStart w:id="15" w:name="_Toc35393796"/>
      <w:bookmarkStart w:id="16" w:name="_Toc35393627"/>
      <w:r>
        <w:rPr>
          <w:rFonts w:hint="eastAsia" w:ascii="黑体" w:hAnsi="黑体" w:eastAsia="黑体" w:cs="宋体"/>
          <w:b w:val="0"/>
          <w:bCs/>
          <w:snapToGrid/>
          <w:color w:val="auto"/>
          <w:spacing w:val="0"/>
          <w:kern w:val="2"/>
          <w:sz w:val="28"/>
          <w:szCs w:val="28"/>
          <w:highlight w:val="none"/>
          <w:lang w:val="en-US" w:eastAsia="zh-CN" w:bidi="ar-SA"/>
        </w:rPr>
        <w:t>三、获取采购文件</w:t>
      </w:r>
    </w:p>
    <w:p w14:paraId="2AAB9368">
      <w:pPr>
        <w:spacing w:line="360" w:lineRule="auto"/>
        <w:rPr>
          <w:rFonts w:ascii="仿宋" w:hAnsi="仿宋" w:eastAsia="仿宋" w:cs="宋体"/>
          <w:color w:val="auto"/>
          <w:sz w:val="28"/>
          <w:szCs w:val="28"/>
          <w:highlight w:val="none"/>
        </w:rPr>
      </w:pPr>
      <w:bookmarkStart w:id="17" w:name="_Toc28359092"/>
      <w:bookmarkStart w:id="18" w:name="_Toc35393632"/>
      <w:bookmarkStart w:id="19" w:name="_Toc35393801"/>
      <w:bookmarkStart w:id="20" w:name="_Toc28359015"/>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lang w:val="en-US" w:eastAsia="zh-CN"/>
        </w:rPr>
        <w:t>年</w:t>
      </w:r>
      <w:r>
        <w:rPr>
          <w:rFonts w:hint="eastAsia" w:ascii="仿宋" w:hAnsi="仿宋" w:eastAsia="仿宋" w:cs="宋体"/>
          <w:color w:val="auto"/>
          <w:sz w:val="28"/>
          <w:szCs w:val="28"/>
          <w:highlight w:val="none"/>
          <w:u w:val="single"/>
          <w:lang w:val="en-US" w:eastAsia="zh-CN"/>
        </w:rPr>
        <w:t>07</w:t>
      </w:r>
      <w:r>
        <w:rPr>
          <w:rFonts w:hint="eastAsia" w:ascii="仿宋" w:hAnsi="仿宋" w:eastAsia="仿宋" w:cs="宋体"/>
          <w:color w:val="auto"/>
          <w:sz w:val="28"/>
          <w:szCs w:val="28"/>
          <w:highlight w:val="none"/>
          <w:lang w:val="en-US" w:eastAsia="zh-CN"/>
        </w:rPr>
        <w:t>月</w:t>
      </w:r>
      <w:r>
        <w:rPr>
          <w:rFonts w:hint="eastAsia" w:ascii="仿宋" w:hAnsi="仿宋" w:eastAsia="仿宋" w:cs="宋体"/>
          <w:color w:val="auto"/>
          <w:sz w:val="28"/>
          <w:szCs w:val="28"/>
          <w:highlight w:val="none"/>
          <w:u w:val="single"/>
          <w:lang w:val="en-US" w:eastAsia="zh-CN"/>
        </w:rPr>
        <w:t>03</w:t>
      </w:r>
      <w:r>
        <w:rPr>
          <w:rFonts w:hint="eastAsia" w:ascii="仿宋" w:hAnsi="仿宋" w:eastAsia="仿宋" w:cs="宋体"/>
          <w:color w:val="auto"/>
          <w:sz w:val="28"/>
          <w:szCs w:val="28"/>
          <w:highlight w:val="none"/>
          <w:lang w:val="en-US" w:eastAsia="zh-CN"/>
        </w:rPr>
        <w:t>日至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lang w:val="en-US" w:eastAsia="zh-CN"/>
        </w:rPr>
        <w:t>年</w:t>
      </w:r>
      <w:r>
        <w:rPr>
          <w:rFonts w:hint="eastAsia" w:ascii="仿宋" w:hAnsi="仿宋" w:eastAsia="仿宋" w:cs="宋体"/>
          <w:color w:val="auto"/>
          <w:sz w:val="28"/>
          <w:szCs w:val="28"/>
          <w:highlight w:val="none"/>
          <w:u w:val="single"/>
          <w:lang w:val="en-US" w:eastAsia="zh-CN"/>
        </w:rPr>
        <w:t>07</w:t>
      </w:r>
      <w:r>
        <w:rPr>
          <w:rFonts w:hint="eastAsia" w:ascii="仿宋" w:hAnsi="仿宋" w:eastAsia="仿宋" w:cs="宋体"/>
          <w:color w:val="auto"/>
          <w:sz w:val="28"/>
          <w:szCs w:val="28"/>
          <w:highlight w:val="none"/>
          <w:lang w:val="en-US" w:eastAsia="zh-CN"/>
        </w:rPr>
        <w:t>月</w:t>
      </w:r>
      <w:r>
        <w:rPr>
          <w:rFonts w:hint="eastAsia" w:ascii="仿宋" w:hAnsi="仿宋" w:eastAsia="仿宋" w:cs="宋体"/>
          <w:color w:val="auto"/>
          <w:sz w:val="28"/>
          <w:szCs w:val="28"/>
          <w:highlight w:val="none"/>
          <w:u w:val="single"/>
          <w:lang w:val="en-US" w:eastAsia="zh-CN"/>
        </w:rPr>
        <w:t>10</w:t>
      </w:r>
      <w:r>
        <w:rPr>
          <w:rFonts w:hint="eastAsia" w:ascii="仿宋" w:hAnsi="仿宋" w:eastAsia="仿宋" w:cs="宋体"/>
          <w:color w:val="auto"/>
          <w:sz w:val="28"/>
          <w:szCs w:val="28"/>
          <w:highlight w:val="none"/>
          <w:lang w:val="en-US" w:eastAsia="zh-CN"/>
        </w:rPr>
        <w:t>日上午</w:t>
      </w:r>
      <w:r>
        <w:rPr>
          <w:rFonts w:hint="eastAsia" w:ascii="仿宋" w:hAnsi="仿宋" w:eastAsia="仿宋" w:cs="宋体"/>
          <w:color w:val="auto"/>
          <w:sz w:val="28"/>
          <w:szCs w:val="28"/>
          <w:highlight w:val="none"/>
          <w:u w:val="single"/>
          <w:lang w:val="en-US" w:eastAsia="zh-CN"/>
        </w:rPr>
        <w:t>10:00-13：30</w:t>
      </w:r>
      <w:r>
        <w:rPr>
          <w:rFonts w:hint="eastAsia" w:ascii="仿宋" w:hAnsi="仿宋" w:eastAsia="仿宋" w:cs="宋体"/>
          <w:color w:val="auto"/>
          <w:sz w:val="28"/>
          <w:szCs w:val="28"/>
          <w:highlight w:val="none"/>
          <w:lang w:val="en-US" w:eastAsia="zh-CN"/>
        </w:rPr>
        <w:t>，下午</w:t>
      </w:r>
      <w:r>
        <w:rPr>
          <w:rFonts w:hint="eastAsia" w:ascii="仿宋" w:hAnsi="仿宋" w:eastAsia="仿宋" w:cs="宋体"/>
          <w:color w:val="auto"/>
          <w:sz w:val="28"/>
          <w:szCs w:val="28"/>
          <w:highlight w:val="none"/>
          <w:u w:val="single"/>
          <w:lang w:val="en-US" w:eastAsia="zh-CN"/>
        </w:rPr>
        <w:t>16：00-19:00</w:t>
      </w:r>
      <w:r>
        <w:rPr>
          <w:rFonts w:hint="eastAsia" w:ascii="仿宋" w:hAnsi="仿宋" w:eastAsia="仿宋" w:cs="宋体"/>
          <w:color w:val="auto"/>
          <w:sz w:val="28"/>
          <w:szCs w:val="28"/>
          <w:highlight w:val="none"/>
        </w:rPr>
        <w:t>（北京时间</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法定节假日除外</w:t>
      </w:r>
      <w:r>
        <w:rPr>
          <w:rFonts w:hint="eastAsia" w:ascii="仿宋" w:hAnsi="仿宋" w:eastAsia="仿宋" w:cs="宋体"/>
          <w:color w:val="auto"/>
          <w:sz w:val="28"/>
          <w:szCs w:val="28"/>
          <w:highlight w:val="none"/>
        </w:rPr>
        <w:t xml:space="preserve"> ）</w:t>
      </w:r>
    </w:p>
    <w:p w14:paraId="22C97B8F">
      <w:pPr>
        <w:spacing w:line="360" w:lineRule="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地点：新疆政府采购网-政采云平台（https://www.zcygov.cn）</w:t>
      </w:r>
    </w:p>
    <w:p w14:paraId="3BD46DC7">
      <w:pPr>
        <w:spacing w:line="360" w:lineRule="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方式：供应商登录政采云平台https://www.zcygov.cn/在线申请获取采购文件（进入“项目采购”应用，在获取采购文件菜单中选择项目，申请获取采购文件）</w:t>
      </w:r>
    </w:p>
    <w:bookmarkEnd w:id="17"/>
    <w:bookmarkEnd w:id="18"/>
    <w:bookmarkEnd w:id="19"/>
    <w:bookmarkEnd w:id="20"/>
    <w:p w14:paraId="01C42ED5">
      <w:pPr>
        <w:pStyle w:val="3"/>
        <w:numPr>
          <w:ilvl w:val="0"/>
          <w:numId w:val="0"/>
        </w:numPr>
        <w:spacing w:line="360" w:lineRule="auto"/>
        <w:rPr>
          <w:rFonts w:hint="eastAsia" w:ascii="黑体" w:hAnsi="黑体" w:eastAsia="黑体" w:cs="宋体"/>
          <w:b w:val="0"/>
          <w:bCs/>
          <w:snapToGrid/>
          <w:color w:val="auto"/>
          <w:spacing w:val="0"/>
          <w:kern w:val="2"/>
          <w:sz w:val="28"/>
          <w:szCs w:val="28"/>
          <w:highlight w:val="none"/>
          <w:lang w:val="en-US" w:eastAsia="zh-CN" w:bidi="ar-SA"/>
        </w:rPr>
      </w:pPr>
      <w:bookmarkStart w:id="21" w:name="_Toc35393803"/>
      <w:bookmarkStart w:id="22" w:name="_Toc28359017"/>
      <w:bookmarkStart w:id="23" w:name="_Toc35393634"/>
      <w:bookmarkStart w:id="24" w:name="_Toc28359094"/>
      <w:r>
        <w:rPr>
          <w:rFonts w:hint="eastAsia" w:ascii="黑体" w:hAnsi="黑体" w:eastAsia="黑体" w:cs="宋体"/>
          <w:b w:val="0"/>
          <w:bCs/>
          <w:snapToGrid/>
          <w:color w:val="auto"/>
          <w:spacing w:val="0"/>
          <w:kern w:val="2"/>
          <w:sz w:val="28"/>
          <w:szCs w:val="28"/>
          <w:highlight w:val="none"/>
          <w:lang w:val="en-US" w:eastAsia="zh-CN" w:bidi="ar-SA"/>
        </w:rPr>
        <w:t>四、提交投标文件截止时间、开标时间和地点</w:t>
      </w:r>
    </w:p>
    <w:p w14:paraId="42420141">
      <w:pP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截止时间：</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2025年07月25日</w:t>
      </w:r>
      <w:r>
        <w:rPr>
          <w:rFonts w:hint="eastAsia" w:ascii="仿宋" w:hAnsi="仿宋" w:eastAsia="仿宋"/>
          <w:bCs/>
          <w:color w:val="auto"/>
          <w:sz w:val="28"/>
          <w:szCs w:val="28"/>
          <w:highlight w:val="none"/>
          <w:u w:val="single"/>
          <w:lang w:val="en-US" w:eastAsia="zh-CN"/>
        </w:rPr>
        <w:t>11</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bookmarkStart w:id="31" w:name="_GoBack"/>
      <w:bookmarkEnd w:id="31"/>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r>
        <w:rPr>
          <w:rFonts w:hint="eastAsia" w:ascii="仿宋" w:hAnsi="仿宋" w:eastAsia="仿宋"/>
          <w:color w:val="auto"/>
          <w:sz w:val="28"/>
          <w:szCs w:val="28"/>
          <w:highlight w:val="none"/>
          <w:lang w:val="en-US" w:eastAsia="zh-CN"/>
        </w:rPr>
        <w:t xml:space="preserve"> </w:t>
      </w:r>
    </w:p>
    <w:p w14:paraId="11748DD6">
      <w:pPr>
        <w:spacing w:line="360" w:lineRule="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投标地点：新疆政府采购网-政采云平台（https://www.zcygov.cn）</w:t>
      </w:r>
    </w:p>
    <w:p w14:paraId="39878F39">
      <w:pPr>
        <w:spacing w:line="360" w:lineRule="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开标地点：新疆金泰首致项目管理咨询有限公司（阿勒泰地区阿勒泰市迎宾路佰颂广场雲汐酒店6楼）</w:t>
      </w:r>
    </w:p>
    <w:p w14:paraId="7823B3C1">
      <w:pPr>
        <w:spacing w:line="360" w:lineRule="auto"/>
        <w:rPr>
          <w:rFonts w:hint="eastAsia" w:ascii="黑体" w:hAnsi="黑体" w:cs="宋体"/>
          <w:b w:val="0"/>
          <w:color w:val="auto"/>
          <w:sz w:val="28"/>
          <w:szCs w:val="28"/>
          <w:highlight w:val="none"/>
        </w:rPr>
      </w:pPr>
      <w:r>
        <w:rPr>
          <w:rFonts w:hint="eastAsia" w:ascii="黑体" w:hAnsi="黑体" w:eastAsia="黑体" w:cs="宋体"/>
          <w:b w:val="0"/>
          <w:bCs/>
          <w:color w:val="auto"/>
          <w:kern w:val="2"/>
          <w:sz w:val="28"/>
          <w:szCs w:val="28"/>
          <w:highlight w:val="none"/>
          <w:lang w:val="en-US" w:eastAsia="zh-CN" w:bidi="ar-SA"/>
        </w:rPr>
        <w:t>五、公告期限</w:t>
      </w:r>
      <w:bookmarkEnd w:id="21"/>
      <w:bookmarkEnd w:id="22"/>
      <w:bookmarkEnd w:id="23"/>
      <w:bookmarkEnd w:id="24"/>
    </w:p>
    <w:p w14:paraId="60392E55">
      <w:pPr>
        <w:pStyle w:val="3"/>
        <w:numPr>
          <w:ilvl w:val="0"/>
          <w:numId w:val="0"/>
        </w:numPr>
        <w:spacing w:line="360" w:lineRule="auto"/>
        <w:ind w:leftChars="0" w:right="240" w:rightChars="0"/>
        <w:rPr>
          <w:rFonts w:hint="eastAsia" w:ascii="仿宋" w:hAnsi="仿宋" w:eastAsia="仿宋" w:cs="宋体"/>
          <w:b w:val="0"/>
          <w:bCs w:val="0"/>
          <w:snapToGrid/>
          <w:color w:val="auto"/>
          <w:spacing w:val="0"/>
          <w:sz w:val="28"/>
          <w:szCs w:val="28"/>
          <w:highlight w:val="none"/>
          <w:lang w:val="en-US" w:eastAsia="zh-CN" w:bidi="ar-SA"/>
        </w:rPr>
      </w:pPr>
      <w:r>
        <w:rPr>
          <w:rFonts w:hint="eastAsia" w:ascii="仿宋" w:hAnsi="仿宋" w:eastAsia="仿宋" w:cs="宋体"/>
          <w:b w:val="0"/>
          <w:bCs w:val="0"/>
          <w:snapToGrid/>
          <w:color w:val="auto"/>
          <w:spacing w:val="0"/>
          <w:sz w:val="28"/>
          <w:szCs w:val="28"/>
          <w:highlight w:val="none"/>
          <w:lang w:val="en-US" w:eastAsia="zh-CN" w:bidi="ar-SA"/>
        </w:rPr>
        <w:t>自本公告发布之日起5个工作日。</w:t>
      </w:r>
    </w:p>
    <w:p w14:paraId="62F0CD84">
      <w:pPr>
        <w:pStyle w:val="3"/>
        <w:numPr>
          <w:ilvl w:val="0"/>
          <w:numId w:val="1"/>
        </w:numPr>
        <w:spacing w:line="360" w:lineRule="auto"/>
        <w:rPr>
          <w:rFonts w:hint="eastAsia" w:ascii="宋体" w:hAnsi="宋体" w:eastAsia="宋体" w:cs="宋体"/>
          <w:b w:val="0"/>
          <w:bCs/>
          <w:snapToGrid/>
          <w:color w:val="auto"/>
          <w:spacing w:val="0"/>
          <w:kern w:val="2"/>
          <w:sz w:val="28"/>
          <w:szCs w:val="28"/>
          <w:highlight w:val="none"/>
          <w:lang w:val="en-US" w:eastAsia="zh-CN" w:bidi="ar-SA"/>
        </w:rPr>
      </w:pPr>
      <w:bookmarkStart w:id="25" w:name="_Toc35393804"/>
      <w:bookmarkStart w:id="26" w:name="_Toc35393635"/>
      <w:r>
        <w:rPr>
          <w:rFonts w:hint="eastAsia" w:ascii="宋体" w:hAnsi="宋体" w:eastAsia="宋体" w:cs="宋体"/>
          <w:b w:val="0"/>
          <w:bCs/>
          <w:snapToGrid/>
          <w:color w:val="auto"/>
          <w:spacing w:val="0"/>
          <w:kern w:val="2"/>
          <w:sz w:val="28"/>
          <w:szCs w:val="28"/>
          <w:highlight w:val="none"/>
          <w:lang w:val="en-US" w:eastAsia="zh-CN" w:bidi="ar-SA"/>
        </w:rPr>
        <w:t>其他补充事宜</w:t>
      </w:r>
      <w:bookmarkEnd w:id="25"/>
      <w:bookmarkEnd w:id="26"/>
    </w:p>
    <w:p w14:paraId="1FD198BD">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lang w:val="en-GB" w:eastAsia="zh-CN" w:bidi="ar-SA"/>
        </w:rPr>
        <w:t>1.</w:t>
      </w:r>
      <w:r>
        <w:rPr>
          <w:rFonts w:hint="eastAsia" w:ascii="仿宋" w:hAnsi="仿宋" w:eastAsia="仿宋" w:cs="宋体"/>
          <w:color w:val="auto"/>
          <w:sz w:val="28"/>
          <w:szCs w:val="28"/>
          <w:highlight w:val="none"/>
        </w:rPr>
        <w:t>本项目实行全流程电子招投标。</w:t>
      </w:r>
    </w:p>
    <w:p w14:paraId="133F7C9E">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p>
    <w:p w14:paraId="4BA02B65">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人自身原因导致在规定时间内无法正常解密的（如：浏览器故障、未安装相关驱动、网络故障、加密CA与解密CA不一致等），代理机构不予异常处理，视为投标人自动弃标。</w:t>
      </w:r>
    </w:p>
    <w:p w14:paraId="2078088B">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4.投标人在开标前应准备好电脑以及制作加密电子</w:t>
      </w:r>
      <w:r>
        <w:rPr>
          <w:rFonts w:hint="eastAsia" w:ascii="仿宋" w:hAnsi="仿宋" w:eastAsia="仿宋" w:cs="宋体"/>
          <w:color w:val="auto"/>
          <w:sz w:val="28"/>
          <w:szCs w:val="28"/>
          <w:highlight w:val="none"/>
          <w:lang w:eastAsia="zh-CN"/>
        </w:rPr>
        <w:t>投标文件</w:t>
      </w:r>
      <w:r>
        <w:rPr>
          <w:rFonts w:hint="eastAsia" w:ascii="仿宋" w:hAnsi="仿宋" w:eastAsia="仿宋" w:cs="宋体"/>
          <w:color w:val="auto"/>
          <w:sz w:val="28"/>
          <w:szCs w:val="28"/>
          <w:highlight w:val="none"/>
        </w:rPr>
        <w:t>所使用的CA锁。电脑须提前配置好浏览器（建议使用360 浏览器或谷歌浏览器）,开标时登录政采云平台，在“项目采购-开标评标”功能中，使用制作加密投标文件电子标书的CA锁进行解密及报价确认。本项目投标文件的解密时间定为30分钟内,若供应商在规定时间内因自身原因导致无法正常解密,后果由供应商自行承担。解密与加密投标文件须使用同一个 CA。  </w:t>
      </w:r>
    </w:p>
    <w:p w14:paraId="4A0C9B91">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5.在投标截止时间前,投标人应将生成的“电子加密</w:t>
      </w:r>
      <w:r>
        <w:rPr>
          <w:rFonts w:hint="eastAsia" w:ascii="仿宋" w:hAnsi="仿宋" w:eastAsia="仿宋" w:cs="宋体"/>
          <w:color w:val="auto"/>
          <w:sz w:val="28"/>
          <w:szCs w:val="28"/>
          <w:highlight w:val="none"/>
          <w:lang w:eastAsia="zh-CN"/>
        </w:rPr>
        <w:t>投标文件</w:t>
      </w:r>
      <w:r>
        <w:rPr>
          <w:rFonts w:hint="eastAsia" w:ascii="仿宋" w:hAnsi="仿宋" w:eastAsia="仿宋" w:cs="宋体"/>
          <w:color w:val="auto"/>
          <w:sz w:val="28"/>
          <w:szCs w:val="28"/>
          <w:highlight w:val="none"/>
        </w:rPr>
        <w:t>”上传递交至“政府采购云平台”,投标截止时间以后上传递交的</w:t>
      </w:r>
      <w:r>
        <w:rPr>
          <w:rFonts w:hint="eastAsia" w:ascii="仿宋" w:hAnsi="仿宋" w:eastAsia="仿宋" w:cs="宋体"/>
          <w:color w:val="auto"/>
          <w:sz w:val="28"/>
          <w:szCs w:val="28"/>
          <w:highlight w:val="none"/>
          <w:lang w:eastAsia="zh-CN"/>
        </w:rPr>
        <w:t>投标文件</w:t>
      </w:r>
      <w:r>
        <w:rPr>
          <w:rFonts w:hint="eastAsia" w:ascii="仿宋" w:hAnsi="仿宋" w:eastAsia="仿宋" w:cs="宋体"/>
          <w:color w:val="auto"/>
          <w:sz w:val="28"/>
          <w:szCs w:val="28"/>
          <w:highlight w:val="none"/>
        </w:rPr>
        <w:t>将被“政府采购云平台”拒收。</w:t>
      </w:r>
    </w:p>
    <w:p w14:paraId="60209527">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6.投标人应①投标截止时间前一小时在系统进行在线签到；②30分钟内完成在线解密；③开标结束后30分钟内完成“开标一览表”在线签章；</w:t>
      </w:r>
      <w:r>
        <w:rPr>
          <w:rFonts w:hint="eastAsia" w:ascii="仿宋" w:hAnsi="仿宋" w:eastAsia="仿宋" w:cs="宋体"/>
          <w:color w:val="auto"/>
          <w:sz w:val="28"/>
          <w:szCs w:val="28"/>
          <w:highlight w:val="none"/>
          <w:lang w:eastAsia="zh-CN"/>
        </w:rPr>
        <w:t>④</w:t>
      </w:r>
      <w:r>
        <w:rPr>
          <w:rFonts w:hint="eastAsia" w:ascii="仿宋" w:hAnsi="仿宋" w:eastAsia="仿宋" w:cs="宋体"/>
          <w:color w:val="auto"/>
          <w:sz w:val="28"/>
          <w:szCs w:val="28"/>
          <w:highlight w:val="none"/>
        </w:rPr>
        <w:t>如需进行多轮报价，必须使用“点聚签章服务”，请确保报价时已启动该服务。</w:t>
      </w:r>
    </w:p>
    <w:p w14:paraId="22FA92B8">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7.落实《财政部发展改革委生态环境部市场监管总局关于调整优化节能产品 环境标志产品政府采购执行机制的通知》（财库〔2019〕9号）；《关于促进残疾人就业政府采购政策的通知》(财库〔2017〕141号)；《关于政府采购支持jianyu企业发展有关问题的通知》(财库〔2014〕68号)》等政府采购政策。</w:t>
      </w:r>
    </w:p>
    <w:p w14:paraId="778C8765">
      <w:pPr>
        <w:pStyle w:val="3"/>
        <w:spacing w:line="360" w:lineRule="auto"/>
        <w:jc w:val="both"/>
        <w:rPr>
          <w:rFonts w:ascii="黑体" w:hAnsi="黑体" w:cs="宋体"/>
          <w:b w:val="0"/>
          <w:color w:val="auto"/>
          <w:sz w:val="28"/>
          <w:szCs w:val="28"/>
          <w:highlight w:val="none"/>
        </w:rPr>
      </w:pPr>
      <w:r>
        <w:rPr>
          <w:rFonts w:hint="eastAsia" w:ascii="黑体" w:hAnsi="黑体" w:cs="宋体"/>
          <w:b w:val="0"/>
          <w:color w:val="auto"/>
          <w:sz w:val="28"/>
          <w:szCs w:val="28"/>
          <w:highlight w:val="none"/>
        </w:rPr>
        <w:t>七、对本次招标提出询问，请按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End w:id="13"/>
      <w:bookmarkEnd w:id="14"/>
      <w:bookmarkEnd w:id="15"/>
      <w:bookmarkEnd w:id="16"/>
    </w:p>
    <w:p w14:paraId="64B6D80A">
      <w:pPr>
        <w:pageBreakBefore w:val="0"/>
        <w:widowControl w:val="0"/>
        <w:kinsoku/>
        <w:wordWrap/>
        <w:overflowPunct/>
        <w:topLinePunct w:val="0"/>
        <w:autoSpaceDE/>
        <w:autoSpaceDN/>
        <w:bidi w:val="0"/>
        <w:adjustRightInd/>
        <w:snapToGrid/>
        <w:spacing w:line="360" w:lineRule="auto"/>
        <w:ind w:firstLine="280" w:firstLineChars="100"/>
        <w:contextualSpacing/>
        <w:textAlignment w:val="auto"/>
        <w:rPr>
          <w:rFonts w:ascii="仿宋" w:hAnsi="仿宋" w:eastAsia="仿宋" w:cs="宋体"/>
          <w:b w:val="0"/>
          <w:color w:val="auto"/>
          <w:sz w:val="28"/>
          <w:szCs w:val="28"/>
          <w:highlight w:val="none"/>
        </w:rPr>
      </w:pPr>
      <w:r>
        <w:rPr>
          <w:rFonts w:hint="eastAsia" w:ascii="仿宋" w:hAnsi="仿宋" w:eastAsia="仿宋" w:cs="宋体"/>
          <w:b w:val="0"/>
          <w:color w:val="auto"/>
          <w:sz w:val="28"/>
          <w:szCs w:val="28"/>
          <w:highlight w:val="none"/>
        </w:rPr>
        <w:t>1.采购人信息</w:t>
      </w:r>
    </w:p>
    <w:p w14:paraId="67F80EC6">
      <w:pPr>
        <w:pageBreakBefore w:val="0"/>
        <w:widowControl w:val="0"/>
        <w:kinsoku/>
        <w:wordWrap/>
        <w:overflowPunct/>
        <w:topLinePunct w:val="0"/>
        <w:autoSpaceDE/>
        <w:autoSpaceDN/>
        <w:bidi w:val="0"/>
        <w:adjustRightInd/>
        <w:snapToGrid/>
        <w:spacing w:line="360" w:lineRule="auto"/>
        <w:ind w:left="2249" w:leftChars="371" w:hanging="1470" w:hangingChars="525"/>
        <w:jc w:val="left"/>
        <w:textAlignment w:val="auto"/>
        <w:rPr>
          <w:rFonts w:hint="default" w:ascii="仿宋" w:hAnsi="仿宋" w:eastAsia="仿宋"/>
          <w:color w:val="auto"/>
          <w:sz w:val="28"/>
          <w:szCs w:val="28"/>
          <w:highlight w:val="none"/>
          <w:u w:val="none"/>
          <w:lang w:val="en-US" w:eastAsia="zh-CN"/>
        </w:rPr>
      </w:pPr>
      <w:bookmarkStart w:id="27" w:name="_Toc28359097"/>
      <w:bookmarkStart w:id="28" w:name="_Toc35393638"/>
      <w:bookmarkStart w:id="29" w:name="_Toc28359020"/>
      <w:bookmarkStart w:id="30" w:name="_Toc35393807"/>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u w:val="none"/>
          <w:lang w:eastAsia="zh-CN"/>
        </w:rPr>
        <w:t>吉木乃县教育局</w:t>
      </w:r>
      <w:r>
        <w:rPr>
          <w:rFonts w:hint="eastAsia" w:ascii="仿宋" w:hAnsi="仿宋" w:eastAsia="仿宋"/>
          <w:color w:val="auto"/>
          <w:sz w:val="28"/>
          <w:szCs w:val="28"/>
          <w:highlight w:val="none"/>
          <w:u w:val="none"/>
          <w:lang w:val="en-US" w:eastAsia="zh-CN"/>
        </w:rPr>
        <w:t xml:space="preserve">      </w:t>
      </w:r>
    </w:p>
    <w:p w14:paraId="7BC9CBCF">
      <w:pPr>
        <w:pageBreakBefore w:val="0"/>
        <w:widowControl w:val="0"/>
        <w:kinsoku/>
        <w:wordWrap/>
        <w:overflowPunct/>
        <w:topLinePunct w:val="0"/>
        <w:autoSpaceDE/>
        <w:autoSpaceDN/>
        <w:bidi w:val="0"/>
        <w:adjustRightInd/>
        <w:snapToGrid/>
        <w:spacing w:line="360" w:lineRule="auto"/>
        <w:ind w:left="1129" w:leftChars="371" w:hanging="350" w:hangingChars="125"/>
        <w:jc w:val="left"/>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联 系 人：</w:t>
      </w:r>
      <w:r>
        <w:rPr>
          <w:rFonts w:hint="eastAsia" w:ascii="仿宋" w:hAnsi="仿宋" w:eastAsia="仿宋"/>
          <w:color w:val="auto"/>
          <w:sz w:val="28"/>
          <w:szCs w:val="28"/>
          <w:highlight w:val="none"/>
          <w:u w:val="none"/>
          <w:lang w:val="en-US" w:eastAsia="zh-CN"/>
        </w:rPr>
        <w:t>王帅</w:t>
      </w:r>
      <w:r>
        <w:rPr>
          <w:rFonts w:hint="eastAsia" w:ascii="仿宋" w:hAnsi="仿宋" w:eastAsia="仿宋"/>
          <w:color w:val="auto"/>
          <w:sz w:val="28"/>
          <w:szCs w:val="28"/>
          <w:highlight w:val="none"/>
          <w:u w:val="none"/>
        </w:rPr>
        <w:t xml:space="preserve"> </w:t>
      </w:r>
    </w:p>
    <w:p w14:paraId="7AA8B9E0">
      <w:pPr>
        <w:pageBreakBefore w:val="0"/>
        <w:widowControl w:val="0"/>
        <w:kinsoku/>
        <w:wordWrap/>
        <w:overflowPunct/>
        <w:topLinePunct w:val="0"/>
        <w:autoSpaceDE/>
        <w:autoSpaceDN/>
        <w:bidi w:val="0"/>
        <w:adjustRightInd/>
        <w:snapToGrid/>
        <w:spacing w:line="360" w:lineRule="auto"/>
        <w:ind w:left="1129" w:leftChars="371" w:hanging="350" w:hangingChars="125"/>
        <w:jc w:val="left"/>
        <w:textAlignment w:val="auto"/>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18690612519</w:t>
      </w:r>
    </w:p>
    <w:p w14:paraId="4DA49308">
      <w:pPr>
        <w:pageBreakBefore w:val="0"/>
        <w:widowControl w:val="0"/>
        <w:kinsoku/>
        <w:wordWrap/>
        <w:overflowPunct/>
        <w:topLinePunct w:val="0"/>
        <w:autoSpaceDE/>
        <w:autoSpaceDN/>
        <w:bidi w:val="0"/>
        <w:adjustRightInd/>
        <w:snapToGrid/>
        <w:spacing w:line="360" w:lineRule="auto"/>
        <w:ind w:firstLine="280" w:firstLineChars="100"/>
        <w:jc w:val="left"/>
        <w:textAlignment w:val="auto"/>
        <w:rPr>
          <w:rFonts w:ascii="仿宋" w:hAnsi="仿宋" w:eastAsia="仿宋" w:cs="宋体"/>
          <w:b w:val="0"/>
          <w:color w:val="auto"/>
          <w:sz w:val="28"/>
          <w:szCs w:val="28"/>
          <w:highlight w:val="none"/>
        </w:rPr>
      </w:pPr>
      <w:r>
        <w:rPr>
          <w:rFonts w:hint="eastAsia" w:ascii="仿宋" w:hAnsi="仿宋" w:eastAsia="仿宋" w:cs="宋体"/>
          <w:b w:val="0"/>
          <w:color w:val="auto"/>
          <w:sz w:val="28"/>
          <w:szCs w:val="28"/>
          <w:highlight w:val="none"/>
        </w:rPr>
        <w:t>2.采购代理机构信息</w:t>
      </w:r>
      <w:bookmarkEnd w:id="27"/>
      <w:bookmarkEnd w:id="28"/>
      <w:bookmarkEnd w:id="29"/>
      <w:bookmarkEnd w:id="30"/>
    </w:p>
    <w:p w14:paraId="31BAD2CA">
      <w:pPr>
        <w:spacing w:line="360" w:lineRule="auto"/>
        <w:ind w:firstLine="840" w:firstLineChars="300"/>
        <w:jc w:val="left"/>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val="en-US" w:eastAsia="zh-CN"/>
        </w:rPr>
        <w:t>新疆</w:t>
      </w:r>
      <w:r>
        <w:rPr>
          <w:rFonts w:hint="default" w:ascii="Times New Roman" w:hAnsi="Times New Roman" w:eastAsia="仿宋" w:cs="Times New Roman"/>
          <w:color w:val="auto"/>
          <w:sz w:val="28"/>
          <w:highlight w:val="none"/>
          <w:u w:val="none"/>
        </w:rPr>
        <w:t>金泰首致项目管理咨询有限公司</w:t>
      </w:r>
    </w:p>
    <w:p w14:paraId="2AB2524B">
      <w:pPr>
        <w:spacing w:line="360" w:lineRule="auto"/>
        <w:ind w:firstLine="840" w:firstLineChars="300"/>
        <w:jc w:val="left"/>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地　　址：</w:t>
      </w:r>
      <w:r>
        <w:rPr>
          <w:rFonts w:hint="eastAsia" w:ascii="仿宋" w:hAnsi="仿宋" w:eastAsia="仿宋"/>
          <w:color w:val="auto"/>
          <w:sz w:val="28"/>
          <w:szCs w:val="28"/>
          <w:highlight w:val="none"/>
          <w:u w:val="none"/>
          <w:lang w:val="en-US" w:eastAsia="zh-CN"/>
        </w:rPr>
        <w:t>阿勒泰市</w:t>
      </w:r>
      <w:r>
        <w:rPr>
          <w:rFonts w:hint="default" w:ascii="Times New Roman" w:hAnsi="Times New Roman" w:eastAsia="仿宋" w:cs="Times New Roman"/>
          <w:color w:val="auto"/>
          <w:sz w:val="28"/>
          <w:highlight w:val="none"/>
          <w:u w:val="none"/>
          <w:lang w:val="en-US" w:eastAsia="zh-CN"/>
        </w:rPr>
        <w:t>佰</w:t>
      </w:r>
      <w:r>
        <w:rPr>
          <w:rFonts w:hint="default" w:ascii="Times New Roman" w:hAnsi="Times New Roman" w:eastAsia="仿宋" w:cs="Times New Roman"/>
          <w:color w:val="auto"/>
          <w:sz w:val="28"/>
          <w:highlight w:val="none"/>
          <w:u w:val="none"/>
        </w:rPr>
        <w:t>颂广场亦岚酒店6楼</w:t>
      </w:r>
    </w:p>
    <w:p w14:paraId="34BE4823">
      <w:pPr>
        <w:spacing w:line="360" w:lineRule="auto"/>
        <w:ind w:firstLine="840" w:firstLineChars="300"/>
        <w:jc w:val="left"/>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联 系 人</w:t>
      </w:r>
      <w:r>
        <w:rPr>
          <w:rFonts w:hint="eastAsia" w:ascii="仿宋" w:hAnsi="仿宋" w:eastAsia="仿宋"/>
          <w:color w:val="auto"/>
          <w:sz w:val="28"/>
          <w:szCs w:val="28"/>
          <w:highlight w:val="none"/>
          <w:u w:val="none"/>
        </w:rPr>
        <w:t>：</w:t>
      </w:r>
      <w:r>
        <w:rPr>
          <w:rFonts w:hint="eastAsia" w:ascii="仿宋" w:hAnsi="仿宋" w:eastAsia="仿宋"/>
          <w:color w:val="auto"/>
          <w:sz w:val="28"/>
          <w:szCs w:val="28"/>
          <w:highlight w:val="none"/>
          <w:u w:val="none"/>
          <w:lang w:val="en-US" w:eastAsia="zh-CN"/>
        </w:rPr>
        <w:t>尚梦云</w:t>
      </w:r>
    </w:p>
    <w:p w14:paraId="5676A230">
      <w:pPr>
        <w:spacing w:line="360" w:lineRule="auto"/>
        <w:ind w:left="279" w:leftChars="133"/>
        <w:jc w:val="left"/>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电　　话：</w:t>
      </w:r>
      <w:r>
        <w:rPr>
          <w:rFonts w:hint="eastAsia" w:ascii="仿宋" w:hAnsi="仿宋" w:eastAsia="仿宋"/>
          <w:color w:val="auto"/>
          <w:sz w:val="28"/>
          <w:szCs w:val="28"/>
          <w:highlight w:val="none"/>
          <w:u w:val="none"/>
          <w:lang w:val="en-US" w:eastAsia="zh-CN"/>
        </w:rPr>
        <w:t>18935826608</w:t>
      </w:r>
      <w:r>
        <w:rPr>
          <w:rFonts w:hint="eastAsia" w:ascii="仿宋" w:hAnsi="仿宋" w:eastAsia="仿宋" w:cs="Times New Roman"/>
          <w:color w:val="auto"/>
          <w:sz w:val="28"/>
          <w:szCs w:val="28"/>
          <w:highlight w:val="none"/>
          <w:u w:val="none"/>
          <w:lang w:val="en-US" w:eastAsia="zh-CN"/>
        </w:rPr>
        <w:t>　　</w:t>
      </w:r>
      <w:r>
        <w:rPr>
          <w:rFonts w:hint="eastAsia" w:ascii="仿宋" w:hAnsi="仿宋" w:eastAsia="仿宋"/>
          <w:color w:val="auto"/>
          <w:sz w:val="28"/>
          <w:szCs w:val="28"/>
          <w:highlight w:val="none"/>
          <w:u w:val="none"/>
          <w:lang w:val="en-US" w:eastAsia="zh-CN"/>
        </w:rPr>
        <w:t xml:space="preserve">  </w:t>
      </w:r>
    </w:p>
    <w:p w14:paraId="3B4601DA">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B4297"/>
    <w:multiLevelType w:val="singleLevel"/>
    <w:tmpl w:val="4F3B429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4D74D2"/>
    <w:rsid w:val="7B4E6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autoSpaceDE w:val="0"/>
      <w:autoSpaceDN w:val="0"/>
      <w:adjustRightInd w:val="0"/>
      <w:spacing w:before="240" w:after="312" w:line="405" w:lineRule="exact"/>
      <w:jc w:val="center"/>
      <w:outlineLvl w:val="0"/>
    </w:pPr>
    <w:rPr>
      <w:rFonts w:ascii="黑体" w:hAnsi="黑体" w:eastAsia="黑体"/>
      <w:b/>
      <w:bCs/>
      <w:kern w:val="44"/>
      <w:sz w:val="32"/>
      <w:szCs w:val="32"/>
    </w:rPr>
  </w:style>
  <w:style w:type="paragraph" w:styleId="3">
    <w:name w:val="heading 2"/>
    <w:basedOn w:val="1"/>
    <w:next w:val="1"/>
    <w:semiHidden/>
    <w:unhideWhenUsed/>
    <w:qFormat/>
    <w:uiPriority w:val="0"/>
    <w:pPr>
      <w:keepNext/>
      <w:spacing w:line="216" w:lineRule="auto"/>
      <w:outlineLvl w:val="1"/>
    </w:pPr>
    <w:rPr>
      <w:rFonts w:ascii="宋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2068</Words>
  <Characters>2384</Characters>
  <Lines>0</Lines>
  <Paragraphs>0</Paragraphs>
  <TotalTime>0</TotalTime>
  <ScaleCrop>false</ScaleCrop>
  <LinksUpToDate>false</LinksUpToDate>
  <CharactersWithSpaces>2428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2025-07-03T03:20:00Z</dcterms:created>
  <dc:creator>Administrator</dc:creator>
  <cp:lastModifiedBy>Administrator</cp:lastModifiedBy>
  <dcterms:modified xsi:type="dcterms:W3CDTF">2025-07-03T04:35:59Z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eyJoZGlkIjoiMjQyMmU4MjU4M2E3OTM0ZTNkMzFmNWQzZGFlM2Y5YTgiLCJ1c2VySWQiOiIxMjAzMTU0NzE0In0=</vt:lpwstr>
  </property>
  <property fmtid="{D5CDD505-2E9C-101B-9397-08002B2CF9AE}" pid="4" name="ICV">
    <vt:lpwstr>AAEEAD690ECD4B2EA7B33277A87CA734_12</vt:lpwstr>
  </property>
</Properties>
</file>