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F2B8D">
      <w:pPr>
        <w:autoSpaceDE w:val="0"/>
        <w:autoSpaceDN w:val="0"/>
        <w:adjustRightInd w:val="0"/>
        <w:jc w:val="center"/>
        <w:rPr>
          <w:rFonts w:ascii="宋体" w:hAnsi="宋体" w:eastAsia="宋体" w:cs="宋体"/>
          <w:sz w:val="36"/>
          <w:szCs w:val="24"/>
        </w:rPr>
      </w:pPr>
      <w:bookmarkStart w:id="0" w:name="_Toc359494608"/>
      <w:bookmarkStart w:id="1" w:name="_Toc2633"/>
      <w:r>
        <w:rPr>
          <w:rFonts w:hint="eastAsia" w:ascii="宋体" w:hAnsi="宋体" w:eastAsia="宋体" w:cs="宋体"/>
          <w:sz w:val="36"/>
          <w:szCs w:val="24"/>
        </w:rPr>
        <w:t xml:space="preserve"> </w:t>
      </w:r>
    </w:p>
    <w:p w14:paraId="35911300">
      <w:pPr>
        <w:autoSpaceDE w:val="0"/>
        <w:autoSpaceDN w:val="0"/>
        <w:adjustRightInd w:val="0"/>
        <w:jc w:val="center"/>
        <w:rPr>
          <w:rFonts w:ascii="宋体" w:hAnsi="宋体" w:eastAsia="宋体" w:cs="宋体"/>
          <w:b/>
          <w:sz w:val="36"/>
          <w:szCs w:val="24"/>
        </w:rPr>
      </w:pPr>
      <w:r>
        <w:rPr>
          <w:rFonts w:hint="eastAsia" w:ascii="宋体" w:hAnsi="宋体" w:eastAsia="宋体" w:cs="宋体"/>
          <w:b/>
          <w:sz w:val="36"/>
          <w:szCs w:val="24"/>
        </w:rPr>
        <w:t>宽城区疾控中心（宽城区卫生监督所）设备采购</w:t>
      </w:r>
    </w:p>
    <w:p w14:paraId="52602F84">
      <w:pPr>
        <w:autoSpaceDE w:val="0"/>
        <w:autoSpaceDN w:val="0"/>
        <w:adjustRightInd w:val="0"/>
        <w:rPr>
          <w:rFonts w:ascii="宋体" w:hAnsi="宋体" w:eastAsia="宋体" w:cs="宋体"/>
          <w:b/>
          <w:sz w:val="96"/>
          <w:szCs w:val="96"/>
          <w:lang w:val="zh-CN"/>
        </w:rPr>
      </w:pPr>
    </w:p>
    <w:p w14:paraId="5811590A">
      <w:pPr>
        <w:autoSpaceDE w:val="0"/>
        <w:autoSpaceDN w:val="0"/>
        <w:adjustRightInd w:val="0"/>
        <w:rPr>
          <w:rFonts w:ascii="宋体" w:hAnsi="宋体" w:eastAsia="宋体" w:cs="宋体"/>
          <w:b/>
          <w:sz w:val="96"/>
          <w:szCs w:val="96"/>
          <w:lang w:val="zh-CN"/>
        </w:rPr>
      </w:pPr>
    </w:p>
    <w:p w14:paraId="45EE72E1">
      <w:pPr>
        <w:autoSpaceDE w:val="0"/>
        <w:autoSpaceDN w:val="0"/>
        <w:adjustRightInd w:val="0"/>
        <w:jc w:val="center"/>
        <w:rPr>
          <w:rFonts w:ascii="宋体" w:hAnsi="宋体" w:eastAsia="宋体" w:cs="宋体"/>
          <w:b/>
          <w:sz w:val="96"/>
          <w:szCs w:val="96"/>
          <w:lang w:val="zh-CN"/>
        </w:rPr>
      </w:pPr>
      <w:r>
        <w:rPr>
          <w:rFonts w:hint="eastAsia" w:ascii="宋体" w:hAnsi="宋体" w:eastAsia="宋体" w:cs="宋体"/>
          <w:b/>
          <w:sz w:val="96"/>
          <w:szCs w:val="96"/>
          <w:lang w:val="zh-CN"/>
        </w:rPr>
        <w:t>招 标 文 件</w:t>
      </w:r>
    </w:p>
    <w:p w14:paraId="1CE4B96D">
      <w:pPr>
        <w:autoSpaceDE w:val="0"/>
        <w:autoSpaceDN w:val="0"/>
        <w:adjustRightInd w:val="0"/>
        <w:jc w:val="center"/>
        <w:rPr>
          <w:rFonts w:ascii="宋体" w:hAnsi="宋体" w:eastAsia="宋体" w:cs="宋体"/>
          <w:b/>
          <w:sz w:val="24"/>
          <w:szCs w:val="24"/>
          <w:lang w:val="zh-CN"/>
        </w:rPr>
      </w:pPr>
    </w:p>
    <w:p w14:paraId="6486E240">
      <w:pPr>
        <w:autoSpaceDE w:val="0"/>
        <w:autoSpaceDN w:val="0"/>
        <w:adjustRightInd w:val="0"/>
        <w:jc w:val="center"/>
        <w:rPr>
          <w:rFonts w:ascii="宋体" w:hAnsi="宋体" w:eastAsia="宋体" w:cs="宋体"/>
          <w:b/>
          <w:sz w:val="36"/>
          <w:szCs w:val="24"/>
        </w:rPr>
      </w:pPr>
      <w:r>
        <w:rPr>
          <w:rFonts w:hint="eastAsia" w:ascii="宋体" w:hAnsi="宋体" w:eastAsia="宋体" w:cs="宋体"/>
          <w:b/>
          <w:sz w:val="36"/>
          <w:szCs w:val="24"/>
        </w:rPr>
        <w:t>项目编号：采购计划-[2025]-00061号</w:t>
      </w:r>
    </w:p>
    <w:p w14:paraId="6946226F">
      <w:pPr>
        <w:autoSpaceDE w:val="0"/>
        <w:autoSpaceDN w:val="0"/>
        <w:adjustRightInd w:val="0"/>
        <w:jc w:val="center"/>
        <w:rPr>
          <w:rFonts w:ascii="宋体" w:hAnsi="宋体" w:eastAsia="宋体" w:cs="宋体"/>
          <w:b/>
          <w:sz w:val="36"/>
          <w:szCs w:val="24"/>
        </w:rPr>
      </w:pPr>
    </w:p>
    <w:p w14:paraId="16A07F55">
      <w:pPr>
        <w:autoSpaceDE w:val="0"/>
        <w:autoSpaceDN w:val="0"/>
        <w:adjustRightInd w:val="0"/>
        <w:jc w:val="center"/>
        <w:rPr>
          <w:rFonts w:ascii="宋体" w:hAnsi="宋体" w:eastAsia="宋体" w:cs="宋体"/>
          <w:b/>
          <w:sz w:val="36"/>
          <w:szCs w:val="36"/>
        </w:rPr>
      </w:pPr>
    </w:p>
    <w:p w14:paraId="7BB6E7DD">
      <w:pPr>
        <w:autoSpaceDE w:val="0"/>
        <w:autoSpaceDN w:val="0"/>
        <w:adjustRightInd w:val="0"/>
        <w:jc w:val="center"/>
        <w:rPr>
          <w:rFonts w:ascii="宋体" w:hAnsi="宋体" w:eastAsia="宋体" w:cs="宋体"/>
          <w:b/>
          <w:sz w:val="24"/>
          <w:szCs w:val="24"/>
        </w:rPr>
      </w:pPr>
    </w:p>
    <w:p w14:paraId="228A1E29">
      <w:pPr>
        <w:autoSpaceDE w:val="0"/>
        <w:autoSpaceDN w:val="0"/>
        <w:adjustRightInd w:val="0"/>
        <w:jc w:val="center"/>
        <w:rPr>
          <w:rFonts w:ascii="宋体" w:hAnsi="宋体" w:eastAsia="宋体" w:cs="宋体"/>
          <w:b/>
          <w:sz w:val="24"/>
          <w:szCs w:val="24"/>
          <w:lang w:val="zh-CN"/>
        </w:rPr>
      </w:pPr>
    </w:p>
    <w:p w14:paraId="11F614BE">
      <w:pPr>
        <w:autoSpaceDE w:val="0"/>
        <w:autoSpaceDN w:val="0"/>
        <w:adjustRightInd w:val="0"/>
        <w:jc w:val="center"/>
        <w:rPr>
          <w:rFonts w:ascii="宋体" w:hAnsi="宋体" w:eastAsia="宋体" w:cs="宋体"/>
          <w:b/>
          <w:sz w:val="24"/>
          <w:szCs w:val="24"/>
          <w:lang w:val="zh-CN"/>
        </w:rPr>
      </w:pPr>
    </w:p>
    <w:p w14:paraId="4E624978">
      <w:pPr>
        <w:autoSpaceDE w:val="0"/>
        <w:autoSpaceDN w:val="0"/>
        <w:adjustRightInd w:val="0"/>
        <w:jc w:val="center"/>
        <w:rPr>
          <w:rFonts w:ascii="宋体" w:hAnsi="宋体" w:eastAsia="宋体" w:cs="宋体"/>
          <w:b/>
          <w:sz w:val="24"/>
          <w:szCs w:val="24"/>
          <w:lang w:val="zh-CN"/>
        </w:rPr>
      </w:pPr>
    </w:p>
    <w:p w14:paraId="3411BB71">
      <w:pPr>
        <w:autoSpaceDE w:val="0"/>
        <w:autoSpaceDN w:val="0"/>
        <w:adjustRightInd w:val="0"/>
        <w:rPr>
          <w:rFonts w:ascii="宋体" w:hAnsi="宋体" w:eastAsia="宋体" w:cs="宋体"/>
          <w:b/>
          <w:sz w:val="30"/>
          <w:szCs w:val="30"/>
        </w:rPr>
      </w:pPr>
    </w:p>
    <w:p w14:paraId="02AC93DC">
      <w:pPr>
        <w:autoSpaceDE w:val="0"/>
        <w:autoSpaceDN w:val="0"/>
        <w:adjustRightInd w:val="0"/>
        <w:rPr>
          <w:rFonts w:ascii="宋体" w:hAnsi="宋体" w:eastAsia="宋体" w:cs="宋体"/>
          <w:b/>
          <w:sz w:val="30"/>
          <w:szCs w:val="30"/>
        </w:rPr>
      </w:pPr>
    </w:p>
    <w:p w14:paraId="1B96EE90">
      <w:pPr>
        <w:autoSpaceDE w:val="0"/>
        <w:autoSpaceDN w:val="0"/>
        <w:adjustRightInd w:val="0"/>
        <w:rPr>
          <w:rFonts w:ascii="宋体" w:hAnsi="宋体" w:eastAsia="宋体" w:cs="宋体"/>
          <w:b/>
          <w:sz w:val="30"/>
          <w:szCs w:val="30"/>
        </w:rPr>
      </w:pPr>
    </w:p>
    <w:p w14:paraId="54CB1B1A">
      <w:pPr>
        <w:autoSpaceDE w:val="0"/>
        <w:autoSpaceDN w:val="0"/>
        <w:adjustRightInd w:val="0"/>
        <w:spacing w:line="360" w:lineRule="auto"/>
        <w:ind w:firstLine="723" w:firstLineChars="200"/>
        <w:rPr>
          <w:rFonts w:ascii="宋体" w:hAnsi="宋体" w:eastAsia="宋体" w:cs="宋体"/>
          <w:b/>
          <w:sz w:val="36"/>
          <w:szCs w:val="36"/>
        </w:rPr>
      </w:pPr>
      <w:r>
        <w:rPr>
          <w:rFonts w:hint="eastAsia" w:ascii="宋体" w:hAnsi="宋体" w:eastAsia="宋体" w:cs="宋体"/>
          <w:b/>
          <w:sz w:val="36"/>
          <w:szCs w:val="36"/>
        </w:rPr>
        <w:t xml:space="preserve">采   购   人：长春市宽城区疾病预防控制中心（长春市宽城区卫生监督所）  </w:t>
      </w:r>
    </w:p>
    <w:p w14:paraId="0CC432A8">
      <w:pPr>
        <w:autoSpaceDE w:val="0"/>
        <w:autoSpaceDN w:val="0"/>
        <w:adjustRightInd w:val="0"/>
        <w:spacing w:line="360" w:lineRule="auto"/>
        <w:ind w:firstLine="723" w:firstLineChars="200"/>
        <w:rPr>
          <w:rFonts w:ascii="宋体" w:hAnsi="宋体" w:eastAsia="宋体" w:cs="宋体"/>
          <w:b/>
          <w:sz w:val="36"/>
          <w:szCs w:val="36"/>
        </w:rPr>
      </w:pPr>
      <w:r>
        <w:rPr>
          <w:rFonts w:hint="eastAsia" w:ascii="宋体" w:hAnsi="宋体" w:eastAsia="宋体" w:cs="宋体"/>
          <w:b/>
          <w:sz w:val="36"/>
          <w:szCs w:val="36"/>
        </w:rPr>
        <w:t>采购代理机构：</w:t>
      </w:r>
      <w:bookmarkStart w:id="2" w:name="OLE_LINK7"/>
      <w:r>
        <w:rPr>
          <w:rFonts w:hint="eastAsia" w:ascii="宋体" w:hAnsi="宋体" w:eastAsia="宋体" w:cs="宋体"/>
          <w:b/>
          <w:sz w:val="36"/>
          <w:szCs w:val="36"/>
        </w:rPr>
        <w:t>中恺项目管理咨询有限公司</w:t>
      </w:r>
      <w:bookmarkEnd w:id="2"/>
    </w:p>
    <w:p w14:paraId="4E1588D5">
      <w:pPr>
        <w:autoSpaceDE w:val="0"/>
        <w:autoSpaceDN w:val="0"/>
        <w:adjustRightInd w:val="0"/>
        <w:spacing w:line="720" w:lineRule="auto"/>
        <w:ind w:firstLine="723" w:firstLineChars="200"/>
        <w:jc w:val="center"/>
        <w:rPr>
          <w:rFonts w:ascii="宋体" w:hAnsi="宋体" w:eastAsia="宋体" w:cs="宋体"/>
          <w:b/>
          <w:sz w:val="36"/>
          <w:szCs w:val="36"/>
          <w:highlight w:val="none"/>
        </w:rPr>
      </w:pPr>
      <w:r>
        <w:rPr>
          <w:rFonts w:hint="eastAsia" w:ascii="宋体" w:hAnsi="宋体" w:eastAsia="宋体" w:cs="宋体"/>
          <w:b/>
          <w:sz w:val="36"/>
          <w:szCs w:val="36"/>
          <w:highlight w:val="none"/>
        </w:rPr>
        <w:t>2025年</w:t>
      </w:r>
      <w:r>
        <w:rPr>
          <w:rFonts w:hint="eastAsia" w:ascii="宋体" w:hAnsi="宋体" w:eastAsia="宋体" w:cs="宋体"/>
          <w:b/>
          <w:sz w:val="36"/>
          <w:szCs w:val="36"/>
          <w:highlight w:val="none"/>
          <w:lang w:val="en-US" w:eastAsia="zh-CN"/>
        </w:rPr>
        <w:t>07</w:t>
      </w:r>
      <w:r>
        <w:rPr>
          <w:rFonts w:hint="eastAsia" w:ascii="宋体" w:hAnsi="宋体" w:eastAsia="宋体" w:cs="宋体"/>
          <w:b/>
          <w:sz w:val="36"/>
          <w:szCs w:val="36"/>
          <w:highlight w:val="none"/>
        </w:rPr>
        <w:t>月</w:t>
      </w:r>
    </w:p>
    <w:p w14:paraId="05E44A7E">
      <w:pPr>
        <w:widowControl/>
        <w:jc w:val="left"/>
        <w:rPr>
          <w:rFonts w:ascii="宋体" w:hAnsi="宋体" w:eastAsia="宋体" w:cs="宋体"/>
          <w:b/>
          <w:kern w:val="44"/>
          <w:sz w:val="28"/>
          <w:szCs w:val="24"/>
        </w:rPr>
      </w:pPr>
      <w:r>
        <w:rPr>
          <w:rFonts w:ascii="宋体" w:hAnsi="宋体" w:eastAsia="宋体" w:cs="宋体"/>
          <w:b/>
          <w:kern w:val="44"/>
          <w:sz w:val="28"/>
          <w:szCs w:val="24"/>
        </w:rPr>
        <w:br w:type="page"/>
      </w:r>
    </w:p>
    <w:p w14:paraId="393925A3">
      <w:pPr>
        <w:pStyle w:val="17"/>
      </w:pPr>
    </w:p>
    <w:p w14:paraId="206E7112">
      <w:pPr>
        <w:pStyle w:val="17"/>
      </w:pPr>
      <w:r>
        <w:t>目录</w:t>
      </w:r>
    </w:p>
    <w:p w14:paraId="6C3529B8"/>
    <w:p w14:paraId="02D90967"/>
    <w:p w14:paraId="563384F7">
      <w:pPr>
        <w:pStyle w:val="17"/>
        <w:rPr>
          <w:rFonts w:asciiTheme="minorHAnsi" w:hAnsiTheme="minorHAnsi" w:eastAsiaTheme="minorEastAsia" w:cstheme="minorBidi"/>
          <w:b w:val="0"/>
          <w:kern w:val="2"/>
          <w:sz w:val="21"/>
          <w:szCs w:val="22"/>
        </w:rPr>
      </w:pPr>
      <w:r>
        <w:fldChar w:fldCharType="begin"/>
      </w:r>
      <w:r>
        <w:instrText xml:space="preserve"> </w:instrText>
      </w:r>
      <w:r>
        <w:rPr>
          <w:rFonts w:hint="eastAsia"/>
        </w:rPr>
        <w:instrText xml:space="preserve">TOC \o "1-1" \h \z \u</w:instrText>
      </w:r>
      <w:r>
        <w:instrText xml:space="preserve"> </w:instrText>
      </w:r>
      <w:r>
        <w:fldChar w:fldCharType="separate"/>
      </w:r>
      <w:r>
        <w:fldChar w:fldCharType="begin"/>
      </w:r>
      <w:r>
        <w:instrText xml:space="preserve"> HYPERLINK \l "_Toc167280760" </w:instrText>
      </w:r>
      <w:r>
        <w:fldChar w:fldCharType="separate"/>
      </w:r>
      <w:r>
        <w:rPr>
          <w:rStyle w:val="24"/>
          <w:rFonts w:hint="eastAsia"/>
          <w:color w:val="auto"/>
        </w:rPr>
        <w:t>第一章</w:t>
      </w:r>
      <w:r>
        <w:rPr>
          <w:rStyle w:val="24"/>
          <w:color w:val="auto"/>
        </w:rPr>
        <w:t xml:space="preserve"> </w:t>
      </w:r>
      <w:r>
        <w:rPr>
          <w:rStyle w:val="24"/>
          <w:rFonts w:hint="eastAsia"/>
          <w:color w:val="auto"/>
        </w:rPr>
        <w:t>招标公告</w:t>
      </w:r>
      <w:r>
        <w:tab/>
      </w:r>
      <w:r>
        <w:fldChar w:fldCharType="begin"/>
      </w:r>
      <w:r>
        <w:instrText xml:space="preserve"> PAGEREF _Toc167280760 \h </w:instrText>
      </w:r>
      <w:r>
        <w:fldChar w:fldCharType="separate"/>
      </w:r>
      <w:r>
        <w:t>1</w:t>
      </w:r>
      <w:r>
        <w:fldChar w:fldCharType="end"/>
      </w:r>
      <w:r>
        <w:fldChar w:fldCharType="end"/>
      </w:r>
    </w:p>
    <w:p w14:paraId="06D9E0B5">
      <w:pPr>
        <w:pStyle w:val="17"/>
        <w:rPr>
          <w:rFonts w:asciiTheme="minorHAnsi" w:hAnsiTheme="minorHAnsi" w:eastAsiaTheme="minorEastAsia" w:cstheme="minorBidi"/>
          <w:b w:val="0"/>
          <w:kern w:val="2"/>
          <w:sz w:val="21"/>
          <w:szCs w:val="22"/>
        </w:rPr>
      </w:pPr>
      <w:r>
        <w:fldChar w:fldCharType="begin"/>
      </w:r>
      <w:r>
        <w:instrText xml:space="preserve"> HYPERLINK \l "_Toc167280761" </w:instrText>
      </w:r>
      <w:r>
        <w:fldChar w:fldCharType="separate"/>
      </w:r>
      <w:r>
        <w:rPr>
          <w:rStyle w:val="24"/>
          <w:rFonts w:hint="eastAsia"/>
          <w:color w:val="auto"/>
          <w:lang w:val="zh-CN"/>
        </w:rPr>
        <w:t>第二章</w:t>
      </w:r>
      <w:r>
        <w:rPr>
          <w:rStyle w:val="24"/>
          <w:color w:val="auto"/>
          <w:lang w:val="zh-CN"/>
        </w:rPr>
        <w:t xml:space="preserve"> </w:t>
      </w:r>
      <w:r>
        <w:rPr>
          <w:rStyle w:val="24"/>
          <w:rFonts w:hint="eastAsia"/>
          <w:color w:val="auto"/>
          <w:lang w:val="zh-CN"/>
        </w:rPr>
        <w:t>投标人须知</w:t>
      </w:r>
      <w:r>
        <w:tab/>
      </w:r>
      <w:r>
        <w:fldChar w:fldCharType="begin"/>
      </w:r>
      <w:r>
        <w:instrText xml:space="preserve"> PAGEREF _Toc167280761 \h </w:instrText>
      </w:r>
      <w:r>
        <w:fldChar w:fldCharType="separate"/>
      </w:r>
      <w:r>
        <w:t>5</w:t>
      </w:r>
      <w:r>
        <w:fldChar w:fldCharType="end"/>
      </w:r>
      <w:r>
        <w:fldChar w:fldCharType="end"/>
      </w:r>
    </w:p>
    <w:p w14:paraId="161E6410">
      <w:pPr>
        <w:pStyle w:val="17"/>
        <w:rPr>
          <w:rFonts w:asciiTheme="minorHAnsi" w:hAnsiTheme="minorHAnsi" w:eastAsiaTheme="minorEastAsia" w:cstheme="minorBidi"/>
          <w:b w:val="0"/>
          <w:kern w:val="2"/>
          <w:sz w:val="21"/>
          <w:szCs w:val="22"/>
        </w:rPr>
      </w:pPr>
      <w:r>
        <w:fldChar w:fldCharType="begin"/>
      </w:r>
      <w:r>
        <w:instrText xml:space="preserve"> HYPERLINK \l "_Toc167280762" </w:instrText>
      </w:r>
      <w:r>
        <w:fldChar w:fldCharType="separate"/>
      </w:r>
      <w:r>
        <w:rPr>
          <w:rStyle w:val="24"/>
          <w:rFonts w:hint="eastAsia"/>
          <w:color w:val="auto"/>
        </w:rPr>
        <w:t>第三章</w:t>
      </w:r>
      <w:r>
        <w:rPr>
          <w:rStyle w:val="24"/>
          <w:color w:val="auto"/>
        </w:rPr>
        <w:t xml:space="preserve"> </w:t>
      </w:r>
      <w:r>
        <w:rPr>
          <w:rStyle w:val="24"/>
          <w:rFonts w:hint="eastAsia"/>
          <w:color w:val="auto"/>
        </w:rPr>
        <w:t>评标标准和方法（综合评分法）</w:t>
      </w:r>
      <w:r>
        <w:tab/>
      </w:r>
      <w:r>
        <w:fldChar w:fldCharType="begin"/>
      </w:r>
      <w:r>
        <w:instrText xml:space="preserve"> PAGEREF _Toc167280762 \h </w:instrText>
      </w:r>
      <w:r>
        <w:fldChar w:fldCharType="separate"/>
      </w:r>
      <w:r>
        <w:t>19</w:t>
      </w:r>
      <w:r>
        <w:fldChar w:fldCharType="end"/>
      </w:r>
      <w:r>
        <w:fldChar w:fldCharType="end"/>
      </w:r>
    </w:p>
    <w:p w14:paraId="4F5EABA9">
      <w:pPr>
        <w:pStyle w:val="17"/>
        <w:rPr>
          <w:rFonts w:hint="eastAsia" w:eastAsia="宋体" w:asciiTheme="minorHAnsi" w:hAnsiTheme="minorHAnsi" w:cstheme="minorBidi"/>
          <w:b w:val="0"/>
          <w:kern w:val="2"/>
          <w:sz w:val="21"/>
          <w:szCs w:val="22"/>
          <w:lang w:val="en-US" w:eastAsia="zh-CN"/>
        </w:rPr>
      </w:pPr>
      <w:r>
        <w:fldChar w:fldCharType="begin"/>
      </w:r>
      <w:r>
        <w:instrText xml:space="preserve"> HYPERLINK \l "_Toc167280763" </w:instrText>
      </w:r>
      <w:r>
        <w:fldChar w:fldCharType="separate"/>
      </w:r>
      <w:r>
        <w:rPr>
          <w:rStyle w:val="24"/>
          <w:rFonts w:hint="eastAsia"/>
          <w:color w:val="auto"/>
          <w:lang w:val="zh-CN"/>
        </w:rPr>
        <w:t>第四章</w:t>
      </w:r>
      <w:r>
        <w:rPr>
          <w:rStyle w:val="24"/>
          <w:color w:val="auto"/>
          <w:lang w:val="zh-CN"/>
        </w:rPr>
        <w:t xml:space="preserve"> </w:t>
      </w:r>
      <w:r>
        <w:rPr>
          <w:rStyle w:val="24"/>
          <w:rFonts w:hint="eastAsia"/>
          <w:color w:val="auto"/>
          <w:lang w:val="zh-CN"/>
        </w:rPr>
        <w:t>政府采购合同书格式</w:t>
      </w:r>
      <w:r>
        <w:tab/>
      </w:r>
      <w:r>
        <w:rPr>
          <w:rFonts w:hint="eastAsia"/>
          <w:lang w:val="en-US" w:eastAsia="zh-CN"/>
        </w:rPr>
        <w:t>2</w:t>
      </w:r>
      <w:r>
        <w:rPr>
          <w:rFonts w:hint="eastAsia"/>
        </w:rPr>
        <w:fldChar w:fldCharType="end"/>
      </w:r>
      <w:r>
        <w:rPr>
          <w:rFonts w:hint="eastAsia"/>
          <w:lang w:val="en-US" w:eastAsia="zh-CN"/>
        </w:rPr>
        <w:t>4</w:t>
      </w:r>
    </w:p>
    <w:p w14:paraId="5D4E5CB6">
      <w:pPr>
        <w:pStyle w:val="17"/>
        <w:rPr>
          <w:rFonts w:asciiTheme="minorHAnsi" w:hAnsiTheme="minorHAnsi" w:cstheme="minorBidi"/>
          <w:b w:val="0"/>
          <w:kern w:val="2"/>
          <w:sz w:val="21"/>
          <w:szCs w:val="22"/>
        </w:rPr>
      </w:pPr>
      <w:r>
        <w:fldChar w:fldCharType="begin"/>
      </w:r>
      <w:r>
        <w:instrText xml:space="preserve"> HYPERLINK \l "_Toc167280764" </w:instrText>
      </w:r>
      <w:r>
        <w:fldChar w:fldCharType="separate"/>
      </w:r>
      <w:r>
        <w:rPr>
          <w:rStyle w:val="24"/>
          <w:rFonts w:hint="eastAsia"/>
          <w:color w:val="auto"/>
        </w:rPr>
        <w:t>第五章</w:t>
      </w:r>
      <w:r>
        <w:rPr>
          <w:rStyle w:val="24"/>
          <w:color w:val="auto"/>
        </w:rPr>
        <w:t xml:space="preserve"> </w:t>
      </w:r>
      <w:r>
        <w:rPr>
          <w:rStyle w:val="24"/>
          <w:rFonts w:hint="eastAsia"/>
          <w:color w:val="auto"/>
        </w:rPr>
        <w:t>采购需求</w:t>
      </w:r>
      <w:r>
        <w:tab/>
      </w:r>
      <w:r>
        <w:rPr>
          <w:rFonts w:hint="eastAsia"/>
          <w:lang w:val="en-US" w:eastAsia="zh-CN"/>
        </w:rPr>
        <w:t>2</w:t>
      </w:r>
      <w:r>
        <w:rPr>
          <w:rFonts w:hint="eastAsia"/>
        </w:rPr>
        <w:fldChar w:fldCharType="end"/>
      </w:r>
      <w:r>
        <w:rPr>
          <w:rFonts w:hint="eastAsia"/>
          <w:lang w:val="en-US" w:eastAsia="zh-CN"/>
        </w:rPr>
        <w:t>6</w:t>
      </w:r>
    </w:p>
    <w:p w14:paraId="641D3CC0">
      <w:pPr>
        <w:pStyle w:val="17"/>
        <w:rPr>
          <w:rFonts w:asciiTheme="minorHAnsi" w:hAnsiTheme="minorHAnsi" w:cstheme="minorBidi"/>
          <w:b w:val="0"/>
          <w:kern w:val="2"/>
          <w:sz w:val="21"/>
          <w:szCs w:val="22"/>
        </w:rPr>
      </w:pPr>
      <w:r>
        <w:fldChar w:fldCharType="begin"/>
      </w:r>
      <w:r>
        <w:instrText xml:space="preserve"> HYPERLINK \l "_Toc167280765" </w:instrText>
      </w:r>
      <w:r>
        <w:fldChar w:fldCharType="separate"/>
      </w:r>
      <w:r>
        <w:rPr>
          <w:rStyle w:val="24"/>
          <w:rFonts w:hint="eastAsia"/>
          <w:color w:val="auto"/>
          <w:lang w:val="zh-CN"/>
        </w:rPr>
        <w:t>第六章</w:t>
      </w:r>
      <w:r>
        <w:rPr>
          <w:rStyle w:val="24"/>
          <w:color w:val="auto"/>
          <w:lang w:val="zh-CN"/>
        </w:rPr>
        <w:t xml:space="preserve"> </w:t>
      </w:r>
      <w:r>
        <w:rPr>
          <w:rStyle w:val="24"/>
          <w:rFonts w:hint="eastAsia"/>
          <w:color w:val="auto"/>
          <w:lang w:val="zh-CN"/>
        </w:rPr>
        <w:t>投标文件构成、要求及格式</w:t>
      </w:r>
      <w:r>
        <w:tab/>
      </w:r>
      <w:r>
        <w:rPr>
          <w:rFonts w:hint="eastAsia"/>
          <w:lang w:val="en-US" w:eastAsia="zh-CN"/>
        </w:rPr>
        <w:t>4</w:t>
      </w:r>
      <w:r>
        <w:rPr>
          <w:rFonts w:hint="eastAsia"/>
        </w:rPr>
        <w:t>1</w:t>
      </w:r>
      <w:r>
        <w:rPr>
          <w:rFonts w:hint="eastAsia"/>
        </w:rPr>
        <w:fldChar w:fldCharType="end"/>
      </w:r>
    </w:p>
    <w:p w14:paraId="4D152BAD">
      <w:pPr>
        <w:spacing w:line="600" w:lineRule="auto"/>
      </w:pPr>
      <w:r>
        <w:rPr>
          <w:b/>
          <w:sz w:val="32"/>
          <w:szCs w:val="32"/>
        </w:rPr>
        <w:fldChar w:fldCharType="end"/>
      </w:r>
    </w:p>
    <w:p w14:paraId="54C29636">
      <w:pPr>
        <w:pStyle w:val="17"/>
      </w:pPr>
    </w:p>
    <w:p w14:paraId="31CAF996">
      <w:pPr>
        <w:widowControl/>
        <w:jc w:val="left"/>
        <w:rPr>
          <w:rFonts w:ascii="宋体" w:hAnsi="宋体" w:eastAsia="宋体" w:cs="宋体"/>
          <w:b/>
          <w:kern w:val="44"/>
          <w:sz w:val="28"/>
          <w:szCs w:val="24"/>
        </w:rPr>
        <w:sectPr>
          <w:footerReference r:id="rId3" w:type="default"/>
          <w:pgSz w:w="11906" w:h="16838"/>
          <w:pgMar w:top="1440" w:right="1080" w:bottom="1440" w:left="1080" w:header="851" w:footer="992" w:gutter="0"/>
          <w:cols w:space="425" w:num="1"/>
          <w:docGrid w:type="lines" w:linePitch="312" w:charSpace="0"/>
        </w:sectPr>
      </w:pPr>
    </w:p>
    <w:p w14:paraId="073EC806">
      <w:pPr>
        <w:pStyle w:val="2"/>
      </w:pPr>
      <w:bookmarkStart w:id="3" w:name="_Toc167280760"/>
      <w:bookmarkStart w:id="4" w:name="_Toc164847787"/>
      <w:r>
        <w:t>第一章</w:t>
      </w:r>
      <w:r>
        <w:rPr>
          <w:rFonts w:hint="eastAsia"/>
        </w:rPr>
        <w:t xml:space="preserve"> </w:t>
      </w:r>
      <w:r>
        <w:t>招标公告</w:t>
      </w:r>
      <w:bookmarkEnd w:id="3"/>
      <w:bookmarkEnd w:id="4"/>
    </w:p>
    <w:bookmarkEnd w:id="0"/>
    <w:bookmarkEnd w:id="1"/>
    <w:p w14:paraId="6E4E84A7">
      <w:pPr>
        <w:jc w:val="center"/>
        <w:rPr>
          <w:rFonts w:hint="eastAsia" w:eastAsiaTheme="minorEastAsia"/>
          <w:b/>
          <w:sz w:val="28"/>
          <w:lang w:eastAsia="zh-CN"/>
        </w:rPr>
      </w:pPr>
      <w:bookmarkStart w:id="5" w:name="OLE_LINK25"/>
      <w:bookmarkStart w:id="6" w:name="OLE_LINK18"/>
      <w:r>
        <w:rPr>
          <w:rFonts w:hint="eastAsia"/>
          <w:b/>
          <w:sz w:val="28"/>
          <w:highlight w:val="none"/>
          <w:lang w:eastAsia="zh-CN"/>
        </w:rPr>
        <w:t>宽城区疾控中心（宽城区卫生监督所）设备采购</w:t>
      </w:r>
    </w:p>
    <w:p w14:paraId="7BA24F39">
      <w:pPr>
        <w:jc w:val="center"/>
        <w:rPr>
          <w:b/>
          <w:sz w:val="28"/>
        </w:rPr>
      </w:pPr>
      <w:r>
        <w:rPr>
          <w:rFonts w:hint="eastAsia"/>
          <w:b/>
          <w:sz w:val="28"/>
        </w:rPr>
        <w:t>招标公告</w:t>
      </w:r>
    </w:p>
    <w:bookmarkEnd w:id="5"/>
    <w:p w14:paraId="012628FD">
      <w:pPr>
        <w:pBdr>
          <w:top w:val="single" w:color="auto" w:sz="4" w:space="1"/>
          <w:left w:val="single" w:color="auto" w:sz="4" w:space="4"/>
          <w:bottom w:val="single" w:color="auto" w:sz="4" w:space="1"/>
          <w:right w:val="single" w:color="auto" w:sz="4" w:space="4"/>
        </w:pBdr>
        <w:spacing w:line="360" w:lineRule="auto"/>
        <w:rPr>
          <w:rFonts w:ascii="宋体" w:hAnsi="宋体" w:cs="宋体"/>
          <w:sz w:val="24"/>
        </w:rPr>
      </w:pPr>
      <w:bookmarkStart w:id="7" w:name="_Toc28359003"/>
      <w:bookmarkStart w:id="8" w:name="_Toc28359080"/>
      <w:r>
        <w:rPr>
          <w:rFonts w:hint="eastAsia" w:ascii="宋体" w:hAnsi="宋体" w:cs="宋体"/>
          <w:sz w:val="24"/>
        </w:rPr>
        <w:t>项目概况</w:t>
      </w:r>
    </w:p>
    <w:p w14:paraId="2D5383F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highlight w:val="none"/>
          <w:u w:val="single"/>
          <w:lang w:eastAsia="zh-CN"/>
        </w:rPr>
        <w:t>宽城区疾控中心（宽城区卫生监督所）设备采购</w:t>
      </w:r>
      <w:r>
        <w:rPr>
          <w:rFonts w:hint="eastAsia" w:ascii="宋体" w:hAnsi="宋体" w:cs="宋体"/>
          <w:sz w:val="24"/>
        </w:rPr>
        <w:t>的潜在投标人应在</w:t>
      </w:r>
      <w:r>
        <w:rPr>
          <w:rFonts w:hint="eastAsia" w:ascii="宋体" w:hAnsi="宋体" w:cs="宋体"/>
          <w:sz w:val="24"/>
          <w:u w:val="single"/>
        </w:rPr>
        <w:t>政采云平台线上</w:t>
      </w:r>
      <w:r>
        <w:rPr>
          <w:rFonts w:hint="eastAsia" w:ascii="宋体" w:hAnsi="宋体" w:cs="宋体"/>
          <w:sz w:val="24"/>
        </w:rPr>
        <w:t>获取招标文件，并于</w:t>
      </w:r>
      <w:r>
        <w:rPr>
          <w:rFonts w:hint="eastAsia" w:ascii="宋体" w:hAnsi="宋体" w:cs="宋体"/>
          <w:sz w:val="24"/>
          <w:u w:val="single"/>
        </w:rPr>
        <w:t>2024年</w:t>
      </w:r>
      <w:r>
        <w:rPr>
          <w:rFonts w:hint="eastAsia" w:ascii="宋体" w:hAnsi="宋体" w:cs="宋体"/>
          <w:sz w:val="24"/>
          <w:u w:val="single"/>
          <w:lang w:val="en-US" w:eastAsia="zh-CN"/>
        </w:rPr>
        <w:t>08</w:t>
      </w:r>
      <w:r>
        <w:rPr>
          <w:rFonts w:hint="eastAsia" w:ascii="宋体" w:hAnsi="宋体" w:cs="宋体"/>
          <w:sz w:val="24"/>
          <w:u w:val="single"/>
        </w:rPr>
        <w:t>月</w:t>
      </w:r>
      <w:r>
        <w:rPr>
          <w:rFonts w:hint="eastAsia" w:ascii="宋体" w:hAnsi="宋体" w:cs="宋体"/>
          <w:sz w:val="24"/>
          <w:u w:val="single"/>
          <w:lang w:val="en-US" w:eastAsia="zh-CN"/>
        </w:rPr>
        <w:t>07</w:t>
      </w:r>
      <w:r>
        <w:rPr>
          <w:rFonts w:hint="eastAsia" w:ascii="宋体" w:hAnsi="宋体" w:cs="宋体"/>
          <w:sz w:val="24"/>
          <w:u w:val="single"/>
        </w:rPr>
        <w:t>日09时00分（北京时间）</w:t>
      </w:r>
      <w:r>
        <w:rPr>
          <w:rFonts w:hint="eastAsia" w:ascii="宋体" w:hAnsi="宋体" w:cs="宋体"/>
          <w:sz w:val="24"/>
        </w:rPr>
        <w:t>前递交</w:t>
      </w:r>
      <w:r>
        <w:rPr>
          <w:rFonts w:hint="eastAsia" w:ascii="宋体" w:hAnsi="宋体" w:cs="宋体"/>
          <w:bCs/>
          <w:sz w:val="24"/>
        </w:rPr>
        <w:t>投标文件</w:t>
      </w:r>
      <w:r>
        <w:rPr>
          <w:rFonts w:hint="eastAsia" w:ascii="宋体" w:hAnsi="宋体" w:cs="宋体"/>
          <w:sz w:val="24"/>
        </w:rPr>
        <w:t>。</w:t>
      </w:r>
    </w:p>
    <w:bookmarkEnd w:id="7"/>
    <w:bookmarkEnd w:id="8"/>
    <w:p w14:paraId="2391D582">
      <w:pPr>
        <w:keepNext/>
        <w:keepLines/>
        <w:spacing w:line="360" w:lineRule="auto"/>
        <w:outlineLvl w:val="1"/>
        <w:rPr>
          <w:rFonts w:ascii="宋体" w:hAnsi="宋体" w:cs="宋体"/>
          <w:sz w:val="24"/>
        </w:rPr>
      </w:pPr>
      <w:bookmarkStart w:id="9" w:name="_Toc28359002"/>
      <w:bookmarkStart w:id="10" w:name="_Toc35393790"/>
      <w:bookmarkStart w:id="11" w:name="_Toc35393621"/>
      <w:bookmarkStart w:id="12" w:name="_Toc28359079"/>
      <w:bookmarkStart w:id="13" w:name="_Hlk24379207"/>
      <w:r>
        <w:rPr>
          <w:rFonts w:hint="eastAsia" w:ascii="宋体" w:hAnsi="宋体" w:cs="宋体"/>
          <w:b/>
          <w:sz w:val="24"/>
        </w:rPr>
        <w:t>一、项目基本情况</w:t>
      </w:r>
      <w:bookmarkEnd w:id="9"/>
      <w:bookmarkEnd w:id="10"/>
      <w:bookmarkEnd w:id="11"/>
      <w:bookmarkEnd w:id="12"/>
    </w:p>
    <w:p w14:paraId="6889BF42">
      <w:pPr>
        <w:spacing w:line="360" w:lineRule="auto"/>
        <w:ind w:firstLine="480" w:firstLineChars="200"/>
        <w:rPr>
          <w:rFonts w:ascii="宋体" w:hAnsi="宋体" w:cs="宋体"/>
          <w:sz w:val="24"/>
        </w:rPr>
      </w:pPr>
      <w:r>
        <w:rPr>
          <w:rFonts w:hint="eastAsia" w:ascii="宋体" w:hAnsi="宋体" w:cs="宋体"/>
          <w:sz w:val="24"/>
        </w:rPr>
        <w:t>1.项目采购编号：</w:t>
      </w:r>
      <w:bookmarkStart w:id="14" w:name="OLE_LINK3"/>
      <w:r>
        <w:rPr>
          <w:rFonts w:hint="eastAsia" w:ascii="宋体" w:hAnsi="宋体" w:cs="宋体"/>
          <w:sz w:val="24"/>
        </w:rPr>
        <w:t>采购计划-[2025]-00061号</w:t>
      </w:r>
      <w:r>
        <w:rPr>
          <w:rFonts w:hint="eastAsia" w:ascii="宋体" w:hAnsi="宋体" w:eastAsia="宋体" w:cs="宋体"/>
          <w:sz w:val="24"/>
          <w:szCs w:val="24"/>
        </w:rPr>
        <w:t>；</w:t>
      </w:r>
      <w:bookmarkEnd w:id="14"/>
    </w:p>
    <w:p w14:paraId="4983DBC7">
      <w:pPr>
        <w:spacing w:line="360" w:lineRule="auto"/>
        <w:ind w:firstLine="480" w:firstLineChars="200"/>
        <w:rPr>
          <w:rFonts w:ascii="宋体" w:hAnsi="宋体" w:cs="宋体"/>
          <w:sz w:val="24"/>
        </w:rPr>
      </w:pPr>
      <w:r>
        <w:rPr>
          <w:rFonts w:hint="eastAsia" w:ascii="宋体" w:hAnsi="宋体" w:cs="宋体"/>
          <w:sz w:val="24"/>
        </w:rPr>
        <w:t>2.项目名</w:t>
      </w:r>
      <w:r>
        <w:rPr>
          <w:rFonts w:hint="eastAsia" w:ascii="宋体" w:hAnsi="宋体" w:cs="宋体"/>
          <w:sz w:val="24"/>
          <w:highlight w:val="none"/>
        </w:rPr>
        <w:t>称：</w:t>
      </w:r>
      <w:r>
        <w:rPr>
          <w:rFonts w:hint="eastAsia" w:ascii="宋体" w:hAnsi="宋体" w:cs="宋体"/>
          <w:sz w:val="24"/>
          <w:highlight w:val="none"/>
          <w:lang w:eastAsia="zh-CN"/>
        </w:rPr>
        <w:t>宽城区疾控中心（宽城区卫生监督所）设备采购</w:t>
      </w:r>
      <w:r>
        <w:rPr>
          <w:rFonts w:hint="eastAsia" w:ascii="宋体" w:hAnsi="宋体" w:eastAsia="宋体" w:cs="宋体"/>
          <w:sz w:val="24"/>
          <w:szCs w:val="24"/>
          <w:highlight w:val="none"/>
        </w:rPr>
        <w:t>；</w:t>
      </w:r>
    </w:p>
    <w:bookmarkEnd w:id="13"/>
    <w:p w14:paraId="5BEA850D">
      <w:pPr>
        <w:spacing w:line="360" w:lineRule="auto"/>
        <w:ind w:firstLine="480" w:firstLineChars="200"/>
        <w:rPr>
          <w:rFonts w:ascii="宋体" w:hAnsi="宋体" w:cs="宋体"/>
          <w:sz w:val="24"/>
        </w:rPr>
      </w:pPr>
      <w:r>
        <w:rPr>
          <w:rFonts w:hint="eastAsia" w:ascii="宋体" w:hAnsi="宋体" w:cs="宋体"/>
          <w:sz w:val="24"/>
        </w:rPr>
        <w:t>3.采购方式：公开招标</w:t>
      </w:r>
      <w:r>
        <w:rPr>
          <w:rFonts w:hint="eastAsia" w:ascii="宋体" w:hAnsi="宋体" w:eastAsia="宋体" w:cs="宋体"/>
          <w:sz w:val="24"/>
          <w:szCs w:val="24"/>
        </w:rPr>
        <w:t>；</w:t>
      </w:r>
    </w:p>
    <w:p w14:paraId="1281E1E6">
      <w:pPr>
        <w:spacing w:line="360" w:lineRule="auto"/>
        <w:ind w:firstLine="480" w:firstLineChars="200"/>
        <w:rPr>
          <w:rFonts w:ascii="宋体" w:hAnsi="宋体" w:cs="宋体"/>
          <w:sz w:val="24"/>
        </w:rPr>
      </w:pPr>
      <w:r>
        <w:rPr>
          <w:rFonts w:hint="eastAsia" w:ascii="宋体" w:hAnsi="宋体" w:cs="宋体"/>
          <w:sz w:val="24"/>
        </w:rPr>
        <w:t>4.预算金额：人民币242.80万元</w:t>
      </w:r>
      <w:r>
        <w:rPr>
          <w:rFonts w:hint="eastAsia" w:ascii="宋体" w:hAnsi="宋体" w:eastAsia="宋体" w:cs="宋体"/>
          <w:sz w:val="24"/>
          <w:szCs w:val="24"/>
        </w:rPr>
        <w:t>；</w:t>
      </w:r>
    </w:p>
    <w:p w14:paraId="5C6054BF">
      <w:pPr>
        <w:spacing w:line="360" w:lineRule="auto"/>
        <w:ind w:firstLine="480" w:firstLineChars="200"/>
        <w:rPr>
          <w:rFonts w:ascii="宋体" w:hAnsi="宋体" w:cs="宋体"/>
          <w:sz w:val="24"/>
        </w:rPr>
      </w:pPr>
      <w:r>
        <w:rPr>
          <w:rFonts w:hint="eastAsia" w:ascii="宋体" w:hAnsi="宋体" w:cs="宋体"/>
          <w:sz w:val="24"/>
        </w:rPr>
        <w:t>5.最高限价：人民币242.80万元（采购人不接受超过最高限价的投标）</w:t>
      </w:r>
      <w:bookmarkStart w:id="15" w:name="OLE_LINK34"/>
      <w:r>
        <w:rPr>
          <w:rFonts w:hint="eastAsia" w:ascii="宋体" w:hAnsi="宋体" w:cs="宋体"/>
          <w:sz w:val="24"/>
        </w:rPr>
        <w:t>；</w:t>
      </w:r>
      <w:bookmarkEnd w:id="15"/>
    </w:p>
    <w:p w14:paraId="1506C5E4">
      <w:pPr>
        <w:spacing w:line="360" w:lineRule="auto"/>
        <w:ind w:firstLine="480" w:firstLineChars="200"/>
        <w:rPr>
          <w:rFonts w:ascii="宋体" w:hAnsi="宋体" w:cs="宋体"/>
          <w:sz w:val="24"/>
        </w:rPr>
      </w:pPr>
      <w:r>
        <w:rPr>
          <w:rFonts w:hint="eastAsia" w:ascii="宋体" w:hAnsi="宋体" w:cs="宋体"/>
          <w:sz w:val="24"/>
        </w:rPr>
        <w:t>6.采购需求：</w:t>
      </w:r>
    </w:p>
    <w:tbl>
      <w:tblPr>
        <w:tblStyle w:val="21"/>
        <w:tblW w:w="5086" w:type="pct"/>
        <w:tblInd w:w="-92" w:type="dxa"/>
        <w:tblLayout w:type="autofit"/>
        <w:tblCellMar>
          <w:top w:w="0" w:type="dxa"/>
          <w:left w:w="10" w:type="dxa"/>
          <w:bottom w:w="0" w:type="dxa"/>
          <w:right w:w="10" w:type="dxa"/>
        </w:tblCellMar>
      </w:tblPr>
      <w:tblGrid>
        <w:gridCol w:w="1133"/>
        <w:gridCol w:w="3498"/>
        <w:gridCol w:w="3299"/>
        <w:gridCol w:w="2004"/>
      </w:tblGrid>
      <w:tr w14:paraId="73F6D06B">
        <w:tblPrEx>
          <w:tblCellMar>
            <w:top w:w="0" w:type="dxa"/>
            <w:left w:w="10" w:type="dxa"/>
            <w:bottom w:w="0" w:type="dxa"/>
            <w:right w:w="10" w:type="dxa"/>
          </w:tblCellMar>
        </w:tblPrEx>
        <w:trPr>
          <w:trHeight w:val="764" w:hRule="atLeast"/>
        </w:trPr>
        <w:tc>
          <w:tcPr>
            <w:tcW w:w="570" w:type="pct"/>
            <w:tcBorders>
              <w:top w:val="single" w:color="auto" w:sz="6" w:space="0"/>
              <w:left w:val="single" w:color="auto" w:sz="6" w:space="0"/>
              <w:bottom w:val="single" w:color="auto" w:sz="6" w:space="0"/>
              <w:right w:val="single" w:color="auto" w:sz="6" w:space="0"/>
            </w:tcBorders>
            <w:vAlign w:val="center"/>
          </w:tcPr>
          <w:p w14:paraId="223D8A4E">
            <w:pPr>
              <w:pStyle w:val="36"/>
              <w:jc w:val="center"/>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序号</w:t>
            </w:r>
          </w:p>
        </w:tc>
        <w:tc>
          <w:tcPr>
            <w:tcW w:w="1760" w:type="pct"/>
            <w:tcBorders>
              <w:top w:val="single" w:color="auto" w:sz="6" w:space="0"/>
              <w:left w:val="nil"/>
              <w:bottom w:val="single" w:color="auto" w:sz="6" w:space="0"/>
              <w:right w:val="single" w:color="auto" w:sz="6" w:space="0"/>
            </w:tcBorders>
            <w:vAlign w:val="center"/>
          </w:tcPr>
          <w:p w14:paraId="65C42FBF">
            <w:pPr>
              <w:pStyle w:val="36"/>
              <w:jc w:val="center"/>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标</w:t>
            </w:r>
            <w:r>
              <w:rPr>
                <w:rFonts w:asciiTheme="minorEastAsia" w:hAnsiTheme="minorEastAsia" w:eastAsiaTheme="minorEastAsia"/>
                <w:sz w:val="24"/>
                <w:szCs w:val="24"/>
                <w:lang w:val="zh-CN"/>
              </w:rPr>
              <w:t>的名称</w:t>
            </w:r>
          </w:p>
        </w:tc>
        <w:tc>
          <w:tcPr>
            <w:tcW w:w="1660" w:type="pct"/>
            <w:tcBorders>
              <w:top w:val="single" w:color="auto" w:sz="6" w:space="0"/>
              <w:left w:val="single" w:color="auto" w:sz="6" w:space="0"/>
              <w:bottom w:val="single" w:color="auto" w:sz="6" w:space="0"/>
              <w:right w:val="single" w:color="auto" w:sz="6" w:space="0"/>
            </w:tcBorders>
            <w:vAlign w:val="center"/>
          </w:tcPr>
          <w:p w14:paraId="7952B163">
            <w:pPr>
              <w:pStyle w:val="36"/>
              <w:jc w:val="center"/>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品目名称</w:t>
            </w:r>
          </w:p>
        </w:tc>
        <w:tc>
          <w:tcPr>
            <w:tcW w:w="1008" w:type="pct"/>
            <w:tcBorders>
              <w:top w:val="single" w:color="auto" w:sz="6" w:space="0"/>
              <w:left w:val="nil"/>
              <w:bottom w:val="single" w:color="auto" w:sz="4" w:space="0"/>
              <w:right w:val="single" w:color="auto" w:sz="6" w:space="0"/>
            </w:tcBorders>
            <w:vAlign w:val="center"/>
          </w:tcPr>
          <w:p w14:paraId="4CD66125">
            <w:pPr>
              <w:pStyle w:val="36"/>
              <w:jc w:val="center"/>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备注</w:t>
            </w:r>
          </w:p>
        </w:tc>
      </w:tr>
      <w:tr w14:paraId="256570B9">
        <w:tblPrEx>
          <w:tblCellMar>
            <w:top w:w="0" w:type="dxa"/>
            <w:left w:w="10" w:type="dxa"/>
            <w:bottom w:w="0" w:type="dxa"/>
            <w:right w:w="10" w:type="dxa"/>
          </w:tblCellMar>
        </w:tblPrEx>
        <w:trPr>
          <w:trHeight w:val="1392" w:hRule="atLeast"/>
        </w:trPr>
        <w:tc>
          <w:tcPr>
            <w:tcW w:w="570" w:type="pct"/>
            <w:tcBorders>
              <w:top w:val="nil"/>
              <w:left w:val="single" w:color="auto" w:sz="6" w:space="0"/>
              <w:bottom w:val="single" w:color="auto" w:sz="6" w:space="0"/>
              <w:right w:val="single" w:color="auto" w:sz="6" w:space="0"/>
            </w:tcBorders>
            <w:vAlign w:val="center"/>
          </w:tcPr>
          <w:p w14:paraId="0C16508A">
            <w:pPr>
              <w:jc w:val="center"/>
              <w:rPr>
                <w:rFonts w:cs="宋体" w:asciiTheme="minorEastAsia" w:hAnsiTheme="minorEastAsia"/>
                <w:b/>
                <w:bCs/>
                <w:sz w:val="24"/>
                <w:szCs w:val="24"/>
                <w:highlight w:val="none"/>
              </w:rPr>
            </w:pPr>
            <w:r>
              <w:rPr>
                <w:rFonts w:hint="eastAsia" w:cs="宋体" w:asciiTheme="minorEastAsia" w:hAnsiTheme="minorEastAsia"/>
                <w:b/>
                <w:bCs/>
                <w:sz w:val="24"/>
                <w:szCs w:val="24"/>
                <w:highlight w:val="none"/>
              </w:rPr>
              <w:t>1</w:t>
            </w:r>
          </w:p>
        </w:tc>
        <w:tc>
          <w:tcPr>
            <w:tcW w:w="1760" w:type="pct"/>
            <w:tcBorders>
              <w:top w:val="nil"/>
              <w:left w:val="nil"/>
              <w:bottom w:val="single" w:color="auto" w:sz="6" w:space="0"/>
              <w:right w:val="single" w:color="auto" w:sz="6" w:space="0"/>
            </w:tcBorders>
            <w:vAlign w:val="center"/>
          </w:tcPr>
          <w:p w14:paraId="37F13EF4">
            <w:pPr>
              <w:widowControl/>
              <w:jc w:val="center"/>
              <w:textAlignment w:val="bottom"/>
              <w:rPr>
                <w:rFonts w:hint="eastAsia" w:cs="宋体" w:asciiTheme="minorEastAsia" w:hAnsiTheme="minorEastAsia" w:eastAsiaTheme="minorEastAsia"/>
                <w:sz w:val="24"/>
                <w:szCs w:val="24"/>
                <w:highlight w:val="none"/>
                <w:lang w:eastAsia="zh-CN"/>
              </w:rPr>
            </w:pPr>
            <w:r>
              <w:rPr>
                <w:rFonts w:hint="eastAsia" w:cs="宋体" w:asciiTheme="minorEastAsia" w:hAnsiTheme="minorEastAsia"/>
                <w:sz w:val="24"/>
                <w:szCs w:val="24"/>
                <w:highlight w:val="none"/>
                <w:lang w:eastAsia="zh-CN"/>
              </w:rPr>
              <w:t>宽城区疾控中心（宽城区卫生监督所）设备采购</w:t>
            </w:r>
          </w:p>
        </w:tc>
        <w:tc>
          <w:tcPr>
            <w:tcW w:w="1660" w:type="pct"/>
            <w:tcBorders>
              <w:top w:val="single" w:color="auto" w:sz="6" w:space="0"/>
              <w:left w:val="single" w:color="auto" w:sz="6" w:space="0"/>
              <w:bottom w:val="single" w:color="auto" w:sz="6" w:space="0"/>
              <w:right w:val="single" w:color="auto" w:sz="4" w:space="0"/>
            </w:tcBorders>
            <w:vAlign w:val="center"/>
          </w:tcPr>
          <w:p w14:paraId="6FEF21BF">
            <w:pPr>
              <w:widowControl/>
              <w:ind w:firstLine="240" w:firstLineChars="100"/>
              <w:jc w:val="center"/>
              <w:textAlignment w:val="bottom"/>
              <w:rPr>
                <w:rFonts w:cs="宋体" w:asciiTheme="minorEastAsia" w:hAnsiTheme="minorEastAsia"/>
                <w:sz w:val="24"/>
                <w:szCs w:val="24"/>
                <w:highlight w:val="none"/>
              </w:rPr>
            </w:pPr>
            <w:r>
              <w:rPr>
                <w:rFonts w:hint="eastAsia" w:cs="宋体" w:asciiTheme="minorEastAsia" w:hAnsiTheme="minorEastAsia"/>
                <w:sz w:val="24"/>
                <w:szCs w:val="24"/>
                <w:highlight w:val="none"/>
              </w:rPr>
              <w:t>仪器设备</w:t>
            </w:r>
          </w:p>
        </w:tc>
        <w:tc>
          <w:tcPr>
            <w:tcW w:w="1008" w:type="pct"/>
            <w:tcBorders>
              <w:top w:val="single" w:color="auto" w:sz="4" w:space="0"/>
              <w:left w:val="single" w:color="auto" w:sz="4" w:space="0"/>
              <w:bottom w:val="single" w:color="auto" w:sz="4" w:space="0"/>
              <w:right w:val="single" w:color="auto" w:sz="6" w:space="0"/>
            </w:tcBorders>
            <w:vAlign w:val="center"/>
          </w:tcPr>
          <w:p w14:paraId="65890BB8">
            <w:pPr>
              <w:widowControl/>
              <w:jc w:val="center"/>
              <w:textAlignment w:val="bottom"/>
              <w:rPr>
                <w:rFonts w:cs="宋体" w:asciiTheme="minorEastAsia" w:hAnsiTheme="minorEastAsia"/>
                <w:sz w:val="24"/>
                <w:szCs w:val="24"/>
                <w:highlight w:val="none"/>
              </w:rPr>
            </w:pPr>
            <w:bookmarkStart w:id="16" w:name="OLE_LINK31"/>
            <w:r>
              <w:rPr>
                <w:rFonts w:hint="eastAsia" w:cs="宋体" w:asciiTheme="minorEastAsia" w:hAnsiTheme="minorEastAsia"/>
                <w:sz w:val="24"/>
                <w:szCs w:val="24"/>
                <w:highlight w:val="none"/>
              </w:rPr>
              <w:t>具体参数详见招标文件</w:t>
            </w:r>
            <w:bookmarkEnd w:id="16"/>
          </w:p>
        </w:tc>
      </w:tr>
    </w:tbl>
    <w:p w14:paraId="760AFF37">
      <w:pPr>
        <w:spacing w:line="360" w:lineRule="auto"/>
        <w:ind w:firstLine="480" w:firstLineChars="200"/>
        <w:rPr>
          <w:rFonts w:cs="宋体" w:asciiTheme="minorEastAsia" w:hAnsiTheme="minorEastAsia"/>
          <w:sz w:val="24"/>
          <w:szCs w:val="24"/>
          <w:highlight w:val="none"/>
        </w:rPr>
      </w:pPr>
      <w:r>
        <w:rPr>
          <w:rFonts w:hint="eastAsia" w:ascii="宋体" w:hAnsi="宋体" w:cs="宋体"/>
          <w:sz w:val="24"/>
          <w:highlight w:val="none"/>
        </w:rPr>
        <w:t>7.</w:t>
      </w:r>
      <w:r>
        <w:rPr>
          <w:rFonts w:hint="eastAsia" w:asciiTheme="minorEastAsia" w:hAnsiTheme="minorEastAsia" w:cstheme="minorEastAsia"/>
          <w:sz w:val="24"/>
          <w:highlight w:val="none"/>
        </w:rPr>
        <w:t>合同履行期限：签订合同之日起30日内交货</w:t>
      </w:r>
      <w:r>
        <w:rPr>
          <w:rFonts w:hint="eastAsia" w:ascii="宋体" w:hAnsi="宋体" w:cs="宋体"/>
          <w:sz w:val="24"/>
          <w:highlight w:val="none"/>
          <w:lang w:val="en-US" w:eastAsia="zh-CN"/>
        </w:rPr>
        <w:t>,</w:t>
      </w:r>
      <w:r>
        <w:rPr>
          <w:rFonts w:hint="eastAsia" w:cs="宋体" w:asciiTheme="minorEastAsia" w:hAnsiTheme="minorEastAsia"/>
          <w:sz w:val="24"/>
          <w:szCs w:val="24"/>
          <w:highlight w:val="none"/>
        </w:rPr>
        <w:t>并安装调试完毕。</w:t>
      </w:r>
    </w:p>
    <w:p w14:paraId="62E2A478">
      <w:pPr>
        <w:spacing w:line="360" w:lineRule="auto"/>
        <w:ind w:firstLine="480" w:firstLineChars="200"/>
        <w:rPr>
          <w:rFonts w:ascii="宋体" w:hAnsi="宋体" w:cs="宋体"/>
          <w:sz w:val="24"/>
        </w:rPr>
      </w:pPr>
      <w:r>
        <w:rPr>
          <w:rFonts w:hint="eastAsia" w:ascii="宋体" w:hAnsi="宋体" w:cs="宋体"/>
          <w:sz w:val="24"/>
          <w:highlight w:val="none"/>
        </w:rPr>
        <w:t>8.交货地点：</w:t>
      </w:r>
      <w:r>
        <w:rPr>
          <w:rFonts w:hint="eastAsia" w:cs="宋体" w:asciiTheme="minorEastAsia" w:hAnsiTheme="minorEastAsia"/>
          <w:sz w:val="24"/>
          <w:szCs w:val="24"/>
          <w:highlight w:val="none"/>
        </w:rPr>
        <w:t>长春市宽城区疾病预防控制中心（长春市宽城区卫生监督所）</w:t>
      </w:r>
      <w:r>
        <w:rPr>
          <w:rFonts w:hint="eastAsia" w:ascii="宋体" w:hAnsi="宋体" w:cs="宋体"/>
          <w:sz w:val="24"/>
          <w:highlight w:val="none"/>
        </w:rPr>
        <w:t>指定地</w:t>
      </w:r>
      <w:r>
        <w:rPr>
          <w:rFonts w:hint="eastAsia" w:ascii="宋体" w:hAnsi="宋体" w:cs="宋体"/>
          <w:sz w:val="24"/>
        </w:rPr>
        <w:t>点；</w:t>
      </w:r>
    </w:p>
    <w:p w14:paraId="15F9C0F9">
      <w:pPr>
        <w:spacing w:line="360" w:lineRule="auto"/>
        <w:ind w:firstLine="480" w:firstLineChars="200"/>
        <w:rPr>
          <w:rFonts w:ascii="宋体" w:hAnsi="宋体" w:cs="宋体"/>
          <w:sz w:val="24"/>
        </w:rPr>
      </w:pPr>
      <w:r>
        <w:rPr>
          <w:rFonts w:hint="eastAsia" w:ascii="宋体" w:hAnsi="宋体" w:cs="宋体"/>
          <w:sz w:val="24"/>
        </w:rPr>
        <w:t>9.质量要求：符合现行国家、行业、地方或者其他相关标准的合格要求；</w:t>
      </w:r>
    </w:p>
    <w:p w14:paraId="72B5C885">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0</w:t>
      </w:r>
      <w:r>
        <w:rPr>
          <w:rFonts w:ascii="宋体" w:hAnsi="宋体" w:cs="宋体"/>
          <w:sz w:val="24"/>
        </w:rPr>
        <w:t>.</w:t>
      </w:r>
      <w:r>
        <w:rPr>
          <w:rFonts w:hint="eastAsia" w:ascii="宋体" w:hAnsi="宋体" w:cs="宋体"/>
          <w:sz w:val="24"/>
        </w:rPr>
        <w:t>本项目</w:t>
      </w:r>
      <w:r>
        <w:rPr>
          <w:rFonts w:hint="eastAsia" w:ascii="宋体" w:hAnsi="宋体" w:cs="宋体"/>
          <w:sz w:val="24"/>
          <w:u w:val="single"/>
        </w:rPr>
        <w:t xml:space="preserve"> 不 </w:t>
      </w:r>
      <w:r>
        <w:rPr>
          <w:rFonts w:hint="eastAsia" w:ascii="宋体" w:hAnsi="宋体" w:cs="宋体"/>
          <w:sz w:val="24"/>
        </w:rPr>
        <w:t>接受联合体投标</w:t>
      </w:r>
      <w:bookmarkStart w:id="17" w:name="_Toc35393791"/>
      <w:bookmarkStart w:id="18" w:name="_Toc35393622"/>
      <w:r>
        <w:rPr>
          <w:rFonts w:hint="eastAsia" w:ascii="宋体" w:hAnsi="宋体" w:cs="宋体"/>
          <w:sz w:val="24"/>
        </w:rPr>
        <w:t>。</w:t>
      </w:r>
    </w:p>
    <w:p w14:paraId="45F9A7BA">
      <w:pPr>
        <w:keepNext/>
        <w:keepLines/>
        <w:spacing w:line="360" w:lineRule="auto"/>
        <w:outlineLvl w:val="1"/>
        <w:rPr>
          <w:rFonts w:ascii="宋体" w:hAnsi="宋体" w:cs="宋体"/>
          <w:b/>
          <w:sz w:val="24"/>
        </w:rPr>
      </w:pPr>
      <w:r>
        <w:rPr>
          <w:rFonts w:hint="eastAsia" w:ascii="宋体" w:hAnsi="宋体" w:cs="宋体"/>
          <w:b/>
          <w:sz w:val="24"/>
        </w:rPr>
        <w:t>二、申请人的资格要求：</w:t>
      </w:r>
      <w:bookmarkEnd w:id="17"/>
      <w:bookmarkEnd w:id="18"/>
      <w:bookmarkStart w:id="19" w:name="_Toc35393792"/>
      <w:bookmarkStart w:id="20" w:name="_Toc35393623"/>
      <w:bookmarkStart w:id="21" w:name="_Toc28359004"/>
      <w:bookmarkStart w:id="22" w:name="_Toc28359081"/>
    </w:p>
    <w:p w14:paraId="0B597A90">
      <w:pPr>
        <w:spacing w:line="360" w:lineRule="auto"/>
        <w:ind w:firstLine="480" w:firstLineChars="200"/>
        <w:rPr>
          <w:rFonts w:ascii="宋体" w:hAnsi="宋体" w:cs="宋体"/>
          <w:sz w:val="24"/>
        </w:rPr>
      </w:pPr>
      <w:r>
        <w:rPr>
          <w:rFonts w:hint="eastAsia" w:ascii="宋体" w:hAnsi="宋体" w:cs="宋体"/>
          <w:sz w:val="24"/>
        </w:rPr>
        <w:t xml:space="preserve">1.满足《中华人民共和国政府采购法》第二十二条的规定； </w:t>
      </w:r>
    </w:p>
    <w:p w14:paraId="3FDE488C">
      <w:pPr>
        <w:spacing w:line="360" w:lineRule="auto"/>
        <w:ind w:firstLine="480" w:firstLineChars="200"/>
        <w:rPr>
          <w:rFonts w:ascii="宋体" w:hAnsi="宋体" w:cs="宋体"/>
          <w:sz w:val="24"/>
        </w:rPr>
      </w:pPr>
      <w:r>
        <w:rPr>
          <w:rFonts w:hint="eastAsia" w:ascii="宋体" w:hAnsi="宋体" w:cs="宋体"/>
          <w:sz w:val="24"/>
        </w:rPr>
        <w:t>2.落实政府采购政策需满足的资格要</w:t>
      </w:r>
      <w:r>
        <w:rPr>
          <w:rFonts w:hint="eastAsia" w:ascii="宋体" w:hAnsi="宋体" w:cs="宋体"/>
          <w:sz w:val="24"/>
          <w:highlight w:val="none"/>
        </w:rPr>
        <w:t xml:space="preserve">求：本项目专门面向中小企业采购； </w:t>
      </w:r>
    </w:p>
    <w:p w14:paraId="32E6AC77">
      <w:pPr>
        <w:spacing w:line="360" w:lineRule="auto"/>
        <w:ind w:firstLine="480" w:firstLineChars="200"/>
        <w:rPr>
          <w:rFonts w:ascii="宋体" w:hAnsi="宋体" w:cs="宋体"/>
          <w:sz w:val="24"/>
        </w:rPr>
      </w:pPr>
      <w:r>
        <w:rPr>
          <w:rFonts w:hint="eastAsia" w:ascii="宋体" w:hAnsi="宋体" w:cs="宋体"/>
          <w:sz w:val="24"/>
        </w:rPr>
        <w:t xml:space="preserve">3.本项目的特定资格要求： </w:t>
      </w:r>
    </w:p>
    <w:p w14:paraId="46F3C172">
      <w:pPr>
        <w:spacing w:line="360" w:lineRule="auto"/>
        <w:ind w:firstLine="480" w:firstLineChars="200"/>
        <w:rPr>
          <w:rFonts w:ascii="宋体" w:hAnsi="宋体" w:cs="宋体"/>
          <w:sz w:val="24"/>
        </w:rPr>
      </w:pPr>
      <w:r>
        <w:rPr>
          <w:rFonts w:hint="eastAsia" w:ascii="宋体" w:hAnsi="宋体" w:cs="宋体"/>
          <w:sz w:val="24"/>
        </w:rPr>
        <w:t xml:space="preserve">（1）投标人须是在中华人民共和国境内注册的、能够独立承担民事责任的法人、其他组织或者自然人，具备有效的营业执照，且必须具有所投产品的生产或经营能力，能在国内合法提供采购内容及其相应的服务； </w:t>
      </w:r>
    </w:p>
    <w:p w14:paraId="0AAE4CE2">
      <w:pPr>
        <w:spacing w:line="360" w:lineRule="auto"/>
        <w:ind w:firstLine="480" w:firstLineChars="200"/>
        <w:rPr>
          <w:rFonts w:ascii="宋体" w:hAnsi="宋体" w:cs="宋体"/>
          <w:sz w:val="24"/>
        </w:rPr>
      </w:pPr>
      <w:r>
        <w:rPr>
          <w:rFonts w:hint="eastAsia" w:ascii="宋体" w:hAnsi="宋体" w:cs="宋体"/>
          <w:sz w:val="24"/>
        </w:rPr>
        <w:t xml:space="preserve">（2）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 </w:t>
      </w:r>
    </w:p>
    <w:p w14:paraId="16DBD7F3">
      <w:pPr>
        <w:spacing w:line="360" w:lineRule="auto"/>
        <w:ind w:firstLine="480" w:firstLineChars="200"/>
        <w:rPr>
          <w:rFonts w:ascii="宋体" w:hAnsi="宋体" w:cs="宋体"/>
          <w:sz w:val="24"/>
        </w:rPr>
      </w:pPr>
      <w:r>
        <w:rPr>
          <w:rFonts w:hint="eastAsia" w:ascii="宋体" w:hAnsi="宋体" w:cs="宋体"/>
          <w:sz w:val="24"/>
        </w:rPr>
        <w:t xml:space="preserve">（3）具有投资参股关系的关联企业，或具有直接管理和被管理关系的母子公司，或同一母公司的子公司，或法定代表人为同一人的两个及两个以上法人不得同时对同一标段投标，否则均按废标处理。与招标人存在利害关系可能影响投标公正性的法人、其他组织或者个人，不得参加投标。单位负责人为同一人或者存在控股、管理关系的不同单位，不得参加同一标段投标或者未划分标段的同一项目投标。违反上述规定的，相关投标均无效； </w:t>
      </w:r>
    </w:p>
    <w:p w14:paraId="64CC0855">
      <w:pPr>
        <w:spacing w:line="360" w:lineRule="auto"/>
        <w:ind w:firstLine="480" w:firstLineChars="200"/>
        <w:rPr>
          <w:rFonts w:ascii="宋体" w:hAnsi="宋体" w:cs="宋体"/>
          <w:sz w:val="24"/>
        </w:rPr>
      </w:pPr>
      <w:r>
        <w:rPr>
          <w:rFonts w:hint="eastAsia" w:ascii="宋体" w:hAnsi="宋体" w:cs="宋体"/>
          <w:sz w:val="24"/>
        </w:rPr>
        <w:t xml:space="preserve">（4）投标人必须未被列入“信用中国” 网站（www.creditchina.gov.cn）、中国政府采购网（www.ccgp.gov.cn）等渠道信用记录失信被执行人、重大税收违法案件当事人名单、政府采购严重违法失信行为记录名单； </w:t>
      </w:r>
    </w:p>
    <w:p w14:paraId="7ACD5C9F">
      <w:pPr>
        <w:spacing w:line="360" w:lineRule="auto"/>
        <w:ind w:firstLine="480" w:firstLineChars="200"/>
        <w:rPr>
          <w:rFonts w:ascii="宋体" w:hAnsi="宋体" w:cs="宋体"/>
          <w:sz w:val="24"/>
        </w:rPr>
      </w:pPr>
      <w:r>
        <w:rPr>
          <w:rFonts w:hint="eastAsia" w:ascii="宋体" w:hAnsi="宋体" w:cs="宋体"/>
          <w:sz w:val="24"/>
        </w:rPr>
        <w:t xml:space="preserve">（5）参加政府采购活动前三年内，在经营活动中没有重大违法记录； </w:t>
      </w:r>
    </w:p>
    <w:p w14:paraId="74F9380B">
      <w:pPr>
        <w:spacing w:line="360" w:lineRule="auto"/>
        <w:ind w:firstLine="480" w:firstLineChars="200"/>
        <w:rPr>
          <w:rFonts w:ascii="宋体" w:hAnsi="宋体" w:cs="宋体"/>
          <w:sz w:val="24"/>
        </w:rPr>
      </w:pPr>
      <w:r>
        <w:rPr>
          <w:rFonts w:hint="eastAsia" w:ascii="宋体" w:hAnsi="宋体" w:cs="宋体"/>
          <w:sz w:val="24"/>
        </w:rPr>
        <w:t xml:space="preserve">（6）拒绝列入政府取消投标资格记录期间的企业或个人参加本次投标； </w:t>
      </w:r>
    </w:p>
    <w:p w14:paraId="4C9F466B">
      <w:pPr>
        <w:spacing w:line="360" w:lineRule="auto"/>
        <w:ind w:firstLine="480" w:firstLineChars="200"/>
        <w:rPr>
          <w:rFonts w:ascii="宋体" w:hAnsi="宋体" w:cs="宋体"/>
          <w:sz w:val="24"/>
        </w:rPr>
      </w:pPr>
      <w:r>
        <w:rPr>
          <w:rFonts w:hint="eastAsia" w:ascii="宋体" w:hAnsi="宋体" w:cs="宋体"/>
          <w:sz w:val="24"/>
        </w:rPr>
        <w:t>（7）法律、行政法规规定的其他条件。</w:t>
      </w:r>
    </w:p>
    <w:p w14:paraId="4DAE47D1">
      <w:pPr>
        <w:keepNext/>
        <w:keepLines/>
        <w:spacing w:line="360" w:lineRule="auto"/>
        <w:outlineLvl w:val="1"/>
        <w:rPr>
          <w:rFonts w:ascii="宋体" w:hAnsi="宋体" w:cs="宋体"/>
          <w:bCs/>
          <w:sz w:val="24"/>
        </w:rPr>
      </w:pPr>
      <w:r>
        <w:rPr>
          <w:rFonts w:hint="eastAsia" w:ascii="宋体" w:hAnsi="宋体" w:cs="宋体"/>
          <w:b/>
          <w:sz w:val="24"/>
        </w:rPr>
        <w:t>三、获取招标文件</w:t>
      </w:r>
      <w:bookmarkEnd w:id="19"/>
      <w:bookmarkEnd w:id="20"/>
      <w:bookmarkEnd w:id="21"/>
      <w:bookmarkEnd w:id="22"/>
    </w:p>
    <w:p w14:paraId="5C7927EA">
      <w:pPr>
        <w:spacing w:line="360" w:lineRule="auto"/>
        <w:ind w:firstLine="480" w:firstLineChars="200"/>
        <w:rPr>
          <w:rFonts w:ascii="宋体" w:hAnsi="宋体" w:cs="宋体"/>
          <w:sz w:val="24"/>
        </w:rPr>
      </w:pPr>
      <w:r>
        <w:rPr>
          <w:rFonts w:hint="eastAsia" w:ascii="宋体" w:hAnsi="宋体" w:cs="宋体"/>
          <w:sz w:val="24"/>
        </w:rPr>
        <w:t>时间：</w:t>
      </w:r>
      <w:r>
        <w:rPr>
          <w:rFonts w:hint="eastAsia" w:ascii="宋体" w:hAnsi="宋体" w:cs="宋体"/>
          <w:sz w:val="24"/>
          <w:u w:val="single"/>
        </w:rPr>
        <w:t>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日8时30分</w:t>
      </w:r>
      <w:r>
        <w:rPr>
          <w:rFonts w:hint="eastAsia" w:ascii="宋体" w:hAnsi="宋体" w:cs="宋体"/>
          <w:sz w:val="24"/>
          <w:u w:val="single"/>
          <w:lang w:val="zh-CN"/>
        </w:rPr>
        <w:t>至</w:t>
      </w:r>
      <w:r>
        <w:rPr>
          <w:rFonts w:hint="eastAsia" w:ascii="宋体" w:hAnsi="宋体" w:cs="宋体"/>
          <w:sz w:val="24"/>
          <w:u w:val="single"/>
        </w:rPr>
        <w:t>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日16时00分</w:t>
      </w:r>
      <w:r>
        <w:rPr>
          <w:rFonts w:hint="eastAsia" w:ascii="宋体" w:hAnsi="宋体" w:cs="宋体"/>
          <w:sz w:val="24"/>
          <w:lang w:val="zh-CN"/>
        </w:rPr>
        <w:t>(北</w:t>
      </w:r>
      <w:r>
        <w:rPr>
          <w:rFonts w:hint="eastAsia" w:ascii="宋体" w:hAnsi="宋体" w:cs="宋体"/>
          <w:sz w:val="24"/>
        </w:rPr>
        <w:t>京时间，法定节假日除外，下同)</w:t>
      </w:r>
    </w:p>
    <w:p w14:paraId="31F29FD7">
      <w:pPr>
        <w:spacing w:line="360" w:lineRule="auto"/>
        <w:ind w:firstLine="480" w:firstLineChars="200"/>
        <w:rPr>
          <w:rFonts w:ascii="宋体" w:hAnsi="宋体" w:cs="宋体"/>
          <w:sz w:val="24"/>
        </w:rPr>
      </w:pPr>
      <w:r>
        <w:rPr>
          <w:rFonts w:hint="eastAsia" w:ascii="宋体" w:hAnsi="宋体" w:cs="宋体"/>
          <w:sz w:val="24"/>
        </w:rPr>
        <w:t>地点：政府采购云平台（网址：http:// www.zcygov.cn）。</w:t>
      </w:r>
    </w:p>
    <w:p w14:paraId="5B53744D">
      <w:pPr>
        <w:spacing w:line="360" w:lineRule="auto"/>
        <w:ind w:firstLine="480" w:firstLineChars="200"/>
        <w:rPr>
          <w:rFonts w:ascii="宋体" w:hAnsi="宋体" w:cs="宋体"/>
          <w:sz w:val="24"/>
        </w:rPr>
      </w:pPr>
      <w:r>
        <w:rPr>
          <w:rFonts w:hint="eastAsia" w:ascii="宋体" w:hAnsi="宋体" w:cs="宋体"/>
          <w:sz w:val="24"/>
        </w:rPr>
        <w:t>方式：潜在供应商自行登录政府采购云平台（网址：http:// www.zcygov.cn）网上注册（https://middle.zcygov.cn/v-settle-front/registry）并下载招标文件，其他途径获取的招标文件开标时一律按无效投标处理）；未进行网上注册并办理CA认证的供应商将无法参与本次采购活动。</w:t>
      </w:r>
    </w:p>
    <w:p w14:paraId="2B896070">
      <w:pPr>
        <w:spacing w:line="360" w:lineRule="auto"/>
        <w:ind w:firstLine="480" w:firstLineChars="200"/>
        <w:rPr>
          <w:rFonts w:ascii="宋体" w:hAnsi="宋体" w:cs="宋体"/>
          <w:sz w:val="24"/>
        </w:rPr>
      </w:pPr>
      <w:r>
        <w:rPr>
          <w:rFonts w:hint="eastAsia" w:ascii="宋体" w:hAnsi="宋体" w:cs="宋体"/>
          <w:sz w:val="24"/>
        </w:rPr>
        <w:t>售价：0元</w:t>
      </w:r>
    </w:p>
    <w:p w14:paraId="27EF7B04">
      <w:pPr>
        <w:keepNext/>
        <w:keepLines/>
        <w:spacing w:line="360" w:lineRule="auto"/>
        <w:outlineLvl w:val="1"/>
        <w:rPr>
          <w:rFonts w:ascii="宋体" w:hAnsi="宋体" w:cs="宋体"/>
          <w:b/>
          <w:sz w:val="24"/>
        </w:rPr>
      </w:pPr>
      <w:bookmarkStart w:id="23" w:name="_Toc28359005"/>
      <w:bookmarkStart w:id="24" w:name="_Toc28359082"/>
      <w:bookmarkStart w:id="25" w:name="_Toc35393624"/>
      <w:bookmarkStart w:id="26" w:name="_Toc35393793"/>
      <w:r>
        <w:rPr>
          <w:rFonts w:hint="eastAsia" w:ascii="宋体" w:hAnsi="宋体" w:cs="宋体"/>
          <w:b/>
          <w:sz w:val="24"/>
        </w:rPr>
        <w:t>四、提交投标文件</w:t>
      </w:r>
      <w:bookmarkEnd w:id="23"/>
      <w:bookmarkEnd w:id="24"/>
      <w:r>
        <w:rPr>
          <w:rFonts w:hint="eastAsia" w:ascii="宋体" w:hAnsi="宋体" w:cs="宋体"/>
          <w:b/>
          <w:sz w:val="24"/>
        </w:rPr>
        <w:t>截止时间、开标时间和地点</w:t>
      </w:r>
      <w:bookmarkEnd w:id="25"/>
      <w:bookmarkEnd w:id="26"/>
    </w:p>
    <w:p w14:paraId="38F49625">
      <w:pPr>
        <w:spacing w:line="360" w:lineRule="auto"/>
        <w:ind w:firstLine="480" w:firstLineChars="200"/>
        <w:rPr>
          <w:rFonts w:ascii="宋体" w:hAnsi="宋体" w:cs="宋体"/>
          <w:bCs/>
          <w:sz w:val="24"/>
        </w:rPr>
      </w:pPr>
      <w:r>
        <w:rPr>
          <w:rFonts w:hint="eastAsia" w:ascii="宋体" w:hAnsi="宋体" w:cs="宋体"/>
          <w:bCs/>
          <w:sz w:val="24"/>
        </w:rPr>
        <w:t>提交投标文件截止时间：</w:t>
      </w:r>
      <w:r>
        <w:rPr>
          <w:rFonts w:hint="eastAsia" w:ascii="宋体" w:hAnsi="宋体" w:cs="宋体"/>
          <w:sz w:val="24"/>
          <w:u w:val="single"/>
        </w:rPr>
        <w:t>2025年</w:t>
      </w:r>
      <w:r>
        <w:rPr>
          <w:rFonts w:hint="eastAsia" w:ascii="宋体" w:hAnsi="宋体" w:cs="宋体"/>
          <w:sz w:val="24"/>
          <w:u w:val="single"/>
          <w:lang w:val="en-US" w:eastAsia="zh-CN"/>
        </w:rPr>
        <w:t>08</w:t>
      </w:r>
      <w:r>
        <w:rPr>
          <w:rFonts w:hint="eastAsia" w:ascii="宋体" w:hAnsi="宋体" w:cs="宋体"/>
          <w:sz w:val="24"/>
          <w:u w:val="single"/>
        </w:rPr>
        <w:t>月</w:t>
      </w:r>
      <w:r>
        <w:rPr>
          <w:rFonts w:hint="eastAsia" w:ascii="宋体" w:hAnsi="宋体" w:cs="宋体"/>
          <w:sz w:val="24"/>
          <w:u w:val="single"/>
          <w:lang w:val="en-US" w:eastAsia="zh-CN"/>
        </w:rPr>
        <w:t>07</w:t>
      </w:r>
      <w:r>
        <w:rPr>
          <w:rFonts w:hint="eastAsia" w:ascii="宋体" w:hAnsi="宋体" w:cs="宋体"/>
          <w:sz w:val="24"/>
          <w:u w:val="single"/>
        </w:rPr>
        <w:t>日09时00分（北京时间）</w:t>
      </w:r>
    </w:p>
    <w:p w14:paraId="6BC150C4">
      <w:pPr>
        <w:spacing w:line="360" w:lineRule="auto"/>
        <w:ind w:firstLine="480" w:firstLineChars="200"/>
        <w:rPr>
          <w:rFonts w:ascii="宋体" w:hAnsi="宋体" w:cs="宋体"/>
          <w:bCs/>
          <w:sz w:val="24"/>
          <w:highlight w:val="green"/>
        </w:rPr>
      </w:pPr>
      <w:r>
        <w:rPr>
          <w:rFonts w:hint="eastAsia" w:ascii="宋体" w:hAnsi="宋体" w:cs="宋体"/>
          <w:bCs/>
          <w:sz w:val="24"/>
        </w:rPr>
        <w:t>提交投标文件地点：吉利招公共资源标准化交易平台（长春市高新区鸿达街248号吉林日报副楼4楼）第</w:t>
      </w:r>
      <w:r>
        <w:rPr>
          <w:rFonts w:hint="eastAsia" w:ascii="宋体" w:hAnsi="宋体" w:cs="宋体"/>
          <w:bCs/>
          <w:sz w:val="24"/>
          <w:lang w:eastAsia="zh-CN"/>
        </w:rPr>
        <w:t>三</w:t>
      </w:r>
      <w:r>
        <w:rPr>
          <w:rFonts w:hint="eastAsia" w:ascii="宋体" w:hAnsi="宋体" w:cs="宋体"/>
          <w:bCs/>
          <w:sz w:val="24"/>
        </w:rPr>
        <w:t>开标室</w:t>
      </w:r>
    </w:p>
    <w:p w14:paraId="60E91B7A">
      <w:pPr>
        <w:spacing w:line="360" w:lineRule="auto"/>
        <w:ind w:firstLine="480" w:firstLineChars="200"/>
        <w:rPr>
          <w:rFonts w:ascii="宋体" w:hAnsi="宋体" w:cs="宋体"/>
          <w:bCs/>
          <w:sz w:val="24"/>
        </w:rPr>
      </w:pPr>
      <w:r>
        <w:rPr>
          <w:rFonts w:hint="eastAsia" w:ascii="宋体" w:hAnsi="宋体" w:cs="宋体"/>
          <w:bCs/>
          <w:sz w:val="24"/>
        </w:rPr>
        <w:t>开标时间：</w:t>
      </w:r>
      <w:r>
        <w:rPr>
          <w:rFonts w:hint="eastAsia" w:ascii="宋体" w:hAnsi="宋体" w:cs="宋体"/>
          <w:sz w:val="24"/>
          <w:u w:val="single"/>
        </w:rPr>
        <w:t>2025年</w:t>
      </w:r>
      <w:r>
        <w:rPr>
          <w:rFonts w:hint="eastAsia" w:ascii="宋体" w:hAnsi="宋体" w:cs="宋体"/>
          <w:sz w:val="24"/>
          <w:u w:val="single"/>
          <w:lang w:val="en-US" w:eastAsia="zh-CN"/>
        </w:rPr>
        <w:t>08</w:t>
      </w:r>
      <w:r>
        <w:rPr>
          <w:rFonts w:hint="eastAsia" w:ascii="宋体" w:hAnsi="宋体" w:cs="宋体"/>
          <w:sz w:val="24"/>
          <w:u w:val="single"/>
        </w:rPr>
        <w:t>月</w:t>
      </w:r>
      <w:r>
        <w:rPr>
          <w:rFonts w:hint="eastAsia" w:ascii="宋体" w:hAnsi="宋体" w:cs="宋体"/>
          <w:sz w:val="24"/>
          <w:u w:val="single"/>
          <w:lang w:val="en-US" w:eastAsia="zh-CN"/>
        </w:rPr>
        <w:t>07</w:t>
      </w:r>
      <w:r>
        <w:rPr>
          <w:rFonts w:hint="eastAsia" w:ascii="宋体" w:hAnsi="宋体" w:cs="宋体"/>
          <w:sz w:val="24"/>
          <w:u w:val="single"/>
        </w:rPr>
        <w:t>日09时00分（北京时间）</w:t>
      </w:r>
    </w:p>
    <w:p w14:paraId="200E2F4E">
      <w:pPr>
        <w:spacing w:line="360" w:lineRule="auto"/>
        <w:ind w:firstLine="480" w:firstLineChars="200"/>
        <w:rPr>
          <w:rFonts w:ascii="宋体" w:hAnsi="宋体" w:cs="宋体"/>
          <w:bCs/>
          <w:sz w:val="24"/>
        </w:rPr>
      </w:pPr>
      <w:r>
        <w:rPr>
          <w:rFonts w:hint="eastAsia" w:ascii="宋体" w:hAnsi="宋体" w:cs="宋体"/>
          <w:bCs/>
          <w:sz w:val="24"/>
        </w:rPr>
        <w:t>开标地点：吉利招公共资源标准化交易平台（长春市高新区鸿达街248号吉林日报副楼4楼）第</w:t>
      </w:r>
      <w:r>
        <w:rPr>
          <w:rFonts w:hint="eastAsia" w:ascii="宋体" w:hAnsi="宋体" w:cs="宋体"/>
          <w:bCs/>
          <w:sz w:val="24"/>
          <w:lang w:eastAsia="zh-CN"/>
        </w:rPr>
        <w:t>三</w:t>
      </w:r>
      <w:r>
        <w:rPr>
          <w:rFonts w:hint="eastAsia" w:ascii="宋体" w:hAnsi="宋体" w:cs="宋体"/>
          <w:bCs/>
          <w:sz w:val="24"/>
        </w:rPr>
        <w:t>开标室</w:t>
      </w:r>
    </w:p>
    <w:p w14:paraId="08AE2D4D">
      <w:pPr>
        <w:keepNext/>
        <w:keepLines/>
        <w:spacing w:line="360" w:lineRule="auto"/>
        <w:outlineLvl w:val="1"/>
        <w:rPr>
          <w:rFonts w:ascii="宋体" w:hAnsi="宋体" w:cs="宋体"/>
          <w:bCs/>
          <w:sz w:val="24"/>
        </w:rPr>
      </w:pPr>
      <w:bookmarkStart w:id="27" w:name="_Toc35393794"/>
      <w:bookmarkStart w:id="28" w:name="_Toc28359084"/>
      <w:bookmarkStart w:id="29" w:name="_Toc28359007"/>
      <w:bookmarkStart w:id="30" w:name="_Toc35393625"/>
      <w:r>
        <w:rPr>
          <w:rFonts w:hint="eastAsia" w:ascii="宋体" w:hAnsi="宋体" w:cs="宋体"/>
          <w:b/>
          <w:sz w:val="24"/>
        </w:rPr>
        <w:t>五、公告期限</w:t>
      </w:r>
      <w:bookmarkEnd w:id="27"/>
      <w:bookmarkEnd w:id="28"/>
      <w:bookmarkEnd w:id="29"/>
      <w:bookmarkEnd w:id="30"/>
    </w:p>
    <w:p w14:paraId="63499A3D">
      <w:pPr>
        <w:spacing w:line="360" w:lineRule="auto"/>
        <w:ind w:firstLine="480" w:firstLineChars="200"/>
        <w:rPr>
          <w:rFonts w:ascii="宋体" w:hAnsi="宋体" w:cs="宋体"/>
          <w:bCs/>
          <w:kern w:val="0"/>
          <w:sz w:val="24"/>
        </w:rPr>
      </w:pPr>
      <w:r>
        <w:rPr>
          <w:rFonts w:hint="eastAsia" w:ascii="宋体" w:hAnsi="宋体" w:cs="宋体"/>
          <w:bCs/>
          <w:kern w:val="0"/>
          <w:sz w:val="24"/>
        </w:rPr>
        <w:t>自本公告发布之日起5个工作日。</w:t>
      </w:r>
    </w:p>
    <w:p w14:paraId="20DC5ED3">
      <w:pPr>
        <w:keepNext/>
        <w:keepLines/>
        <w:spacing w:line="360" w:lineRule="auto"/>
        <w:outlineLvl w:val="1"/>
        <w:rPr>
          <w:rFonts w:ascii="宋体" w:hAnsi="宋体" w:cs="宋体"/>
          <w:b/>
          <w:sz w:val="24"/>
        </w:rPr>
      </w:pPr>
      <w:bookmarkStart w:id="31" w:name="_Toc35393626"/>
      <w:bookmarkStart w:id="32" w:name="_Toc35393795"/>
      <w:r>
        <w:rPr>
          <w:rFonts w:hint="eastAsia" w:ascii="宋体" w:hAnsi="宋体" w:cs="宋体"/>
          <w:b/>
          <w:sz w:val="24"/>
        </w:rPr>
        <w:t>六、其他补充事宜</w:t>
      </w:r>
      <w:bookmarkEnd w:id="31"/>
      <w:bookmarkEnd w:id="32"/>
    </w:p>
    <w:p w14:paraId="004AB1EE">
      <w:pPr>
        <w:spacing w:line="360" w:lineRule="auto"/>
        <w:ind w:firstLine="480" w:firstLineChars="200"/>
        <w:rPr>
          <w:rFonts w:ascii="宋体" w:hAnsi="宋体" w:cs="宋体"/>
          <w:bCs/>
          <w:sz w:val="24"/>
        </w:rPr>
      </w:pPr>
      <w:r>
        <w:rPr>
          <w:rFonts w:hint="eastAsia" w:ascii="宋体" w:hAnsi="宋体" w:cs="宋体"/>
          <w:bCs/>
          <w:sz w:val="24"/>
        </w:rPr>
        <w:t>1.现场考察时间和地点：本项目</w:t>
      </w:r>
      <w:r>
        <w:rPr>
          <w:rFonts w:hint="eastAsia" w:ascii="宋体" w:hAnsi="宋体" w:cs="宋体"/>
          <w:bCs/>
          <w:sz w:val="24"/>
          <w:u w:val="single"/>
        </w:rPr>
        <w:t>（否）</w:t>
      </w:r>
      <w:r>
        <w:rPr>
          <w:rFonts w:hint="eastAsia" w:ascii="宋体" w:hAnsi="宋体" w:cs="宋体"/>
          <w:bCs/>
          <w:sz w:val="24"/>
        </w:rPr>
        <w:t>组织现场考察。</w:t>
      </w:r>
    </w:p>
    <w:p w14:paraId="6AF8654B">
      <w:pPr>
        <w:spacing w:line="360" w:lineRule="auto"/>
        <w:ind w:firstLine="480" w:firstLineChars="200"/>
        <w:rPr>
          <w:rFonts w:ascii="宋体" w:hAnsi="宋体" w:cs="宋体"/>
          <w:bCs/>
          <w:sz w:val="24"/>
        </w:rPr>
      </w:pPr>
      <w:r>
        <w:rPr>
          <w:rFonts w:hint="eastAsia" w:ascii="宋体" w:hAnsi="宋体" w:cs="宋体"/>
          <w:bCs/>
          <w:sz w:val="24"/>
        </w:rPr>
        <w:t>2.开标前答疑会时间和地点：本项目</w:t>
      </w:r>
      <w:r>
        <w:rPr>
          <w:rFonts w:hint="eastAsia" w:ascii="宋体" w:hAnsi="宋体" w:cs="宋体"/>
          <w:bCs/>
          <w:sz w:val="24"/>
          <w:u w:val="single"/>
        </w:rPr>
        <w:t>（否）</w:t>
      </w:r>
      <w:r>
        <w:rPr>
          <w:rFonts w:hint="eastAsia" w:ascii="宋体" w:hAnsi="宋体" w:cs="宋体"/>
          <w:bCs/>
          <w:sz w:val="24"/>
        </w:rPr>
        <w:t xml:space="preserve">组织开标前答疑会。 </w:t>
      </w:r>
      <w:bookmarkStart w:id="33" w:name="_Toc35393796"/>
      <w:bookmarkStart w:id="34" w:name="_Toc35393627"/>
      <w:bookmarkStart w:id="35" w:name="_Toc28359008"/>
      <w:bookmarkStart w:id="36" w:name="_Toc28359085"/>
    </w:p>
    <w:p w14:paraId="2F14D6AA">
      <w:pPr>
        <w:spacing w:line="360" w:lineRule="auto"/>
        <w:ind w:firstLine="480" w:firstLineChars="200"/>
        <w:rPr>
          <w:rFonts w:ascii="宋体" w:hAnsi="宋体" w:cs="宋体"/>
          <w:bCs/>
          <w:sz w:val="24"/>
        </w:rPr>
      </w:pPr>
      <w:r>
        <w:rPr>
          <w:rFonts w:hint="eastAsia" w:ascii="宋体" w:hAnsi="宋体" w:cs="宋体"/>
          <w:bCs/>
          <w:sz w:val="24"/>
        </w:rPr>
        <w:t>3.公告发布媒介：</w:t>
      </w:r>
      <w:r>
        <w:rPr>
          <w:rFonts w:hint="eastAsia" w:ascii="Calibri" w:hAnsi="Calibri" w:cs="宋体"/>
          <w:sz w:val="24"/>
          <w:u w:val="single"/>
        </w:rPr>
        <w:t>《中国政府采购网》</w:t>
      </w:r>
      <w:r>
        <w:rPr>
          <w:rFonts w:hint="eastAsia" w:ascii="宋体" w:hAnsi="宋体" w:cs="宋体"/>
          <w:bCs/>
          <w:sz w:val="24"/>
          <w:u w:val="single"/>
        </w:rPr>
        <w:t>同步推送到《吉林省公共资源交易公共服务平台》及《吉林省政府采购网</w:t>
      </w:r>
      <w:r>
        <w:rPr>
          <w:rFonts w:hint="eastAsia" w:ascii="宋体" w:hAnsi="宋体" w:cs="宋体"/>
          <w:bCs/>
          <w:sz w:val="24"/>
        </w:rPr>
        <w:t>》上发布，若经第三方转载后无论内容是否一致，均与本公司无关。</w:t>
      </w:r>
    </w:p>
    <w:p w14:paraId="2DD7F058">
      <w:pPr>
        <w:spacing w:line="360" w:lineRule="auto"/>
        <w:ind w:firstLine="480" w:firstLineChars="200"/>
        <w:rPr>
          <w:rFonts w:ascii="宋体" w:hAnsi="宋体" w:cs="宋体"/>
          <w:bCs/>
          <w:sz w:val="24"/>
        </w:rPr>
      </w:pPr>
      <w:r>
        <w:rPr>
          <w:rFonts w:hint="eastAsia" w:ascii="宋体" w:hAnsi="宋体" w:cs="宋体"/>
          <w:bCs/>
          <w:sz w:val="24"/>
        </w:rPr>
        <w:t>4.逾期送达的或者未按招标文件要求密封的投标文件，采购人不予受理。</w:t>
      </w:r>
    </w:p>
    <w:p w14:paraId="78C25DA5">
      <w:pPr>
        <w:spacing w:line="360" w:lineRule="auto"/>
        <w:ind w:firstLine="480" w:firstLineChars="200"/>
        <w:rPr>
          <w:rFonts w:ascii="宋体" w:hAnsi="宋体" w:cs="宋体"/>
          <w:bCs/>
          <w:sz w:val="24"/>
        </w:rPr>
      </w:pPr>
      <w:r>
        <w:rPr>
          <w:rFonts w:hint="eastAsia" w:ascii="宋体" w:hAnsi="宋体" w:cs="宋体"/>
          <w:bCs/>
          <w:sz w:val="24"/>
        </w:rPr>
        <w:t>5.落实政府采购政策：</w:t>
      </w:r>
      <w:bookmarkStart w:id="37" w:name="OLE_LINK6"/>
      <w:bookmarkStart w:id="38" w:name="OLE_LINK30"/>
      <w:r>
        <w:rPr>
          <w:rFonts w:hint="eastAsia" w:ascii="宋体" w:hAnsi="宋体" w:cs="宋体"/>
          <w:bCs/>
          <w:sz w:val="24"/>
        </w:rPr>
        <w:t>《财政部关于进一步加大政府采购支持中小企业力度的通知》（财库[2022]19号）</w:t>
      </w:r>
      <w:bookmarkEnd w:id="37"/>
      <w:r>
        <w:rPr>
          <w:rFonts w:hint="eastAsia" w:ascii="宋体" w:hAnsi="宋体" w:cs="宋体"/>
          <w:bCs/>
          <w:sz w:val="24"/>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bookmarkEnd w:id="38"/>
      <w:r>
        <w:rPr>
          <w:rFonts w:hint="eastAsia" w:ascii="宋体" w:hAnsi="宋体" w:cs="宋体"/>
          <w:bCs/>
          <w:sz w:val="24"/>
        </w:rPr>
        <w:t>。</w:t>
      </w:r>
    </w:p>
    <w:p w14:paraId="06AB9264">
      <w:pPr>
        <w:spacing w:line="360" w:lineRule="auto"/>
        <w:ind w:firstLine="480" w:firstLineChars="200"/>
        <w:rPr>
          <w:rFonts w:ascii="宋体" w:hAnsi="宋体" w:cs="宋体"/>
          <w:bCs/>
          <w:sz w:val="24"/>
        </w:rPr>
      </w:pPr>
      <w:r>
        <w:rPr>
          <w:rFonts w:hint="eastAsia" w:ascii="宋体" w:hAnsi="宋体" w:cs="宋体"/>
          <w:bCs/>
          <w:sz w:val="24"/>
        </w:rPr>
        <w:t>6.投标人请注意：请潜在投标人在参加本项目活动期间关注网站信息，所有有投标意愿的投标人有义务在网上自行查询，无需书面回复。招标文件的澄清、修改、变更、延期等文件一经发布即视为已告知了所有已报名的投标人，因投标人自身原因没有及时查看、下载文件导致的一切后果由投标人自行负责。</w:t>
      </w:r>
    </w:p>
    <w:p w14:paraId="39929B07">
      <w:pPr>
        <w:spacing w:line="360" w:lineRule="auto"/>
        <w:ind w:firstLine="480" w:firstLineChars="200"/>
        <w:rPr>
          <w:rFonts w:ascii="宋体" w:hAnsi="宋体" w:cs="宋体"/>
          <w:bCs/>
          <w:sz w:val="24"/>
        </w:rPr>
      </w:pPr>
      <w:r>
        <w:rPr>
          <w:rFonts w:hint="eastAsia" w:ascii="宋体" w:hAnsi="宋体" w:cs="宋体"/>
          <w:bCs/>
          <w:sz w:val="24"/>
        </w:rPr>
        <w:t xml:space="preserve">7.本项目所属行业为 </w:t>
      </w:r>
      <w:r>
        <w:rPr>
          <w:rFonts w:hint="eastAsia" w:ascii="宋体" w:hAnsi="宋体" w:cs="宋体"/>
          <w:b/>
          <w:sz w:val="24"/>
          <w:u w:val="single"/>
        </w:rPr>
        <w:t>其他未列明行业。</w:t>
      </w:r>
    </w:p>
    <w:p w14:paraId="68DD9BC8">
      <w:pPr>
        <w:keepNext/>
        <w:keepLines/>
        <w:spacing w:line="360" w:lineRule="auto"/>
        <w:outlineLvl w:val="1"/>
        <w:rPr>
          <w:rFonts w:ascii="宋体" w:hAnsi="宋体" w:cs="宋体"/>
          <w:b/>
          <w:sz w:val="24"/>
        </w:rPr>
      </w:pPr>
      <w:r>
        <w:rPr>
          <w:rFonts w:hint="eastAsia" w:ascii="宋体" w:hAnsi="宋体" w:cs="宋体"/>
          <w:b/>
          <w:sz w:val="24"/>
        </w:rPr>
        <w:t>七、对本次招标提出询问，请按以下方式联系。</w:t>
      </w:r>
      <w:bookmarkEnd w:id="33"/>
      <w:bookmarkEnd w:id="34"/>
      <w:bookmarkEnd w:id="35"/>
      <w:bookmarkEnd w:id="36"/>
    </w:p>
    <w:p w14:paraId="0CAEC900">
      <w:pPr>
        <w:widowControl/>
        <w:spacing w:line="360" w:lineRule="auto"/>
        <w:jc w:val="left"/>
        <w:rPr>
          <w:rFonts w:ascii="宋体" w:hAnsi="宋体" w:cs="宋体"/>
          <w:sz w:val="24"/>
          <w:highlight w:val="none"/>
        </w:rPr>
      </w:pPr>
      <w:r>
        <w:rPr>
          <w:rFonts w:hint="eastAsia" w:ascii="宋体" w:hAnsi="宋体" w:cs="宋体"/>
          <w:sz w:val="24"/>
          <w:highlight w:val="none"/>
        </w:rPr>
        <w:t>　　1.采购人信息</w:t>
      </w:r>
    </w:p>
    <w:p w14:paraId="1C89F78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名称：长春市宽城区疾病预防控制中心（长春市宽城区卫生监督所） </w:t>
      </w:r>
    </w:p>
    <w:p w14:paraId="6BB5C6B4">
      <w:pPr>
        <w:widowControl/>
        <w:spacing w:line="360" w:lineRule="auto"/>
        <w:ind w:firstLine="480" w:firstLineChars="200"/>
        <w:jc w:val="left"/>
        <w:rPr>
          <w:rFonts w:ascii="宋体" w:hAnsi="宋体" w:cs="宋体"/>
          <w:sz w:val="24"/>
          <w:highlight w:val="none"/>
        </w:rPr>
      </w:pPr>
      <w:bookmarkStart w:id="39" w:name="_Toc28359086"/>
      <w:bookmarkStart w:id="40" w:name="_Toc28359009"/>
      <w:r>
        <w:rPr>
          <w:rFonts w:hint="eastAsia" w:ascii="宋体" w:hAnsi="宋体" w:cs="宋体"/>
          <w:sz w:val="24"/>
          <w:highlight w:val="none"/>
        </w:rPr>
        <w:t>地址：长春市宽城区兰家镇北欣大路263号</w:t>
      </w:r>
    </w:p>
    <w:p w14:paraId="5FBF579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联系人：王可</w:t>
      </w:r>
    </w:p>
    <w:p w14:paraId="493F682D">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联系方式：0431-80786658</w:t>
      </w:r>
    </w:p>
    <w:p w14:paraId="4FFCFCC0">
      <w:pPr>
        <w:widowControl/>
        <w:spacing w:line="360" w:lineRule="auto"/>
        <w:ind w:firstLine="480" w:firstLineChars="200"/>
        <w:jc w:val="left"/>
        <w:rPr>
          <w:rFonts w:ascii="宋体" w:hAnsi="宋体" w:cs="宋体"/>
          <w:sz w:val="24"/>
        </w:rPr>
      </w:pPr>
      <w:r>
        <w:rPr>
          <w:rFonts w:hint="eastAsia" w:ascii="宋体" w:hAnsi="宋体" w:cs="宋体"/>
          <w:sz w:val="24"/>
        </w:rPr>
        <w:t>2.采购代理机构信息</w:t>
      </w:r>
      <w:bookmarkEnd w:id="39"/>
      <w:bookmarkEnd w:id="40"/>
    </w:p>
    <w:p w14:paraId="493DC556">
      <w:pPr>
        <w:widowControl/>
        <w:spacing w:line="360" w:lineRule="auto"/>
        <w:ind w:firstLine="480" w:firstLineChars="200"/>
        <w:jc w:val="left"/>
        <w:rPr>
          <w:rFonts w:ascii="宋体" w:hAnsi="宋体" w:cs="宋体"/>
          <w:sz w:val="24"/>
        </w:rPr>
      </w:pPr>
      <w:r>
        <w:rPr>
          <w:rFonts w:hint="eastAsia" w:ascii="宋体" w:hAnsi="宋体" w:cs="宋体"/>
          <w:sz w:val="24"/>
        </w:rPr>
        <w:t>名称：</w:t>
      </w:r>
      <w:bookmarkStart w:id="41" w:name="OLE_LINK13"/>
      <w:r>
        <w:rPr>
          <w:rFonts w:hint="eastAsia" w:ascii="宋体" w:hAnsi="宋体" w:cs="宋体"/>
          <w:sz w:val="24"/>
        </w:rPr>
        <w:t>中恺项目管理咨询有限公司</w:t>
      </w:r>
      <w:bookmarkEnd w:id="41"/>
      <w:r>
        <w:rPr>
          <w:rFonts w:hint="eastAsia" w:ascii="宋体" w:hAnsi="宋体" w:cs="宋体"/>
          <w:sz w:val="24"/>
        </w:rPr>
        <w:t>　　</w:t>
      </w:r>
    </w:p>
    <w:p w14:paraId="5B769895">
      <w:pPr>
        <w:widowControl/>
        <w:spacing w:line="360" w:lineRule="auto"/>
        <w:ind w:firstLine="480" w:firstLineChars="200"/>
        <w:jc w:val="left"/>
        <w:rPr>
          <w:rFonts w:ascii="宋体" w:hAnsi="宋体" w:cs="宋体"/>
          <w:sz w:val="24"/>
        </w:rPr>
      </w:pPr>
      <w:r>
        <w:rPr>
          <w:rFonts w:hint="eastAsia" w:ascii="宋体" w:hAnsi="宋体" w:cs="宋体"/>
          <w:sz w:val="24"/>
        </w:rPr>
        <w:t>地址：</w:t>
      </w:r>
      <w:bookmarkStart w:id="42" w:name="OLE_LINK14"/>
      <w:r>
        <w:rPr>
          <w:rFonts w:hint="eastAsia" w:ascii="宋体" w:hAnsi="宋体" w:cs="宋体"/>
          <w:sz w:val="24"/>
          <w:lang w:val="zh-CN"/>
        </w:rPr>
        <w:t>吉林省长春市南关区幸福街与东蔚山路交汇陶然公馆10楼1008室</w:t>
      </w:r>
      <w:bookmarkEnd w:id="42"/>
    </w:p>
    <w:p w14:paraId="67735EA8">
      <w:pPr>
        <w:widowControl/>
        <w:spacing w:line="360" w:lineRule="auto"/>
        <w:ind w:firstLine="480" w:firstLineChars="200"/>
        <w:jc w:val="left"/>
        <w:rPr>
          <w:rFonts w:ascii="宋体" w:hAnsi="宋体" w:cs="宋体"/>
          <w:sz w:val="24"/>
        </w:rPr>
      </w:pPr>
      <w:r>
        <w:rPr>
          <w:rFonts w:hint="eastAsia" w:ascii="宋体" w:hAnsi="宋体" w:cs="宋体"/>
          <w:sz w:val="24"/>
        </w:rPr>
        <w:t>联系方式：</w:t>
      </w:r>
      <w:bookmarkStart w:id="43" w:name="_Toc28359010"/>
      <w:bookmarkStart w:id="44" w:name="_Toc28359087"/>
      <w:r>
        <w:rPr>
          <w:rFonts w:hint="eastAsia" w:ascii="宋体" w:hAnsi="宋体" w:cs="宋体"/>
          <w:sz w:val="24"/>
          <w:lang w:val="zh-CN"/>
        </w:rPr>
        <w:t>0431-</w:t>
      </w:r>
      <w:r>
        <w:rPr>
          <w:rFonts w:hint="eastAsia" w:ascii="宋体" w:hAnsi="宋体" w:cs="宋体"/>
          <w:sz w:val="24"/>
        </w:rPr>
        <w:t>88510222</w:t>
      </w:r>
    </w:p>
    <w:p w14:paraId="2DF889BC">
      <w:pPr>
        <w:widowControl/>
        <w:spacing w:line="360" w:lineRule="auto"/>
        <w:ind w:firstLine="480" w:firstLineChars="200"/>
        <w:jc w:val="left"/>
        <w:rPr>
          <w:rFonts w:ascii="宋体" w:hAnsi="宋体" w:cs="宋体"/>
          <w:sz w:val="24"/>
        </w:rPr>
      </w:pPr>
      <w:r>
        <w:rPr>
          <w:rFonts w:hint="eastAsia" w:ascii="宋体" w:hAnsi="宋体" w:cs="宋体"/>
          <w:sz w:val="24"/>
        </w:rPr>
        <w:t>3.项目联系方式</w:t>
      </w:r>
      <w:bookmarkEnd w:id="43"/>
      <w:bookmarkEnd w:id="44"/>
    </w:p>
    <w:p w14:paraId="7DDE2C15">
      <w:pPr>
        <w:widowControl/>
        <w:spacing w:line="360" w:lineRule="auto"/>
        <w:ind w:firstLine="480" w:firstLineChars="200"/>
        <w:jc w:val="left"/>
        <w:rPr>
          <w:rFonts w:hint="eastAsia" w:ascii="宋体" w:hAnsi="宋体" w:cs="宋体" w:eastAsiaTheme="minorEastAsia"/>
          <w:sz w:val="24"/>
          <w:lang w:val="en-US" w:eastAsia="zh-CN"/>
        </w:rPr>
      </w:pPr>
      <w:r>
        <w:rPr>
          <w:rFonts w:hint="eastAsia" w:ascii="宋体" w:hAnsi="宋体" w:cs="宋体"/>
          <w:sz w:val="24"/>
        </w:rPr>
        <w:t>项目联系人：</w:t>
      </w:r>
      <w:bookmarkStart w:id="45" w:name="OLE_LINK15"/>
      <w:r>
        <w:rPr>
          <w:rFonts w:hint="eastAsia" w:ascii="宋体" w:hAnsi="宋体" w:cs="宋体"/>
          <w:sz w:val="24"/>
        </w:rPr>
        <w:t>孙骁</w:t>
      </w:r>
      <w:bookmarkEnd w:id="45"/>
      <w:r>
        <w:rPr>
          <w:rFonts w:hint="eastAsia" w:ascii="宋体" w:hAnsi="宋体" w:cs="宋体"/>
          <w:sz w:val="24"/>
        </w:rPr>
        <w:t>舰</w:t>
      </w:r>
      <w:r>
        <w:rPr>
          <w:rFonts w:hint="eastAsia" w:ascii="宋体" w:hAnsi="宋体" w:cs="宋体"/>
          <w:sz w:val="24"/>
          <w:lang w:eastAsia="zh-CN"/>
        </w:rPr>
        <w:t>、张艳艳</w:t>
      </w:r>
    </w:p>
    <w:p w14:paraId="7A877DEF">
      <w:pPr>
        <w:ind w:firstLine="480" w:firstLineChars="200"/>
      </w:pPr>
      <w:r>
        <w:rPr>
          <w:rFonts w:hint="eastAsia" w:ascii="宋体" w:hAnsi="宋体" w:cs="宋体"/>
          <w:sz w:val="24"/>
        </w:rPr>
        <w:t>电话：</w:t>
      </w:r>
      <w:bookmarkStart w:id="46" w:name="OLE_LINK16"/>
      <w:r>
        <w:rPr>
          <w:rFonts w:hint="eastAsia" w:ascii="宋体" w:hAnsi="宋体" w:cs="宋体"/>
          <w:sz w:val="24"/>
          <w:lang w:val="zh-CN"/>
        </w:rPr>
        <w:t>0431-</w:t>
      </w:r>
      <w:r>
        <w:rPr>
          <w:rFonts w:hint="eastAsia" w:ascii="宋体" w:hAnsi="宋体" w:cs="宋体"/>
          <w:sz w:val="24"/>
        </w:rPr>
        <w:t>88510222</w:t>
      </w:r>
      <w:bookmarkEnd w:id="6"/>
      <w:bookmarkEnd w:id="46"/>
    </w:p>
    <w:p w14:paraId="06DA9DC3">
      <w:pPr>
        <w:widowControl/>
        <w:jc w:val="left"/>
      </w:pPr>
      <w:r>
        <w:br w:type="page"/>
      </w:r>
    </w:p>
    <w:p w14:paraId="32EDA8B5">
      <w:pPr>
        <w:pStyle w:val="2"/>
      </w:pPr>
      <w:bookmarkStart w:id="47" w:name="_Toc19173"/>
      <w:bookmarkStart w:id="48" w:name="_Toc164847788"/>
      <w:bookmarkStart w:id="49" w:name="_Toc167280761"/>
      <w:r>
        <w:rPr>
          <w:rFonts w:hint="eastAsia"/>
          <w:lang w:val="zh-CN"/>
        </w:rPr>
        <w:t>第二章 投标人须知</w:t>
      </w:r>
      <w:bookmarkEnd w:id="47"/>
      <w:bookmarkEnd w:id="48"/>
      <w:bookmarkEnd w:id="49"/>
    </w:p>
    <w:p w14:paraId="013A0008">
      <w:pPr>
        <w:pStyle w:val="3"/>
        <w:rPr>
          <w:lang w:val="zh-CN"/>
        </w:rPr>
      </w:pPr>
      <w:r>
        <w:rPr>
          <w:rFonts w:hint="eastAsia"/>
          <w:lang w:val="zh-CN"/>
        </w:rPr>
        <w:t>一、投标人须知前附表</w:t>
      </w:r>
    </w:p>
    <w:tbl>
      <w:tblPr>
        <w:tblStyle w:val="21"/>
        <w:tblW w:w="53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733"/>
        <w:gridCol w:w="8166"/>
      </w:tblGrid>
      <w:tr w14:paraId="2617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340" w:type="pct"/>
            <w:vAlign w:val="center"/>
          </w:tcPr>
          <w:p w14:paraId="4F1FD7FD">
            <w:pPr>
              <w:autoSpaceDE w:val="0"/>
              <w:autoSpaceDN w:val="0"/>
              <w:adjustRightInd w:val="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816" w:type="pct"/>
            <w:vAlign w:val="center"/>
          </w:tcPr>
          <w:p w14:paraId="2ECF5D56">
            <w:pPr>
              <w:autoSpaceDE w:val="0"/>
              <w:autoSpaceDN w:val="0"/>
              <w:adjustRightInd w:val="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  称</w:t>
            </w:r>
          </w:p>
        </w:tc>
        <w:tc>
          <w:tcPr>
            <w:tcW w:w="3843" w:type="pct"/>
            <w:vAlign w:val="center"/>
          </w:tcPr>
          <w:p w14:paraId="1F2AF6C6">
            <w:pPr>
              <w:autoSpaceDE w:val="0"/>
              <w:autoSpaceDN w:val="0"/>
              <w:adjustRightInd w:val="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编列内容</w:t>
            </w:r>
          </w:p>
        </w:tc>
      </w:tr>
      <w:tr w14:paraId="3659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 w:type="pct"/>
            <w:vAlign w:val="center"/>
          </w:tcPr>
          <w:p w14:paraId="42B4096C">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1</w:t>
            </w:r>
          </w:p>
        </w:tc>
        <w:tc>
          <w:tcPr>
            <w:tcW w:w="816" w:type="pct"/>
            <w:vAlign w:val="center"/>
          </w:tcPr>
          <w:p w14:paraId="3EE73A56">
            <w:pPr>
              <w:autoSpaceDE w:val="0"/>
              <w:autoSpaceDN w:val="0"/>
              <w:adjustRightInd w:val="0"/>
              <w:jc w:val="center"/>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采购人信息</w:t>
            </w:r>
          </w:p>
        </w:tc>
        <w:tc>
          <w:tcPr>
            <w:tcW w:w="3843" w:type="pct"/>
            <w:vAlign w:val="center"/>
          </w:tcPr>
          <w:p w14:paraId="708CB71C">
            <w:pPr>
              <w:autoSpaceDE w:val="0"/>
              <w:autoSpaceDN w:val="0"/>
              <w:adjustRightInd w:val="0"/>
              <w:jc w:val="left"/>
              <w:rPr>
                <w:rFonts w:cs="宋体" w:asciiTheme="minorEastAsia" w:hAnsiTheme="minorEastAsia"/>
                <w:sz w:val="24"/>
                <w:szCs w:val="24"/>
                <w:highlight w:val="none"/>
              </w:rPr>
            </w:pPr>
            <w:r>
              <w:rPr>
                <w:rFonts w:hint="eastAsia" w:cs="宋体" w:asciiTheme="minorEastAsia" w:hAnsiTheme="minorEastAsia"/>
                <w:sz w:val="24"/>
                <w:szCs w:val="24"/>
                <w:highlight w:val="none"/>
              </w:rPr>
              <w:t xml:space="preserve">名 </w:t>
            </w:r>
            <w:r>
              <w:rPr>
                <w:rFonts w:cs="宋体" w:asciiTheme="minorEastAsia" w:hAnsiTheme="minorEastAsia"/>
                <w:sz w:val="24"/>
                <w:szCs w:val="24"/>
                <w:highlight w:val="none"/>
              </w:rPr>
              <w:t xml:space="preserve">       </w:t>
            </w:r>
            <w:r>
              <w:rPr>
                <w:rFonts w:hint="eastAsia" w:cs="宋体" w:asciiTheme="minorEastAsia" w:hAnsiTheme="minorEastAsia"/>
                <w:sz w:val="24"/>
                <w:szCs w:val="24"/>
                <w:highlight w:val="none"/>
              </w:rPr>
              <w:t>称：长春市宽城区疾病预防控制中心（长春市宽城区卫生监督所）</w:t>
            </w:r>
          </w:p>
          <w:p w14:paraId="236D5675">
            <w:pPr>
              <w:widowControl/>
              <w:spacing w:line="360" w:lineRule="auto"/>
              <w:jc w:val="left"/>
              <w:rPr>
                <w:rFonts w:cs="宋体" w:asciiTheme="minorEastAsia" w:hAnsiTheme="minorEastAsia"/>
                <w:sz w:val="24"/>
                <w:szCs w:val="24"/>
                <w:highlight w:val="none"/>
              </w:rPr>
            </w:pPr>
            <w:r>
              <w:rPr>
                <w:rFonts w:hint="eastAsia" w:cs="宋体" w:asciiTheme="minorEastAsia" w:hAnsiTheme="minorEastAsia"/>
                <w:sz w:val="24"/>
                <w:szCs w:val="24"/>
                <w:highlight w:val="none"/>
              </w:rPr>
              <w:t xml:space="preserve">地 </w:t>
            </w:r>
            <w:r>
              <w:rPr>
                <w:rFonts w:cs="宋体" w:asciiTheme="minorEastAsia" w:hAnsiTheme="minorEastAsia"/>
                <w:sz w:val="24"/>
                <w:szCs w:val="24"/>
                <w:highlight w:val="none"/>
              </w:rPr>
              <w:t xml:space="preserve">       </w:t>
            </w:r>
            <w:r>
              <w:rPr>
                <w:rFonts w:hint="eastAsia" w:cs="宋体" w:asciiTheme="minorEastAsia" w:hAnsiTheme="minorEastAsia"/>
                <w:sz w:val="24"/>
                <w:szCs w:val="24"/>
                <w:highlight w:val="none"/>
              </w:rPr>
              <w:t>址：</w:t>
            </w:r>
            <w:r>
              <w:rPr>
                <w:rFonts w:hint="eastAsia" w:ascii="宋体" w:hAnsi="宋体" w:cs="宋体"/>
                <w:sz w:val="24"/>
                <w:highlight w:val="none"/>
              </w:rPr>
              <w:t>长春市宽城区兰家镇北欣大路263号</w:t>
            </w:r>
            <w:r>
              <w:rPr>
                <w:rFonts w:hint="eastAsia" w:cs="宋体" w:asciiTheme="minorEastAsia" w:hAnsiTheme="minorEastAsia"/>
                <w:sz w:val="24"/>
                <w:szCs w:val="24"/>
                <w:highlight w:val="none"/>
              </w:rPr>
              <w:t xml:space="preserve"> </w:t>
            </w:r>
          </w:p>
          <w:p w14:paraId="1F0E2692">
            <w:pPr>
              <w:widowControl/>
              <w:spacing w:line="360" w:lineRule="auto"/>
              <w:jc w:val="left"/>
              <w:rPr>
                <w:rFonts w:asciiTheme="minorEastAsia" w:hAnsiTheme="minorEastAsia"/>
                <w:sz w:val="24"/>
                <w:szCs w:val="24"/>
                <w:highlight w:val="none"/>
              </w:rPr>
            </w:pPr>
            <w:bookmarkStart w:id="50" w:name="OLE_LINK8"/>
            <w:r>
              <w:rPr>
                <w:rFonts w:hint="eastAsia" w:cs="宋体" w:asciiTheme="minorEastAsia" w:hAnsiTheme="minorEastAsia"/>
                <w:sz w:val="24"/>
                <w:szCs w:val="24"/>
                <w:highlight w:val="none"/>
              </w:rPr>
              <w:t>联系人及电话：</w:t>
            </w:r>
            <w:bookmarkEnd w:id="50"/>
            <w:r>
              <w:rPr>
                <w:rFonts w:hint="eastAsia" w:cs="宋体" w:asciiTheme="minorEastAsia" w:hAnsiTheme="minorEastAsia"/>
                <w:sz w:val="24"/>
                <w:szCs w:val="24"/>
                <w:highlight w:val="none"/>
              </w:rPr>
              <w:t xml:space="preserve">王可 </w:t>
            </w:r>
            <w:r>
              <w:rPr>
                <w:rFonts w:hint="eastAsia" w:ascii="宋体" w:hAnsi="宋体" w:cs="宋体"/>
                <w:sz w:val="24"/>
                <w:highlight w:val="none"/>
              </w:rPr>
              <w:t>0431-80786658</w:t>
            </w:r>
          </w:p>
        </w:tc>
      </w:tr>
      <w:tr w14:paraId="6E12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340" w:type="pct"/>
            <w:vAlign w:val="center"/>
          </w:tcPr>
          <w:p w14:paraId="52FA1932">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2</w:t>
            </w:r>
          </w:p>
        </w:tc>
        <w:tc>
          <w:tcPr>
            <w:tcW w:w="816" w:type="pct"/>
            <w:vAlign w:val="center"/>
          </w:tcPr>
          <w:p w14:paraId="0B0E36DC">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采购代理机构信息</w:t>
            </w:r>
          </w:p>
        </w:tc>
        <w:tc>
          <w:tcPr>
            <w:tcW w:w="3843" w:type="pct"/>
            <w:vAlign w:val="center"/>
          </w:tcPr>
          <w:p w14:paraId="7F1B3E42">
            <w:pPr>
              <w:autoSpaceDE w:val="0"/>
              <w:autoSpaceDN w:val="0"/>
              <w:adjustRightInd w:val="0"/>
              <w:jc w:val="left"/>
              <w:rPr>
                <w:rFonts w:cs="宋体" w:asciiTheme="minorEastAsia" w:hAnsiTheme="minorEastAsia"/>
                <w:sz w:val="24"/>
                <w:szCs w:val="24"/>
              </w:rPr>
            </w:pPr>
            <w:r>
              <w:rPr>
                <w:rFonts w:hint="eastAsia" w:cs="宋体" w:asciiTheme="minorEastAsia" w:hAnsiTheme="minorEastAsia"/>
                <w:bCs/>
                <w:sz w:val="24"/>
                <w:szCs w:val="24"/>
                <w:lang w:val="zh-CN"/>
              </w:rPr>
              <w:t xml:space="preserve">名 </w:t>
            </w:r>
            <w:r>
              <w:rPr>
                <w:rFonts w:cs="宋体" w:asciiTheme="minorEastAsia" w:hAnsiTheme="minorEastAsia"/>
                <w:bCs/>
                <w:sz w:val="24"/>
                <w:szCs w:val="24"/>
                <w:lang w:val="zh-CN"/>
              </w:rPr>
              <w:t xml:space="preserve">  </w:t>
            </w:r>
            <w:r>
              <w:rPr>
                <w:rFonts w:hint="eastAsia" w:cs="宋体" w:asciiTheme="minorEastAsia" w:hAnsiTheme="minorEastAsia"/>
                <w:bCs/>
                <w:sz w:val="24"/>
                <w:szCs w:val="24"/>
                <w:lang w:val="zh-CN"/>
              </w:rPr>
              <w:t xml:space="preserve"> </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zh-CN"/>
              </w:rPr>
              <w:t>称：中恺项目管理咨询有限公司</w:t>
            </w:r>
          </w:p>
          <w:p w14:paraId="1416710E">
            <w:pPr>
              <w:autoSpaceDE w:val="0"/>
              <w:autoSpaceDN w:val="0"/>
              <w:adjustRightInd w:val="0"/>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地 </w:t>
            </w:r>
            <w:r>
              <w:rPr>
                <w:rFonts w:cs="宋体" w:asciiTheme="minorEastAsia" w:hAnsiTheme="minorEastAsia"/>
                <w:bCs/>
                <w:sz w:val="24"/>
                <w:szCs w:val="24"/>
                <w:lang w:val="zh-CN"/>
              </w:rPr>
              <w:t xml:space="preserve">  </w:t>
            </w:r>
            <w:r>
              <w:rPr>
                <w:rFonts w:hint="eastAsia" w:cs="宋体" w:asciiTheme="minorEastAsia" w:hAnsiTheme="minorEastAsia"/>
                <w:bCs/>
                <w:sz w:val="24"/>
                <w:szCs w:val="24"/>
                <w:lang w:val="zh-CN"/>
              </w:rPr>
              <w:t xml:space="preserve"> </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zh-CN"/>
              </w:rPr>
              <w:t>址：吉林省长春市南关区幸福街与东蔚山路交汇陶然公馆10楼1008室</w:t>
            </w:r>
          </w:p>
          <w:p w14:paraId="18622D1B">
            <w:pPr>
              <w:widowControl/>
              <w:spacing w:line="360" w:lineRule="auto"/>
              <w:jc w:val="left"/>
              <w:rPr>
                <w:rFonts w:cs="宋体" w:asciiTheme="minorEastAsia" w:hAnsiTheme="minorEastAsia"/>
                <w:sz w:val="24"/>
                <w:szCs w:val="24"/>
              </w:rPr>
            </w:pPr>
            <w:r>
              <w:rPr>
                <w:rFonts w:hint="eastAsia" w:cs="宋体" w:asciiTheme="minorEastAsia" w:hAnsiTheme="minorEastAsia"/>
                <w:sz w:val="24"/>
                <w:szCs w:val="24"/>
              </w:rPr>
              <w:t>联系人及电话：</w:t>
            </w:r>
            <w:r>
              <w:rPr>
                <w:rFonts w:hint="eastAsia" w:ascii="宋体" w:hAnsi="宋体" w:cs="宋体"/>
                <w:sz w:val="24"/>
              </w:rPr>
              <w:t>孙骁舰</w:t>
            </w:r>
            <w:r>
              <w:rPr>
                <w:rFonts w:hint="eastAsia" w:ascii="宋体" w:hAnsi="宋体" w:cs="宋体"/>
                <w:sz w:val="24"/>
                <w:lang w:eastAsia="zh-CN"/>
              </w:rPr>
              <w:t>、张艳艳</w:t>
            </w:r>
            <w:r>
              <w:rPr>
                <w:rFonts w:hint="eastAsia" w:cs="宋体" w:asciiTheme="minorEastAsia" w:hAnsiTheme="minorEastAsia"/>
                <w:sz w:val="24"/>
                <w:szCs w:val="24"/>
              </w:rPr>
              <w:t xml:space="preserve">  </w:t>
            </w:r>
            <w:r>
              <w:rPr>
                <w:rFonts w:hint="eastAsia" w:ascii="宋体" w:hAnsi="宋体" w:cs="宋体"/>
                <w:sz w:val="24"/>
                <w:lang w:val="zh-CN"/>
              </w:rPr>
              <w:t>0431-</w:t>
            </w:r>
            <w:r>
              <w:rPr>
                <w:rFonts w:hint="eastAsia" w:ascii="宋体" w:hAnsi="宋体" w:cs="宋体"/>
                <w:sz w:val="24"/>
              </w:rPr>
              <w:t>88510222</w:t>
            </w:r>
          </w:p>
        </w:tc>
      </w:tr>
      <w:tr w14:paraId="4660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340" w:type="pct"/>
            <w:vAlign w:val="center"/>
          </w:tcPr>
          <w:p w14:paraId="7481C2B2">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3</w:t>
            </w:r>
          </w:p>
        </w:tc>
        <w:tc>
          <w:tcPr>
            <w:tcW w:w="816" w:type="pct"/>
            <w:vAlign w:val="center"/>
          </w:tcPr>
          <w:p w14:paraId="08EBC7FC">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项目名称及项目编号</w:t>
            </w:r>
          </w:p>
        </w:tc>
        <w:tc>
          <w:tcPr>
            <w:tcW w:w="3843" w:type="pct"/>
            <w:vAlign w:val="center"/>
          </w:tcPr>
          <w:p w14:paraId="653DBD69">
            <w:pPr>
              <w:spacing w:line="360" w:lineRule="auto"/>
              <w:rPr>
                <w:rFonts w:cs="宋体" w:asciiTheme="minorEastAsia" w:hAnsiTheme="minorEastAsia"/>
                <w:sz w:val="24"/>
                <w:szCs w:val="24"/>
              </w:rPr>
            </w:pPr>
            <w:r>
              <w:rPr>
                <w:rFonts w:hint="eastAsia" w:cs="宋体" w:asciiTheme="minorEastAsia" w:hAnsiTheme="minorEastAsia"/>
                <w:bCs/>
                <w:sz w:val="24"/>
                <w:szCs w:val="24"/>
                <w:lang w:val="zh-CN"/>
              </w:rPr>
              <w:t>项目名称：</w:t>
            </w:r>
            <w:r>
              <w:rPr>
                <w:rFonts w:hint="eastAsia" w:cs="宋体" w:asciiTheme="minorEastAsia" w:hAnsiTheme="minorEastAsia"/>
                <w:sz w:val="24"/>
                <w:szCs w:val="24"/>
              </w:rPr>
              <w:t>宽城区疾控中心（宽城区卫生监督所）设备采购</w:t>
            </w:r>
          </w:p>
          <w:p w14:paraId="4A6C8250">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lang w:val="zh-CN"/>
              </w:rPr>
              <w:t>项目编号：采购计划-[2025]-00061号</w:t>
            </w:r>
          </w:p>
        </w:tc>
      </w:tr>
      <w:tr w14:paraId="6069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40" w:type="pct"/>
            <w:vAlign w:val="center"/>
          </w:tcPr>
          <w:p w14:paraId="23F20693">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4</w:t>
            </w:r>
          </w:p>
        </w:tc>
        <w:tc>
          <w:tcPr>
            <w:tcW w:w="816" w:type="pct"/>
            <w:vAlign w:val="center"/>
          </w:tcPr>
          <w:p w14:paraId="203BB4A0">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交货地点</w:t>
            </w:r>
          </w:p>
        </w:tc>
        <w:tc>
          <w:tcPr>
            <w:tcW w:w="3843" w:type="pct"/>
            <w:vAlign w:val="center"/>
          </w:tcPr>
          <w:p w14:paraId="05401A50">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长春市宽城区疾病预防控制中心（长春市宽城区卫生监督所）指定地点</w:t>
            </w:r>
          </w:p>
        </w:tc>
      </w:tr>
      <w:tr w14:paraId="07A1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0FB87CCD">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5</w:t>
            </w:r>
          </w:p>
        </w:tc>
        <w:tc>
          <w:tcPr>
            <w:tcW w:w="816" w:type="pct"/>
            <w:vAlign w:val="center"/>
          </w:tcPr>
          <w:p w14:paraId="08B0E82D">
            <w:pPr>
              <w:autoSpaceDE w:val="0"/>
              <w:autoSpaceDN w:val="0"/>
              <w:adjustRightInd w:val="0"/>
              <w:jc w:val="center"/>
              <w:rPr>
                <w:rFonts w:cs="宋体" w:asciiTheme="minorEastAsia" w:hAnsiTheme="minorEastAsia"/>
                <w:sz w:val="24"/>
                <w:szCs w:val="24"/>
                <w:lang w:val="zh-CN"/>
              </w:rPr>
            </w:pPr>
            <w:bookmarkStart w:id="51" w:name="OLE_LINK20"/>
            <w:r>
              <w:rPr>
                <w:rFonts w:hint="eastAsia" w:cs="宋体" w:asciiTheme="minorEastAsia" w:hAnsiTheme="minorEastAsia"/>
                <w:sz w:val="24"/>
                <w:szCs w:val="24"/>
                <w:lang w:val="zh-CN"/>
              </w:rPr>
              <w:t>交货方式</w:t>
            </w:r>
            <w:bookmarkEnd w:id="51"/>
          </w:p>
        </w:tc>
        <w:tc>
          <w:tcPr>
            <w:tcW w:w="3843" w:type="pct"/>
            <w:vAlign w:val="center"/>
          </w:tcPr>
          <w:p w14:paraId="0C0B7F64">
            <w:pPr>
              <w:spacing w:line="360" w:lineRule="auto"/>
              <w:rPr>
                <w:rFonts w:cs="宋体" w:asciiTheme="minorEastAsia" w:hAnsiTheme="minorEastAsia"/>
                <w:sz w:val="24"/>
                <w:szCs w:val="24"/>
              </w:rPr>
            </w:pPr>
            <w:r>
              <w:rPr>
                <w:rFonts w:hint="eastAsia" w:cs="宋体" w:asciiTheme="minorEastAsia" w:hAnsiTheme="minorEastAsia"/>
                <w:sz w:val="24"/>
                <w:szCs w:val="24"/>
              </w:rPr>
              <w:t>采购人指定</w:t>
            </w:r>
            <w:r>
              <w:rPr>
                <w:rFonts w:hint="eastAsia" w:cs="宋体" w:asciiTheme="minorEastAsia" w:hAnsiTheme="minorEastAsia"/>
                <w:sz w:val="24"/>
                <w:szCs w:val="24"/>
                <w:lang w:val="zh-CN"/>
              </w:rPr>
              <w:t>交货方式</w:t>
            </w:r>
          </w:p>
        </w:tc>
      </w:tr>
      <w:tr w14:paraId="0DBD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40" w:type="pct"/>
            <w:vAlign w:val="center"/>
          </w:tcPr>
          <w:p w14:paraId="5F488112">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6</w:t>
            </w:r>
          </w:p>
        </w:tc>
        <w:tc>
          <w:tcPr>
            <w:tcW w:w="816" w:type="pct"/>
            <w:vAlign w:val="center"/>
          </w:tcPr>
          <w:p w14:paraId="23C10F68">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资金来源</w:t>
            </w:r>
          </w:p>
        </w:tc>
        <w:tc>
          <w:tcPr>
            <w:tcW w:w="3843" w:type="pct"/>
            <w:vAlign w:val="center"/>
          </w:tcPr>
          <w:p w14:paraId="4E862C20">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财政资金</w:t>
            </w:r>
          </w:p>
        </w:tc>
      </w:tr>
      <w:tr w14:paraId="61CA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40" w:type="pct"/>
            <w:vAlign w:val="center"/>
          </w:tcPr>
          <w:p w14:paraId="4FAA9C9D">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7</w:t>
            </w:r>
          </w:p>
        </w:tc>
        <w:tc>
          <w:tcPr>
            <w:tcW w:w="816" w:type="pct"/>
            <w:vAlign w:val="center"/>
          </w:tcPr>
          <w:p w14:paraId="3B53BC47">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出资比例</w:t>
            </w:r>
          </w:p>
        </w:tc>
        <w:tc>
          <w:tcPr>
            <w:tcW w:w="3843" w:type="pct"/>
            <w:vAlign w:val="center"/>
          </w:tcPr>
          <w:p w14:paraId="685639FA">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lang w:val="zh-CN"/>
              </w:rPr>
              <w:t>100%</w:t>
            </w:r>
          </w:p>
        </w:tc>
      </w:tr>
      <w:tr w14:paraId="6D84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40" w:type="pct"/>
            <w:vAlign w:val="center"/>
          </w:tcPr>
          <w:p w14:paraId="3F602934">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8</w:t>
            </w:r>
          </w:p>
        </w:tc>
        <w:tc>
          <w:tcPr>
            <w:tcW w:w="816" w:type="pct"/>
            <w:vAlign w:val="center"/>
          </w:tcPr>
          <w:p w14:paraId="474A7CE1">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资金落实情况</w:t>
            </w:r>
          </w:p>
        </w:tc>
        <w:tc>
          <w:tcPr>
            <w:tcW w:w="3843" w:type="pct"/>
            <w:vAlign w:val="center"/>
          </w:tcPr>
          <w:p w14:paraId="48B09691">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lang w:val="zh-CN"/>
              </w:rPr>
              <w:t>已落实</w:t>
            </w:r>
          </w:p>
        </w:tc>
      </w:tr>
      <w:tr w14:paraId="4573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40" w:type="pct"/>
            <w:vAlign w:val="center"/>
          </w:tcPr>
          <w:p w14:paraId="738AAE6D">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9</w:t>
            </w:r>
          </w:p>
        </w:tc>
        <w:tc>
          <w:tcPr>
            <w:tcW w:w="816" w:type="pct"/>
            <w:vAlign w:val="center"/>
          </w:tcPr>
          <w:p w14:paraId="63302A2B">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采购需求</w:t>
            </w:r>
          </w:p>
        </w:tc>
        <w:tc>
          <w:tcPr>
            <w:tcW w:w="3843" w:type="pct"/>
            <w:vAlign w:val="center"/>
          </w:tcPr>
          <w:p w14:paraId="3E627B50">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详见招标文件第五章《采购需求》</w:t>
            </w:r>
          </w:p>
        </w:tc>
      </w:tr>
      <w:tr w14:paraId="3BAC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21F16573">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10</w:t>
            </w:r>
          </w:p>
        </w:tc>
        <w:tc>
          <w:tcPr>
            <w:tcW w:w="816" w:type="pct"/>
            <w:vAlign w:val="center"/>
          </w:tcPr>
          <w:p w14:paraId="60AF7B9E">
            <w:pPr>
              <w:autoSpaceDE w:val="0"/>
              <w:autoSpaceDN w:val="0"/>
              <w:adjustRightInd w:val="0"/>
              <w:jc w:val="center"/>
              <w:rPr>
                <w:rFonts w:cs="宋体" w:asciiTheme="minorEastAsia" w:hAnsiTheme="minorEastAsia"/>
                <w:bCs/>
                <w:sz w:val="24"/>
                <w:szCs w:val="24"/>
                <w:highlight w:val="none"/>
                <w:lang w:val="zh-CN"/>
              </w:rPr>
            </w:pPr>
            <w:r>
              <w:rPr>
                <w:rFonts w:hint="eastAsia" w:cs="宋体" w:asciiTheme="minorEastAsia" w:hAnsiTheme="minorEastAsia"/>
                <w:bCs/>
                <w:sz w:val="24"/>
                <w:szCs w:val="24"/>
                <w:highlight w:val="none"/>
                <w:lang w:val="zh-CN"/>
              </w:rPr>
              <w:t>合同履行期限</w:t>
            </w:r>
          </w:p>
        </w:tc>
        <w:tc>
          <w:tcPr>
            <w:tcW w:w="3843" w:type="pct"/>
            <w:vAlign w:val="center"/>
          </w:tcPr>
          <w:p w14:paraId="7C3BDDE7">
            <w:pPr>
              <w:spacing w:line="360" w:lineRule="auto"/>
              <w:rPr>
                <w:rFonts w:cs="宋体" w:asciiTheme="minorEastAsia" w:hAnsiTheme="minorEastAsia"/>
                <w:sz w:val="24"/>
                <w:szCs w:val="24"/>
                <w:highlight w:val="none"/>
              </w:rPr>
            </w:pPr>
            <w:r>
              <w:rPr>
                <w:rFonts w:hint="eastAsia" w:cs="宋体" w:asciiTheme="minorEastAsia" w:hAnsiTheme="minorEastAsia"/>
                <w:sz w:val="24"/>
                <w:szCs w:val="24"/>
                <w:highlight w:val="none"/>
              </w:rPr>
              <w:t>签订合同之日起30日内交货，并安装调试完毕。</w:t>
            </w:r>
          </w:p>
        </w:tc>
      </w:tr>
      <w:tr w14:paraId="5309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40" w:type="pct"/>
            <w:vAlign w:val="center"/>
          </w:tcPr>
          <w:p w14:paraId="3C613D24">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11</w:t>
            </w:r>
          </w:p>
        </w:tc>
        <w:tc>
          <w:tcPr>
            <w:tcW w:w="816" w:type="pct"/>
            <w:vAlign w:val="center"/>
          </w:tcPr>
          <w:p w14:paraId="457EE325">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质量要求</w:t>
            </w:r>
          </w:p>
        </w:tc>
        <w:tc>
          <w:tcPr>
            <w:tcW w:w="3843" w:type="pct"/>
            <w:vAlign w:val="center"/>
          </w:tcPr>
          <w:p w14:paraId="1C498589">
            <w:pPr>
              <w:spacing w:line="360" w:lineRule="auto"/>
              <w:rPr>
                <w:rFonts w:cs="宋体" w:asciiTheme="minorEastAsia" w:hAnsiTheme="minorEastAsia"/>
                <w:sz w:val="24"/>
                <w:szCs w:val="24"/>
              </w:rPr>
            </w:pPr>
            <w:r>
              <w:rPr>
                <w:rFonts w:hint="eastAsia" w:cs="宋体" w:asciiTheme="minorEastAsia" w:hAnsiTheme="minorEastAsia"/>
                <w:sz w:val="24"/>
                <w:szCs w:val="24"/>
              </w:rPr>
              <w:t>符合现行国家、行业、地方或者其他相关标准的合格要求。</w:t>
            </w:r>
          </w:p>
        </w:tc>
      </w:tr>
      <w:tr w14:paraId="0B70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40" w:type="pct"/>
            <w:vAlign w:val="center"/>
          </w:tcPr>
          <w:p w14:paraId="1167422B">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12</w:t>
            </w:r>
          </w:p>
        </w:tc>
        <w:tc>
          <w:tcPr>
            <w:tcW w:w="816" w:type="pct"/>
            <w:vAlign w:val="center"/>
          </w:tcPr>
          <w:p w14:paraId="741EF455">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投标人资质条件、能力和信誉</w:t>
            </w:r>
          </w:p>
        </w:tc>
        <w:tc>
          <w:tcPr>
            <w:tcW w:w="3843" w:type="pct"/>
          </w:tcPr>
          <w:p w14:paraId="2748D944">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 xml:space="preserve">1.满足《中华人民共和国政府采购法》第二十二条的规定； </w:t>
            </w:r>
          </w:p>
          <w:p w14:paraId="402837F6">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 xml:space="preserve">2.落实政府采购政策需满足的资格要求：本项目专门面向中小企业采购； </w:t>
            </w:r>
          </w:p>
          <w:p w14:paraId="21329A43">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 xml:space="preserve">3.本项目的特定资格要求： </w:t>
            </w:r>
          </w:p>
          <w:p w14:paraId="6ED0F21B">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 xml:space="preserve">（1）投标人须是在中华人民共和国境内注册的、能够独立承担民事责任的法人、其他组织或者自然人，具备有效的营业执照，且必须具有所投产品的生产或经营能力，能在国内合法提供采购内容及其相应的服务； </w:t>
            </w:r>
          </w:p>
          <w:p w14:paraId="35B5F8EF">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 xml:space="preserve">（2）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 </w:t>
            </w:r>
          </w:p>
          <w:p w14:paraId="45067255">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 xml:space="preserve">（3）具有投资参股关系的关联企业，或具有直接管理和被管理关系的母子公司，或同一母公司的子公司，或法定代表人为同一人的两个及两个以上法人不得同时对同一标段投标，否则均按废标处理。与招标人存在利害关系可能影响投标公正性的法人、其他组织或者个人，不得参加投标。单位负责人为同一人或者存在控股、管理关系的不同单位，不得参加同一标段投标或者未划分标段的同一项目投标。违反上述规定的，相关投标均无效； </w:t>
            </w:r>
          </w:p>
          <w:p w14:paraId="5BBA3332">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 xml:space="preserve">（4）投标人必须未被列入“信用中国” 网站（www.creditchina.gov.cn）、中国政府采购网（www.ccgp.gov.cn）等渠道信用记录失信被执行人、重大税收违法案件当事人名单、政府采购严重违法失信行为记录名单； </w:t>
            </w:r>
          </w:p>
          <w:p w14:paraId="376A48EC">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 xml:space="preserve">（5）参加政府采购活动前三年内，在经营活动中没有重大违法记录； </w:t>
            </w:r>
          </w:p>
          <w:p w14:paraId="56E0EE09">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 xml:space="preserve">（6）拒绝列入政府取消投标资格记录期间的企业或个人参加本次投标； </w:t>
            </w:r>
          </w:p>
          <w:p w14:paraId="2C4062C5">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（7）法律、行政法规规定的其他条件。</w:t>
            </w:r>
          </w:p>
          <w:p w14:paraId="7C8ADCB3">
            <w:pPr>
              <w:autoSpaceDE w:val="0"/>
              <w:autoSpaceDN w:val="0"/>
              <w:adjustRightInd w:val="0"/>
              <w:jc w:val="left"/>
              <w:rPr>
                <w:rFonts w:cs="宋体" w:asciiTheme="minorEastAsia" w:hAnsiTheme="minorEastAsia"/>
                <w:sz w:val="24"/>
                <w:szCs w:val="24"/>
              </w:rPr>
            </w:pPr>
          </w:p>
        </w:tc>
      </w:tr>
      <w:tr w14:paraId="1863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081AFC3F">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13</w:t>
            </w:r>
          </w:p>
        </w:tc>
        <w:tc>
          <w:tcPr>
            <w:tcW w:w="816" w:type="pct"/>
            <w:vAlign w:val="center"/>
          </w:tcPr>
          <w:p w14:paraId="74533F0D">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是否接受联合体投标</w:t>
            </w:r>
          </w:p>
        </w:tc>
        <w:tc>
          <w:tcPr>
            <w:tcW w:w="3843" w:type="pct"/>
            <w:vAlign w:val="center"/>
          </w:tcPr>
          <w:p w14:paraId="7FB9F487">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lang w:val="zh-CN"/>
              </w:rPr>
              <w:t>不接受</w:t>
            </w:r>
          </w:p>
        </w:tc>
      </w:tr>
      <w:tr w14:paraId="2AF9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40" w:type="pct"/>
            <w:vAlign w:val="center"/>
          </w:tcPr>
          <w:p w14:paraId="3C29E9D1">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14</w:t>
            </w:r>
          </w:p>
        </w:tc>
        <w:tc>
          <w:tcPr>
            <w:tcW w:w="816" w:type="pct"/>
            <w:vAlign w:val="center"/>
          </w:tcPr>
          <w:p w14:paraId="643FB7BE">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踏勘现场</w:t>
            </w:r>
          </w:p>
        </w:tc>
        <w:tc>
          <w:tcPr>
            <w:tcW w:w="3843" w:type="pct"/>
            <w:tcBorders>
              <w:top w:val="single" w:color="auto" w:sz="4" w:space="0"/>
            </w:tcBorders>
            <w:vAlign w:val="center"/>
          </w:tcPr>
          <w:p w14:paraId="080003AC">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不</w:t>
            </w:r>
            <w:r>
              <w:rPr>
                <w:rFonts w:hint="eastAsia" w:cs="宋体" w:asciiTheme="minorEastAsia" w:hAnsiTheme="minorEastAsia"/>
                <w:sz w:val="24"/>
                <w:szCs w:val="24"/>
                <w:lang w:val="zh-CN"/>
              </w:rPr>
              <w:t>踏勘</w:t>
            </w:r>
          </w:p>
        </w:tc>
      </w:tr>
      <w:tr w14:paraId="0A4C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40" w:type="pct"/>
            <w:vAlign w:val="center"/>
          </w:tcPr>
          <w:p w14:paraId="1D5919A6">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15</w:t>
            </w:r>
          </w:p>
        </w:tc>
        <w:tc>
          <w:tcPr>
            <w:tcW w:w="816" w:type="pct"/>
            <w:vAlign w:val="center"/>
          </w:tcPr>
          <w:p w14:paraId="3B93EA96">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投标预备会</w:t>
            </w:r>
          </w:p>
        </w:tc>
        <w:tc>
          <w:tcPr>
            <w:tcW w:w="3843" w:type="pct"/>
            <w:vAlign w:val="center"/>
          </w:tcPr>
          <w:p w14:paraId="1D459228">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不召开</w:t>
            </w:r>
          </w:p>
        </w:tc>
      </w:tr>
      <w:tr w14:paraId="1690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40" w:type="pct"/>
            <w:vAlign w:val="center"/>
          </w:tcPr>
          <w:p w14:paraId="2E011ACE">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16</w:t>
            </w:r>
          </w:p>
        </w:tc>
        <w:tc>
          <w:tcPr>
            <w:tcW w:w="816" w:type="pct"/>
            <w:vAlign w:val="center"/>
          </w:tcPr>
          <w:p w14:paraId="1CA98C89">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投标人提出质疑的截止时间</w:t>
            </w:r>
          </w:p>
        </w:tc>
        <w:tc>
          <w:tcPr>
            <w:tcW w:w="3843" w:type="pct"/>
            <w:vAlign w:val="center"/>
          </w:tcPr>
          <w:p w14:paraId="0BB42E40">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rPr>
              <w:t>1.供应商</w:t>
            </w:r>
            <w:r>
              <w:rPr>
                <w:rFonts w:hint="eastAsia" w:cs="宋体" w:asciiTheme="minorEastAsia" w:hAnsiTheme="minorEastAsia"/>
                <w:sz w:val="24"/>
                <w:szCs w:val="24"/>
                <w:lang w:val="zh-CN"/>
              </w:rPr>
              <w:t>认为</w:t>
            </w:r>
            <w:r>
              <w:rPr>
                <w:rFonts w:hint="eastAsia" w:cs="宋体" w:asciiTheme="minorEastAsia" w:hAnsiTheme="minorEastAsia"/>
                <w:sz w:val="24"/>
                <w:szCs w:val="24"/>
              </w:rPr>
              <w:t>采购</w:t>
            </w:r>
            <w:r>
              <w:rPr>
                <w:rFonts w:hint="eastAsia" w:cs="宋体" w:asciiTheme="minorEastAsia" w:hAnsiTheme="minorEastAsia"/>
                <w:sz w:val="24"/>
                <w:szCs w:val="24"/>
                <w:lang w:val="zh-CN"/>
              </w:rPr>
              <w:t>文件、采购过程、中标或者成交结果使自己的权益受到损害的，可以在知道或者应知其权益受到损害之日起7个工作日内，以书面形式向采购人、采购代理机构提出质疑；</w:t>
            </w:r>
            <w:r>
              <w:rPr>
                <w:rFonts w:hint="eastAsia" w:cs="宋体" w:asciiTheme="minorEastAsia" w:hAnsiTheme="minorEastAsia"/>
                <w:bCs/>
                <w:sz w:val="24"/>
                <w:szCs w:val="24"/>
                <w:lang w:val="zh-CN"/>
              </w:rPr>
              <w:t>提出质疑的供应商（以下简称质疑供应商）应当是参与所质疑项目采购活动的供应商，</w:t>
            </w:r>
            <w:r>
              <w:rPr>
                <w:rFonts w:hint="eastAsia" w:cs="宋体" w:asciiTheme="minorEastAsia" w:hAnsiTheme="minorEastAsia"/>
                <w:bCs/>
                <w:sz w:val="24"/>
                <w:szCs w:val="24"/>
              </w:rPr>
              <w:t>即已通过</w:t>
            </w:r>
            <w:r>
              <w:rPr>
                <w:rFonts w:hint="eastAsia" w:cs="宋体" w:asciiTheme="minorEastAsia" w:hAnsiTheme="minorEastAsia"/>
                <w:bCs/>
                <w:sz w:val="24"/>
                <w:szCs w:val="24"/>
                <w:u w:val="single"/>
              </w:rPr>
              <w:t>政府采购云平台（网址：http:// www.zcygov.cn）</w:t>
            </w:r>
            <w:r>
              <w:rPr>
                <w:rFonts w:hint="eastAsia" w:cs="宋体" w:asciiTheme="minorEastAsia" w:hAnsiTheme="minorEastAsia"/>
                <w:sz w:val="24"/>
                <w:szCs w:val="24"/>
                <w:u w:val="single"/>
              </w:rPr>
              <w:t>网</w:t>
            </w:r>
            <w:r>
              <w:rPr>
                <w:rFonts w:hint="eastAsia" w:cs="宋体" w:asciiTheme="minorEastAsia" w:hAnsiTheme="minorEastAsia"/>
                <w:bCs/>
                <w:sz w:val="24"/>
                <w:szCs w:val="24"/>
              </w:rPr>
              <w:t>报名成功（须提供报名成功的截图），下载并获取本项目采购文件的供应商，</w:t>
            </w:r>
            <w:r>
              <w:rPr>
                <w:rFonts w:hint="eastAsia" w:cs="宋体" w:asciiTheme="minorEastAsia" w:hAnsiTheme="minorEastAsia"/>
                <w:sz w:val="24"/>
                <w:szCs w:val="24"/>
                <w:lang w:val="zh-CN"/>
              </w:rPr>
              <w:t>对</w:t>
            </w:r>
            <w:r>
              <w:rPr>
                <w:rFonts w:hint="eastAsia" w:cs="宋体" w:asciiTheme="minorEastAsia" w:hAnsiTheme="minorEastAsia"/>
                <w:sz w:val="24"/>
                <w:szCs w:val="24"/>
              </w:rPr>
              <w:t>采购</w:t>
            </w:r>
            <w:r>
              <w:rPr>
                <w:rFonts w:hint="eastAsia" w:cs="宋体" w:asciiTheme="minorEastAsia" w:hAnsiTheme="minorEastAsia"/>
                <w:sz w:val="24"/>
                <w:szCs w:val="24"/>
                <w:lang w:val="zh-CN"/>
              </w:rPr>
              <w:t>文件提出质疑的，应当在获取采购文件或者采购文件公告期限届满之日起7个工作日内提出。供应商对</w:t>
            </w:r>
            <w:r>
              <w:rPr>
                <w:rFonts w:hint="eastAsia" w:cs="宋体" w:asciiTheme="minorEastAsia" w:hAnsiTheme="minorEastAsia"/>
                <w:sz w:val="24"/>
                <w:szCs w:val="24"/>
              </w:rPr>
              <w:t>采购</w:t>
            </w:r>
            <w:r>
              <w:rPr>
                <w:rFonts w:hint="eastAsia" w:cs="宋体" w:asciiTheme="minorEastAsia" w:hAnsiTheme="minorEastAsia"/>
                <w:sz w:val="24"/>
                <w:szCs w:val="24"/>
                <w:lang w:val="zh-CN"/>
              </w:rPr>
              <w:t>人</w:t>
            </w:r>
            <w:r>
              <w:rPr>
                <w:rFonts w:hint="eastAsia" w:cs="宋体" w:asciiTheme="minorEastAsia" w:hAnsiTheme="minorEastAsia"/>
                <w:sz w:val="24"/>
                <w:szCs w:val="24"/>
              </w:rPr>
              <w:t>或采购代理机构</w:t>
            </w:r>
            <w:r>
              <w:rPr>
                <w:rFonts w:hint="eastAsia" w:cs="宋体" w:asciiTheme="minorEastAsia" w:hAnsiTheme="minorEastAsia"/>
                <w:sz w:val="24"/>
                <w:szCs w:val="24"/>
                <w:lang w:val="zh-CN"/>
              </w:rPr>
              <w:t>的质疑答复不满意或者</w:t>
            </w:r>
            <w:r>
              <w:rPr>
                <w:rFonts w:hint="eastAsia" w:cs="宋体" w:asciiTheme="minorEastAsia" w:hAnsiTheme="minorEastAsia"/>
                <w:sz w:val="24"/>
                <w:szCs w:val="24"/>
              </w:rPr>
              <w:t>采购</w:t>
            </w:r>
            <w:r>
              <w:rPr>
                <w:rFonts w:hint="eastAsia" w:cs="宋体" w:asciiTheme="minorEastAsia" w:hAnsiTheme="minorEastAsia"/>
                <w:sz w:val="24"/>
                <w:szCs w:val="24"/>
                <w:lang w:val="zh-CN"/>
              </w:rPr>
              <w:t>人</w:t>
            </w:r>
            <w:r>
              <w:rPr>
                <w:rFonts w:hint="eastAsia" w:cs="宋体" w:asciiTheme="minorEastAsia" w:hAnsiTheme="minorEastAsia"/>
                <w:sz w:val="24"/>
                <w:szCs w:val="24"/>
              </w:rPr>
              <w:t>或采购代理机构</w:t>
            </w:r>
            <w:r>
              <w:rPr>
                <w:rFonts w:hint="eastAsia" w:cs="宋体" w:asciiTheme="minorEastAsia" w:hAnsiTheme="minorEastAsia"/>
                <w:sz w:val="24"/>
                <w:szCs w:val="24"/>
                <w:lang w:val="zh-CN"/>
              </w:rPr>
              <w:t xml:space="preserve">未在规定时间内作出答复的，可以在答复期满后十五个工作日内向同级采购监管部门投诉。 </w:t>
            </w:r>
          </w:p>
          <w:p w14:paraId="17D1B9D9">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rPr>
              <w:t>2.</w:t>
            </w:r>
            <w:r>
              <w:rPr>
                <w:rFonts w:hint="eastAsia" w:cs="宋体" w:asciiTheme="minorEastAsia" w:hAnsiTheme="minorEastAsia"/>
                <w:sz w:val="24"/>
                <w:szCs w:val="24"/>
                <w:lang w:val="zh-CN"/>
              </w:rPr>
              <w:t>投标人在法定质疑期内针对同一采购程序环节的质疑只允许提出一次。投标人提出质疑应符合《政府采购质疑和投诉办法》有关规定。</w:t>
            </w:r>
          </w:p>
          <w:p w14:paraId="13F70E4B">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3.</w:t>
            </w:r>
            <w:r>
              <w:rPr>
                <w:rFonts w:hint="eastAsia" w:cs="宋体" w:asciiTheme="minorEastAsia" w:hAnsiTheme="minorEastAsia"/>
                <w:sz w:val="24"/>
                <w:szCs w:val="24"/>
                <w:lang w:val="zh-CN"/>
              </w:rPr>
              <w:t>供应商提出质疑的，应当通过书面形式在法定期限内提交书面质疑函和必要的证明材料。</w:t>
            </w:r>
          </w:p>
          <w:p w14:paraId="0AF16A39">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lang w:val="zh-CN"/>
              </w:rPr>
              <w:t>联系部门：中恺项目管理咨询有限公司　　</w:t>
            </w:r>
          </w:p>
          <w:p w14:paraId="5E938537">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lang w:val="zh-CN"/>
              </w:rPr>
              <w:t>联系电话：0431-88510222</w:t>
            </w:r>
          </w:p>
          <w:p w14:paraId="611F4B53">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lang w:val="zh-CN"/>
              </w:rPr>
              <w:t>联系人：孙骁</w:t>
            </w:r>
            <w:r>
              <w:rPr>
                <w:rFonts w:hint="eastAsia" w:cs="宋体" w:asciiTheme="minorEastAsia" w:hAnsiTheme="minorEastAsia"/>
                <w:sz w:val="24"/>
                <w:szCs w:val="24"/>
              </w:rPr>
              <w:t>舰</w:t>
            </w:r>
          </w:p>
          <w:p w14:paraId="06D0D466">
            <w:pPr>
              <w:widowControl/>
              <w:spacing w:line="360" w:lineRule="auto"/>
              <w:jc w:val="left"/>
              <w:rPr>
                <w:rFonts w:cs="宋体" w:asciiTheme="minorEastAsia" w:hAnsiTheme="minorEastAsia"/>
                <w:sz w:val="24"/>
                <w:szCs w:val="24"/>
              </w:rPr>
            </w:pPr>
            <w:r>
              <w:rPr>
                <w:rFonts w:hint="eastAsia" w:cs="宋体" w:asciiTheme="minorEastAsia" w:hAnsiTheme="minorEastAsia"/>
                <w:sz w:val="24"/>
                <w:szCs w:val="24"/>
                <w:lang w:val="zh-CN"/>
              </w:rPr>
              <w:t>地址：吉林省长春市南关区幸福街与东蔚山路交汇陶然公馆10楼1008室</w:t>
            </w:r>
          </w:p>
          <w:p w14:paraId="6F392181">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lang w:val="zh-CN"/>
              </w:rPr>
              <w:t>供应商提交的质疑函应当采用财政部发布的质疑函范本。质疑范本获取方法：登陆中国政府采购网（http://www.ccgp.gov.cn/）首页-下载专区-政府采购投标人质疑函范本。</w:t>
            </w:r>
          </w:p>
        </w:tc>
      </w:tr>
      <w:tr w14:paraId="0431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44181444">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17</w:t>
            </w:r>
          </w:p>
        </w:tc>
        <w:tc>
          <w:tcPr>
            <w:tcW w:w="816" w:type="pct"/>
            <w:vAlign w:val="center"/>
          </w:tcPr>
          <w:p w14:paraId="5DED177E">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采购人对招标文件修改、补充的时间</w:t>
            </w:r>
          </w:p>
        </w:tc>
        <w:tc>
          <w:tcPr>
            <w:tcW w:w="3843" w:type="pct"/>
            <w:vAlign w:val="center"/>
          </w:tcPr>
          <w:p w14:paraId="2FBF6F4C">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lang w:val="zh-CN"/>
              </w:rPr>
              <w:t>投标截止时间前15天</w:t>
            </w:r>
          </w:p>
        </w:tc>
      </w:tr>
      <w:tr w14:paraId="7967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0" w:type="pct"/>
            <w:vAlign w:val="center"/>
          </w:tcPr>
          <w:p w14:paraId="6A2144B3">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18</w:t>
            </w:r>
          </w:p>
        </w:tc>
        <w:tc>
          <w:tcPr>
            <w:tcW w:w="816" w:type="pct"/>
            <w:vAlign w:val="center"/>
          </w:tcPr>
          <w:p w14:paraId="41C5BDFC">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分包</w:t>
            </w:r>
          </w:p>
        </w:tc>
        <w:tc>
          <w:tcPr>
            <w:tcW w:w="3843" w:type="pct"/>
            <w:vAlign w:val="center"/>
          </w:tcPr>
          <w:p w14:paraId="12CBE477">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lang w:val="zh-CN"/>
              </w:rPr>
              <w:t xml:space="preserve">不允许 </w:t>
            </w:r>
          </w:p>
        </w:tc>
      </w:tr>
      <w:tr w14:paraId="486C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40" w:type="pct"/>
            <w:vAlign w:val="center"/>
          </w:tcPr>
          <w:p w14:paraId="3B074845">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19</w:t>
            </w:r>
          </w:p>
        </w:tc>
        <w:tc>
          <w:tcPr>
            <w:tcW w:w="816" w:type="pct"/>
            <w:vAlign w:val="center"/>
          </w:tcPr>
          <w:p w14:paraId="29D3F54B">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构成招标文件的其他材料</w:t>
            </w:r>
          </w:p>
        </w:tc>
        <w:tc>
          <w:tcPr>
            <w:tcW w:w="3843" w:type="pct"/>
            <w:vAlign w:val="center"/>
          </w:tcPr>
          <w:p w14:paraId="2FF5822A">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rPr>
              <w:t>招标文件的修改、补充文件等</w:t>
            </w:r>
          </w:p>
        </w:tc>
      </w:tr>
      <w:tr w14:paraId="0B56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40" w:type="pct"/>
            <w:vAlign w:val="center"/>
          </w:tcPr>
          <w:p w14:paraId="44D5E4C5">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20</w:t>
            </w:r>
          </w:p>
        </w:tc>
        <w:tc>
          <w:tcPr>
            <w:tcW w:w="816" w:type="pct"/>
            <w:vAlign w:val="center"/>
          </w:tcPr>
          <w:p w14:paraId="229C5476">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投标截止时间</w:t>
            </w:r>
          </w:p>
        </w:tc>
        <w:tc>
          <w:tcPr>
            <w:tcW w:w="3843" w:type="pct"/>
            <w:vAlign w:val="center"/>
          </w:tcPr>
          <w:p w14:paraId="1A5738E8">
            <w:pPr>
              <w:autoSpaceDE w:val="0"/>
              <w:autoSpaceDN w:val="0"/>
              <w:adjustRightInd w:val="0"/>
              <w:jc w:val="left"/>
              <w:rPr>
                <w:rFonts w:hint="eastAsia" w:cs="宋体" w:asciiTheme="minorEastAsia" w:hAnsiTheme="minorEastAsia"/>
                <w:sz w:val="24"/>
                <w:szCs w:val="24"/>
                <w:lang w:val="zh-CN"/>
              </w:rPr>
            </w:pPr>
            <w:r>
              <w:rPr>
                <w:rFonts w:hint="eastAsia" w:cs="宋体" w:asciiTheme="minorEastAsia" w:hAnsiTheme="minorEastAsia"/>
                <w:sz w:val="24"/>
                <w:szCs w:val="24"/>
                <w:lang w:val="zh-CN"/>
              </w:rPr>
              <w:t>2</w:t>
            </w:r>
            <w:r>
              <w:rPr>
                <w:rFonts w:hint="eastAsia" w:cs="宋体" w:asciiTheme="minorEastAsia" w:hAnsiTheme="minorEastAsia"/>
                <w:sz w:val="24"/>
                <w:szCs w:val="24"/>
                <w:lang w:val="en-US" w:eastAsia="zh-CN"/>
              </w:rPr>
              <w:t>0</w:t>
            </w:r>
            <w:r>
              <w:rPr>
                <w:rFonts w:hint="eastAsia" w:cs="宋体" w:asciiTheme="minorEastAsia" w:hAnsiTheme="minorEastAsia"/>
                <w:sz w:val="24"/>
                <w:szCs w:val="24"/>
                <w:lang w:val="zh-CN"/>
              </w:rPr>
              <w:t>25年</w:t>
            </w:r>
            <w:r>
              <w:rPr>
                <w:rFonts w:hint="eastAsia" w:cs="宋体" w:asciiTheme="minorEastAsia" w:hAnsiTheme="minorEastAsia"/>
                <w:sz w:val="24"/>
                <w:szCs w:val="24"/>
                <w:lang w:val="en-US" w:eastAsia="zh-CN"/>
              </w:rPr>
              <w:t>08</w:t>
            </w:r>
            <w:r>
              <w:rPr>
                <w:rFonts w:hint="eastAsia" w:cs="宋体" w:asciiTheme="minorEastAsia" w:hAnsiTheme="minorEastAsia"/>
                <w:sz w:val="24"/>
                <w:szCs w:val="24"/>
                <w:lang w:val="zh-CN"/>
              </w:rPr>
              <w:t>月</w:t>
            </w:r>
            <w:r>
              <w:rPr>
                <w:rFonts w:hint="eastAsia" w:cs="宋体" w:asciiTheme="minorEastAsia" w:hAnsiTheme="minorEastAsia"/>
                <w:sz w:val="24"/>
                <w:szCs w:val="24"/>
                <w:lang w:val="en-US" w:eastAsia="zh-CN"/>
              </w:rPr>
              <w:t>07</w:t>
            </w:r>
            <w:r>
              <w:rPr>
                <w:rFonts w:hint="eastAsia" w:cs="宋体" w:asciiTheme="minorEastAsia" w:hAnsiTheme="minorEastAsia"/>
                <w:sz w:val="24"/>
                <w:szCs w:val="24"/>
                <w:lang w:val="zh-CN"/>
              </w:rPr>
              <w:t>日09时00分（北京时间）</w:t>
            </w:r>
          </w:p>
        </w:tc>
      </w:tr>
      <w:tr w14:paraId="1D44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0EE20EDF">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21</w:t>
            </w:r>
          </w:p>
        </w:tc>
        <w:tc>
          <w:tcPr>
            <w:tcW w:w="816" w:type="pct"/>
            <w:vAlign w:val="center"/>
          </w:tcPr>
          <w:p w14:paraId="43E55343">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构成投标文件的其他材料</w:t>
            </w:r>
          </w:p>
        </w:tc>
        <w:tc>
          <w:tcPr>
            <w:tcW w:w="3843" w:type="pct"/>
            <w:vAlign w:val="center"/>
          </w:tcPr>
          <w:p w14:paraId="4340A7F0">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详见招标文件</w:t>
            </w:r>
          </w:p>
        </w:tc>
      </w:tr>
      <w:tr w14:paraId="442F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0" w:type="pct"/>
            <w:vAlign w:val="center"/>
          </w:tcPr>
          <w:p w14:paraId="78DA6E4F">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22</w:t>
            </w:r>
          </w:p>
        </w:tc>
        <w:tc>
          <w:tcPr>
            <w:tcW w:w="816" w:type="pct"/>
            <w:vAlign w:val="center"/>
          </w:tcPr>
          <w:p w14:paraId="47861147">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投标有效期</w:t>
            </w:r>
          </w:p>
        </w:tc>
        <w:tc>
          <w:tcPr>
            <w:tcW w:w="3843" w:type="pct"/>
            <w:vAlign w:val="center"/>
          </w:tcPr>
          <w:p w14:paraId="4EBE64EF">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lang w:val="zh-CN"/>
              </w:rPr>
              <w:t>自开标之日起90天。</w:t>
            </w:r>
          </w:p>
        </w:tc>
      </w:tr>
      <w:tr w14:paraId="1CD4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64147F1F">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23</w:t>
            </w:r>
          </w:p>
        </w:tc>
        <w:tc>
          <w:tcPr>
            <w:tcW w:w="816" w:type="pct"/>
            <w:vAlign w:val="center"/>
          </w:tcPr>
          <w:p w14:paraId="4AD875C6">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投标保证金</w:t>
            </w:r>
          </w:p>
        </w:tc>
        <w:tc>
          <w:tcPr>
            <w:tcW w:w="3843" w:type="pct"/>
            <w:vAlign w:val="center"/>
          </w:tcPr>
          <w:p w14:paraId="26A0EEF6">
            <w:pPr>
              <w:rPr>
                <w:b/>
                <w:bCs/>
                <w:lang w:val="zh-CN"/>
              </w:rPr>
            </w:pPr>
            <w:r>
              <w:rPr>
                <w:rFonts w:hint="eastAsia"/>
                <w:b/>
                <w:bCs/>
                <w:lang w:val="zh-CN"/>
              </w:rPr>
              <w:t>诚信记录良好的供应商不收取投标保证金。</w:t>
            </w:r>
          </w:p>
          <w:p w14:paraId="0FD147C7">
            <w:pPr>
              <w:rPr>
                <w:lang w:val="zh-CN"/>
              </w:rPr>
            </w:pPr>
            <w:r>
              <w:rPr>
                <w:rFonts w:hint="eastAsia"/>
                <w:lang w:val="zh-CN"/>
              </w:rPr>
              <w:t>根据长春市财政局关于取消政府采购投标保证金及采购文件工本费等事项的通知，满足《中华人民共和国政府采购法》第二十二条有关规定，经“信用中国”网站查询存在行政处罚信息的投标人收取投标保证金，投标保证金金额如下。</w:t>
            </w:r>
          </w:p>
          <w:p w14:paraId="15E0657D">
            <w:pPr>
              <w:rPr>
                <w:lang w:val="zh-CN"/>
              </w:rPr>
            </w:pPr>
            <w:r>
              <w:rPr>
                <w:rFonts w:hint="eastAsia"/>
                <w:lang w:val="zh-CN"/>
              </w:rPr>
              <w:t>根据长春市财政局关于取消政府采购投标保证金及采购文件工本费等有关事项的通知《长财采购(2021)695号》文件要求“自2021年7月1日起，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供应商根据自身情况自行判断是否需要提交投标保证金。如符合文件要求的不需要提交投标保证金情况的请在响应文件中提供相关网页截图并提供承诺书（格式自拟）。</w:t>
            </w:r>
          </w:p>
          <w:p w14:paraId="29AF29F6">
            <w:pPr>
              <w:rPr>
                <w:lang w:val="zh-CN"/>
              </w:rPr>
            </w:pPr>
            <w:r>
              <w:rPr>
                <w:rFonts w:hint="eastAsia"/>
                <w:lang w:val="zh-CN"/>
              </w:rPr>
              <w:t>投标保证金的形式：现金、银行出具的现金支票、保兑支票、银行汇票，银行、专业担保公司、保险公司出具的保函等形式，以现金或支票形式提交的投标保证金应当从供应商的基本账户转出。</w:t>
            </w:r>
          </w:p>
          <w:p w14:paraId="2D5C4B6A">
            <w:pPr>
              <w:rPr>
                <w:lang w:val="zh-CN"/>
              </w:rPr>
            </w:pPr>
            <w:r>
              <w:rPr>
                <w:rFonts w:hint="eastAsia"/>
                <w:lang w:val="zh-CN"/>
              </w:rPr>
              <w:t>投标保证金的金额：</w:t>
            </w:r>
            <w:r>
              <w:rPr>
                <w:rFonts w:hint="eastAsia" w:cs="宋体" w:asciiTheme="minorEastAsia" w:hAnsiTheme="minorEastAsia"/>
                <w:b/>
                <w:szCs w:val="21"/>
                <w:lang w:val="zh-CN"/>
              </w:rPr>
              <w:t>人民币</w:t>
            </w:r>
            <w:r>
              <w:rPr>
                <w:rFonts w:hint="eastAsia" w:cs="宋体" w:asciiTheme="minorEastAsia" w:hAnsiTheme="minorEastAsia"/>
                <w:b/>
                <w:szCs w:val="21"/>
              </w:rPr>
              <w:t>20000</w:t>
            </w:r>
            <w:r>
              <w:rPr>
                <w:rFonts w:cs="宋体" w:asciiTheme="minorEastAsia" w:hAnsiTheme="minorEastAsia"/>
                <w:b/>
                <w:szCs w:val="21"/>
              </w:rPr>
              <w:t>.00</w:t>
            </w:r>
            <w:r>
              <w:rPr>
                <w:rFonts w:hint="eastAsia" w:cs="宋体" w:asciiTheme="minorEastAsia" w:hAnsiTheme="minorEastAsia"/>
                <w:b/>
                <w:szCs w:val="21"/>
                <w:lang w:val="zh-CN"/>
              </w:rPr>
              <w:t>元整</w:t>
            </w:r>
          </w:p>
          <w:p w14:paraId="717EB263">
            <w:pPr>
              <w:rPr>
                <w:lang w:val="zh-CN"/>
              </w:rPr>
            </w:pPr>
            <w:r>
              <w:rPr>
                <w:rFonts w:hint="eastAsia"/>
                <w:lang w:val="zh-CN"/>
              </w:rPr>
              <w:t>投标保证金的递交截止时间为：202</w:t>
            </w:r>
            <w:r>
              <w:rPr>
                <w:rFonts w:hint="eastAsia"/>
              </w:rPr>
              <w:t>5</w:t>
            </w:r>
            <w:r>
              <w:rPr>
                <w:rFonts w:hint="eastAsia"/>
                <w:lang w:val="zh-CN"/>
              </w:rPr>
              <w:t>年</w:t>
            </w:r>
            <w:r>
              <w:rPr>
                <w:rFonts w:hint="eastAsia"/>
                <w:lang w:val="en-US" w:eastAsia="zh-CN"/>
              </w:rPr>
              <w:t>08</w:t>
            </w:r>
            <w:r>
              <w:rPr>
                <w:rFonts w:hint="eastAsia"/>
                <w:lang w:val="zh-CN"/>
              </w:rPr>
              <w:t>月</w:t>
            </w:r>
            <w:r>
              <w:rPr>
                <w:rFonts w:hint="eastAsia"/>
                <w:lang w:val="en-US" w:eastAsia="zh-CN"/>
              </w:rPr>
              <w:t>07</w:t>
            </w:r>
            <w:r>
              <w:rPr>
                <w:rFonts w:hint="eastAsia"/>
                <w:lang w:val="zh-CN"/>
              </w:rPr>
              <w:t>日</w:t>
            </w:r>
            <w:r>
              <w:rPr>
                <w:rFonts w:hint="eastAsia"/>
                <w:lang w:val="en-US" w:eastAsia="zh-CN"/>
              </w:rPr>
              <w:t>09</w:t>
            </w:r>
            <w:r>
              <w:rPr>
                <w:rFonts w:hint="eastAsia"/>
                <w:lang w:val="zh-CN"/>
              </w:rPr>
              <w:t>时之前递交至指定账号，以到达账户时间为准。以保函形式提交的，须在此时间前将保函原件递交到采购代理机构，标书内附加盖公章的复印件。</w:t>
            </w:r>
          </w:p>
          <w:p w14:paraId="2CA78A9A">
            <w:pPr>
              <w:autoSpaceDE w:val="0"/>
              <w:autoSpaceDN w:val="0"/>
              <w:adjustRightInd w:val="0"/>
              <w:jc w:val="left"/>
              <w:rPr>
                <w:rFonts w:cs="宋体" w:asciiTheme="minorEastAsia" w:hAnsiTheme="minorEastAsia"/>
                <w:b/>
                <w:bCs/>
                <w:szCs w:val="21"/>
                <w:lang w:val="zh-CN"/>
              </w:rPr>
            </w:pPr>
            <w:r>
              <w:rPr>
                <w:rFonts w:hint="eastAsia" w:cs="宋体" w:asciiTheme="minorEastAsia" w:hAnsiTheme="minorEastAsia"/>
                <w:b/>
                <w:bCs/>
                <w:szCs w:val="21"/>
                <w:lang w:val="zh-CN"/>
              </w:rPr>
              <w:t>账户名称：中恺项目管理咨询有限公司</w:t>
            </w:r>
          </w:p>
          <w:p w14:paraId="38EF68FA">
            <w:pPr>
              <w:autoSpaceDE w:val="0"/>
              <w:autoSpaceDN w:val="0"/>
              <w:adjustRightInd w:val="0"/>
              <w:jc w:val="left"/>
              <w:rPr>
                <w:rFonts w:cs="宋体" w:asciiTheme="minorEastAsia" w:hAnsiTheme="minorEastAsia"/>
                <w:b/>
                <w:bCs/>
                <w:szCs w:val="21"/>
                <w:lang w:val="zh-CN"/>
              </w:rPr>
            </w:pPr>
            <w:r>
              <w:rPr>
                <w:rFonts w:hint="eastAsia" w:cs="宋体" w:asciiTheme="minorEastAsia" w:hAnsiTheme="minorEastAsia"/>
                <w:b/>
                <w:bCs/>
                <w:szCs w:val="21"/>
                <w:lang w:val="zh-CN"/>
              </w:rPr>
              <w:t>开户银行：中国建设银行股份有限公司长春汇鑫支行</w:t>
            </w:r>
          </w:p>
          <w:p w14:paraId="7320F5AB">
            <w:pPr>
              <w:autoSpaceDE w:val="0"/>
              <w:autoSpaceDN w:val="0"/>
              <w:adjustRightInd w:val="0"/>
              <w:jc w:val="left"/>
              <w:rPr>
                <w:lang w:val="zh-CN"/>
              </w:rPr>
            </w:pPr>
            <w:r>
              <w:rPr>
                <w:rFonts w:hint="eastAsia" w:cs="宋体" w:asciiTheme="minorEastAsia" w:hAnsiTheme="minorEastAsia"/>
                <w:b/>
                <w:bCs/>
                <w:szCs w:val="21"/>
                <w:lang w:val="zh-CN"/>
              </w:rPr>
              <w:t>收款账号：22050100430100000243</w:t>
            </w:r>
            <w:r>
              <w:rPr>
                <w:rFonts w:hint="eastAsia" w:cs="宋体" w:asciiTheme="minorEastAsia" w:hAnsiTheme="minorEastAsia"/>
                <w:b/>
                <w:bCs/>
                <w:sz w:val="24"/>
                <w:szCs w:val="24"/>
                <w:lang w:val="zh-CN"/>
              </w:rPr>
              <w:t xml:space="preserve"> </w:t>
            </w:r>
          </w:p>
          <w:p w14:paraId="546A5B8D">
            <w:pPr>
              <w:rPr>
                <w:lang w:val="zh-CN"/>
              </w:rPr>
            </w:pPr>
            <w:r>
              <w:rPr>
                <w:rFonts w:hint="eastAsia"/>
                <w:lang w:val="zh-CN"/>
              </w:rPr>
              <w:t>※请在汇款单据上标明项目名称以便核查。</w:t>
            </w:r>
          </w:p>
          <w:p w14:paraId="00A621F1">
            <w:pPr>
              <w:rPr>
                <w:lang w:val="zh-CN"/>
              </w:rPr>
            </w:pPr>
            <w:r>
              <w:rPr>
                <w:rFonts w:hint="eastAsia"/>
                <w:lang w:val="zh-CN"/>
              </w:rPr>
              <w:t>供应商应在银行进账单或电汇凭证上明确用途、采购项目名称、联系人及电话，以便核对查实</w:t>
            </w:r>
          </w:p>
          <w:p w14:paraId="7FFC174F">
            <w:pPr>
              <w:rPr>
                <w:lang w:val="zh-CN"/>
              </w:rPr>
            </w:pPr>
            <w:r>
              <w:rPr>
                <w:rFonts w:hint="eastAsia"/>
                <w:lang w:val="zh-CN"/>
              </w:rPr>
              <w:t>（1）供应商以转账或电汇形式提交投标保证金的，在办理退还谈判保证金手续时，需携带经办人身份证原件及复印件、单位介绍信或法人授权委托书原件、汇款银行出具的汇款（存款）凭证原件。</w:t>
            </w:r>
          </w:p>
          <w:p w14:paraId="2B62A8EA">
            <w:r>
              <w:rPr>
                <w:rFonts w:hint="eastAsia"/>
                <w:lang w:val="zh-CN"/>
              </w:rPr>
              <w:t>（2）投标保证金以保函担保方式缴纳的，保函担保原件由采购代理机构保管。</w:t>
            </w:r>
          </w:p>
        </w:tc>
      </w:tr>
      <w:tr w14:paraId="06BB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340" w:type="pct"/>
            <w:vAlign w:val="center"/>
          </w:tcPr>
          <w:p w14:paraId="090A0D9B">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24</w:t>
            </w:r>
          </w:p>
        </w:tc>
        <w:tc>
          <w:tcPr>
            <w:tcW w:w="816" w:type="pct"/>
            <w:vAlign w:val="center"/>
          </w:tcPr>
          <w:p w14:paraId="02E9E604">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是否允许递交备选投标方案</w:t>
            </w:r>
          </w:p>
        </w:tc>
        <w:tc>
          <w:tcPr>
            <w:tcW w:w="3843" w:type="pct"/>
            <w:vAlign w:val="center"/>
          </w:tcPr>
          <w:p w14:paraId="49856FFA">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lang w:val="zh-CN"/>
              </w:rPr>
              <w:t>不允许</w:t>
            </w:r>
          </w:p>
        </w:tc>
      </w:tr>
      <w:tr w14:paraId="6120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340" w:type="pct"/>
            <w:vAlign w:val="center"/>
          </w:tcPr>
          <w:p w14:paraId="576FBFA5">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25</w:t>
            </w:r>
          </w:p>
        </w:tc>
        <w:tc>
          <w:tcPr>
            <w:tcW w:w="816" w:type="pct"/>
            <w:vAlign w:val="center"/>
          </w:tcPr>
          <w:p w14:paraId="0E4CF8DF">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签字或盖章要求</w:t>
            </w:r>
          </w:p>
        </w:tc>
        <w:tc>
          <w:tcPr>
            <w:tcW w:w="3843" w:type="pct"/>
            <w:vAlign w:val="center"/>
          </w:tcPr>
          <w:p w14:paraId="15601478">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rPr>
              <w:t>1.</w:t>
            </w:r>
            <w:r>
              <w:rPr>
                <w:rFonts w:hint="eastAsia" w:cs="宋体" w:asciiTheme="minorEastAsia" w:hAnsiTheme="minorEastAsia"/>
                <w:sz w:val="24"/>
                <w:szCs w:val="24"/>
                <w:lang w:val="zh-CN"/>
              </w:rPr>
              <w:t>《投标文件构成、要求及格式》中凡要求签署和加盖公章的，均须由投标人的法定代表人或其授权代理人签字和加盖投标人公章。投标文件由法定代表人签署的，须与其企业法人营业执照相符；由授权代理人签署的，须提交以书面形式出具的《法定代表人授权书》</w:t>
            </w:r>
          </w:p>
          <w:p w14:paraId="5E2AFC29">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rPr>
              <w:t>2.</w:t>
            </w:r>
            <w:r>
              <w:rPr>
                <w:rFonts w:hint="eastAsia" w:cs="宋体" w:asciiTheme="minorEastAsia" w:hAnsiTheme="minorEastAsia"/>
                <w:sz w:val="24"/>
                <w:szCs w:val="24"/>
                <w:lang w:val="zh-CN"/>
              </w:rPr>
              <w:t xml:space="preserve"> 投标文件中如有修改错漏处，应在修改处加盖投标人公章。</w:t>
            </w:r>
          </w:p>
        </w:tc>
      </w:tr>
      <w:tr w14:paraId="63C2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340" w:type="pct"/>
            <w:vAlign w:val="center"/>
          </w:tcPr>
          <w:p w14:paraId="67D14570">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26</w:t>
            </w:r>
          </w:p>
        </w:tc>
        <w:tc>
          <w:tcPr>
            <w:tcW w:w="816" w:type="pct"/>
            <w:vAlign w:val="center"/>
          </w:tcPr>
          <w:p w14:paraId="4CCDEC5B">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开标时间和地点</w:t>
            </w:r>
          </w:p>
        </w:tc>
        <w:tc>
          <w:tcPr>
            <w:tcW w:w="3843" w:type="pct"/>
            <w:vAlign w:val="center"/>
          </w:tcPr>
          <w:p w14:paraId="1AFE2F60">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开标时间：</w:t>
            </w:r>
            <w:r>
              <w:rPr>
                <w:rFonts w:hint="eastAsia" w:cs="宋体" w:asciiTheme="minorEastAsia" w:hAnsiTheme="minorEastAsia"/>
                <w:sz w:val="24"/>
                <w:szCs w:val="24"/>
                <w:u w:val="single"/>
              </w:rPr>
              <w:t>2024年</w:t>
            </w:r>
            <w:r>
              <w:rPr>
                <w:rFonts w:hint="eastAsia" w:cs="宋体" w:asciiTheme="minorEastAsia" w:hAnsiTheme="minorEastAsia"/>
                <w:sz w:val="24"/>
                <w:szCs w:val="24"/>
                <w:u w:val="single"/>
                <w:lang w:val="en-US" w:eastAsia="zh-CN"/>
              </w:rPr>
              <w:t>08</w:t>
            </w:r>
            <w:r>
              <w:rPr>
                <w:rFonts w:hint="eastAsia" w:cs="宋体" w:asciiTheme="minorEastAsia" w:hAnsiTheme="minorEastAsia"/>
                <w:sz w:val="24"/>
                <w:szCs w:val="24"/>
                <w:u w:val="single"/>
              </w:rPr>
              <w:t>月</w:t>
            </w:r>
            <w:r>
              <w:rPr>
                <w:rFonts w:hint="eastAsia" w:cs="宋体" w:asciiTheme="minorEastAsia" w:hAnsiTheme="minorEastAsia"/>
                <w:sz w:val="24"/>
                <w:szCs w:val="24"/>
                <w:u w:val="single"/>
                <w:lang w:val="en-US" w:eastAsia="zh-CN"/>
              </w:rPr>
              <w:t>07</w:t>
            </w:r>
            <w:r>
              <w:rPr>
                <w:rFonts w:hint="eastAsia" w:cs="宋体" w:asciiTheme="minorEastAsia" w:hAnsiTheme="minorEastAsia"/>
                <w:sz w:val="24"/>
                <w:szCs w:val="24"/>
                <w:u w:val="single"/>
              </w:rPr>
              <w:t>日09时00分（北京时间）</w:t>
            </w:r>
          </w:p>
          <w:p w14:paraId="5234D7A7">
            <w:pPr>
              <w:autoSpaceDE w:val="0"/>
              <w:autoSpaceDN w:val="0"/>
              <w:adjustRightInd w:val="0"/>
              <w:jc w:val="left"/>
              <w:rPr>
                <w:rFonts w:cs="宋体" w:asciiTheme="minorEastAsia" w:hAnsiTheme="minorEastAsia"/>
                <w:bCs/>
                <w:sz w:val="24"/>
                <w:szCs w:val="24"/>
                <w:lang w:val="zh-CN"/>
              </w:rPr>
            </w:pPr>
            <w:r>
              <w:rPr>
                <w:rFonts w:hint="eastAsia" w:cs="宋体" w:asciiTheme="minorEastAsia" w:hAnsiTheme="minorEastAsia"/>
                <w:bCs/>
                <w:sz w:val="24"/>
                <w:szCs w:val="24"/>
              </w:rPr>
              <w:t>开标地点：吉利招公共资源标准化交易平台（长春市高新区鸿达街248号吉林日报副楼4楼）第</w:t>
            </w:r>
            <w:r>
              <w:rPr>
                <w:rFonts w:hint="eastAsia" w:cs="宋体" w:asciiTheme="minorEastAsia" w:hAnsiTheme="minorEastAsia"/>
                <w:bCs/>
                <w:sz w:val="24"/>
                <w:szCs w:val="24"/>
                <w:lang w:eastAsia="zh-CN"/>
              </w:rPr>
              <w:t>三</w:t>
            </w:r>
            <w:r>
              <w:rPr>
                <w:rFonts w:hint="eastAsia" w:cs="宋体" w:asciiTheme="minorEastAsia" w:hAnsiTheme="minorEastAsia"/>
                <w:bCs/>
                <w:sz w:val="24"/>
                <w:szCs w:val="24"/>
              </w:rPr>
              <w:t>开标室</w:t>
            </w:r>
          </w:p>
        </w:tc>
      </w:tr>
      <w:tr w14:paraId="37CE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40" w:type="pct"/>
            <w:vAlign w:val="center"/>
          </w:tcPr>
          <w:p w14:paraId="2ED5E655">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27</w:t>
            </w:r>
          </w:p>
        </w:tc>
        <w:tc>
          <w:tcPr>
            <w:tcW w:w="816" w:type="pct"/>
            <w:vAlign w:val="center"/>
          </w:tcPr>
          <w:p w14:paraId="6003E7DB">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开标程序</w:t>
            </w:r>
          </w:p>
        </w:tc>
        <w:tc>
          <w:tcPr>
            <w:tcW w:w="3843" w:type="pct"/>
            <w:vAlign w:val="center"/>
          </w:tcPr>
          <w:p w14:paraId="55DCBAC0">
            <w:pPr>
              <w:autoSpaceDE w:val="0"/>
              <w:autoSpaceDN w:val="0"/>
              <w:adjustRightInd w:val="0"/>
              <w:jc w:val="left"/>
              <w:rPr>
                <w:rFonts w:cs="宋体" w:asciiTheme="minorEastAsia" w:hAnsiTheme="minorEastAsia"/>
                <w:sz w:val="24"/>
                <w:szCs w:val="24"/>
              </w:rPr>
            </w:pPr>
            <w:r>
              <w:rPr>
                <w:rFonts w:hint="eastAsia" w:ascii="宋体" w:hAnsi="宋体" w:cs="宋体"/>
                <w:sz w:val="24"/>
              </w:rPr>
              <w:t>政府采购云平台（网址：http:// www.zcygov.cn）远程解密</w:t>
            </w:r>
          </w:p>
        </w:tc>
      </w:tr>
      <w:tr w14:paraId="60D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340" w:type="pct"/>
            <w:vAlign w:val="center"/>
          </w:tcPr>
          <w:p w14:paraId="2F550081">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28</w:t>
            </w:r>
          </w:p>
        </w:tc>
        <w:tc>
          <w:tcPr>
            <w:tcW w:w="816" w:type="pct"/>
            <w:vAlign w:val="center"/>
          </w:tcPr>
          <w:p w14:paraId="43B82A0E">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评标委员会的组建</w:t>
            </w:r>
          </w:p>
        </w:tc>
        <w:tc>
          <w:tcPr>
            <w:tcW w:w="3843" w:type="pct"/>
            <w:vAlign w:val="center"/>
          </w:tcPr>
          <w:p w14:paraId="22897834">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lang w:val="zh-CN"/>
              </w:rPr>
              <w:t>评标委员会构成：</w:t>
            </w:r>
            <w:r>
              <w:rPr>
                <w:rFonts w:hint="eastAsia" w:cs="宋体" w:asciiTheme="minorEastAsia" w:hAnsiTheme="minorEastAsia"/>
                <w:sz w:val="24"/>
                <w:szCs w:val="24"/>
              </w:rPr>
              <w:t>社会</w:t>
            </w:r>
            <w:r>
              <w:rPr>
                <w:rFonts w:hint="eastAsia" w:cs="宋体" w:asciiTheme="minorEastAsia" w:hAnsiTheme="minorEastAsia"/>
                <w:sz w:val="24"/>
                <w:szCs w:val="24"/>
                <w:lang w:val="zh-CN"/>
              </w:rPr>
              <w:t>专家</w:t>
            </w:r>
            <w:r>
              <w:rPr>
                <w:rFonts w:hint="eastAsia" w:cs="宋体" w:asciiTheme="minorEastAsia" w:hAnsiTheme="minorEastAsia"/>
                <w:sz w:val="24"/>
                <w:szCs w:val="24"/>
                <w:u w:val="single"/>
              </w:rPr>
              <w:t>5</w:t>
            </w:r>
            <w:r>
              <w:rPr>
                <w:rFonts w:hint="eastAsia" w:cs="宋体" w:asciiTheme="minorEastAsia" w:hAnsiTheme="minorEastAsia"/>
                <w:sz w:val="24"/>
                <w:szCs w:val="24"/>
                <w:lang w:val="zh-CN"/>
              </w:rPr>
              <w:t>人</w:t>
            </w:r>
          </w:p>
          <w:p w14:paraId="011C04E1">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lang w:val="zh-CN"/>
              </w:rPr>
              <w:t>评标专家确定方式：经济及技术方面专家从</w:t>
            </w:r>
            <w:bookmarkStart w:id="52" w:name="OLE_LINK27"/>
            <w:r>
              <w:rPr>
                <w:rFonts w:hint="eastAsia" w:cs="宋体" w:asciiTheme="minorEastAsia" w:hAnsiTheme="minorEastAsia"/>
                <w:sz w:val="24"/>
                <w:szCs w:val="24"/>
                <w:lang w:val="zh-CN"/>
              </w:rPr>
              <w:t>政府采购云平台评标专家库中随机抽取</w:t>
            </w:r>
            <w:bookmarkEnd w:id="52"/>
            <w:r>
              <w:rPr>
                <w:rFonts w:hint="eastAsia" w:cs="宋体" w:asciiTheme="minorEastAsia" w:hAnsiTheme="minorEastAsia"/>
                <w:sz w:val="24"/>
                <w:szCs w:val="24"/>
                <w:lang w:val="zh-CN"/>
              </w:rPr>
              <w:t>。</w:t>
            </w:r>
          </w:p>
        </w:tc>
      </w:tr>
      <w:tr w14:paraId="427F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4E0C9EE4">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29</w:t>
            </w:r>
          </w:p>
        </w:tc>
        <w:tc>
          <w:tcPr>
            <w:tcW w:w="816" w:type="pct"/>
            <w:vAlign w:val="center"/>
          </w:tcPr>
          <w:p w14:paraId="53253A8D">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是否授权评标委员会确定中标人</w:t>
            </w:r>
          </w:p>
        </w:tc>
        <w:tc>
          <w:tcPr>
            <w:tcW w:w="3843" w:type="pct"/>
            <w:vAlign w:val="center"/>
          </w:tcPr>
          <w:p w14:paraId="3F3145F0">
            <w:pPr>
              <w:autoSpaceDE w:val="0"/>
              <w:autoSpaceDN w:val="0"/>
              <w:adjustRightInd w:val="0"/>
              <w:jc w:val="left"/>
              <w:rPr>
                <w:rFonts w:cs="宋体" w:asciiTheme="minorEastAsia" w:hAnsiTheme="minorEastAsia"/>
                <w:kern w:val="15"/>
                <w:sz w:val="24"/>
                <w:szCs w:val="24"/>
                <w:lang w:val="zh-CN"/>
              </w:rPr>
            </w:pPr>
            <w:r>
              <w:rPr>
                <w:rFonts w:hint="eastAsia" w:cs="宋体" w:asciiTheme="minorEastAsia" w:hAnsiTheme="minorEastAsia"/>
                <w:sz w:val="24"/>
                <w:szCs w:val="24"/>
              </w:rPr>
              <w:t>否</w:t>
            </w:r>
          </w:p>
        </w:tc>
      </w:tr>
      <w:tr w14:paraId="36E3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40" w:type="pct"/>
            <w:vAlign w:val="center"/>
          </w:tcPr>
          <w:p w14:paraId="023562ED">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30</w:t>
            </w:r>
          </w:p>
        </w:tc>
        <w:tc>
          <w:tcPr>
            <w:tcW w:w="816" w:type="pct"/>
            <w:shd w:val="clear" w:color="auto" w:fill="auto"/>
            <w:vAlign w:val="center"/>
          </w:tcPr>
          <w:p w14:paraId="4A59AB5A">
            <w:pPr>
              <w:autoSpaceDE w:val="0"/>
              <w:autoSpaceDN w:val="0"/>
              <w:adjustRightInd w:val="0"/>
              <w:jc w:val="center"/>
              <w:rPr>
                <w:rFonts w:cs="宋体" w:asciiTheme="minorEastAsia" w:hAnsiTheme="minorEastAsia"/>
                <w:sz w:val="24"/>
                <w:szCs w:val="24"/>
                <w:highlight w:val="none"/>
                <w:lang w:val="zh-CN"/>
              </w:rPr>
            </w:pPr>
            <w:bookmarkStart w:id="53" w:name="OLE_LINK22"/>
            <w:r>
              <w:rPr>
                <w:rFonts w:hint="eastAsia" w:cs="宋体" w:asciiTheme="minorEastAsia" w:hAnsiTheme="minorEastAsia"/>
                <w:sz w:val="24"/>
                <w:szCs w:val="24"/>
                <w:highlight w:val="none"/>
                <w:lang w:val="zh-CN"/>
              </w:rPr>
              <w:t>履约保证金</w:t>
            </w:r>
            <w:bookmarkEnd w:id="53"/>
          </w:p>
        </w:tc>
        <w:tc>
          <w:tcPr>
            <w:tcW w:w="3843" w:type="pct"/>
            <w:shd w:val="clear" w:color="auto" w:fill="auto"/>
            <w:vAlign w:val="center"/>
          </w:tcPr>
          <w:p w14:paraId="51A9897E">
            <w:pPr>
              <w:autoSpaceDE w:val="0"/>
              <w:autoSpaceDN w:val="0"/>
              <w:adjustRightInd w:val="0"/>
              <w:jc w:val="left"/>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按合同约定</w:t>
            </w:r>
          </w:p>
        </w:tc>
      </w:tr>
      <w:tr w14:paraId="0CC2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40" w:type="pct"/>
            <w:vAlign w:val="center"/>
          </w:tcPr>
          <w:p w14:paraId="21686034">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31</w:t>
            </w:r>
          </w:p>
        </w:tc>
        <w:tc>
          <w:tcPr>
            <w:tcW w:w="816" w:type="pct"/>
            <w:shd w:val="clear" w:color="auto" w:fill="auto"/>
            <w:vAlign w:val="center"/>
          </w:tcPr>
          <w:p w14:paraId="3E46E650">
            <w:pPr>
              <w:autoSpaceDE w:val="0"/>
              <w:autoSpaceDN w:val="0"/>
              <w:adjustRightInd w:val="0"/>
              <w:jc w:val="center"/>
              <w:rPr>
                <w:rFonts w:cs="宋体" w:asciiTheme="minorEastAsia" w:hAnsiTheme="minorEastAsia"/>
                <w:sz w:val="24"/>
                <w:szCs w:val="24"/>
                <w:highlight w:val="none"/>
                <w:lang w:val="zh-CN"/>
              </w:rPr>
            </w:pPr>
            <w:r>
              <w:rPr>
                <w:rFonts w:hint="eastAsia" w:cs="宋体" w:asciiTheme="minorEastAsia" w:hAnsiTheme="minorEastAsia"/>
                <w:sz w:val="24"/>
                <w:szCs w:val="24"/>
                <w:highlight w:val="none"/>
              </w:rPr>
              <w:t>质保期</w:t>
            </w:r>
          </w:p>
        </w:tc>
        <w:tc>
          <w:tcPr>
            <w:tcW w:w="3843" w:type="pct"/>
            <w:shd w:val="clear" w:color="auto" w:fill="auto"/>
            <w:vAlign w:val="center"/>
          </w:tcPr>
          <w:p w14:paraId="6CF73489">
            <w:pPr>
              <w:autoSpaceDE w:val="0"/>
              <w:autoSpaceDN w:val="0"/>
              <w:adjustRightInd w:val="0"/>
              <w:jc w:val="left"/>
              <w:rPr>
                <w:rFonts w:hint="eastAsia" w:cs="宋体" w:asciiTheme="minorEastAsia" w:hAnsiTheme="minorEastAsia" w:eastAsiaTheme="minorEastAsia"/>
                <w:sz w:val="24"/>
                <w:szCs w:val="24"/>
                <w:highlight w:val="none"/>
                <w:lang w:eastAsia="zh-CN"/>
              </w:rPr>
            </w:pPr>
            <w:r>
              <w:rPr>
                <w:rFonts w:hint="eastAsia" w:cs="宋体" w:asciiTheme="minorEastAsia" w:hAnsiTheme="minorEastAsia"/>
                <w:sz w:val="24"/>
                <w:szCs w:val="24"/>
                <w:highlight w:val="none"/>
                <w:lang w:eastAsia="zh-CN"/>
              </w:rPr>
              <w:t>详见</w:t>
            </w:r>
            <w:r>
              <w:rPr>
                <w:rFonts w:hint="eastAsia" w:cs="宋体" w:asciiTheme="minorEastAsia" w:hAnsiTheme="minorEastAsia" w:eastAsiaTheme="minorEastAsia"/>
                <w:sz w:val="24"/>
                <w:szCs w:val="24"/>
                <w:highlight w:val="none"/>
                <w:lang w:eastAsia="zh-CN"/>
              </w:rPr>
              <w:t>第五章采购需求</w:t>
            </w:r>
          </w:p>
        </w:tc>
      </w:tr>
      <w:tr w14:paraId="00C6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40" w:type="pct"/>
            <w:vAlign w:val="center"/>
          </w:tcPr>
          <w:p w14:paraId="6187C449">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32</w:t>
            </w:r>
          </w:p>
        </w:tc>
        <w:tc>
          <w:tcPr>
            <w:tcW w:w="816" w:type="pct"/>
            <w:shd w:val="clear" w:color="auto" w:fill="auto"/>
            <w:vAlign w:val="center"/>
          </w:tcPr>
          <w:p w14:paraId="0B407338">
            <w:pPr>
              <w:autoSpaceDE w:val="0"/>
              <w:autoSpaceDN w:val="0"/>
              <w:adjustRightInd w:val="0"/>
              <w:jc w:val="center"/>
              <w:rPr>
                <w:rFonts w:cs="宋体" w:asciiTheme="minorEastAsia" w:hAnsiTheme="minorEastAsia"/>
                <w:bCs/>
                <w:sz w:val="24"/>
                <w:szCs w:val="24"/>
                <w:highlight w:val="none"/>
                <w:lang w:val="zh-CN"/>
              </w:rPr>
            </w:pPr>
            <w:r>
              <w:rPr>
                <w:rFonts w:hint="eastAsia" w:cs="宋体" w:asciiTheme="minorEastAsia" w:hAnsiTheme="minorEastAsia"/>
                <w:sz w:val="24"/>
                <w:szCs w:val="24"/>
                <w:highlight w:val="none"/>
                <w:shd w:val="clear" w:color="auto" w:fill="FFFFFF"/>
              </w:rPr>
              <w:t>付款方式</w:t>
            </w:r>
          </w:p>
        </w:tc>
        <w:tc>
          <w:tcPr>
            <w:tcW w:w="3843" w:type="pct"/>
            <w:shd w:val="clear" w:color="auto" w:fill="auto"/>
            <w:vAlign w:val="center"/>
          </w:tcPr>
          <w:p w14:paraId="7F0F9BD9">
            <w:pPr>
              <w:autoSpaceDE w:val="0"/>
              <w:autoSpaceDN w:val="0"/>
              <w:adjustRightInd w:val="0"/>
              <w:jc w:val="left"/>
              <w:rPr>
                <w:rFonts w:cs="宋体" w:asciiTheme="minorEastAsia" w:hAnsiTheme="minorEastAsia"/>
                <w:sz w:val="24"/>
                <w:szCs w:val="24"/>
                <w:highlight w:val="none"/>
                <w:shd w:val="clear" w:color="auto" w:fill="FFFFFF"/>
              </w:rPr>
            </w:pPr>
            <w:r>
              <w:rPr>
                <w:rFonts w:hint="eastAsia" w:cs="宋体" w:asciiTheme="minorEastAsia" w:hAnsiTheme="minorEastAsia"/>
                <w:sz w:val="24"/>
                <w:szCs w:val="24"/>
                <w:highlight w:val="none"/>
                <w:lang w:val="zh-CN"/>
              </w:rPr>
              <w:t>按合同约定</w:t>
            </w:r>
          </w:p>
        </w:tc>
      </w:tr>
      <w:tr w14:paraId="6010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68F8BCFD">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33</w:t>
            </w:r>
          </w:p>
        </w:tc>
        <w:tc>
          <w:tcPr>
            <w:tcW w:w="816" w:type="pct"/>
            <w:vAlign w:val="center"/>
          </w:tcPr>
          <w:p w14:paraId="1F4E2937">
            <w:pPr>
              <w:autoSpaceDE w:val="0"/>
              <w:autoSpaceDN w:val="0"/>
              <w:adjustRightInd w:val="0"/>
              <w:jc w:val="center"/>
              <w:rPr>
                <w:rFonts w:cs="宋体" w:asciiTheme="minorEastAsia" w:hAnsiTheme="minorEastAsia"/>
                <w:sz w:val="24"/>
                <w:szCs w:val="24"/>
                <w:shd w:val="clear" w:color="auto" w:fill="FFFFFF"/>
                <w:lang w:val="zh-CN"/>
              </w:rPr>
            </w:pPr>
            <w:r>
              <w:rPr>
                <w:rFonts w:hint="eastAsia" w:cs="宋体" w:asciiTheme="minorEastAsia" w:hAnsiTheme="minorEastAsia"/>
                <w:sz w:val="24"/>
                <w:szCs w:val="24"/>
                <w:lang w:val="zh-CN"/>
              </w:rPr>
              <w:t>误期赔偿金额</w:t>
            </w:r>
          </w:p>
        </w:tc>
        <w:tc>
          <w:tcPr>
            <w:tcW w:w="3843" w:type="pct"/>
            <w:vAlign w:val="center"/>
          </w:tcPr>
          <w:p w14:paraId="46C835D0">
            <w:pPr>
              <w:autoSpaceDE w:val="0"/>
              <w:autoSpaceDN w:val="0"/>
              <w:adjustRightInd w:val="0"/>
              <w:jc w:val="left"/>
              <w:rPr>
                <w:rFonts w:cs="宋体" w:asciiTheme="minorEastAsia" w:hAnsiTheme="minorEastAsia"/>
                <w:sz w:val="24"/>
                <w:szCs w:val="24"/>
                <w:shd w:val="clear" w:color="auto" w:fill="FFFFFF"/>
                <w:lang w:val="zh-CN"/>
              </w:rPr>
            </w:pPr>
            <w:bookmarkStart w:id="54" w:name="OLE_LINK26"/>
            <w:r>
              <w:rPr>
                <w:rFonts w:hint="eastAsia" w:cs="宋体" w:asciiTheme="minorEastAsia" w:hAnsiTheme="minorEastAsia"/>
                <w:sz w:val="24"/>
                <w:szCs w:val="24"/>
              </w:rPr>
              <w:t>按合同约定</w:t>
            </w:r>
            <w:bookmarkEnd w:id="54"/>
          </w:p>
        </w:tc>
      </w:tr>
      <w:tr w14:paraId="4080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40" w:type="pct"/>
            <w:vAlign w:val="center"/>
          </w:tcPr>
          <w:p w14:paraId="51039859">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34</w:t>
            </w:r>
          </w:p>
        </w:tc>
        <w:tc>
          <w:tcPr>
            <w:tcW w:w="816" w:type="pct"/>
            <w:vAlign w:val="center"/>
          </w:tcPr>
          <w:p w14:paraId="1F27B0C2">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预算金额</w:t>
            </w:r>
          </w:p>
        </w:tc>
        <w:tc>
          <w:tcPr>
            <w:tcW w:w="3843" w:type="pct"/>
            <w:shd w:val="clear" w:color="auto" w:fill="auto"/>
            <w:vAlign w:val="center"/>
          </w:tcPr>
          <w:p w14:paraId="555B2B0D">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人民币242.80万元（采购人不接受超过采购项目预算金额的投标）</w:t>
            </w:r>
          </w:p>
        </w:tc>
      </w:tr>
      <w:tr w14:paraId="52D2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40" w:type="pct"/>
            <w:vAlign w:val="center"/>
          </w:tcPr>
          <w:p w14:paraId="74717030">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35</w:t>
            </w:r>
          </w:p>
        </w:tc>
        <w:tc>
          <w:tcPr>
            <w:tcW w:w="816" w:type="pct"/>
            <w:vAlign w:val="center"/>
          </w:tcPr>
          <w:p w14:paraId="585E6B8F">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lang w:val="zh-CN"/>
              </w:rPr>
              <w:t>评审办法</w:t>
            </w:r>
          </w:p>
        </w:tc>
        <w:tc>
          <w:tcPr>
            <w:tcW w:w="3843" w:type="pct"/>
            <w:shd w:val="clear" w:color="auto" w:fill="auto"/>
            <w:vAlign w:val="center"/>
          </w:tcPr>
          <w:p w14:paraId="3A5DD6A1">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lang w:val="zh-CN"/>
              </w:rPr>
              <w:t>综合评分法</w:t>
            </w:r>
          </w:p>
        </w:tc>
      </w:tr>
      <w:tr w14:paraId="0C3B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0" w:type="pct"/>
            <w:vAlign w:val="center"/>
          </w:tcPr>
          <w:p w14:paraId="1AE51AA1">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36</w:t>
            </w:r>
          </w:p>
        </w:tc>
        <w:tc>
          <w:tcPr>
            <w:tcW w:w="816" w:type="pct"/>
            <w:vAlign w:val="center"/>
          </w:tcPr>
          <w:p w14:paraId="30E2863C">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采购</w:t>
            </w:r>
          </w:p>
          <w:p w14:paraId="4E47FFD1">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rPr>
              <w:t>代理服务费</w:t>
            </w:r>
          </w:p>
        </w:tc>
        <w:tc>
          <w:tcPr>
            <w:tcW w:w="3843" w:type="pct"/>
          </w:tcPr>
          <w:p w14:paraId="624BFDF7">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采购代理服务费：</w:t>
            </w:r>
          </w:p>
          <w:p w14:paraId="4BB05D8E">
            <w:pPr>
              <w:autoSpaceDE w:val="0"/>
              <w:snapToGrid w:val="0"/>
              <w:rPr>
                <w:rFonts w:cs="宋体" w:asciiTheme="minorEastAsia" w:hAnsiTheme="minorEastAsia"/>
                <w:bCs/>
                <w:sz w:val="24"/>
                <w:szCs w:val="24"/>
              </w:rPr>
            </w:pPr>
            <w:r>
              <w:rPr>
                <w:rFonts w:hint="eastAsia" w:cs="宋体" w:asciiTheme="minorEastAsia" w:hAnsiTheme="minorEastAsia"/>
                <w:bCs/>
                <w:sz w:val="24"/>
                <w:szCs w:val="24"/>
              </w:rPr>
              <w:t>1.本次采购代理服务费向</w:t>
            </w:r>
            <w:r>
              <w:rPr>
                <w:rFonts w:hint="eastAsia" w:cs="宋体" w:asciiTheme="minorEastAsia" w:hAnsiTheme="minorEastAsia"/>
                <w:bCs/>
                <w:sz w:val="24"/>
                <w:szCs w:val="24"/>
                <w:u w:val="single"/>
              </w:rPr>
              <w:t>中标人</w:t>
            </w:r>
            <w:r>
              <w:rPr>
                <w:rFonts w:hint="eastAsia" w:cs="宋体" w:asciiTheme="minorEastAsia" w:hAnsiTheme="minorEastAsia"/>
                <w:bCs/>
                <w:sz w:val="24"/>
                <w:szCs w:val="24"/>
              </w:rPr>
              <w:t>收取；</w:t>
            </w:r>
          </w:p>
          <w:p w14:paraId="7746A944">
            <w:pPr>
              <w:rPr>
                <w:rFonts w:asciiTheme="minorEastAsia" w:hAnsiTheme="minorEastAsia"/>
                <w:sz w:val="24"/>
                <w:szCs w:val="24"/>
              </w:rPr>
            </w:pPr>
            <w:r>
              <w:rPr>
                <w:rFonts w:hint="eastAsia" w:cs="宋体" w:asciiTheme="minorEastAsia" w:hAnsiTheme="minorEastAsia"/>
                <w:bCs/>
                <w:sz w:val="24"/>
                <w:szCs w:val="24"/>
                <w:lang w:val="zh-CN"/>
              </w:rPr>
              <w:t>2</w:t>
            </w:r>
            <w:r>
              <w:rPr>
                <w:rFonts w:cs="宋体" w:asciiTheme="minorEastAsia" w:hAnsiTheme="minorEastAsia"/>
                <w:bCs/>
                <w:sz w:val="24"/>
                <w:szCs w:val="24"/>
                <w:lang w:val="zh-CN"/>
              </w:rPr>
              <w:t>.</w:t>
            </w:r>
            <w:r>
              <w:rPr>
                <w:rFonts w:hint="eastAsia" w:asciiTheme="minorEastAsia" w:hAnsiTheme="minorEastAsia"/>
                <w:sz w:val="24"/>
                <w:szCs w:val="24"/>
              </w:rPr>
              <w:t>参照国家发展计划委员会计价格﹝2002﹞1980号文件《招标代理服务费管理暂行办法》及发改办价格[2003]857号文件《关于招标代理服务收费有关问题的通知》的收费标准，依据发改价格【2015】299号文件《国家发展改革委关于进一步放开建设项目专业服务价格的通知》规定。</w:t>
            </w:r>
          </w:p>
          <w:p w14:paraId="5731F1D4">
            <w:pPr>
              <w:rPr>
                <w:rFonts w:cs="宋体" w:asciiTheme="minorEastAsia" w:hAnsiTheme="minorEastAsia"/>
                <w:sz w:val="24"/>
                <w:szCs w:val="24"/>
                <w:lang w:val="zh-CN"/>
              </w:rPr>
            </w:pPr>
            <w:r>
              <w:rPr>
                <w:rFonts w:hint="eastAsia" w:asciiTheme="minorEastAsia" w:hAnsiTheme="minorEastAsia"/>
                <w:sz w:val="24"/>
                <w:szCs w:val="24"/>
              </w:rPr>
              <w:t>招标代理费的取费基准以﹝2002﹞1980号文件中差额累计计算。</w:t>
            </w:r>
          </w:p>
        </w:tc>
      </w:tr>
      <w:tr w14:paraId="30F9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0" w:type="pct"/>
            <w:vAlign w:val="center"/>
          </w:tcPr>
          <w:p w14:paraId="48956A45">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37</w:t>
            </w:r>
          </w:p>
        </w:tc>
        <w:tc>
          <w:tcPr>
            <w:tcW w:w="816" w:type="pct"/>
            <w:vAlign w:val="center"/>
          </w:tcPr>
          <w:p w14:paraId="17F238F0">
            <w:pPr>
              <w:autoSpaceDE w:val="0"/>
              <w:autoSpaceDN w:val="0"/>
              <w:adjustRightInd w:val="0"/>
              <w:jc w:val="center"/>
              <w:rPr>
                <w:rFonts w:cs="宋体" w:asciiTheme="minorEastAsia" w:hAnsiTheme="minorEastAsia"/>
                <w:kern w:val="15"/>
                <w:sz w:val="24"/>
                <w:szCs w:val="24"/>
              </w:rPr>
            </w:pPr>
            <w:r>
              <w:rPr>
                <w:rFonts w:hint="eastAsia" w:cs="宋体" w:asciiTheme="minorEastAsia" w:hAnsiTheme="minorEastAsia"/>
                <w:sz w:val="24"/>
                <w:szCs w:val="24"/>
                <w:lang w:val="zh-CN"/>
              </w:rPr>
              <w:t>需要补充的其他内容</w:t>
            </w:r>
          </w:p>
        </w:tc>
        <w:tc>
          <w:tcPr>
            <w:tcW w:w="3843" w:type="pct"/>
            <w:vAlign w:val="center"/>
          </w:tcPr>
          <w:p w14:paraId="32258FFB">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1.</w:t>
            </w:r>
            <w:r>
              <w:rPr>
                <w:rFonts w:cs="宋体" w:asciiTheme="minorEastAsia" w:hAnsiTheme="minorEastAsia"/>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1个参加评标的投标人，招标文件未规定的采取随机抽取方式确定，其他投标无效。</w:t>
            </w:r>
          </w:p>
          <w:p w14:paraId="148750AE">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使用综合评分法的采购项目，提供相同品牌产品且通过资格审查、符合性审查的不同投标人参加同一合同项下投标的，按1家投标人计算，评审后得分最高的同品牌投标人获得中标人推荐资格；评审得分相同的，由采购人或者采购人委托评标委员会按照招标文件规定的方式确定1个投标人获得中标人推荐资格，招标文件未规定的采取随机抽取方式确定，其他同品牌投标人不作为中标候选人。</w:t>
            </w:r>
          </w:p>
          <w:p w14:paraId="45DB0C3D">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3.</w:t>
            </w:r>
            <w:r>
              <w:rPr>
                <w:rFonts w:cs="宋体" w:asciiTheme="minorEastAsia" w:hAnsiTheme="minorEastAsia"/>
                <w:sz w:val="24"/>
                <w:szCs w:val="24"/>
              </w:rPr>
              <w:t>非单一产品采购项目，采购人应当根据采购项目技术构成、产品价格比重等合理确定核心产品，并在招标文件中载明。多家投标人提供的核心产品品牌相同的，按前两款规定处理。</w:t>
            </w:r>
          </w:p>
        </w:tc>
      </w:tr>
      <w:tr w14:paraId="56AE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40" w:type="pct"/>
            <w:vAlign w:val="center"/>
          </w:tcPr>
          <w:p w14:paraId="446D1E7D">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38</w:t>
            </w:r>
          </w:p>
        </w:tc>
        <w:tc>
          <w:tcPr>
            <w:tcW w:w="816" w:type="pct"/>
            <w:vAlign w:val="center"/>
          </w:tcPr>
          <w:p w14:paraId="395C9ACD">
            <w:pPr>
              <w:autoSpaceDE w:val="0"/>
              <w:autoSpaceDN w:val="0"/>
              <w:adjustRightInd w:val="0"/>
              <w:jc w:val="center"/>
              <w:rPr>
                <w:rFonts w:cs="宋体" w:asciiTheme="minorEastAsia" w:hAnsiTheme="minorEastAsia"/>
                <w:kern w:val="15"/>
                <w:sz w:val="24"/>
                <w:szCs w:val="24"/>
                <w:lang w:val="zh-CN"/>
              </w:rPr>
            </w:pPr>
            <w:r>
              <w:rPr>
                <w:rFonts w:hint="eastAsia" w:cs="宋体" w:asciiTheme="minorEastAsia" w:hAnsiTheme="minorEastAsia"/>
                <w:sz w:val="24"/>
                <w:szCs w:val="24"/>
              </w:rPr>
              <w:t>政府采购进口产品的规定</w:t>
            </w:r>
          </w:p>
        </w:tc>
        <w:tc>
          <w:tcPr>
            <w:tcW w:w="3843" w:type="pct"/>
          </w:tcPr>
          <w:p w14:paraId="1E2399CF">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lang w:val="zh-CN"/>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14:paraId="0A01528B">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lang w:val="zh-CN"/>
              </w:rPr>
              <w:t>在中国境内生产或组装的外国品牌产品须标明该产品在中国国内制造厂商名称。否则，按进口产品对待。</w:t>
            </w:r>
          </w:p>
        </w:tc>
      </w:tr>
      <w:tr w14:paraId="3DD8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13151600">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39</w:t>
            </w:r>
          </w:p>
        </w:tc>
        <w:tc>
          <w:tcPr>
            <w:tcW w:w="816" w:type="pct"/>
            <w:vAlign w:val="center"/>
          </w:tcPr>
          <w:p w14:paraId="7F90EF2D">
            <w:pPr>
              <w:autoSpaceDE w:val="0"/>
              <w:autoSpaceDN w:val="0"/>
              <w:adjustRightInd w:val="0"/>
              <w:jc w:val="center"/>
              <w:rPr>
                <w:rFonts w:cs="宋体" w:asciiTheme="minorEastAsia" w:hAnsiTheme="minorEastAsia"/>
                <w:sz w:val="24"/>
                <w:szCs w:val="24"/>
                <w:lang w:val="zh-CN"/>
              </w:rPr>
            </w:pPr>
            <w:r>
              <w:rPr>
                <w:rFonts w:hint="eastAsia" w:cs="宋体" w:asciiTheme="minorEastAsia" w:hAnsiTheme="minorEastAsia"/>
                <w:sz w:val="24"/>
                <w:szCs w:val="24"/>
              </w:rPr>
              <w:t>政府强制采购节能产品的规定</w:t>
            </w:r>
          </w:p>
        </w:tc>
        <w:tc>
          <w:tcPr>
            <w:tcW w:w="3843" w:type="pct"/>
          </w:tcPr>
          <w:p w14:paraId="0EAB6F4F">
            <w:pPr>
              <w:autoSpaceDE w:val="0"/>
              <w:autoSpaceDN w:val="0"/>
              <w:adjustRightInd w:val="0"/>
              <w:jc w:val="left"/>
              <w:rPr>
                <w:rFonts w:cs="Times New Roman" w:asciiTheme="minorEastAsia" w:hAnsiTheme="minorEastAsia"/>
                <w:sz w:val="24"/>
                <w:szCs w:val="24"/>
              </w:rPr>
            </w:pPr>
            <w:r>
              <w:rPr>
                <w:rFonts w:hint="eastAsia" w:cs="宋体" w:asciiTheme="minorEastAsia" w:hAnsiTheme="minorEastAsia"/>
                <w:sz w:val="24"/>
                <w:szCs w:val="24"/>
                <w:lang w:val="zh-CN"/>
              </w:rPr>
              <w:t>1.</w:t>
            </w:r>
            <w:r>
              <w:rPr>
                <w:rFonts w:hint="eastAsia" w:cs="宋体" w:asciiTheme="minorEastAsia" w:hAnsiTheme="minorEastAsia"/>
                <w:sz w:val="24"/>
                <w:szCs w:val="24"/>
              </w:rPr>
              <w:t>按照财政部、发展改革委、生态环境部、市场监管总局最新发布执行的《关于调整优化节能产品、环境标志产品政府采购执行机制的通知》及关于印发节能产品政府采购品目清单的通知财库〔2019〕19号的规定，《采购需求》中凡包含政府强制采购产品的，投标人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r>
              <w:rPr>
                <w:rFonts w:hint="eastAsia" w:cs="宋体" w:asciiTheme="minorEastAsia" w:hAnsiTheme="minorEastAsia"/>
                <w:sz w:val="24"/>
                <w:szCs w:val="24"/>
                <w:lang w:val="zh-CN"/>
              </w:rPr>
              <w:t>。</w:t>
            </w:r>
          </w:p>
          <w:p w14:paraId="5AC16A6A">
            <w:pPr>
              <w:autoSpaceDE w:val="0"/>
              <w:autoSpaceDN w:val="0"/>
              <w:adjustRightInd w:val="0"/>
              <w:jc w:val="left"/>
              <w:rPr>
                <w:rFonts w:cs="宋体" w:asciiTheme="minorEastAsia" w:hAnsiTheme="minorEastAsia"/>
                <w:sz w:val="24"/>
                <w:szCs w:val="24"/>
                <w:lang w:val="zh-CN"/>
              </w:rPr>
            </w:pPr>
            <w:r>
              <w:rPr>
                <w:rFonts w:hint="eastAsia" w:cs="宋体" w:asciiTheme="minorEastAsia" w:hAnsiTheme="minorEastAsia"/>
                <w:sz w:val="24"/>
                <w:szCs w:val="24"/>
                <w:lang w:val="zh-CN"/>
              </w:rPr>
              <w:t>2.《技术标准和要求》中包含计算机设备的，</w:t>
            </w:r>
            <w:r>
              <w:rPr>
                <w:rFonts w:hint="eastAsia" w:cs="宋体" w:asciiTheme="minorEastAsia" w:hAnsiTheme="minorEastAsia"/>
                <w:sz w:val="24"/>
                <w:szCs w:val="24"/>
              </w:rPr>
              <w:t>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r>
              <w:rPr>
                <w:rFonts w:hint="eastAsia" w:cs="宋体" w:asciiTheme="minorEastAsia" w:hAnsiTheme="minorEastAsia"/>
                <w:sz w:val="24"/>
                <w:szCs w:val="24"/>
                <w:lang w:val="zh-CN"/>
              </w:rPr>
              <w:t>。</w:t>
            </w:r>
          </w:p>
        </w:tc>
      </w:tr>
      <w:tr w14:paraId="69BD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340" w:type="pct"/>
            <w:vAlign w:val="center"/>
          </w:tcPr>
          <w:p w14:paraId="5D8B12CE">
            <w:pPr>
              <w:autoSpaceDE w:val="0"/>
              <w:autoSpaceDN w:val="0"/>
              <w:adjustRightInd w:val="0"/>
              <w:jc w:val="center"/>
              <w:rPr>
                <w:rFonts w:cs="宋体" w:asciiTheme="minorEastAsia" w:hAnsiTheme="minorEastAsia"/>
                <w:sz w:val="24"/>
                <w:szCs w:val="24"/>
              </w:rPr>
            </w:pPr>
            <w:r>
              <w:rPr>
                <w:rFonts w:hint="eastAsia" w:cs="宋体" w:asciiTheme="minorEastAsia" w:hAnsiTheme="minorEastAsia"/>
                <w:sz w:val="24"/>
                <w:szCs w:val="24"/>
              </w:rPr>
              <w:t>40</w:t>
            </w:r>
          </w:p>
        </w:tc>
        <w:tc>
          <w:tcPr>
            <w:tcW w:w="4659" w:type="pct"/>
            <w:gridSpan w:val="2"/>
            <w:vAlign w:val="center"/>
          </w:tcPr>
          <w:p w14:paraId="22AAD449">
            <w:pPr>
              <w:spacing w:line="300" w:lineRule="exact"/>
              <w:rPr>
                <w:rFonts w:ascii="宋体" w:hAnsi="宋体" w:cs="宋体"/>
                <w:b/>
                <w:sz w:val="24"/>
                <w:szCs w:val="24"/>
                <w:lang w:val="zh-CN"/>
              </w:rPr>
            </w:pPr>
            <w:r>
              <w:rPr>
                <w:rFonts w:hint="eastAsia" w:ascii="宋体" w:hAnsi="宋体" w:cs="宋体"/>
                <w:b/>
                <w:sz w:val="24"/>
                <w:szCs w:val="24"/>
                <w:lang w:val="zh-CN"/>
              </w:rPr>
              <w:t>请有意参加投标的投标人特别注意：</w:t>
            </w:r>
          </w:p>
          <w:p w14:paraId="5EF5B39A">
            <w:pPr>
              <w:spacing w:line="300" w:lineRule="exact"/>
              <w:rPr>
                <w:rFonts w:ascii="宋体" w:hAnsi="宋体" w:cs="宋体"/>
                <w:b/>
                <w:sz w:val="24"/>
                <w:szCs w:val="24"/>
                <w:lang w:val="zh-CN"/>
              </w:rPr>
            </w:pPr>
            <w:r>
              <w:rPr>
                <w:rFonts w:hint="eastAsia" w:ascii="宋体" w:hAnsi="宋体" w:cs="宋体"/>
                <w:b/>
                <w:sz w:val="24"/>
                <w:szCs w:val="24"/>
              </w:rPr>
              <w:t>1.</w:t>
            </w:r>
            <w:r>
              <w:rPr>
                <w:rFonts w:hint="eastAsia" w:ascii="宋体" w:hAnsi="宋体" w:cs="宋体"/>
                <w:b/>
                <w:sz w:val="24"/>
                <w:szCs w:val="24"/>
                <w:lang w:val="zh-CN"/>
              </w:rPr>
              <w:t>凡与本次采购活动有关的时间，均以政府采购云平台显示的时间为准；</w:t>
            </w:r>
          </w:p>
          <w:p w14:paraId="5D265F18">
            <w:pPr>
              <w:autoSpaceDE w:val="0"/>
              <w:autoSpaceDN w:val="0"/>
              <w:adjustRightInd w:val="0"/>
              <w:jc w:val="left"/>
              <w:rPr>
                <w:rFonts w:cs="宋体" w:asciiTheme="minorEastAsia" w:hAnsiTheme="minorEastAsia"/>
                <w:sz w:val="24"/>
                <w:szCs w:val="24"/>
                <w:lang w:val="zh-CN"/>
              </w:rPr>
            </w:pPr>
            <w:r>
              <w:rPr>
                <w:rFonts w:hint="eastAsia" w:ascii="宋体" w:hAnsi="宋体" w:cs="宋体"/>
                <w:b/>
                <w:sz w:val="24"/>
                <w:szCs w:val="24"/>
              </w:rPr>
              <w:t>2.</w:t>
            </w:r>
            <w:r>
              <w:rPr>
                <w:rFonts w:hint="eastAsia" w:ascii="宋体" w:hAnsi="宋体" w:cs="宋体"/>
                <w:b/>
                <w:sz w:val="24"/>
                <w:szCs w:val="24"/>
                <w:lang w:val="zh-CN"/>
              </w:rPr>
              <w:t>请各投标人随时关注政府采购云平台公告内容，若本项目采购文件中内容有变更，均在网站发布，请以本项目更正公告中的内容为准</w:t>
            </w:r>
          </w:p>
        </w:tc>
      </w:tr>
      <w:tr w14:paraId="6707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000" w:type="pct"/>
            <w:gridSpan w:val="3"/>
            <w:vAlign w:val="center"/>
          </w:tcPr>
          <w:p w14:paraId="73B8653D">
            <w:pPr>
              <w:autoSpaceDE w:val="0"/>
              <w:autoSpaceDN w:val="0"/>
              <w:adjustRightInd w:val="0"/>
              <w:jc w:val="left"/>
              <w:rPr>
                <w:rFonts w:cs="宋体" w:asciiTheme="minorEastAsia" w:hAnsiTheme="minorEastAsia"/>
                <w:b/>
                <w:sz w:val="24"/>
                <w:szCs w:val="24"/>
                <w:lang w:val="zh-CN"/>
              </w:rPr>
            </w:pPr>
            <w:r>
              <w:rPr>
                <w:rFonts w:hint="eastAsia" w:cs="宋体" w:asciiTheme="minorEastAsia" w:hAnsiTheme="minorEastAsia"/>
                <w:b/>
                <w:sz w:val="24"/>
                <w:szCs w:val="24"/>
                <w:lang w:val="zh-CN"/>
              </w:rPr>
              <w:t>招标公告与招标文件有不一致处，以招标文件为准。</w:t>
            </w:r>
          </w:p>
        </w:tc>
      </w:tr>
    </w:tbl>
    <w:p w14:paraId="02131389">
      <w:pPr>
        <w:widowControl/>
        <w:jc w:val="left"/>
        <w:rPr>
          <w:rFonts w:asciiTheme="majorHAnsi" w:hAnsiTheme="majorHAnsi" w:eastAsiaTheme="majorEastAsia" w:cstheme="majorBidi"/>
          <w:b/>
          <w:bCs/>
          <w:sz w:val="28"/>
          <w:szCs w:val="32"/>
          <w:lang w:val="zh-CN"/>
        </w:rPr>
      </w:pPr>
      <w:r>
        <w:rPr>
          <w:lang w:val="zh-CN"/>
        </w:rPr>
        <w:br w:type="page"/>
      </w:r>
    </w:p>
    <w:p w14:paraId="10F6C024">
      <w:pPr>
        <w:pStyle w:val="3"/>
        <w:rPr>
          <w:lang w:val="zh-CN"/>
        </w:rPr>
      </w:pPr>
      <w:r>
        <w:rPr>
          <w:rFonts w:hint="eastAsia"/>
          <w:lang w:val="zh-CN"/>
        </w:rPr>
        <w:t>二、投标人须知</w:t>
      </w:r>
    </w:p>
    <w:p w14:paraId="45CB2F6B">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b/>
          <w:sz w:val="24"/>
          <w:szCs w:val="24"/>
          <w:lang w:val="zh-CN"/>
        </w:rPr>
        <w:t>1．适用法律：</w:t>
      </w:r>
      <w:r>
        <w:rPr>
          <w:rFonts w:hint="eastAsia" w:ascii="宋体" w:hAnsi="宋体" w:eastAsia="宋体" w:cs="宋体"/>
          <w:sz w:val="24"/>
          <w:szCs w:val="24"/>
          <w:lang w:val="zh-CN"/>
        </w:rPr>
        <w:t>本次招标适用法律法规为《中华人民共和国政府采购法》、《中华人民共和国政府采购法实施条例》、《政府采购货物和服务招标投标管理办法》及政府采购其它相关法规。</w:t>
      </w:r>
    </w:p>
    <w:p w14:paraId="799CD280">
      <w:pPr>
        <w:autoSpaceDE w:val="0"/>
        <w:autoSpaceDN w:val="0"/>
        <w:adjustRightInd w:val="0"/>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2．定义：</w:t>
      </w:r>
    </w:p>
    <w:p w14:paraId="0C73B3BE">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2.1</w:t>
      </w:r>
      <w:r>
        <w:rPr>
          <w:rFonts w:hint="eastAsia" w:ascii="宋体" w:hAnsi="宋体" w:eastAsia="宋体" w:cs="宋体"/>
          <w:sz w:val="24"/>
          <w:szCs w:val="24"/>
        </w:rPr>
        <w:t>“</w:t>
      </w:r>
      <w:r>
        <w:rPr>
          <w:rFonts w:hint="eastAsia" w:ascii="宋体" w:hAnsi="宋体" w:eastAsia="宋体" w:cs="宋体"/>
          <w:sz w:val="24"/>
          <w:szCs w:val="24"/>
          <w:lang w:val="zh-CN"/>
        </w:rPr>
        <w:t>采购代理机构</w:t>
      </w:r>
      <w:r>
        <w:rPr>
          <w:rFonts w:hint="eastAsia" w:ascii="宋体" w:hAnsi="宋体" w:eastAsia="宋体" w:cs="宋体"/>
          <w:sz w:val="24"/>
          <w:szCs w:val="24"/>
        </w:rPr>
        <w:t>”</w:t>
      </w:r>
      <w:r>
        <w:rPr>
          <w:rFonts w:hint="eastAsia" w:ascii="宋体" w:hAnsi="宋体" w:eastAsia="宋体" w:cs="宋体"/>
          <w:sz w:val="24"/>
          <w:szCs w:val="24"/>
          <w:lang w:val="zh-CN"/>
        </w:rPr>
        <w:t>指</w:t>
      </w:r>
      <w:r>
        <w:rPr>
          <w:rFonts w:hint="eastAsia" w:ascii="宋体" w:hAnsi="宋体" w:eastAsia="宋体" w:cs="宋体"/>
          <w:sz w:val="24"/>
          <w:szCs w:val="24"/>
          <w:u w:val="single"/>
        </w:rPr>
        <w:t>中恺项目管理咨询有限公司</w:t>
      </w:r>
      <w:r>
        <w:rPr>
          <w:rFonts w:hint="eastAsia" w:ascii="宋体" w:hAnsi="宋体" w:eastAsia="宋体" w:cs="宋体"/>
          <w:sz w:val="24"/>
          <w:szCs w:val="24"/>
          <w:lang w:val="zh-CN"/>
        </w:rPr>
        <w:t>，负责采购活动的组织工作。</w:t>
      </w:r>
    </w:p>
    <w:p w14:paraId="238E587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2.2</w:t>
      </w:r>
      <w:r>
        <w:rPr>
          <w:rFonts w:hint="eastAsia" w:ascii="宋体" w:hAnsi="宋体" w:eastAsia="宋体" w:cs="宋体"/>
          <w:sz w:val="24"/>
          <w:szCs w:val="24"/>
        </w:rPr>
        <w:t>“</w:t>
      </w:r>
      <w:r>
        <w:rPr>
          <w:rFonts w:hint="eastAsia" w:ascii="宋体" w:hAnsi="宋体" w:eastAsia="宋体" w:cs="宋体"/>
          <w:sz w:val="24"/>
          <w:szCs w:val="24"/>
          <w:lang w:val="zh-CN"/>
        </w:rPr>
        <w:t>采购人</w:t>
      </w:r>
      <w:r>
        <w:rPr>
          <w:rFonts w:hint="eastAsia" w:ascii="宋体" w:hAnsi="宋体" w:eastAsia="宋体" w:cs="宋体"/>
          <w:sz w:val="24"/>
          <w:szCs w:val="24"/>
        </w:rPr>
        <w:t>”</w:t>
      </w:r>
      <w:r>
        <w:rPr>
          <w:rFonts w:hint="eastAsia" w:ascii="宋体" w:hAnsi="宋体" w:eastAsia="宋体" w:cs="宋体"/>
          <w:sz w:val="24"/>
          <w:szCs w:val="24"/>
          <w:lang w:val="zh-CN"/>
        </w:rPr>
        <w:t>指</w:t>
      </w:r>
      <w:r>
        <w:rPr>
          <w:rFonts w:hint="eastAsia" w:ascii="宋体" w:hAnsi="宋体" w:eastAsia="宋体" w:cs="宋体"/>
          <w:sz w:val="24"/>
          <w:szCs w:val="24"/>
          <w:u w:val="single"/>
          <w:lang w:val="zh-CN"/>
        </w:rPr>
        <w:t>长春市宽城区疾病预防控制中心（长春市宽城区卫生监督所）</w:t>
      </w:r>
      <w:r>
        <w:rPr>
          <w:rFonts w:hint="eastAsia" w:ascii="宋体" w:hAnsi="宋体" w:eastAsia="宋体" w:cs="宋体"/>
          <w:sz w:val="24"/>
          <w:szCs w:val="24"/>
          <w:lang w:val="zh-CN"/>
        </w:rPr>
        <w:t>，负责采购项目的整体规划、采购需求设计和可行性论证，作为合同的需方，承担质疑答复，合同履行、验收、评价等义务。</w:t>
      </w:r>
    </w:p>
    <w:p w14:paraId="4EDDB66E">
      <w:pPr>
        <w:tabs>
          <w:tab w:val="left" w:pos="709"/>
        </w:tabs>
        <w:autoSpaceDE w:val="0"/>
        <w:autoSpaceDN w:val="0"/>
        <w:adjustRightInd w:val="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2.3</w:t>
      </w:r>
      <w:r>
        <w:rPr>
          <w:rFonts w:hint="eastAsia" w:ascii="宋体" w:hAnsi="宋体" w:eastAsia="宋体" w:cs="宋体"/>
          <w:kern w:val="0"/>
          <w:sz w:val="24"/>
          <w:szCs w:val="24"/>
        </w:rPr>
        <w:t>“</w:t>
      </w:r>
      <w:r>
        <w:rPr>
          <w:rFonts w:hint="eastAsia" w:ascii="宋体" w:hAnsi="宋体" w:eastAsia="宋体" w:cs="宋体"/>
          <w:kern w:val="0"/>
          <w:sz w:val="24"/>
          <w:szCs w:val="24"/>
          <w:lang w:val="zh-CN"/>
        </w:rPr>
        <w:t>采购需求</w:t>
      </w:r>
      <w:r>
        <w:rPr>
          <w:rFonts w:hint="eastAsia" w:ascii="宋体" w:hAnsi="宋体" w:eastAsia="宋体" w:cs="宋体"/>
          <w:kern w:val="0"/>
          <w:sz w:val="24"/>
          <w:szCs w:val="24"/>
        </w:rPr>
        <w:t>”</w:t>
      </w:r>
      <w:r>
        <w:rPr>
          <w:rFonts w:hint="eastAsia" w:ascii="宋体" w:hAnsi="宋体" w:eastAsia="宋体" w:cs="宋体"/>
          <w:kern w:val="0"/>
          <w:sz w:val="24"/>
          <w:szCs w:val="24"/>
          <w:lang w:val="zh-CN"/>
        </w:rPr>
        <w:t>详见《</w:t>
      </w:r>
      <w:r>
        <w:rPr>
          <w:rFonts w:hint="eastAsia" w:ascii="宋体" w:hAnsi="宋体" w:eastAsia="宋体" w:cs="宋体"/>
          <w:sz w:val="24"/>
          <w:szCs w:val="24"/>
        </w:rPr>
        <w:t>采购需求</w:t>
      </w:r>
      <w:r>
        <w:rPr>
          <w:rFonts w:hint="eastAsia" w:ascii="宋体" w:hAnsi="宋体" w:eastAsia="宋体" w:cs="宋体"/>
          <w:kern w:val="0"/>
          <w:sz w:val="24"/>
          <w:szCs w:val="24"/>
          <w:lang w:val="zh-CN"/>
        </w:rPr>
        <w:t>》。</w:t>
      </w:r>
    </w:p>
    <w:p w14:paraId="3EFBC415">
      <w:pPr>
        <w:tabs>
          <w:tab w:val="left" w:pos="709"/>
        </w:tabs>
        <w:autoSpaceDE w:val="0"/>
        <w:autoSpaceDN w:val="0"/>
        <w:adjustRightInd w:val="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2.4</w:t>
      </w:r>
      <w:r>
        <w:rPr>
          <w:rFonts w:hint="eastAsia" w:ascii="宋体" w:hAnsi="宋体" w:eastAsia="宋体" w:cs="宋体"/>
          <w:kern w:val="0"/>
          <w:sz w:val="24"/>
          <w:szCs w:val="24"/>
        </w:rPr>
        <w:t>“</w:t>
      </w:r>
      <w:r>
        <w:rPr>
          <w:rFonts w:hint="eastAsia" w:ascii="宋体" w:hAnsi="宋体" w:eastAsia="宋体" w:cs="宋体"/>
          <w:kern w:val="0"/>
          <w:sz w:val="24"/>
          <w:szCs w:val="24"/>
          <w:lang w:val="zh-CN"/>
        </w:rPr>
        <w:t>潜在投标人</w:t>
      </w:r>
      <w:r>
        <w:rPr>
          <w:rFonts w:hint="eastAsia" w:ascii="宋体" w:hAnsi="宋体" w:eastAsia="宋体" w:cs="宋体"/>
          <w:kern w:val="0"/>
          <w:sz w:val="24"/>
          <w:szCs w:val="24"/>
        </w:rPr>
        <w:t>”</w:t>
      </w:r>
      <w:r>
        <w:rPr>
          <w:rFonts w:hint="eastAsia" w:ascii="宋体" w:hAnsi="宋体" w:eastAsia="宋体" w:cs="宋体"/>
          <w:kern w:val="0"/>
          <w:sz w:val="24"/>
          <w:szCs w:val="24"/>
          <w:lang w:val="zh-CN"/>
        </w:rPr>
        <w:t>指确认参加投标的供应商。</w:t>
      </w:r>
    </w:p>
    <w:p w14:paraId="78314031">
      <w:pPr>
        <w:tabs>
          <w:tab w:val="left" w:pos="709"/>
        </w:tabs>
        <w:autoSpaceDE w:val="0"/>
        <w:autoSpaceDN w:val="0"/>
        <w:adjustRightInd w:val="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2.5</w:t>
      </w:r>
      <w:r>
        <w:rPr>
          <w:rFonts w:hint="eastAsia" w:ascii="宋体" w:hAnsi="宋体" w:eastAsia="宋体" w:cs="宋体"/>
          <w:kern w:val="0"/>
          <w:sz w:val="24"/>
          <w:szCs w:val="24"/>
        </w:rPr>
        <w:t>“</w:t>
      </w:r>
      <w:r>
        <w:rPr>
          <w:rFonts w:hint="eastAsia" w:ascii="宋体" w:hAnsi="宋体" w:eastAsia="宋体" w:cs="宋体"/>
          <w:kern w:val="0"/>
          <w:sz w:val="24"/>
          <w:szCs w:val="24"/>
          <w:lang w:val="zh-CN"/>
        </w:rPr>
        <w:t>投标人</w:t>
      </w:r>
      <w:r>
        <w:rPr>
          <w:rFonts w:hint="eastAsia" w:ascii="宋体" w:hAnsi="宋体" w:eastAsia="宋体" w:cs="宋体"/>
          <w:kern w:val="0"/>
          <w:sz w:val="24"/>
          <w:szCs w:val="24"/>
        </w:rPr>
        <w:t>”</w:t>
      </w:r>
      <w:r>
        <w:rPr>
          <w:rFonts w:hint="eastAsia" w:ascii="宋体" w:hAnsi="宋体" w:eastAsia="宋体" w:cs="宋体"/>
          <w:kern w:val="0"/>
          <w:sz w:val="24"/>
          <w:szCs w:val="24"/>
          <w:lang w:val="zh-CN"/>
        </w:rPr>
        <w:t>指响应本招标文件参加投标的供应商。</w:t>
      </w:r>
    </w:p>
    <w:p w14:paraId="2818B2B4">
      <w:pPr>
        <w:autoSpaceDE w:val="0"/>
        <w:autoSpaceDN w:val="0"/>
        <w:adjustRightInd w:val="0"/>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3．合格申请人的资格要求：</w:t>
      </w:r>
    </w:p>
    <w:p w14:paraId="6A326159">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3.1合格投标人的资格要求：详见投标人须知前附表</w:t>
      </w:r>
    </w:p>
    <w:p w14:paraId="4C4B1D97">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3.2关于合格投标人资格条件的要求均须提供中文文本，否则无效，投标人应按招标文件规定的投标文件构成、要求及格式提交。</w:t>
      </w:r>
    </w:p>
    <w:p w14:paraId="36C0C2AE">
      <w:pPr>
        <w:autoSpaceDE w:val="0"/>
        <w:autoSpaceDN w:val="0"/>
        <w:adjustRightInd w:val="0"/>
        <w:spacing w:line="360" w:lineRule="auto"/>
        <w:rPr>
          <w:rFonts w:ascii="宋体" w:hAnsi="宋体" w:eastAsia="宋体" w:cs="宋体"/>
          <w:b/>
          <w:kern w:val="0"/>
          <w:sz w:val="24"/>
          <w:szCs w:val="24"/>
          <w:lang w:val="zh-CN"/>
        </w:rPr>
      </w:pPr>
      <w:r>
        <w:rPr>
          <w:rFonts w:hint="eastAsia" w:ascii="宋体" w:hAnsi="宋体" w:eastAsia="宋体" w:cs="宋体"/>
          <w:b/>
          <w:kern w:val="0"/>
          <w:sz w:val="24"/>
          <w:szCs w:val="24"/>
          <w:lang w:val="zh-CN"/>
        </w:rPr>
        <w:t>4．项目答疑会和踏勘现场</w:t>
      </w:r>
      <w:r>
        <w:rPr>
          <w:rFonts w:hint="eastAsia" w:ascii="宋体" w:hAnsi="宋体" w:eastAsia="宋体" w:cs="宋体"/>
          <w:bCs/>
          <w:kern w:val="0"/>
          <w:sz w:val="24"/>
          <w:szCs w:val="24"/>
          <w:lang w:val="zh-CN"/>
        </w:rPr>
        <w:t>：</w:t>
      </w:r>
      <w:r>
        <w:rPr>
          <w:rFonts w:hint="eastAsia" w:ascii="宋体" w:hAnsi="宋体" w:eastAsia="宋体" w:cs="宋体"/>
          <w:kern w:val="0"/>
          <w:sz w:val="24"/>
          <w:szCs w:val="24"/>
          <w:lang w:val="zh-CN"/>
        </w:rPr>
        <w:t>详见</w:t>
      </w:r>
      <w:r>
        <w:rPr>
          <w:rFonts w:hint="eastAsia" w:ascii="宋体" w:hAnsi="宋体" w:eastAsia="宋体" w:cs="宋体"/>
          <w:sz w:val="24"/>
          <w:szCs w:val="24"/>
        </w:rPr>
        <w:t>投标人须知前附表</w:t>
      </w:r>
    </w:p>
    <w:p w14:paraId="0900D89F">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b/>
          <w:sz w:val="24"/>
          <w:szCs w:val="24"/>
          <w:lang w:val="zh-CN"/>
        </w:rPr>
        <w:t>5．投标费用：</w:t>
      </w:r>
      <w:r>
        <w:rPr>
          <w:rFonts w:hint="eastAsia" w:ascii="宋体" w:hAnsi="宋体" w:eastAsia="宋体" w:cs="宋体"/>
          <w:sz w:val="24"/>
          <w:szCs w:val="24"/>
          <w:lang w:val="zh-CN"/>
        </w:rPr>
        <w:t>投标人应自行承担所有与编写和提交投标文件有关的费用，无论投标的结果如何，采购代理机构和采购人在任何情况下均无义务和责任承担这些费用。</w:t>
      </w:r>
    </w:p>
    <w:p w14:paraId="586D0E6E">
      <w:pPr>
        <w:autoSpaceDE w:val="0"/>
        <w:autoSpaceDN w:val="0"/>
        <w:adjustRightInd w:val="0"/>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6. 招标文件：</w:t>
      </w:r>
    </w:p>
    <w:p w14:paraId="221DA90F">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6.1 招标文件的构成：</w:t>
      </w:r>
    </w:p>
    <w:p w14:paraId="5A8EF7CF">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第一章 招标公告</w:t>
      </w:r>
    </w:p>
    <w:p w14:paraId="467742D2">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第二章 投标人须知</w:t>
      </w:r>
    </w:p>
    <w:p w14:paraId="5E0E6C4D">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第三章 评标标准和方法</w:t>
      </w:r>
    </w:p>
    <w:p w14:paraId="4450472D">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第四章 政府采购合同书格式</w:t>
      </w:r>
    </w:p>
    <w:p w14:paraId="670E84D4">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第五章 采购需求</w:t>
      </w:r>
    </w:p>
    <w:p w14:paraId="02B0F82F">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第六章 投标文件构成、要求及格式</w:t>
      </w:r>
    </w:p>
    <w:p w14:paraId="39A97A58">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2F774967">
      <w:pPr>
        <w:autoSpaceDE w:val="0"/>
        <w:autoSpaceDN w:val="0"/>
        <w:adjustRightInd w:val="0"/>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7. 招标文件的澄清和修改</w:t>
      </w:r>
    </w:p>
    <w:p w14:paraId="127CCA3A">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7.1任何要求对招标文件进行澄清或对招标文件质疑的投标人，均应在质疑有效期内一次性将问题以书面形式通知采购代理机构，超过规定期限提出的澄清要求或质疑将不予受理。采购代理机构对收到的澄清要求，将视所提问题的具体情况在予以答复澄清或在发布招标公告的媒体上公告。答复中可以包括所提的问题，但不包括问题的来源。采购代理机构对收到的供应商质疑，将按照政府采购法律规章的规定处理。 </w:t>
      </w:r>
    </w:p>
    <w:p w14:paraId="2129B224">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7.2澄清或者修改的内容可能影响投标文件编制的，采购人或者采购代理机构应当在投标截止时间至少15日前，在发布招标公告的媒体上发布通知所有获取招标文件的潜在投标人；不足15日的，采购人或者采购代理机构应当顺延提交投标文件的截止时间。 </w:t>
      </w:r>
    </w:p>
    <w:p w14:paraId="7C434FBB">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7.3招标文件的澄清、修改、补充文件均构成招标文件的组成部分，对所有投标人具有约束力。 </w:t>
      </w:r>
    </w:p>
    <w:p w14:paraId="3A12F205">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7.4投标人确认收到招标文件澄清或修改的时间为投标人收到澄清或修改文件的24小时以内。</w:t>
      </w:r>
    </w:p>
    <w:p w14:paraId="23FA3A1E">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7.5请潜在投标人在参加本项目活动期间关注网站信息，所有有投标意愿的投标人有义务在网上自行查询，无需书面回复。招标文件的澄清、修改、变更、延期等文件一经发布即视为已告知了所有已报名的投标人，因投标人自身原因没有及时查看、下载文件导致的一切后果由投标人自行负责。</w:t>
      </w:r>
    </w:p>
    <w:p w14:paraId="46182379">
      <w:pPr>
        <w:autoSpaceDE w:val="0"/>
        <w:autoSpaceDN w:val="0"/>
        <w:adjustRightInd w:val="0"/>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8. 投标文件构成：</w:t>
      </w:r>
    </w:p>
    <w:p w14:paraId="01715319">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8.1投标文件分为商务部分和技术部分。商务部分是投标人提交的证明其具有合格的投标资格和中标后有能力履行合同的文件。技术部分是能够证明投标人所提供服务的合格性和符合招标文件规定的文件。</w:t>
      </w:r>
    </w:p>
    <w:p w14:paraId="0659440A">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8.2 投标人应提交本招标文件《投标文件构成、要求及格式》规定的全部商务文件和技术文件，若有缺失、无效或者不符合招标文件要求，将导致其投标被拒绝。</w:t>
      </w:r>
    </w:p>
    <w:p w14:paraId="442845B5">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8.3 第二章《投标人须知》要求提交的投标保证金。</w:t>
      </w:r>
    </w:p>
    <w:p w14:paraId="2E6682C9">
      <w:pPr>
        <w:autoSpaceDE w:val="0"/>
        <w:autoSpaceDN w:val="0"/>
        <w:adjustRightInd w:val="0"/>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9. 投标文件的编制</w:t>
      </w:r>
    </w:p>
    <w:p w14:paraId="5BEE78CB">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9.1 投标语言：投标文件以及投标人与采购人就有关投标的来往函电均使用中文。 </w:t>
      </w:r>
    </w:p>
    <w:p w14:paraId="2844EDD3">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9.2 计量单位：中华人民共和国法定计量单位。</w:t>
      </w:r>
    </w:p>
    <w:p w14:paraId="1870A7A9">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9.3 投标文件规格应采用A4幅面，打印，按照招标文件规定的顺序，统一编目编码装订。为便于评标，技术文件中的各项表格应按照招标文件规定的格式制作。</w:t>
      </w:r>
    </w:p>
    <w:p w14:paraId="7B74B8F6">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9.4 投标人在投标文件以及在投标、合同签订、履行过程中所签署的相关文件中所加盖的公章，均须按照招标文件的规定加盖与投标人名称全称相一致的标准公章。</w:t>
      </w:r>
    </w:p>
    <w:p w14:paraId="2948F6D6">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9.5 采购代理机构不接受采用传真方式提交的投标文件。</w:t>
      </w:r>
    </w:p>
    <w:p w14:paraId="1BF8272B">
      <w:pPr>
        <w:autoSpaceDE w:val="0"/>
        <w:autoSpaceDN w:val="0"/>
        <w:adjustRightInd w:val="0"/>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10. 投标报价</w:t>
      </w:r>
    </w:p>
    <w:p w14:paraId="69C14089">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10.1投标人的投标报价应在预算金额范围内（包含预算金额），超出此范围的投标报价废标。投标货币：所有投标报价均以人民币元为计算单位。</w:t>
      </w:r>
    </w:p>
    <w:p w14:paraId="08A65587">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10.2投标人应一次性报出投标标的的单价和总价，只允许有一个报价，任何有选择的报价将不予接受。投标人所报价格应为在本招标文件中合同指定地点供货、由投标人负责安装调试。</w:t>
      </w:r>
    </w:p>
    <w:p w14:paraId="115EBE90">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10.3投标人所报的价格在合同执行过程中是固定不变的，不得以任何理由予以变更。以可调整的价格提交的投标将作为非响应性投标予以拒绝。</w:t>
      </w:r>
    </w:p>
    <w:p w14:paraId="4375B998">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10.4 最低报价不能作为中标的保证。</w:t>
      </w:r>
    </w:p>
    <w:p w14:paraId="30CAEEB9">
      <w:pPr>
        <w:autoSpaceDE w:val="0"/>
        <w:autoSpaceDN w:val="0"/>
        <w:adjustRightInd w:val="0"/>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11. 投标保证金</w:t>
      </w:r>
    </w:p>
    <w:p w14:paraId="28E279C6">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11.1投标人应提交招标文件所要求的投标保证金。投标人须按照招标文件要求，在投标截止时间前递交至采购代理机构。</w:t>
      </w:r>
    </w:p>
    <w:p w14:paraId="5EF7902A">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11.2投标保证金是为了弥补采购人因投标人的违规行为而蒙受的损失。采购人在因投标人的违规行为而受到损害时，将不予退还投标人的投标保证金，并作为所受损害的补偿。</w:t>
      </w:r>
    </w:p>
    <w:p w14:paraId="6B69A227">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11.3投标保证金是投标文件的一个组成部分。在开标时，凡没有按规定提交投标保证金的投标，将被视为非响应性投标予以拒绝。</w:t>
      </w:r>
    </w:p>
    <w:p w14:paraId="189DCCAC">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11.4采购人或者采购代理机构应当在采购活动结束后及时退还投标人的保证金，但因投标人自身原因导致无法及时退还的除外。未中标人的保证金应当在中标通知书发出后5个工作日内退还，中标人的保证金应当在采购合同签订后5个工作日内退还，不计利息。</w:t>
      </w:r>
    </w:p>
    <w:p w14:paraId="7D400A91">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11.5下列情况之一发生时，投标保证金将不予退还：</w:t>
      </w:r>
    </w:p>
    <w:p w14:paraId="2146599C">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（1）投标人在招标文件规定的投标有效期内撤回其投标；</w:t>
      </w:r>
    </w:p>
    <w:p w14:paraId="7A1870E9">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（2）中标人在规定期限内未能做到：a.按照本须知第21条规定签订合同；b.按照本须知第22条规定提交履约保证金。</w:t>
      </w:r>
    </w:p>
    <w:p w14:paraId="54A64F2B">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（3）招标文件规定不予退还投标保证金的其他情形。</w:t>
      </w:r>
    </w:p>
    <w:p w14:paraId="35440021">
      <w:pPr>
        <w:autoSpaceDE w:val="0"/>
        <w:autoSpaceDN w:val="0"/>
        <w:adjustRightInd w:val="0"/>
        <w:spacing w:line="360" w:lineRule="auto"/>
        <w:jc w:val="left"/>
        <w:rPr>
          <w:rFonts w:ascii="宋体" w:hAnsi="宋体" w:eastAsia="宋体" w:cs="宋体"/>
          <w:b/>
          <w:sz w:val="24"/>
          <w:szCs w:val="24"/>
          <w:lang w:val="zh-CN"/>
        </w:rPr>
      </w:pPr>
      <w:r>
        <w:rPr>
          <w:rFonts w:hint="eastAsia" w:ascii="宋体" w:hAnsi="宋体" w:eastAsia="宋体" w:cs="宋体"/>
          <w:b/>
          <w:sz w:val="24"/>
          <w:szCs w:val="24"/>
          <w:lang w:val="zh-CN"/>
        </w:rPr>
        <w:t>12. 投标有效期：</w:t>
      </w:r>
    </w:p>
    <w:p w14:paraId="37A681A0">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12.1自开标之日起90天。投标文件在这个规定期限内应保持有效。</w:t>
      </w:r>
    </w:p>
    <w:p w14:paraId="216BC383">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12.2在特殊情况下，经采购人同意，采购代理机构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24701C38">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12.3中标人的投标文件有效期等同于合同履行期。</w:t>
      </w:r>
    </w:p>
    <w:p w14:paraId="5B0B861D">
      <w:pPr>
        <w:autoSpaceDE w:val="0"/>
        <w:autoSpaceDN w:val="0"/>
        <w:adjustRightInd w:val="0"/>
        <w:spacing w:line="360" w:lineRule="auto"/>
        <w:jc w:val="left"/>
        <w:rPr>
          <w:rFonts w:ascii="宋体" w:hAnsi="宋体" w:eastAsia="宋体" w:cs="宋体"/>
          <w:b/>
          <w:sz w:val="24"/>
          <w:szCs w:val="24"/>
          <w:lang w:val="zh-CN"/>
        </w:rPr>
      </w:pPr>
      <w:r>
        <w:rPr>
          <w:rFonts w:hint="eastAsia" w:ascii="宋体" w:hAnsi="宋体" w:eastAsia="宋体" w:cs="宋体"/>
          <w:b/>
          <w:sz w:val="24"/>
          <w:szCs w:val="24"/>
          <w:lang w:val="zh-CN"/>
        </w:rPr>
        <w:t>13. 投标文件的式样和签署（本项目为电子标，不适用）</w:t>
      </w:r>
    </w:p>
    <w:p w14:paraId="6ACD6EF4">
      <w:pPr>
        <w:autoSpaceDE w:val="0"/>
        <w:autoSpaceDN w:val="0"/>
        <w:adjustRightInd w:val="0"/>
        <w:spacing w:line="360" w:lineRule="auto"/>
        <w:ind w:firstLine="480" w:firstLineChars="200"/>
        <w:jc w:val="left"/>
        <w:rPr>
          <w:rFonts w:ascii="宋体" w:hAnsi="宋体" w:eastAsia="宋体" w:cs="宋体"/>
          <w:b w:val="0"/>
          <w:bCs/>
          <w:sz w:val="24"/>
          <w:szCs w:val="24"/>
          <w:lang w:val="zh-CN"/>
        </w:rPr>
      </w:pPr>
      <w:r>
        <w:rPr>
          <w:rFonts w:hint="eastAsia" w:ascii="宋体" w:hAnsi="宋体" w:eastAsia="宋体" w:cs="宋体"/>
          <w:b w:val="0"/>
          <w:bCs/>
          <w:sz w:val="24"/>
          <w:szCs w:val="24"/>
          <w:lang w:val="zh-CN"/>
        </w:rPr>
        <w:t>13.1投标文件需打印或用不褪色墨水书写。《投标文件构成、要求及格式》中凡要求签署和加盖公章的，均须由投标人的法定代表人或其授权代理人手书签字和加盖投标人公章。投标文件由法定代表人签署的，须与其企业法人营业执照相符；由授权代理人签署的，须提交以书面形式出具的《法定代表人授权书》。</w:t>
      </w:r>
    </w:p>
    <w:p w14:paraId="00C57918">
      <w:pPr>
        <w:autoSpaceDE w:val="0"/>
        <w:autoSpaceDN w:val="0"/>
        <w:adjustRightInd w:val="0"/>
        <w:spacing w:line="360" w:lineRule="auto"/>
        <w:ind w:firstLine="480" w:firstLineChars="200"/>
        <w:jc w:val="left"/>
        <w:rPr>
          <w:rFonts w:ascii="宋体" w:hAnsi="宋体" w:eastAsia="宋体" w:cs="宋体"/>
          <w:b w:val="0"/>
          <w:bCs/>
          <w:sz w:val="24"/>
          <w:szCs w:val="24"/>
          <w:lang w:val="zh-CN"/>
        </w:rPr>
      </w:pPr>
      <w:r>
        <w:rPr>
          <w:rFonts w:hint="eastAsia" w:ascii="宋体" w:hAnsi="宋体" w:eastAsia="宋体" w:cs="宋体"/>
          <w:b w:val="0"/>
          <w:bCs/>
          <w:sz w:val="24"/>
          <w:szCs w:val="24"/>
          <w:lang w:val="zh-CN"/>
        </w:rPr>
        <w:t>13.2 投标文件中如有修改错漏处，应在修改处加盖投标人公章。</w:t>
      </w:r>
    </w:p>
    <w:p w14:paraId="38D05A8D">
      <w:pPr>
        <w:autoSpaceDE w:val="0"/>
        <w:autoSpaceDN w:val="0"/>
        <w:adjustRightInd w:val="0"/>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14. 投标文件的修改和撤回</w:t>
      </w:r>
    </w:p>
    <w:p w14:paraId="749825F6">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14.</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 xml:space="preserve"> 在投标截止时间之后，投标人不得对其投标文件做任何修改（包括开标一览表的内容）。</w:t>
      </w:r>
    </w:p>
    <w:p w14:paraId="31BFBA80">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14.</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从开标时间起，至投标有效期期满，投标人不得撤回其投标，否则，其投标保证金将不予退还。</w:t>
      </w:r>
    </w:p>
    <w:p w14:paraId="5AEC388A">
      <w:pPr>
        <w:autoSpaceDE w:val="0"/>
        <w:autoSpaceDN w:val="0"/>
        <w:adjustRightInd w:val="0"/>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15. 投标</w:t>
      </w:r>
    </w:p>
    <w:p w14:paraId="6378985F">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15.</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 xml:space="preserve"> 首次招标投标截止时间结束后投标人不足三家的，将重新招标；重新招标仍出现本款前述情形的，可按本须知第19条规定办理。</w:t>
      </w:r>
    </w:p>
    <w:p w14:paraId="4C26D24A">
      <w:pPr>
        <w:autoSpaceDE w:val="0"/>
        <w:autoSpaceDN w:val="0"/>
        <w:adjustRightInd w:val="0"/>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16. 开标</w:t>
      </w:r>
    </w:p>
    <w:p w14:paraId="0CA07B71">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16.1采购人将在招标公告规定的时间和地点公开开标。</w:t>
      </w:r>
    </w:p>
    <w:p w14:paraId="0C0D5D39">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16.2 开标会由采购代理机构组织并主持。</w:t>
      </w:r>
    </w:p>
    <w:p w14:paraId="30E47FDF">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16.3 开标时，采购代理机构将按照投标人提交的“开标一览表”，当众宣读投标人名称、投标报价、</w:t>
      </w:r>
      <w:bookmarkStart w:id="55" w:name="OLE_LINK28"/>
      <w:r>
        <w:rPr>
          <w:rFonts w:hint="eastAsia" w:ascii="宋体" w:hAnsi="宋体" w:eastAsia="宋体" w:cs="宋体"/>
          <w:sz w:val="24"/>
          <w:szCs w:val="24"/>
          <w:lang w:val="zh-CN"/>
        </w:rPr>
        <w:t>合同履行期限</w:t>
      </w:r>
      <w:bookmarkEnd w:id="55"/>
      <w:r>
        <w:rPr>
          <w:rFonts w:hint="eastAsia" w:ascii="宋体" w:hAnsi="宋体" w:eastAsia="宋体" w:cs="宋体"/>
          <w:sz w:val="24"/>
          <w:szCs w:val="24"/>
          <w:lang w:val="zh-CN"/>
        </w:rPr>
        <w:t>、是否提交了投标保证金等内容。</w:t>
      </w:r>
    </w:p>
    <w:p w14:paraId="468EB185">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16.</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 xml:space="preserve"> 采购代理机构将做开标记录，开标记录包括按本须知的规定在开标时宣读的全部内容。开标记录由参加开标的相关人员签字确认。</w:t>
      </w:r>
    </w:p>
    <w:p w14:paraId="2E78F883">
      <w:pPr>
        <w:autoSpaceDE w:val="0"/>
        <w:autoSpaceDN w:val="0"/>
        <w:adjustRightInd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16.7 开标时有下列情形之一的为无效投标：</w:t>
      </w:r>
    </w:p>
    <w:p w14:paraId="5B827672">
      <w:pPr>
        <w:autoSpaceDE w:val="0"/>
        <w:autoSpaceDN w:val="0"/>
        <w:adjustRightInd w:val="0"/>
        <w:spacing w:line="360" w:lineRule="auto"/>
        <w:ind w:firstLine="720" w:firstLineChars="300"/>
        <w:rPr>
          <w:rFonts w:ascii="宋体" w:hAnsi="宋体" w:eastAsia="宋体" w:cs="宋体"/>
          <w:sz w:val="24"/>
          <w:szCs w:val="24"/>
          <w:lang w:val="zh-CN"/>
        </w:rPr>
      </w:pPr>
      <w:r>
        <w:rPr>
          <w:rFonts w:hint="eastAsia" w:ascii="宋体" w:hAnsi="宋体" w:eastAsia="宋体" w:cs="宋体"/>
          <w:sz w:val="24"/>
          <w:szCs w:val="24"/>
          <w:lang w:val="zh-CN"/>
        </w:rPr>
        <w:t>（1）投标文件在规定的投标截止时间以后远程解密的；</w:t>
      </w:r>
    </w:p>
    <w:p w14:paraId="6144C31B">
      <w:pPr>
        <w:autoSpaceDE w:val="0"/>
        <w:autoSpaceDN w:val="0"/>
        <w:adjustRightInd w:val="0"/>
        <w:spacing w:line="360" w:lineRule="auto"/>
        <w:ind w:firstLine="720" w:firstLineChars="300"/>
        <w:rPr>
          <w:rFonts w:ascii="宋体" w:hAnsi="宋体" w:eastAsia="宋体" w:cs="宋体"/>
          <w:sz w:val="24"/>
          <w:szCs w:val="24"/>
          <w:lang w:val="zh-CN"/>
        </w:rPr>
      </w:pPr>
      <w:r>
        <w:rPr>
          <w:rFonts w:hint="eastAsia" w:ascii="宋体" w:hAnsi="宋体" w:eastAsia="宋体" w:cs="宋体"/>
          <w:sz w:val="24"/>
          <w:szCs w:val="24"/>
          <w:lang w:val="zh-CN"/>
        </w:rPr>
        <w:t>（2）未按招标文件规定提交投标保证金的；</w:t>
      </w:r>
    </w:p>
    <w:p w14:paraId="60DF9A37">
      <w:pPr>
        <w:autoSpaceDE w:val="0"/>
        <w:autoSpaceDN w:val="0"/>
        <w:adjustRightInd w:val="0"/>
        <w:spacing w:line="360" w:lineRule="auto"/>
        <w:ind w:firstLine="720" w:firstLineChars="300"/>
        <w:rPr>
          <w:rFonts w:ascii="宋体" w:hAnsi="宋体" w:eastAsia="宋体" w:cs="宋体"/>
          <w:sz w:val="24"/>
          <w:szCs w:val="24"/>
          <w:lang w:val="zh-CN"/>
        </w:rPr>
      </w:pPr>
      <w:r>
        <w:rPr>
          <w:rFonts w:hint="eastAsia" w:ascii="宋体" w:hAnsi="宋体" w:eastAsia="宋体" w:cs="宋体"/>
          <w:sz w:val="24"/>
          <w:szCs w:val="24"/>
          <w:lang w:val="zh-CN"/>
        </w:rPr>
        <w:t>（5）招标文件规定开标时属于无效投标的其他情形。</w:t>
      </w:r>
    </w:p>
    <w:p w14:paraId="0552E711">
      <w:pPr>
        <w:autoSpaceDE w:val="0"/>
        <w:autoSpaceDN w:val="0"/>
        <w:adjustRightInd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16.8 开标时有下列情形之一的，采购代理机构有权宣布本项目废标：</w:t>
      </w:r>
    </w:p>
    <w:p w14:paraId="1A9E0136">
      <w:pPr>
        <w:autoSpaceDE w:val="0"/>
        <w:autoSpaceDN w:val="0"/>
        <w:adjustRightInd w:val="0"/>
        <w:spacing w:line="360" w:lineRule="auto"/>
        <w:ind w:firstLine="720" w:firstLineChars="300"/>
        <w:rPr>
          <w:rFonts w:ascii="宋体" w:hAnsi="宋体" w:eastAsia="宋体" w:cs="宋体"/>
          <w:sz w:val="24"/>
          <w:szCs w:val="24"/>
          <w:lang w:val="zh-CN"/>
        </w:rPr>
      </w:pPr>
      <w:r>
        <w:rPr>
          <w:rFonts w:hint="eastAsia" w:ascii="宋体" w:hAnsi="宋体" w:eastAsia="宋体" w:cs="宋体"/>
          <w:sz w:val="24"/>
          <w:szCs w:val="24"/>
          <w:lang w:val="zh-CN"/>
        </w:rPr>
        <w:t>（1）合同履行期限符合招标文件要求的投标人不足三家的；</w:t>
      </w:r>
    </w:p>
    <w:p w14:paraId="41C7490D">
      <w:pPr>
        <w:autoSpaceDE w:val="0"/>
        <w:autoSpaceDN w:val="0"/>
        <w:adjustRightInd w:val="0"/>
        <w:spacing w:line="360" w:lineRule="auto"/>
        <w:ind w:firstLine="720" w:firstLineChars="300"/>
        <w:rPr>
          <w:rFonts w:ascii="宋体" w:hAnsi="宋体" w:eastAsia="宋体" w:cs="宋体"/>
          <w:b/>
          <w:sz w:val="24"/>
          <w:szCs w:val="24"/>
          <w:lang w:val="zh-CN"/>
        </w:rPr>
      </w:pPr>
      <w:r>
        <w:rPr>
          <w:rFonts w:hint="eastAsia" w:ascii="宋体" w:hAnsi="宋体" w:eastAsia="宋体" w:cs="宋体"/>
          <w:sz w:val="24"/>
          <w:szCs w:val="24"/>
          <w:lang w:val="zh-CN"/>
        </w:rPr>
        <w:t>（2）所有投标人的报价均超过采购项目预算，采购人不能支付的。</w:t>
      </w:r>
    </w:p>
    <w:p w14:paraId="77CFFD75">
      <w:pPr>
        <w:tabs>
          <w:tab w:val="left" w:pos="1920"/>
        </w:tabs>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首次招标废标后将重新招标，重新招标仍出现本款情形的，可按本须知第19条规定处理。</w:t>
      </w:r>
    </w:p>
    <w:p w14:paraId="254663F7">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b/>
          <w:sz w:val="24"/>
          <w:szCs w:val="24"/>
          <w:lang w:val="zh-CN"/>
        </w:rPr>
        <w:t>17. 评标过程的保密性：</w:t>
      </w:r>
      <w:r>
        <w:rPr>
          <w:rFonts w:hint="eastAsia" w:ascii="宋体" w:hAnsi="宋体" w:eastAsia="宋体" w:cs="宋体"/>
          <w:sz w:val="24"/>
          <w:szCs w:val="24"/>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05230005">
      <w:pPr>
        <w:autoSpaceDE w:val="0"/>
        <w:autoSpaceDN w:val="0"/>
        <w:adjustRightInd w:val="0"/>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18. 评标</w:t>
      </w:r>
    </w:p>
    <w:p w14:paraId="18631ABD">
      <w:pPr>
        <w:autoSpaceDE w:val="0"/>
        <w:autoSpaceDN w:val="0"/>
        <w:adjustRightInd w:val="0"/>
        <w:spacing w:line="360" w:lineRule="auto"/>
        <w:ind w:firstLine="482" w:firstLineChars="200"/>
        <w:rPr>
          <w:rFonts w:ascii="宋体" w:hAnsi="宋体" w:eastAsia="宋体" w:cs="宋体"/>
          <w:sz w:val="24"/>
          <w:szCs w:val="24"/>
          <w:lang w:val="zh-CN"/>
        </w:rPr>
      </w:pPr>
      <w:r>
        <w:rPr>
          <w:rFonts w:hint="eastAsia" w:ascii="宋体" w:hAnsi="宋体" w:eastAsia="宋体" w:cs="宋体"/>
          <w:b/>
          <w:sz w:val="24"/>
          <w:szCs w:val="24"/>
          <w:lang w:val="zh-CN"/>
        </w:rPr>
        <w:t>18.1 评标工作由采购代理机构负责组织，具体评标工作由采购人依法组建的评标委员会负责。</w:t>
      </w:r>
      <w:r>
        <w:rPr>
          <w:rFonts w:hint="eastAsia" w:ascii="宋体" w:hAnsi="宋体" w:eastAsia="宋体" w:cs="宋体"/>
          <w:sz w:val="24"/>
          <w:szCs w:val="24"/>
          <w:lang w:val="zh-CN"/>
        </w:rPr>
        <w:t>评标委员会由有关的技术、经济方面的专家组成。评标委员会的专家成员由吉林省政务大厅评标专家库中随机抽取。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4D6E4210">
      <w:pPr>
        <w:autoSpaceDE w:val="0"/>
        <w:autoSpaceDN w:val="0"/>
        <w:adjustRightInd w:val="0"/>
        <w:spacing w:line="360" w:lineRule="auto"/>
        <w:ind w:firstLine="482" w:firstLineChars="200"/>
        <w:rPr>
          <w:rFonts w:ascii="宋体" w:hAnsi="宋体" w:eastAsia="宋体" w:cs="宋体"/>
          <w:sz w:val="24"/>
          <w:szCs w:val="24"/>
          <w:lang w:val="zh-CN"/>
        </w:rPr>
      </w:pPr>
      <w:r>
        <w:rPr>
          <w:rFonts w:hint="eastAsia" w:ascii="宋体" w:hAnsi="宋体" w:eastAsia="宋体" w:cs="宋体"/>
          <w:b/>
          <w:sz w:val="24"/>
          <w:szCs w:val="24"/>
          <w:lang w:val="zh-CN"/>
        </w:rPr>
        <w:t>18.2 审查是否所有投标人的报价均超过采购预算：</w:t>
      </w:r>
      <w:r>
        <w:rPr>
          <w:rFonts w:hint="eastAsia" w:ascii="宋体" w:hAnsi="宋体" w:eastAsia="宋体" w:cs="宋体"/>
          <w:sz w:val="24"/>
          <w:szCs w:val="24"/>
          <w:lang w:val="zh-CN"/>
        </w:rPr>
        <w:t>根据《中华人民共和国政府采购法》的规定，所有投标人的报价均超过采购预算，采购人不能支付的，应予废标。</w:t>
      </w:r>
    </w:p>
    <w:p w14:paraId="6CBA7BD6">
      <w:pPr>
        <w:autoSpaceDE w:val="0"/>
        <w:autoSpaceDN w:val="0"/>
        <w:adjustRightInd w:val="0"/>
        <w:spacing w:line="360" w:lineRule="auto"/>
        <w:ind w:firstLine="482" w:firstLineChars="200"/>
        <w:rPr>
          <w:rFonts w:ascii="宋体" w:hAnsi="宋体" w:eastAsia="宋体" w:cs="宋体"/>
          <w:sz w:val="24"/>
          <w:szCs w:val="24"/>
          <w:lang w:val="zh-CN"/>
        </w:rPr>
      </w:pPr>
      <w:r>
        <w:rPr>
          <w:rFonts w:hint="eastAsia" w:ascii="宋体" w:hAnsi="宋体" w:eastAsia="宋体" w:cs="宋体"/>
          <w:b/>
          <w:sz w:val="24"/>
          <w:szCs w:val="24"/>
          <w:lang w:val="zh-CN"/>
        </w:rPr>
        <w:t>18.3 审查投标人是否存在串通投标行为：</w:t>
      </w:r>
      <w:r>
        <w:rPr>
          <w:rFonts w:hint="eastAsia" w:ascii="宋体" w:hAnsi="宋体" w:eastAsia="宋体" w:cs="宋体"/>
          <w:sz w:val="24"/>
          <w:szCs w:val="24"/>
          <w:lang w:val="zh-CN"/>
        </w:rPr>
        <w:t>评标委员会发现投标人有下列情形之一的，将视为串通投标行为，相关投标人的投标应作废标处理。评标结束后，招标机构将以书面形式报告吉林省政府采购监督管理部门：</w:t>
      </w:r>
    </w:p>
    <w:p w14:paraId="0D698D46">
      <w:pPr>
        <w:autoSpaceDE w:val="0"/>
        <w:autoSpaceDN w:val="0"/>
        <w:adjustRightInd w:val="0"/>
        <w:spacing w:line="360" w:lineRule="auto"/>
        <w:ind w:firstLine="720" w:firstLineChars="300"/>
        <w:rPr>
          <w:rFonts w:ascii="宋体" w:hAnsi="宋体" w:eastAsia="宋体" w:cs="宋体"/>
          <w:bCs/>
          <w:sz w:val="24"/>
          <w:szCs w:val="24"/>
          <w:lang w:val="zh-CN"/>
        </w:rPr>
      </w:pPr>
      <w:r>
        <w:rPr>
          <w:rFonts w:hint="eastAsia" w:ascii="宋体" w:hAnsi="宋体" w:eastAsia="宋体" w:cs="宋体"/>
          <w:bCs/>
          <w:sz w:val="24"/>
          <w:szCs w:val="24"/>
          <w:lang w:val="zh-CN"/>
        </w:rPr>
        <w:t>（一）不同投标人的投标文件由同一单位或者个人编制；</w:t>
      </w:r>
    </w:p>
    <w:p w14:paraId="1C04070E">
      <w:pPr>
        <w:autoSpaceDE w:val="0"/>
        <w:autoSpaceDN w:val="0"/>
        <w:adjustRightInd w:val="0"/>
        <w:spacing w:line="360" w:lineRule="auto"/>
        <w:ind w:firstLine="720" w:firstLineChars="300"/>
        <w:rPr>
          <w:rFonts w:ascii="宋体" w:hAnsi="宋体" w:eastAsia="宋体" w:cs="宋体"/>
          <w:bCs/>
          <w:sz w:val="24"/>
          <w:szCs w:val="24"/>
          <w:lang w:val="zh-CN"/>
        </w:rPr>
      </w:pPr>
      <w:r>
        <w:rPr>
          <w:rFonts w:hint="eastAsia" w:ascii="宋体" w:hAnsi="宋体" w:eastAsia="宋体" w:cs="宋体"/>
          <w:bCs/>
          <w:sz w:val="24"/>
          <w:szCs w:val="24"/>
          <w:lang w:val="zh-CN"/>
        </w:rPr>
        <w:t>（二）不同投标人委托同一单位或者个人办理投标事宜；</w:t>
      </w:r>
    </w:p>
    <w:p w14:paraId="6810FABE">
      <w:pPr>
        <w:autoSpaceDE w:val="0"/>
        <w:autoSpaceDN w:val="0"/>
        <w:adjustRightInd w:val="0"/>
        <w:spacing w:line="360" w:lineRule="auto"/>
        <w:ind w:firstLine="720" w:firstLineChars="300"/>
        <w:rPr>
          <w:rFonts w:ascii="宋体" w:hAnsi="宋体" w:eastAsia="宋体" w:cs="宋体"/>
          <w:bCs/>
          <w:sz w:val="24"/>
          <w:szCs w:val="24"/>
          <w:lang w:val="zh-CN"/>
        </w:rPr>
      </w:pPr>
      <w:r>
        <w:rPr>
          <w:rFonts w:hint="eastAsia" w:ascii="宋体" w:hAnsi="宋体" w:eastAsia="宋体" w:cs="宋体"/>
          <w:bCs/>
          <w:sz w:val="24"/>
          <w:szCs w:val="24"/>
          <w:lang w:val="zh-CN"/>
        </w:rPr>
        <w:t>（三）不同投标人的投标文件载明的项目管理成员或者联系人员为同一人；</w:t>
      </w:r>
    </w:p>
    <w:p w14:paraId="11C9A935">
      <w:pPr>
        <w:autoSpaceDE w:val="0"/>
        <w:autoSpaceDN w:val="0"/>
        <w:adjustRightInd w:val="0"/>
        <w:spacing w:line="360" w:lineRule="auto"/>
        <w:ind w:firstLine="720" w:firstLineChars="300"/>
        <w:rPr>
          <w:rFonts w:ascii="宋体" w:hAnsi="宋体" w:eastAsia="宋体" w:cs="宋体"/>
          <w:bCs/>
          <w:sz w:val="24"/>
          <w:szCs w:val="24"/>
          <w:lang w:val="zh-CN"/>
        </w:rPr>
      </w:pPr>
      <w:r>
        <w:rPr>
          <w:rFonts w:hint="eastAsia" w:ascii="宋体" w:hAnsi="宋体" w:eastAsia="宋体" w:cs="宋体"/>
          <w:bCs/>
          <w:sz w:val="24"/>
          <w:szCs w:val="24"/>
          <w:lang w:val="zh-CN"/>
        </w:rPr>
        <w:t>（四）不同投标人的投标文件异常一致或者投标报价呈规律性差异；</w:t>
      </w:r>
    </w:p>
    <w:p w14:paraId="0C6F57EE">
      <w:pPr>
        <w:autoSpaceDE w:val="0"/>
        <w:autoSpaceDN w:val="0"/>
        <w:adjustRightInd w:val="0"/>
        <w:spacing w:line="360" w:lineRule="auto"/>
        <w:ind w:firstLine="720" w:firstLineChars="300"/>
        <w:rPr>
          <w:rFonts w:ascii="宋体" w:hAnsi="宋体" w:eastAsia="宋体" w:cs="宋体"/>
          <w:bCs/>
          <w:sz w:val="24"/>
          <w:szCs w:val="24"/>
          <w:lang w:val="zh-CN"/>
        </w:rPr>
      </w:pPr>
      <w:r>
        <w:rPr>
          <w:rFonts w:hint="eastAsia" w:ascii="宋体" w:hAnsi="宋体" w:eastAsia="宋体" w:cs="宋体"/>
          <w:bCs/>
          <w:sz w:val="24"/>
          <w:szCs w:val="24"/>
          <w:lang w:val="zh-CN"/>
        </w:rPr>
        <w:t>（五）不同投标人的投标文件相互混装；</w:t>
      </w:r>
    </w:p>
    <w:p w14:paraId="5FEFACF0">
      <w:pPr>
        <w:autoSpaceDE w:val="0"/>
        <w:autoSpaceDN w:val="0"/>
        <w:adjustRightInd w:val="0"/>
        <w:spacing w:line="360" w:lineRule="auto"/>
        <w:ind w:firstLine="720" w:firstLineChars="300"/>
        <w:rPr>
          <w:rFonts w:ascii="宋体" w:hAnsi="宋体" w:eastAsia="宋体" w:cs="宋体"/>
          <w:b/>
          <w:sz w:val="24"/>
          <w:szCs w:val="24"/>
          <w:lang w:val="zh-CN"/>
        </w:rPr>
      </w:pPr>
      <w:r>
        <w:rPr>
          <w:rFonts w:hint="eastAsia" w:ascii="宋体" w:hAnsi="宋体" w:eastAsia="宋体" w:cs="宋体"/>
          <w:bCs/>
          <w:sz w:val="24"/>
          <w:szCs w:val="24"/>
          <w:lang w:val="zh-CN"/>
        </w:rPr>
        <w:t>（六）不同投标人的投标保证金从同一单位或者个人的账户转出。</w:t>
      </w:r>
    </w:p>
    <w:p w14:paraId="02A8C18A">
      <w:pPr>
        <w:autoSpaceDE w:val="0"/>
        <w:autoSpaceDN w:val="0"/>
        <w:adjustRightInd w:val="0"/>
        <w:spacing w:line="360" w:lineRule="auto"/>
        <w:ind w:firstLine="482" w:firstLineChars="200"/>
        <w:rPr>
          <w:rFonts w:ascii="宋体" w:hAnsi="宋体" w:eastAsia="宋体" w:cs="宋体"/>
          <w:sz w:val="24"/>
          <w:szCs w:val="24"/>
          <w:lang w:val="zh-CN"/>
        </w:rPr>
      </w:pPr>
      <w:r>
        <w:rPr>
          <w:rFonts w:hint="eastAsia" w:ascii="宋体" w:hAnsi="宋体" w:eastAsia="宋体" w:cs="宋体"/>
          <w:b/>
          <w:sz w:val="24"/>
          <w:szCs w:val="24"/>
          <w:lang w:val="zh-CN"/>
        </w:rPr>
        <w:t>18.4 对投标文件</w:t>
      </w:r>
      <w:r>
        <w:rPr>
          <w:rFonts w:hint="eastAsia" w:ascii="宋体" w:hAnsi="宋体" w:eastAsia="宋体" w:cs="宋体"/>
          <w:b/>
          <w:sz w:val="24"/>
          <w:szCs w:val="24"/>
        </w:rPr>
        <w:t>资格</w:t>
      </w:r>
      <w:r>
        <w:rPr>
          <w:rFonts w:hint="eastAsia" w:ascii="宋体" w:hAnsi="宋体" w:eastAsia="宋体" w:cs="宋体"/>
          <w:b/>
          <w:sz w:val="24"/>
          <w:szCs w:val="24"/>
          <w:lang w:val="zh-CN"/>
        </w:rPr>
        <w:t>部分进行审查：</w:t>
      </w:r>
      <w:r>
        <w:rPr>
          <w:rFonts w:hint="eastAsia" w:ascii="宋体" w:hAnsi="宋体" w:eastAsia="宋体" w:cs="宋体"/>
          <w:sz w:val="24"/>
          <w:szCs w:val="21"/>
        </w:rPr>
        <w:t>采购人或者采购代理机构应当依法审查</w:t>
      </w:r>
      <w:r>
        <w:rPr>
          <w:rFonts w:hint="eastAsia" w:ascii="宋体" w:hAnsi="宋体" w:eastAsia="宋体" w:cs="宋体"/>
          <w:sz w:val="24"/>
          <w:szCs w:val="24"/>
          <w:lang w:val="zh-CN"/>
        </w:rPr>
        <w:t>每个投标人提交的</w:t>
      </w:r>
      <w:r>
        <w:rPr>
          <w:rFonts w:hint="eastAsia" w:ascii="宋体" w:hAnsi="宋体" w:eastAsia="宋体" w:cs="宋体"/>
          <w:sz w:val="24"/>
          <w:szCs w:val="24"/>
        </w:rPr>
        <w:t>资格</w:t>
      </w:r>
      <w:r>
        <w:rPr>
          <w:rFonts w:hint="eastAsia" w:ascii="宋体" w:hAnsi="宋体" w:eastAsia="宋体" w:cs="宋体"/>
          <w:sz w:val="24"/>
          <w:szCs w:val="24"/>
          <w:lang w:val="zh-CN"/>
        </w:rPr>
        <w:t>文件是否齐全完整，是否合法有效，是否有重大偏离和保留，是否符合招标文件要求。不符合招标文件要求的投标文件将被拒绝。</w:t>
      </w:r>
    </w:p>
    <w:p w14:paraId="17410594">
      <w:pPr>
        <w:autoSpaceDE w:val="0"/>
        <w:autoSpaceDN w:val="0"/>
        <w:adjustRightInd w:val="0"/>
        <w:spacing w:line="360" w:lineRule="auto"/>
        <w:ind w:firstLine="482" w:firstLineChars="200"/>
        <w:rPr>
          <w:rFonts w:ascii="宋体" w:hAnsi="宋体" w:eastAsia="宋体" w:cs="宋体"/>
          <w:sz w:val="24"/>
          <w:szCs w:val="24"/>
          <w:lang w:val="zh-CN"/>
        </w:rPr>
      </w:pPr>
      <w:r>
        <w:rPr>
          <w:rFonts w:hint="eastAsia" w:ascii="宋体" w:hAnsi="宋体" w:eastAsia="宋体" w:cs="宋体"/>
          <w:b/>
          <w:sz w:val="24"/>
          <w:szCs w:val="24"/>
          <w:lang w:val="zh-CN"/>
        </w:rPr>
        <w:t>18.5 对投标文件符合性部分进行审查：</w:t>
      </w:r>
    </w:p>
    <w:p w14:paraId="4B45D04D">
      <w:pPr>
        <w:autoSpaceDE w:val="0"/>
        <w:autoSpaceDN w:val="0"/>
        <w:adjustRightInd w:val="0"/>
        <w:spacing w:line="360" w:lineRule="auto"/>
        <w:ind w:firstLine="723" w:firstLineChars="300"/>
        <w:rPr>
          <w:rFonts w:ascii="宋体" w:hAnsi="宋体" w:eastAsia="宋体" w:cs="宋体"/>
          <w:sz w:val="24"/>
          <w:szCs w:val="24"/>
          <w:lang w:val="zh-CN"/>
        </w:rPr>
      </w:pPr>
      <w:r>
        <w:rPr>
          <w:rFonts w:hint="eastAsia" w:ascii="宋体" w:hAnsi="宋体" w:eastAsia="宋体" w:cs="宋体"/>
          <w:b/>
          <w:sz w:val="24"/>
          <w:szCs w:val="24"/>
          <w:lang w:val="zh-CN"/>
        </w:rPr>
        <w:t xml:space="preserve">18.5.1 </w:t>
      </w:r>
      <w:r>
        <w:rPr>
          <w:rFonts w:hint="eastAsia" w:ascii="宋体" w:hAnsi="宋体" w:eastAsia="宋体" w:cs="宋体"/>
          <w:sz w:val="24"/>
          <w:szCs w:val="24"/>
          <w:lang w:val="zh-CN"/>
        </w:rPr>
        <w:t>对于符合性审查合格的投标人，评标委员会将审查其投标文件是否对招标文件规定的事项、格式、条款和技术规格等要求都做出了实质性响应。</w:t>
      </w:r>
    </w:p>
    <w:p w14:paraId="038BC741">
      <w:pPr>
        <w:autoSpaceDE w:val="0"/>
        <w:autoSpaceDN w:val="0"/>
        <w:adjustRightInd w:val="0"/>
        <w:spacing w:line="360" w:lineRule="auto"/>
        <w:ind w:firstLine="723" w:firstLineChars="300"/>
        <w:rPr>
          <w:rFonts w:ascii="宋体" w:hAnsi="宋体" w:eastAsia="宋体" w:cs="宋体"/>
          <w:b/>
          <w:sz w:val="24"/>
          <w:szCs w:val="24"/>
          <w:lang w:val="zh-CN"/>
        </w:rPr>
      </w:pPr>
      <w:r>
        <w:rPr>
          <w:rFonts w:hint="eastAsia" w:ascii="宋体" w:hAnsi="宋体" w:eastAsia="宋体" w:cs="宋体"/>
          <w:b/>
          <w:sz w:val="24"/>
          <w:szCs w:val="24"/>
          <w:lang w:val="zh-CN"/>
        </w:rPr>
        <w:t xml:space="preserve">18.5.2 </w:t>
      </w:r>
      <w:r>
        <w:rPr>
          <w:rFonts w:hint="eastAsia" w:ascii="宋体" w:hAnsi="宋体" w:eastAsia="宋体" w:cs="宋体"/>
          <w:sz w:val="24"/>
          <w:szCs w:val="24"/>
          <w:lang w:val="zh-CN"/>
        </w:rPr>
        <w:t>实质性响应的投标是指与招标文件规定的事项、条款、条件和技术规格相符，没有重大偏离和保留。没有实质性响应招标文件要求的投标将被拒绝。</w:t>
      </w:r>
    </w:p>
    <w:p w14:paraId="7B313CA2">
      <w:pPr>
        <w:autoSpaceDE w:val="0"/>
        <w:autoSpaceDN w:val="0"/>
        <w:adjustRightInd w:val="0"/>
        <w:spacing w:line="360" w:lineRule="auto"/>
        <w:ind w:firstLine="482" w:firstLineChars="200"/>
        <w:rPr>
          <w:rFonts w:ascii="宋体" w:hAnsi="宋体" w:eastAsia="宋体" w:cs="宋体"/>
          <w:sz w:val="24"/>
          <w:szCs w:val="24"/>
          <w:lang w:val="zh-CN"/>
        </w:rPr>
      </w:pPr>
      <w:r>
        <w:rPr>
          <w:rFonts w:hint="eastAsia" w:ascii="宋体" w:hAnsi="宋体" w:eastAsia="宋体" w:cs="宋体"/>
          <w:b/>
          <w:sz w:val="24"/>
          <w:szCs w:val="24"/>
          <w:lang w:val="zh-CN"/>
        </w:rPr>
        <w:t xml:space="preserve">18.6 </w:t>
      </w:r>
      <w:r>
        <w:rPr>
          <w:rFonts w:hint="eastAsia" w:ascii="宋体" w:hAnsi="宋体" w:eastAsia="宋体" w:cs="宋体"/>
          <w:sz w:val="24"/>
          <w:szCs w:val="24"/>
          <w:lang w:val="zh-CN"/>
        </w:rPr>
        <w:t>重大偏离和保留是指实质上影响合同的供货范围、质量和性能，或者实质上限制了合同中采购人的权利或投标人的义务。投标文件有下列情形之一的属于重大偏离和保留，将作废标处理：</w:t>
      </w:r>
    </w:p>
    <w:p w14:paraId="2A521501">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（1）投标人未按招标文件规定提交所要求提交的全部文件或者提交的文件无效或者不符合招标文件的规定；</w:t>
      </w:r>
    </w:p>
    <w:p w14:paraId="410D1BE0">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（2）投标文件未按招标文件的规定有效签署和加盖公章；</w:t>
      </w:r>
    </w:p>
    <w:p w14:paraId="69D9FA93">
      <w:pPr>
        <w:tabs>
          <w:tab w:val="left" w:pos="19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（3）投标文件载明的项目完成期限超过招标文件规定的期限；</w:t>
      </w:r>
    </w:p>
    <w:p w14:paraId="6C5A5DFB">
      <w:pPr>
        <w:tabs>
          <w:tab w:val="left" w:pos="19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（4）投标文件不符合招标文件规定的技术规格、技术标准要求或有一项不满足星号条款；</w:t>
      </w:r>
    </w:p>
    <w:p w14:paraId="6193278A">
      <w:pPr>
        <w:tabs>
          <w:tab w:val="left" w:pos="19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（5）投标文件载明的货物包装方式、检验方法和标准等不符合招标文件要求；</w:t>
      </w:r>
    </w:p>
    <w:p w14:paraId="688F202F">
      <w:pPr>
        <w:tabs>
          <w:tab w:val="left" w:pos="1920"/>
        </w:tabs>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（6）投标文件附有采购人不能接受的条件；</w:t>
      </w:r>
    </w:p>
    <w:p w14:paraId="1F5FE233">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（7）不符合招标文件规定的其他实质性要求。</w:t>
      </w:r>
    </w:p>
    <w:p w14:paraId="70B7B1B3">
      <w:pPr>
        <w:spacing w:line="360" w:lineRule="auto"/>
        <w:ind w:firstLine="482" w:firstLineChars="200"/>
        <w:rPr>
          <w:rFonts w:ascii="宋体" w:hAnsi="宋体" w:eastAsia="宋体" w:cs="宋体"/>
          <w:sz w:val="24"/>
          <w:szCs w:val="24"/>
          <w:lang w:val="zh-CN"/>
        </w:rPr>
      </w:pPr>
      <w:r>
        <w:rPr>
          <w:rFonts w:hint="eastAsia" w:ascii="宋体" w:hAnsi="宋体" w:eastAsia="宋体" w:cs="宋体"/>
          <w:b/>
          <w:sz w:val="24"/>
          <w:szCs w:val="24"/>
          <w:lang w:val="zh-CN"/>
        </w:rPr>
        <w:t xml:space="preserve">18.7 </w:t>
      </w:r>
      <w:r>
        <w:rPr>
          <w:rFonts w:hint="eastAsia" w:ascii="宋体" w:hAnsi="宋体" w:eastAsia="宋体" w:cs="宋体"/>
          <w:sz w:val="24"/>
          <w:szCs w:val="24"/>
          <w:lang w:val="zh-CN"/>
        </w:rPr>
        <w:t>评标委员会将允许修正投标文件中不构成重大偏离的细微偏离，但这些修正应不会对实质上响应招标文件要求的投标人的竞争地位（相互排序）产生不公正的影响。</w:t>
      </w:r>
    </w:p>
    <w:p w14:paraId="3FF7FF32">
      <w:pPr>
        <w:autoSpaceDE w:val="0"/>
        <w:autoSpaceDN w:val="0"/>
        <w:adjustRightInd w:val="0"/>
        <w:spacing w:line="360" w:lineRule="auto"/>
        <w:ind w:firstLine="482" w:firstLineChars="200"/>
        <w:rPr>
          <w:rFonts w:ascii="宋体" w:hAnsi="宋体" w:eastAsia="宋体" w:cs="宋体"/>
          <w:sz w:val="24"/>
          <w:szCs w:val="24"/>
          <w:lang w:val="zh-CN"/>
        </w:rPr>
      </w:pPr>
      <w:r>
        <w:rPr>
          <w:rFonts w:hint="eastAsia" w:ascii="宋体" w:hAnsi="宋体" w:eastAsia="宋体" w:cs="宋体"/>
          <w:b/>
          <w:sz w:val="24"/>
          <w:szCs w:val="24"/>
          <w:lang w:val="zh-CN"/>
        </w:rPr>
        <w:t xml:space="preserve">18.8 </w:t>
      </w:r>
      <w:r>
        <w:rPr>
          <w:rFonts w:hint="eastAsia" w:ascii="宋体" w:hAnsi="宋体" w:eastAsia="宋体" w:cs="宋体"/>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50C70C4">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sz w:val="24"/>
          <w:szCs w:val="24"/>
        </w:rPr>
        <w:t>随机抽取</w:t>
      </w:r>
      <w:r>
        <w:rPr>
          <w:rFonts w:hint="eastAsia" w:ascii="宋体" w:hAnsi="宋体" w:eastAsia="宋体" w:cs="宋体"/>
          <w:sz w:val="24"/>
          <w:szCs w:val="24"/>
          <w:lang w:val="zh-CN"/>
        </w:rPr>
        <w:t>的方式确定一个投标人获得中标人推荐资格。</w:t>
      </w:r>
    </w:p>
    <w:p w14:paraId="1D248D30">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非单一产品采购项目，采购人应当根据采购项目技术构成、产品价格比重等合理确定核心产品，并在招标文件中载明。多家投标人提供的核心产品品牌相同的，按前两款规定处理。</w:t>
      </w:r>
    </w:p>
    <w:p w14:paraId="7847AE48">
      <w:pPr>
        <w:autoSpaceDE w:val="0"/>
        <w:autoSpaceDN w:val="0"/>
        <w:adjustRightInd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18.9 投标报价的审查：</w:t>
      </w:r>
    </w:p>
    <w:p w14:paraId="7452EE21">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18.9.1对投标文件的报价进行审核，看其是否有计算和累加上的错误。修正错误的原则如下：</w:t>
      </w:r>
    </w:p>
    <w:p w14:paraId="7372A8D2">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投标报价以《开标一览表》的报价为准，《投标报价明细表》的报价与《开标一览表》的报价不一致的，投标人应按《开标一览表》的报价相应修改《投标报价明细表》的报价，并相应修改分项报价。经投标人法定代表人或授权代理人签字确认后对投标人具有约束力。如果投标人不按照上述原则修正其投标报价及分项报价，则其投标将被拒绝。</w:t>
      </w:r>
    </w:p>
    <w:p w14:paraId="345BA918">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 投标报价有算术错误的，评标委员会按以下原则对投标报价进行修正，修正的价格经投标人书面确认后具有约束力。投标人不接受修正价格的，其投标作废标处理。</w:t>
      </w:r>
    </w:p>
    <w:p w14:paraId="17599CF5">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(1)投标文件中的大写金额与小写金额不一致的，以大写金额为准：</w:t>
      </w:r>
    </w:p>
    <w:p w14:paraId="2CAE4DBB">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(2)总价金额与依据单价计算出的结果不一致的，以单价金额为准修正总价，但单价金额小数点有明显错误的除外。</w:t>
      </w:r>
    </w:p>
    <w:p w14:paraId="0B7D951B">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18.9.2评标委员会将按上述原则调整投标文件的报价。</w:t>
      </w:r>
    </w:p>
    <w:p w14:paraId="243FBAA5">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18.9.3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3336665F">
      <w:pPr>
        <w:spacing w:line="360" w:lineRule="auto"/>
        <w:rPr>
          <w:rFonts w:ascii="宋体" w:hAnsi="宋体" w:eastAsia="宋体" w:cs="宋体"/>
          <w:b/>
          <w:sz w:val="24"/>
          <w:szCs w:val="24"/>
          <w:lang w:val="zh-CN"/>
        </w:rPr>
      </w:pPr>
      <w:r>
        <w:rPr>
          <w:rFonts w:hint="eastAsia" w:ascii="宋体" w:hAnsi="宋体" w:eastAsia="宋体" w:cs="宋体"/>
          <w:sz w:val="24"/>
          <w:szCs w:val="24"/>
          <w:lang w:val="zh-CN"/>
        </w:rPr>
        <w:t>接受细微偏离有利于采购成功，不应因细微偏离而废标。</w:t>
      </w:r>
    </w:p>
    <w:p w14:paraId="5CC1C341">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b/>
          <w:sz w:val="24"/>
          <w:szCs w:val="24"/>
          <w:lang w:val="zh-CN"/>
        </w:rPr>
        <w:t>19.</w:t>
      </w:r>
      <w:r>
        <w:rPr>
          <w:rFonts w:hint="eastAsia" w:ascii="宋体" w:hAnsi="宋体" w:eastAsia="宋体" w:cs="宋体"/>
          <w:sz w:val="24"/>
          <w:szCs w:val="24"/>
          <w:lang w:val="zh-CN"/>
        </w:rPr>
        <w:t>投标截止后投标人不足3家或者通过资格审查或符合性审查的投标人不足3家的，除采购任务取消情形外，按照以下方式处理:</w:t>
      </w:r>
    </w:p>
    <w:p w14:paraId="0540166F">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(一) 招标文件存在不合理条款或者招标程序不符合规定的，采购人、采购代理机构改正后依法重新招标;</w:t>
      </w:r>
    </w:p>
    <w:p w14:paraId="122CF4B7">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(二) 招标文件没有不合理条款、招标程序符合规定，需要采用其他采购方式采购的，采购人应当依法报财政部门批准。</w:t>
      </w:r>
    </w:p>
    <w:p w14:paraId="0FAE8336">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(三) 招标文件没有不合理条款、招标程序符合规定，不需要采用其他采购方式采购的，重新</w:t>
      </w:r>
      <w:r>
        <w:rPr>
          <w:rFonts w:hint="eastAsia" w:ascii="宋体" w:hAnsi="宋体" w:eastAsia="宋体" w:cs="宋体"/>
          <w:sz w:val="24"/>
          <w:szCs w:val="24"/>
        </w:rPr>
        <w:t>招标。</w:t>
      </w:r>
    </w:p>
    <w:p w14:paraId="6CBB2972">
      <w:pPr>
        <w:autoSpaceDE w:val="0"/>
        <w:autoSpaceDN w:val="0"/>
        <w:adjustRightInd w:val="0"/>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20. 评标方法和标准</w:t>
      </w:r>
    </w:p>
    <w:p w14:paraId="4E920363">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评标委员会按照第三章“评标方法和标准（综合评分法）”规定的方法、评审因素、标准和程序对投标文件进行评审。第三章“评标方法和标准（综合评分法）”没有规定的方法、评审因素和标准，不作为评标依据。</w:t>
      </w:r>
    </w:p>
    <w:p w14:paraId="2A21914D">
      <w:pPr>
        <w:autoSpaceDE w:val="0"/>
        <w:autoSpaceDN w:val="0"/>
        <w:adjustRightInd w:val="0"/>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21. 签订合同</w:t>
      </w:r>
    </w:p>
    <w:p w14:paraId="022572D8">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21.1在规定的投标有效期内，采购人向中标人发出《中标通知书》。中标通知书是合同的组成部分，对采购人和中标人均具有法律约束力。</w:t>
      </w:r>
    </w:p>
    <w:p w14:paraId="08BC03F0">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21.2中标通知书发出后，采购人改变中标结果的，或者中标人放弃中标项目的，应当依法承担法律责任。</w:t>
      </w:r>
    </w:p>
    <w:p w14:paraId="0AB45C8B">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21.3中标人应按中标通知书规定的时间与采购人签订合同。如果中标人不在规定的时间内签署合同，视为自动放弃中标资格，其提交的投标保证金不予退还，采购人可以按本项目的评分办法确定其他投标候选人作为中标人并签订采购合同，也可以重新开展采购活动。拒绝签订采购合同的中标人不得参加对该项目重新开展的采购活动列入不良行为记录名单，在一至三年内禁止参加政府采购活动并予以公告。</w:t>
      </w:r>
    </w:p>
    <w:p w14:paraId="0B32EB1C">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21.4中标结果将在发布招标公告的媒体上公告，不再以书面方式通知未中标人。</w:t>
      </w:r>
    </w:p>
    <w:p w14:paraId="134B20A3">
      <w:pPr>
        <w:autoSpaceDE w:val="0"/>
        <w:autoSpaceDN w:val="0"/>
        <w:adjustRightInd w:val="0"/>
        <w:spacing w:line="360" w:lineRule="auto"/>
        <w:rPr>
          <w:rFonts w:ascii="宋体" w:hAnsi="宋体" w:eastAsia="宋体" w:cs="宋体"/>
          <w:b/>
          <w:kern w:val="0"/>
          <w:sz w:val="24"/>
          <w:szCs w:val="24"/>
          <w:lang w:val="zh-CN"/>
        </w:rPr>
      </w:pPr>
      <w:r>
        <w:rPr>
          <w:rFonts w:hint="eastAsia" w:ascii="宋体" w:hAnsi="宋体" w:eastAsia="宋体" w:cs="宋体"/>
          <w:b/>
          <w:kern w:val="0"/>
          <w:sz w:val="24"/>
          <w:szCs w:val="24"/>
          <w:lang w:val="zh-CN"/>
        </w:rPr>
        <w:t>2</w:t>
      </w:r>
      <w:r>
        <w:rPr>
          <w:rFonts w:ascii="宋体" w:hAnsi="宋体" w:eastAsia="宋体" w:cs="宋体"/>
          <w:b/>
          <w:kern w:val="0"/>
          <w:sz w:val="24"/>
          <w:szCs w:val="24"/>
          <w:lang w:val="zh-CN"/>
        </w:rPr>
        <w:t>2.</w:t>
      </w:r>
      <w:r>
        <w:rPr>
          <w:rFonts w:hint="eastAsia" w:ascii="宋体" w:hAnsi="宋体" w:eastAsia="宋体" w:cs="宋体"/>
          <w:b/>
          <w:kern w:val="0"/>
          <w:sz w:val="24"/>
          <w:szCs w:val="24"/>
          <w:lang w:val="zh-CN"/>
        </w:rPr>
        <w:t>保密和披露</w:t>
      </w:r>
    </w:p>
    <w:p w14:paraId="5FBE4030">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22.1采购人有权将投标人提供的所有资料向其他政府部门或有关的非政府机构负责评审标书的人员或与评标有关的人员披露。</w:t>
      </w:r>
    </w:p>
    <w:p w14:paraId="720E01CA">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22.2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910C34C">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.质疑和投诉</w:t>
      </w:r>
    </w:p>
    <w:p w14:paraId="49D5E6E5">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23.1投标人认为招标文件、采购过程、中标或者成交结果使自己的权益受到损害的，可以在知道或者应知其权益受到损害之日起7个工作日内，以书面形式向采购人、采购代理机构提出质疑；对招标文件提出质疑的，应当在获取采购文件或者采购文件公告期限届满之日起7个工作日内提出。供应商对采购人或采购代理机构的质疑答复不满意或者采购人或采购代理机构未在规定时间内作出答复的，可以在答复期满后十五个工作日内向同级采购监管部门投诉。 </w:t>
      </w:r>
    </w:p>
    <w:p w14:paraId="066A13F5">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23.2投标人在法定质疑期内针对同一采购程序环节的质疑只允许提出一次。投标人提出质疑应符合《政府采购质疑和投诉办法》有关规定。</w:t>
      </w:r>
    </w:p>
    <w:p w14:paraId="3F2ED381">
      <w:pPr>
        <w:autoSpaceDE w:val="0"/>
        <w:autoSpaceDN w:val="0"/>
        <w:adjustRightInd w:val="0"/>
        <w:jc w:val="center"/>
        <w:rPr>
          <w:rFonts w:ascii="宋体" w:hAnsi="宋体" w:eastAsia="宋体" w:cs="宋体"/>
          <w:sz w:val="24"/>
          <w:szCs w:val="24"/>
        </w:rPr>
      </w:pPr>
    </w:p>
    <w:p w14:paraId="78F04ACB">
      <w:pPr>
        <w:widowControl/>
        <w:jc w:val="left"/>
        <w:rPr>
          <w:rFonts w:ascii="宋体" w:hAnsi="宋体" w:eastAsia="宋体" w:cs="宋体"/>
          <w:sz w:val="24"/>
          <w:szCs w:val="24"/>
          <w:lang w:val="zh-CN"/>
        </w:rPr>
      </w:pPr>
      <w:r>
        <w:rPr>
          <w:rFonts w:ascii="宋体" w:hAnsi="宋体" w:eastAsia="宋体" w:cs="宋体"/>
          <w:sz w:val="24"/>
          <w:szCs w:val="24"/>
          <w:lang w:val="zh-CN"/>
        </w:rPr>
        <w:br w:type="page"/>
      </w:r>
    </w:p>
    <w:p w14:paraId="04927F4B">
      <w:pPr>
        <w:pStyle w:val="2"/>
      </w:pPr>
      <w:bookmarkStart w:id="56" w:name="_Toc14916"/>
      <w:bookmarkStart w:id="57" w:name="_Toc167280762"/>
      <w:bookmarkStart w:id="58" w:name="_Toc164847789"/>
      <w:r>
        <w:rPr>
          <w:rFonts w:hint="eastAsia"/>
        </w:rPr>
        <w:t>第三章 评标标准和方法（综合评分法）</w:t>
      </w:r>
      <w:bookmarkEnd w:id="56"/>
      <w:bookmarkEnd w:id="57"/>
      <w:bookmarkEnd w:id="58"/>
    </w:p>
    <w:p w14:paraId="64BE7AEA">
      <w:pPr>
        <w:autoSpaceDE w:val="0"/>
        <w:autoSpaceDN w:val="0"/>
        <w:adjustRightInd w:val="0"/>
        <w:jc w:val="center"/>
        <w:rPr>
          <w:rFonts w:ascii="宋体" w:hAnsi="宋体" w:eastAsia="宋体" w:cs="宋体"/>
          <w:sz w:val="24"/>
          <w:szCs w:val="24"/>
          <w:lang w:val="zh-CN"/>
        </w:rPr>
      </w:pPr>
      <w:r>
        <w:rPr>
          <w:rFonts w:hint="eastAsia" w:ascii="宋体" w:hAnsi="宋体" w:eastAsia="宋体" w:cs="宋体"/>
          <w:b/>
          <w:bCs/>
          <w:sz w:val="24"/>
          <w:szCs w:val="24"/>
        </w:rPr>
        <w:t>资格性审查</w:t>
      </w:r>
    </w:p>
    <w:p w14:paraId="5F6C06A7">
      <w:pPr>
        <w:autoSpaceDE w:val="0"/>
        <w:autoSpaceDN w:val="0"/>
        <w:adjustRightInd w:val="0"/>
        <w:jc w:val="left"/>
        <w:rPr>
          <w:rFonts w:ascii="宋体" w:hAnsi="宋体" w:eastAsia="宋体" w:cs="宋体"/>
          <w:sz w:val="24"/>
          <w:szCs w:val="24"/>
        </w:rPr>
      </w:pPr>
      <w:r>
        <w:rPr>
          <w:rFonts w:hint="eastAsia" w:ascii="宋体" w:hAnsi="宋体" w:eastAsia="宋体" w:cs="宋体"/>
          <w:sz w:val="24"/>
          <w:szCs w:val="24"/>
        </w:rPr>
        <w:t>公开招标采购项目开标结束后，采购人或者采购代理机构应当依法对投标人的资格进行审查。合格投标人不足3家的，不得评标。</w:t>
      </w:r>
    </w:p>
    <w:tbl>
      <w:tblPr>
        <w:tblStyle w:val="21"/>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2057"/>
        <w:gridCol w:w="7484"/>
      </w:tblGrid>
      <w:tr w14:paraId="1ACB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193" w:type="pct"/>
            <w:vAlign w:val="center"/>
          </w:tcPr>
          <w:p w14:paraId="13365366">
            <w:pPr>
              <w:autoSpaceDE w:val="0"/>
              <w:autoSpaceDN w:val="0"/>
              <w:adjustRightInd w:val="0"/>
              <w:jc w:val="center"/>
              <w:rPr>
                <w:rFonts w:ascii="宋体" w:hAnsi="宋体" w:eastAsia="宋体" w:cs="宋体"/>
                <w:bCs/>
                <w:sz w:val="24"/>
                <w:szCs w:val="24"/>
                <w:lang w:val="zh-CN"/>
              </w:rPr>
            </w:pPr>
            <w:r>
              <w:rPr>
                <w:rFonts w:hint="eastAsia" w:ascii="宋体" w:hAnsi="宋体" w:eastAsia="宋体" w:cs="宋体"/>
                <w:bCs/>
                <w:sz w:val="24"/>
                <w:szCs w:val="24"/>
              </w:rPr>
              <w:t>序号</w:t>
            </w:r>
          </w:p>
        </w:tc>
        <w:tc>
          <w:tcPr>
            <w:tcW w:w="1036" w:type="pct"/>
            <w:vAlign w:val="center"/>
          </w:tcPr>
          <w:p w14:paraId="11BB073C">
            <w:pPr>
              <w:autoSpaceDE w:val="0"/>
              <w:autoSpaceDN w:val="0"/>
              <w:adjustRightInd w:val="0"/>
              <w:jc w:val="center"/>
              <w:rPr>
                <w:rFonts w:ascii="宋体" w:hAnsi="宋体" w:eastAsia="宋体" w:cs="宋体"/>
                <w:bCs/>
                <w:sz w:val="24"/>
                <w:szCs w:val="24"/>
                <w:lang w:val="zh-CN"/>
              </w:rPr>
            </w:pPr>
            <w:r>
              <w:rPr>
                <w:rFonts w:hint="eastAsia" w:ascii="宋体" w:hAnsi="宋体" w:eastAsia="宋体" w:cs="宋体"/>
                <w:bCs/>
                <w:sz w:val="24"/>
                <w:szCs w:val="24"/>
                <w:lang w:val="zh-CN"/>
              </w:rPr>
              <w:t>评审因素</w:t>
            </w:r>
          </w:p>
        </w:tc>
        <w:tc>
          <w:tcPr>
            <w:tcW w:w="3769" w:type="pct"/>
            <w:vAlign w:val="center"/>
          </w:tcPr>
          <w:p w14:paraId="4F58561E">
            <w:pPr>
              <w:autoSpaceDE w:val="0"/>
              <w:autoSpaceDN w:val="0"/>
              <w:adjustRightInd w:val="0"/>
              <w:jc w:val="center"/>
              <w:rPr>
                <w:rFonts w:ascii="宋体" w:hAnsi="宋体" w:eastAsia="宋体" w:cs="宋体"/>
                <w:bCs/>
                <w:sz w:val="24"/>
                <w:szCs w:val="24"/>
                <w:lang w:val="zh-CN"/>
              </w:rPr>
            </w:pPr>
            <w:r>
              <w:rPr>
                <w:rFonts w:hint="eastAsia" w:ascii="宋体" w:hAnsi="宋体" w:eastAsia="宋体" w:cs="宋体"/>
                <w:bCs/>
                <w:sz w:val="24"/>
                <w:szCs w:val="24"/>
                <w:lang w:val="zh-CN"/>
              </w:rPr>
              <w:t>评审标准</w:t>
            </w:r>
          </w:p>
        </w:tc>
      </w:tr>
      <w:tr w14:paraId="6DFD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3" w:type="pct"/>
            <w:vAlign w:val="center"/>
          </w:tcPr>
          <w:p w14:paraId="72B1DF5E">
            <w:pPr>
              <w:autoSpaceDE w:val="0"/>
              <w:autoSpaceDN w:val="0"/>
              <w:adjustRightInd w:val="0"/>
              <w:jc w:val="center"/>
              <w:rPr>
                <w:rFonts w:ascii="宋体" w:hAnsi="宋体" w:eastAsia="宋体" w:cs="宋体"/>
                <w:bCs/>
                <w:sz w:val="24"/>
                <w:szCs w:val="24"/>
              </w:rPr>
            </w:pPr>
            <w:r>
              <w:rPr>
                <w:rFonts w:hint="eastAsia" w:ascii="宋体" w:hAnsi="宋体" w:eastAsia="宋体" w:cs="宋体"/>
                <w:bCs/>
                <w:sz w:val="24"/>
                <w:szCs w:val="24"/>
              </w:rPr>
              <w:t>1</w:t>
            </w:r>
          </w:p>
        </w:tc>
        <w:tc>
          <w:tcPr>
            <w:tcW w:w="1036" w:type="pct"/>
            <w:vAlign w:val="center"/>
          </w:tcPr>
          <w:p w14:paraId="58EA1507">
            <w:pPr>
              <w:autoSpaceDE w:val="0"/>
              <w:autoSpaceDN w:val="0"/>
              <w:adjustRightInd w:val="0"/>
              <w:jc w:val="center"/>
              <w:rPr>
                <w:rFonts w:ascii="宋体" w:hAnsi="宋体" w:eastAsia="宋体" w:cs="宋体"/>
                <w:bCs/>
                <w:sz w:val="24"/>
                <w:szCs w:val="24"/>
              </w:rPr>
            </w:pPr>
            <w:r>
              <w:rPr>
                <w:rFonts w:hint="eastAsia" w:ascii="宋体" w:hAnsi="宋体" w:eastAsia="宋体" w:cs="宋体"/>
                <w:bCs/>
                <w:sz w:val="24"/>
                <w:szCs w:val="24"/>
              </w:rPr>
              <w:t>营业执照</w:t>
            </w:r>
          </w:p>
        </w:tc>
        <w:tc>
          <w:tcPr>
            <w:tcW w:w="3769" w:type="pct"/>
            <w:vAlign w:val="center"/>
          </w:tcPr>
          <w:p w14:paraId="1DA776D0">
            <w:pPr>
              <w:autoSpaceDE w:val="0"/>
              <w:autoSpaceDN w:val="0"/>
              <w:adjustRightInd w:val="0"/>
              <w:rPr>
                <w:rFonts w:ascii="宋体" w:hAnsi="宋体" w:eastAsia="宋体" w:cs="宋体"/>
                <w:b/>
                <w:sz w:val="24"/>
                <w:szCs w:val="24"/>
                <w:lang w:val="zh-CN"/>
              </w:rPr>
            </w:pPr>
            <w:r>
              <w:rPr>
                <w:rFonts w:hint="eastAsia" w:ascii="宋体" w:hAnsi="宋体" w:eastAsia="宋体" w:cs="宋体"/>
                <w:bCs/>
                <w:sz w:val="24"/>
                <w:szCs w:val="24"/>
                <w:lang w:val="zh-CN"/>
              </w:rPr>
              <w:t>具备有效的营业执照</w:t>
            </w:r>
            <w:r>
              <w:rPr>
                <w:rFonts w:hint="eastAsia" w:ascii="宋体" w:hAnsi="宋体" w:eastAsia="宋体" w:cs="宋体"/>
                <w:bCs/>
                <w:sz w:val="24"/>
                <w:szCs w:val="24"/>
              </w:rPr>
              <w:t>副本</w:t>
            </w:r>
            <w:r>
              <w:rPr>
                <w:rFonts w:hint="eastAsia" w:ascii="宋体" w:hAnsi="宋体" w:eastAsia="宋体" w:cs="宋体"/>
                <w:b/>
                <w:sz w:val="24"/>
                <w:szCs w:val="24"/>
                <w:lang w:val="zh-CN"/>
              </w:rPr>
              <w:t>。</w:t>
            </w:r>
          </w:p>
          <w:p w14:paraId="47B52376">
            <w:pPr>
              <w:autoSpaceDE w:val="0"/>
              <w:autoSpaceDN w:val="0"/>
              <w:adjustRightInd w:val="0"/>
              <w:rPr>
                <w:rFonts w:ascii="宋体" w:hAnsi="宋体" w:eastAsia="宋体" w:cs="宋体"/>
                <w:bCs/>
                <w:sz w:val="24"/>
                <w:szCs w:val="24"/>
                <w:lang w:val="zh-CN"/>
              </w:rPr>
            </w:pPr>
            <w:r>
              <w:rPr>
                <w:rFonts w:hint="eastAsia" w:ascii="宋体" w:hAnsi="宋体" w:eastAsia="宋体" w:cs="宋体"/>
                <w:b/>
                <w:sz w:val="24"/>
                <w:szCs w:val="24"/>
                <w:lang w:val="zh-CN"/>
              </w:rPr>
              <w:t>标书内附复印件并加盖公章</w:t>
            </w:r>
          </w:p>
        </w:tc>
      </w:tr>
      <w:tr w14:paraId="76FE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193" w:type="pct"/>
            <w:vAlign w:val="center"/>
          </w:tcPr>
          <w:p w14:paraId="073330D5">
            <w:pPr>
              <w:autoSpaceDE w:val="0"/>
              <w:autoSpaceDN w:val="0"/>
              <w:adjustRightInd w:val="0"/>
              <w:jc w:val="center"/>
              <w:rPr>
                <w:rFonts w:ascii="宋体" w:hAnsi="宋体" w:eastAsia="宋体" w:cs="宋体"/>
                <w:bCs/>
                <w:sz w:val="24"/>
                <w:szCs w:val="24"/>
              </w:rPr>
            </w:pPr>
            <w:r>
              <w:rPr>
                <w:rFonts w:hint="eastAsia" w:ascii="宋体" w:hAnsi="宋体" w:eastAsia="宋体" w:cs="宋体"/>
                <w:bCs/>
                <w:sz w:val="24"/>
                <w:szCs w:val="24"/>
              </w:rPr>
              <w:t>2</w:t>
            </w:r>
          </w:p>
        </w:tc>
        <w:tc>
          <w:tcPr>
            <w:tcW w:w="1036" w:type="pct"/>
            <w:vAlign w:val="center"/>
          </w:tcPr>
          <w:p w14:paraId="3F5D5462">
            <w:pPr>
              <w:autoSpaceDE w:val="0"/>
              <w:autoSpaceDN w:val="0"/>
              <w:adjustRightInd w:val="0"/>
              <w:jc w:val="center"/>
              <w:rPr>
                <w:rFonts w:ascii="宋体" w:hAnsi="宋体" w:eastAsia="宋体" w:cs="宋体"/>
                <w:bCs/>
                <w:sz w:val="24"/>
                <w:szCs w:val="24"/>
                <w:lang w:val="zh-CN"/>
              </w:rPr>
            </w:pPr>
            <w:r>
              <w:rPr>
                <w:rFonts w:hint="eastAsia" w:ascii="宋体" w:hAnsi="宋体" w:eastAsia="宋体" w:cs="宋体"/>
                <w:bCs/>
                <w:sz w:val="24"/>
                <w:szCs w:val="24"/>
                <w:lang w:val="zh-CN"/>
              </w:rPr>
              <w:t>财务状况</w:t>
            </w:r>
          </w:p>
        </w:tc>
        <w:tc>
          <w:tcPr>
            <w:tcW w:w="3769" w:type="pct"/>
            <w:vAlign w:val="center"/>
          </w:tcPr>
          <w:p w14:paraId="61B8E7A6">
            <w:pPr>
              <w:autoSpaceDE w:val="0"/>
              <w:autoSpaceDN w:val="0"/>
              <w:adjustRightInd w:val="0"/>
              <w:rPr>
                <w:rFonts w:ascii="宋体" w:hAnsi="宋体" w:eastAsia="宋体" w:cs="宋体"/>
                <w:b/>
                <w:bCs/>
                <w:sz w:val="24"/>
                <w:szCs w:val="24"/>
              </w:rPr>
            </w:pPr>
            <w:r>
              <w:rPr>
                <w:rFonts w:hint="eastAsia" w:ascii="宋体" w:hAnsi="宋体" w:eastAsia="宋体" w:cs="宋体"/>
                <w:b/>
                <w:bCs/>
                <w:sz w:val="24"/>
                <w:szCs w:val="24"/>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w:t>
            </w:r>
          </w:p>
        </w:tc>
      </w:tr>
      <w:tr w14:paraId="5673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93" w:type="pct"/>
            <w:vAlign w:val="center"/>
          </w:tcPr>
          <w:p w14:paraId="05FD9B14">
            <w:pPr>
              <w:autoSpaceDE w:val="0"/>
              <w:autoSpaceDN w:val="0"/>
              <w:adjustRightInd w:val="0"/>
              <w:jc w:val="center"/>
              <w:rPr>
                <w:rFonts w:ascii="宋体" w:hAnsi="宋体" w:eastAsia="宋体" w:cs="宋体"/>
                <w:bCs/>
                <w:sz w:val="24"/>
                <w:szCs w:val="24"/>
              </w:rPr>
            </w:pPr>
            <w:r>
              <w:rPr>
                <w:rFonts w:hint="eastAsia" w:ascii="宋体" w:hAnsi="宋体" w:eastAsia="宋体" w:cs="宋体"/>
                <w:bCs/>
                <w:sz w:val="24"/>
                <w:szCs w:val="24"/>
              </w:rPr>
              <w:t>3</w:t>
            </w:r>
          </w:p>
        </w:tc>
        <w:tc>
          <w:tcPr>
            <w:tcW w:w="1036" w:type="pct"/>
            <w:vAlign w:val="center"/>
          </w:tcPr>
          <w:p w14:paraId="30C4DB46">
            <w:pPr>
              <w:autoSpaceDE w:val="0"/>
              <w:autoSpaceDN w:val="0"/>
              <w:adjustRightInd w:val="0"/>
              <w:jc w:val="center"/>
              <w:rPr>
                <w:rFonts w:ascii="宋体" w:hAnsi="宋体" w:eastAsia="宋体" w:cs="宋体"/>
                <w:bCs/>
                <w:sz w:val="24"/>
                <w:szCs w:val="24"/>
                <w:lang w:val="zh-CN"/>
              </w:rPr>
            </w:pPr>
            <w:r>
              <w:rPr>
                <w:rFonts w:hint="eastAsia" w:ascii="宋体" w:hAnsi="宋体" w:eastAsia="宋体" w:cs="宋体"/>
                <w:bCs/>
                <w:sz w:val="24"/>
                <w:szCs w:val="24"/>
                <w:lang w:val="zh-CN"/>
              </w:rPr>
              <w:t>具有履行合同所必需的设备和专业技术能力</w:t>
            </w:r>
          </w:p>
        </w:tc>
        <w:tc>
          <w:tcPr>
            <w:tcW w:w="3769" w:type="pct"/>
            <w:vAlign w:val="center"/>
          </w:tcPr>
          <w:p w14:paraId="00C8E90D">
            <w:pPr>
              <w:autoSpaceDE w:val="0"/>
              <w:autoSpaceDN w:val="0"/>
              <w:adjustRightInd w:val="0"/>
              <w:rPr>
                <w:rFonts w:ascii="宋体" w:hAnsi="宋体" w:eastAsia="宋体" w:cs="宋体"/>
                <w:sz w:val="24"/>
                <w:szCs w:val="24"/>
              </w:rPr>
            </w:pPr>
            <w:r>
              <w:rPr>
                <w:rFonts w:hint="eastAsia" w:ascii="宋体" w:hAnsi="宋体" w:eastAsia="宋体" w:cs="宋体"/>
                <w:sz w:val="24"/>
                <w:szCs w:val="24"/>
              </w:rPr>
              <w:t>具有履行合同所必需的设备和专业技术能力。</w:t>
            </w:r>
          </w:p>
          <w:p w14:paraId="5DAB20FD">
            <w:pPr>
              <w:autoSpaceDE w:val="0"/>
              <w:autoSpaceDN w:val="0"/>
              <w:adjustRightInd w:val="0"/>
              <w:rPr>
                <w:rFonts w:ascii="宋体" w:hAnsi="宋体" w:eastAsia="宋体" w:cs="宋体"/>
                <w:sz w:val="24"/>
                <w:szCs w:val="24"/>
              </w:rPr>
            </w:pPr>
            <w:r>
              <w:rPr>
                <w:rFonts w:hint="eastAsia" w:ascii="宋体" w:hAnsi="宋体" w:eastAsia="宋体" w:cs="宋体"/>
                <w:b/>
                <w:bCs/>
                <w:sz w:val="24"/>
                <w:szCs w:val="24"/>
              </w:rPr>
              <w:t>标书</w:t>
            </w:r>
            <w:r>
              <w:rPr>
                <w:rFonts w:hint="eastAsia" w:ascii="宋体" w:hAnsi="宋体" w:eastAsia="宋体" w:cs="宋体"/>
                <w:b/>
                <w:bCs/>
                <w:sz w:val="24"/>
                <w:szCs w:val="24"/>
                <w:lang w:val="zh-CN"/>
              </w:rPr>
              <w:t>内附由法定代表人或授权代表签字或盖章并加盖公章的承诺书。</w:t>
            </w:r>
          </w:p>
        </w:tc>
      </w:tr>
      <w:tr w14:paraId="18CF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93" w:type="pct"/>
            <w:vAlign w:val="center"/>
          </w:tcPr>
          <w:p w14:paraId="4EFB2460">
            <w:pPr>
              <w:autoSpaceDE w:val="0"/>
              <w:autoSpaceDN w:val="0"/>
              <w:adjustRightInd w:val="0"/>
              <w:jc w:val="center"/>
              <w:rPr>
                <w:rFonts w:ascii="宋体" w:hAnsi="宋体" w:eastAsia="宋体" w:cs="宋体"/>
                <w:bCs/>
                <w:sz w:val="24"/>
                <w:szCs w:val="24"/>
              </w:rPr>
            </w:pPr>
            <w:r>
              <w:rPr>
                <w:rFonts w:hint="eastAsia" w:ascii="宋体" w:hAnsi="宋体" w:eastAsia="宋体" w:cs="宋体"/>
                <w:bCs/>
                <w:sz w:val="24"/>
                <w:szCs w:val="24"/>
              </w:rPr>
              <w:t>4</w:t>
            </w:r>
          </w:p>
        </w:tc>
        <w:tc>
          <w:tcPr>
            <w:tcW w:w="1036" w:type="pct"/>
            <w:shd w:val="clear" w:color="auto" w:fill="auto"/>
            <w:vAlign w:val="center"/>
          </w:tcPr>
          <w:p w14:paraId="5B708975">
            <w:pPr>
              <w:autoSpaceDE w:val="0"/>
              <w:autoSpaceDN w:val="0"/>
              <w:adjustRightInd w:val="0"/>
              <w:jc w:val="center"/>
              <w:rPr>
                <w:rFonts w:ascii="宋体" w:hAnsi="宋体" w:eastAsia="宋体" w:cs="宋体"/>
                <w:bCs/>
                <w:sz w:val="24"/>
                <w:szCs w:val="24"/>
              </w:rPr>
            </w:pPr>
            <w:r>
              <w:rPr>
                <w:rFonts w:ascii="宋体" w:hAnsi="宋体" w:eastAsia="宋体" w:cs="宋体"/>
                <w:bCs/>
                <w:sz w:val="24"/>
                <w:szCs w:val="24"/>
                <w:lang w:val="zh-CN"/>
              </w:rPr>
              <w:t>信用</w:t>
            </w:r>
            <w:r>
              <w:rPr>
                <w:rFonts w:hint="eastAsia" w:ascii="宋体" w:hAnsi="宋体" w:eastAsia="宋体" w:cs="宋体"/>
                <w:bCs/>
                <w:sz w:val="24"/>
                <w:szCs w:val="24"/>
              </w:rPr>
              <w:t>要求</w:t>
            </w:r>
          </w:p>
        </w:tc>
        <w:tc>
          <w:tcPr>
            <w:tcW w:w="3769" w:type="pct"/>
            <w:shd w:val="clear" w:color="auto" w:fill="auto"/>
            <w:vAlign w:val="center"/>
          </w:tcPr>
          <w:p w14:paraId="241C5C6E">
            <w:pPr>
              <w:spacing w:line="280" w:lineRule="exact"/>
              <w:rPr>
                <w:rFonts w:ascii="宋体" w:hAnsi="宋体" w:cs="宋体"/>
                <w:sz w:val="24"/>
                <w:szCs w:val="24"/>
              </w:rPr>
            </w:pPr>
            <w:r>
              <w:rPr>
                <w:rFonts w:hint="eastAsia" w:ascii="宋体" w:hAnsi="宋体" w:cs="宋体"/>
                <w:sz w:val="24"/>
                <w:szCs w:val="24"/>
              </w:rPr>
              <w:t>1.拒绝列入政府取消投标资格记录期间的企业或个人投标；</w:t>
            </w:r>
          </w:p>
          <w:p w14:paraId="1BAAB2BE">
            <w:pPr>
              <w:spacing w:line="280" w:lineRule="exact"/>
              <w:rPr>
                <w:rFonts w:ascii="宋体" w:hAnsi="宋体" w:cs="宋体"/>
                <w:sz w:val="24"/>
                <w:szCs w:val="24"/>
              </w:rPr>
            </w:pPr>
            <w:r>
              <w:rPr>
                <w:rFonts w:hint="eastAsia" w:ascii="宋体" w:hAnsi="宋体" w:cs="宋体"/>
                <w:sz w:val="24"/>
                <w:szCs w:val="24"/>
              </w:rPr>
              <w:t>2.参加政府采购活动前三年内（202</w:t>
            </w:r>
            <w:r>
              <w:rPr>
                <w:rFonts w:hint="eastAsia" w:ascii="宋体" w:hAnsi="宋体" w:cs="宋体"/>
                <w:sz w:val="24"/>
                <w:szCs w:val="24"/>
                <w:lang w:val="en-US" w:eastAsia="zh-CN"/>
              </w:rPr>
              <w:t>2</w:t>
            </w:r>
            <w:r>
              <w:rPr>
                <w:rFonts w:hint="eastAsia" w:ascii="宋体" w:hAnsi="宋体" w:cs="宋体"/>
                <w:sz w:val="24"/>
                <w:szCs w:val="24"/>
              </w:rPr>
              <w:t>年至今），在经营活动中没有重大违法记录；</w:t>
            </w:r>
          </w:p>
          <w:p w14:paraId="319811D3">
            <w:pPr>
              <w:spacing w:line="280" w:lineRule="exact"/>
              <w:rPr>
                <w:rFonts w:ascii="宋体" w:hAnsi="宋体" w:cs="宋体"/>
                <w:sz w:val="24"/>
                <w:szCs w:val="24"/>
              </w:rPr>
            </w:pPr>
            <w:r>
              <w:rPr>
                <w:rFonts w:hint="eastAsia" w:ascii="宋体" w:hAnsi="宋体" w:cs="宋体"/>
                <w:sz w:val="24"/>
                <w:szCs w:val="24"/>
              </w:rPr>
              <w:t>3.不得为“信用中国”网站（www.creditchina.gov.cn）中列入失信被执行人、政府采购严重违法失信行为记录名单和重大税收违法失信主体；不得为中国政府采购网（www.ccpg.gov.cn）政府采购严重违法失信行为记录名单中被财政部门禁止参加政府采购活动的投标人（在处罚决定规定的时间和地域范围内）（详见财库[2016]125号）。</w:t>
            </w:r>
          </w:p>
          <w:p w14:paraId="7027D360">
            <w:pPr>
              <w:autoSpaceDE w:val="0"/>
              <w:autoSpaceDN w:val="0"/>
              <w:adjustRightInd w:val="0"/>
              <w:rPr>
                <w:rFonts w:ascii="宋体" w:hAnsi="宋体" w:eastAsia="宋体" w:cs="宋体"/>
                <w:bCs/>
                <w:sz w:val="24"/>
                <w:szCs w:val="24"/>
                <w:lang w:val="zh-CN"/>
              </w:rPr>
            </w:pPr>
            <w:r>
              <w:rPr>
                <w:rFonts w:hint="eastAsia" w:ascii="宋体" w:hAnsi="宋体" w:cs="宋体"/>
                <w:b/>
                <w:bCs/>
                <w:sz w:val="24"/>
                <w:szCs w:val="24"/>
              </w:rPr>
              <w:t>投标文件内附：第1、2项由法定代表人或授权代表签字或盖章并加盖公章的承诺书；第3项附相关网站查询截图加盖公章。</w:t>
            </w:r>
          </w:p>
        </w:tc>
      </w:tr>
      <w:tr w14:paraId="60EC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93" w:type="pct"/>
            <w:vAlign w:val="center"/>
          </w:tcPr>
          <w:p w14:paraId="24BE44E6">
            <w:pPr>
              <w:autoSpaceDE w:val="0"/>
              <w:autoSpaceDN w:val="0"/>
              <w:adjustRightInd w:val="0"/>
              <w:jc w:val="center"/>
              <w:rPr>
                <w:rFonts w:ascii="宋体" w:hAnsi="宋体" w:eastAsia="宋体" w:cs="宋体"/>
                <w:bCs/>
                <w:sz w:val="24"/>
                <w:szCs w:val="24"/>
              </w:rPr>
            </w:pPr>
            <w:r>
              <w:rPr>
                <w:rFonts w:hint="eastAsia" w:ascii="宋体" w:hAnsi="宋体" w:eastAsia="宋体" w:cs="宋体"/>
                <w:bCs/>
                <w:sz w:val="24"/>
                <w:szCs w:val="24"/>
              </w:rPr>
              <w:t>5</w:t>
            </w:r>
          </w:p>
        </w:tc>
        <w:tc>
          <w:tcPr>
            <w:tcW w:w="1036" w:type="pct"/>
            <w:vAlign w:val="center"/>
          </w:tcPr>
          <w:p w14:paraId="0F802EC3">
            <w:pPr>
              <w:autoSpaceDE w:val="0"/>
              <w:autoSpaceDN w:val="0"/>
              <w:adjustRightInd w:val="0"/>
              <w:jc w:val="center"/>
              <w:rPr>
                <w:rFonts w:ascii="宋体" w:hAnsi="宋体" w:eastAsia="宋体" w:cs="宋体"/>
                <w:bCs/>
                <w:sz w:val="24"/>
                <w:szCs w:val="24"/>
              </w:rPr>
            </w:pPr>
            <w:r>
              <w:rPr>
                <w:rFonts w:hint="eastAsia" w:ascii="宋体" w:hAnsi="宋体" w:eastAsia="宋体" w:cs="宋体"/>
                <w:bCs/>
                <w:sz w:val="24"/>
                <w:szCs w:val="24"/>
              </w:rPr>
              <w:t>其他要求</w:t>
            </w:r>
          </w:p>
        </w:tc>
        <w:tc>
          <w:tcPr>
            <w:tcW w:w="3769" w:type="pct"/>
            <w:vAlign w:val="center"/>
          </w:tcPr>
          <w:p w14:paraId="31257083">
            <w:pPr>
              <w:autoSpaceDE w:val="0"/>
              <w:autoSpaceDN w:val="0"/>
              <w:adjustRightInd w:val="0"/>
              <w:rPr>
                <w:rFonts w:ascii="宋体" w:hAnsi="宋体" w:cs="宋体"/>
                <w:sz w:val="24"/>
              </w:rPr>
            </w:pPr>
            <w:r>
              <w:rPr>
                <w:rFonts w:hint="eastAsia" w:ascii="宋体" w:hAnsi="宋体" w:cs="宋体"/>
                <w:sz w:val="24"/>
              </w:rPr>
              <w:t xml:space="preserve">具有投资参股关系的关联企业，或具有直接管理和被管理关系的母子公司，或同一母公司的子公司，或法定代表人为同一人的两个及两个以上法人不得同时对同一标段投标，否则均按废标处理。与招标人存在利害关系可能影响投标公正性的法人、其他组织或者个人，不得参加投标。单位负责人为同一人或者存在控股、管理关系的不同单位，不得参加同一标段投标或者未划分标段的同一项目投标。违反上述规定的，相关投标均无效； </w:t>
            </w:r>
          </w:p>
          <w:p w14:paraId="116F81EC">
            <w:pPr>
              <w:autoSpaceDE w:val="0"/>
              <w:autoSpaceDN w:val="0"/>
              <w:adjustRightInd w:val="0"/>
              <w:rPr>
                <w:rFonts w:ascii="宋体" w:hAnsi="宋体" w:cs="宋体"/>
                <w:sz w:val="24"/>
                <w:lang w:val="zh-CN"/>
              </w:rPr>
            </w:pPr>
            <w:r>
              <w:rPr>
                <w:rFonts w:hint="eastAsia" w:ascii="宋体" w:hAnsi="宋体" w:eastAsia="宋体" w:cs="宋体"/>
                <w:b/>
                <w:bCs/>
                <w:sz w:val="24"/>
                <w:szCs w:val="24"/>
                <w:lang w:val="zh-CN"/>
              </w:rPr>
              <w:t>标书内附</w:t>
            </w:r>
            <w:r>
              <w:rPr>
                <w:rFonts w:hint="eastAsia" w:ascii="宋体" w:hAnsi="宋体" w:eastAsia="宋体" w:cs="宋体"/>
                <w:b/>
                <w:bCs/>
                <w:sz w:val="24"/>
                <w:szCs w:val="24"/>
              </w:rPr>
              <w:t>法定代表人或被授权人签字并加盖公章的</w:t>
            </w:r>
            <w:r>
              <w:rPr>
                <w:rFonts w:hint="eastAsia" w:ascii="宋体" w:hAnsi="宋体" w:eastAsia="宋体" w:cs="宋体"/>
                <w:b/>
                <w:bCs/>
                <w:sz w:val="24"/>
                <w:szCs w:val="24"/>
                <w:lang w:val="zh-CN"/>
              </w:rPr>
              <w:t>复印件。</w:t>
            </w:r>
          </w:p>
        </w:tc>
      </w:tr>
      <w:tr w14:paraId="324E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5000" w:type="pct"/>
            <w:gridSpan w:val="3"/>
            <w:vAlign w:val="center"/>
          </w:tcPr>
          <w:p w14:paraId="7756D227">
            <w:pPr>
              <w:jc w:val="center"/>
              <w:rPr>
                <w:rFonts w:ascii="宋体" w:hAnsi="宋体" w:eastAsia="宋体" w:cs="宋体"/>
                <w:bCs/>
                <w:sz w:val="24"/>
                <w:szCs w:val="24"/>
                <w:lang w:val="zh-CN"/>
              </w:rPr>
            </w:pPr>
            <w:r>
              <w:rPr>
                <w:rFonts w:hint="eastAsia" w:ascii="宋体" w:hAnsi="宋体" w:eastAsia="宋体" w:cs="宋体"/>
                <w:bCs/>
                <w:sz w:val="24"/>
                <w:szCs w:val="24"/>
                <w:lang w:val="zh-CN"/>
              </w:rPr>
              <w:t>评审结果（</w:t>
            </w:r>
            <w:r>
              <w:rPr>
                <w:rFonts w:hint="eastAsia" w:ascii="宋体" w:hAnsi="宋体" w:eastAsia="宋体" w:cs="宋体"/>
                <w:bCs/>
                <w:sz w:val="24"/>
                <w:szCs w:val="24"/>
              </w:rPr>
              <w:t>合格不合格</w:t>
            </w:r>
            <w:r>
              <w:rPr>
                <w:rFonts w:hint="eastAsia" w:ascii="宋体" w:hAnsi="宋体" w:eastAsia="宋体" w:cs="宋体"/>
                <w:bCs/>
                <w:sz w:val="24"/>
                <w:szCs w:val="24"/>
                <w:lang w:val="zh-CN"/>
              </w:rPr>
              <w:t>）</w:t>
            </w:r>
          </w:p>
        </w:tc>
      </w:tr>
    </w:tbl>
    <w:p w14:paraId="1A25E186">
      <w:pPr>
        <w:autoSpaceDE w:val="0"/>
        <w:autoSpaceDN w:val="0"/>
        <w:adjustRightInd w:val="0"/>
        <w:jc w:val="left"/>
        <w:rPr>
          <w:rFonts w:ascii="宋体" w:hAnsi="宋体" w:eastAsia="宋体" w:cs="宋体"/>
          <w:bCs/>
          <w:sz w:val="24"/>
          <w:szCs w:val="24"/>
        </w:rPr>
      </w:pPr>
      <w:r>
        <w:rPr>
          <w:rFonts w:hint="eastAsia" w:ascii="宋体" w:hAnsi="宋体" w:eastAsia="宋体" w:cs="宋体"/>
          <w:bCs/>
          <w:sz w:val="24"/>
          <w:szCs w:val="24"/>
        </w:rPr>
        <w:t>审查人签字：</w:t>
      </w:r>
    </w:p>
    <w:p w14:paraId="27592D21">
      <w:pPr>
        <w:autoSpaceDE w:val="0"/>
        <w:autoSpaceDN w:val="0"/>
        <w:adjustRightInd w:val="0"/>
        <w:jc w:val="left"/>
        <w:rPr>
          <w:rFonts w:ascii="宋体" w:hAnsi="宋体" w:eastAsia="宋体" w:cs="宋体"/>
          <w:sz w:val="24"/>
          <w:szCs w:val="24"/>
          <w:lang w:val="zh-CN"/>
        </w:rPr>
      </w:pPr>
      <w:r>
        <w:rPr>
          <w:rFonts w:hint="eastAsia" w:ascii="宋体" w:hAnsi="宋体" w:eastAsia="宋体" w:cs="宋体"/>
          <w:sz w:val="24"/>
          <w:szCs w:val="24"/>
          <w:lang w:val="zh-CN"/>
        </w:rPr>
        <w:t>注：（1）“√”为合格，“×”为不合格。</w:t>
      </w:r>
    </w:p>
    <w:p w14:paraId="7183F858">
      <w:pPr>
        <w:autoSpaceDE w:val="0"/>
        <w:autoSpaceDN w:val="0"/>
        <w:adjustRightInd w:val="0"/>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（2）此表中有一项不满足招标文件及投标人最低标准，则为不合格。不合格的投标人的投标将被否决不能进入符合性审查阶段。</w:t>
      </w:r>
    </w:p>
    <w:p w14:paraId="5891D8F3">
      <w:pPr>
        <w:autoSpaceDE w:val="0"/>
        <w:autoSpaceDN w:val="0"/>
        <w:adjustRightInd w:val="0"/>
        <w:ind w:firstLine="480" w:firstLineChars="200"/>
        <w:jc w:val="left"/>
        <w:rPr>
          <w:rFonts w:ascii="宋体" w:hAnsi="宋体" w:eastAsia="宋体" w:cs="宋体"/>
          <w:sz w:val="24"/>
          <w:szCs w:val="24"/>
          <w:lang w:val="zh-CN"/>
        </w:rPr>
      </w:pPr>
      <w:r>
        <w:rPr>
          <w:rFonts w:hint="eastAsia" w:ascii="宋体" w:hAnsi="宋体" w:eastAsia="宋体" w:cs="宋体"/>
          <w:sz w:val="24"/>
          <w:szCs w:val="24"/>
          <w:lang w:val="zh-CN"/>
        </w:rPr>
        <w:t>（3）如不合格在表下面注明不合格原因。</w:t>
      </w:r>
    </w:p>
    <w:p w14:paraId="49A09722">
      <w:pPr>
        <w:rPr>
          <w:rFonts w:ascii="宋体" w:hAnsi="宋体" w:eastAsia="宋体" w:cs="宋体"/>
          <w:szCs w:val="21"/>
        </w:rPr>
      </w:pPr>
    </w:p>
    <w:p w14:paraId="6136FADF">
      <w:pPr>
        <w:spacing w:line="360" w:lineRule="auto"/>
        <w:jc w:val="center"/>
        <w:rPr>
          <w:rFonts w:ascii="宋体" w:hAnsi="宋体" w:eastAsia="宋体" w:cs="宋体"/>
          <w:b/>
          <w:bCs/>
          <w:sz w:val="24"/>
          <w:szCs w:val="24"/>
        </w:rPr>
      </w:pPr>
    </w:p>
    <w:p w14:paraId="1490AC3F">
      <w:pPr>
        <w:spacing w:line="360" w:lineRule="auto"/>
        <w:jc w:val="center"/>
        <w:rPr>
          <w:rFonts w:ascii="宋体" w:hAnsi="宋体" w:eastAsia="宋体" w:cs="宋体"/>
          <w:b/>
          <w:bCs/>
          <w:sz w:val="24"/>
          <w:szCs w:val="24"/>
        </w:rPr>
      </w:pPr>
    </w:p>
    <w:p w14:paraId="525363D9">
      <w:pPr>
        <w:spacing w:line="360" w:lineRule="auto"/>
        <w:jc w:val="center"/>
        <w:rPr>
          <w:rFonts w:ascii="宋体" w:hAnsi="宋体" w:eastAsia="宋体" w:cs="宋体"/>
          <w:b/>
          <w:bCs/>
          <w:sz w:val="24"/>
          <w:szCs w:val="24"/>
        </w:rPr>
      </w:pPr>
    </w:p>
    <w:p w14:paraId="47CD7B2B">
      <w:pPr>
        <w:spacing w:line="360" w:lineRule="auto"/>
        <w:jc w:val="center"/>
        <w:rPr>
          <w:rFonts w:ascii="宋体" w:hAnsi="宋体" w:eastAsia="宋体" w:cs="宋体"/>
          <w:sz w:val="24"/>
          <w:szCs w:val="24"/>
        </w:rPr>
      </w:pPr>
      <w:r>
        <w:rPr>
          <w:rFonts w:hint="eastAsia" w:ascii="宋体" w:hAnsi="宋体" w:eastAsia="宋体" w:cs="宋体"/>
          <w:b/>
          <w:bCs/>
          <w:sz w:val="24"/>
          <w:szCs w:val="24"/>
        </w:rPr>
        <w:t>符合性审查</w:t>
      </w:r>
    </w:p>
    <w:p w14:paraId="367E2598">
      <w:pPr>
        <w:spacing w:line="360" w:lineRule="auto"/>
        <w:rPr>
          <w:rFonts w:ascii="宋体" w:hAnsi="宋体" w:eastAsia="宋体" w:cs="宋体"/>
          <w:sz w:val="24"/>
          <w:szCs w:val="24"/>
        </w:rPr>
      </w:pPr>
      <w:r>
        <w:rPr>
          <w:rFonts w:hint="eastAsia" w:ascii="宋体" w:hAnsi="宋体" w:eastAsia="宋体" w:cs="宋体"/>
          <w:sz w:val="24"/>
          <w:szCs w:val="24"/>
        </w:rPr>
        <w:t>评标委员会对符合资格的投标人的投标文件进行符合性审查，以确定其是否满足招标文件的实质性要求。</w:t>
      </w:r>
    </w:p>
    <w:tbl>
      <w:tblPr>
        <w:tblStyle w:val="2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764"/>
        <w:gridCol w:w="6364"/>
      </w:tblGrid>
      <w:tr w14:paraId="7669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trPr>
        <w:tc>
          <w:tcPr>
            <w:tcW w:w="413" w:type="pct"/>
            <w:vAlign w:val="center"/>
          </w:tcPr>
          <w:p w14:paraId="6531B206">
            <w:pPr>
              <w:jc w:val="center"/>
              <w:rPr>
                <w:rFonts w:ascii="宋体" w:hAnsi="宋体" w:eastAsia="宋体" w:cs="宋体"/>
                <w:sz w:val="24"/>
                <w:szCs w:val="24"/>
                <w:lang w:val="zh-CN"/>
              </w:rPr>
            </w:pPr>
            <w:r>
              <w:rPr>
                <w:rFonts w:hint="eastAsia" w:ascii="宋体" w:hAnsi="宋体" w:eastAsia="宋体" w:cs="宋体"/>
                <w:sz w:val="24"/>
                <w:szCs w:val="24"/>
              </w:rPr>
              <w:t>序号</w:t>
            </w:r>
          </w:p>
        </w:tc>
        <w:tc>
          <w:tcPr>
            <w:tcW w:w="1389" w:type="pct"/>
            <w:vAlign w:val="center"/>
          </w:tcPr>
          <w:p w14:paraId="32B5214B">
            <w:pPr>
              <w:jc w:val="center"/>
              <w:rPr>
                <w:rFonts w:ascii="宋体" w:hAnsi="宋体" w:eastAsia="宋体" w:cs="宋体"/>
                <w:sz w:val="24"/>
                <w:szCs w:val="24"/>
                <w:lang w:val="zh-CN"/>
              </w:rPr>
            </w:pPr>
            <w:r>
              <w:rPr>
                <w:rFonts w:hint="eastAsia" w:ascii="宋体" w:hAnsi="宋体" w:eastAsia="宋体" w:cs="宋体"/>
                <w:sz w:val="24"/>
                <w:szCs w:val="24"/>
                <w:lang w:val="zh-CN"/>
              </w:rPr>
              <w:t>评审因素</w:t>
            </w:r>
          </w:p>
        </w:tc>
        <w:tc>
          <w:tcPr>
            <w:tcW w:w="3196" w:type="pct"/>
            <w:vAlign w:val="center"/>
          </w:tcPr>
          <w:p w14:paraId="0EC0244D">
            <w:pPr>
              <w:jc w:val="center"/>
              <w:rPr>
                <w:rFonts w:ascii="宋体" w:hAnsi="宋体" w:eastAsia="宋体" w:cs="宋体"/>
                <w:sz w:val="24"/>
                <w:szCs w:val="24"/>
                <w:lang w:val="zh-CN"/>
              </w:rPr>
            </w:pPr>
            <w:r>
              <w:rPr>
                <w:rFonts w:hint="eastAsia" w:ascii="宋体" w:hAnsi="宋体" w:eastAsia="宋体" w:cs="宋体"/>
                <w:sz w:val="24"/>
                <w:szCs w:val="24"/>
                <w:lang w:val="zh-CN"/>
              </w:rPr>
              <w:t>评审标准</w:t>
            </w:r>
          </w:p>
        </w:tc>
      </w:tr>
      <w:tr w14:paraId="50C9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13" w:type="pct"/>
            <w:vAlign w:val="center"/>
          </w:tcPr>
          <w:p w14:paraId="19DB5369">
            <w:pPr>
              <w:jc w:val="center"/>
              <w:rPr>
                <w:rFonts w:ascii="宋体" w:hAnsi="宋体" w:eastAsia="宋体" w:cs="宋体"/>
                <w:sz w:val="24"/>
                <w:szCs w:val="24"/>
              </w:rPr>
            </w:pPr>
            <w:r>
              <w:rPr>
                <w:rFonts w:hint="eastAsia" w:ascii="宋体" w:hAnsi="宋体" w:eastAsia="宋体" w:cs="宋体"/>
                <w:sz w:val="24"/>
                <w:szCs w:val="24"/>
              </w:rPr>
              <w:t>1</w:t>
            </w:r>
          </w:p>
        </w:tc>
        <w:tc>
          <w:tcPr>
            <w:tcW w:w="1389" w:type="pct"/>
            <w:vAlign w:val="center"/>
          </w:tcPr>
          <w:p w14:paraId="5B89F3F1">
            <w:pPr>
              <w:rPr>
                <w:rFonts w:ascii="宋体" w:hAnsi="宋体" w:eastAsia="宋体" w:cs="宋体"/>
                <w:sz w:val="24"/>
                <w:szCs w:val="24"/>
                <w:lang w:val="zh-CN"/>
              </w:rPr>
            </w:pPr>
            <w:r>
              <w:rPr>
                <w:rFonts w:hint="eastAsia" w:ascii="宋体" w:hAnsi="宋体" w:eastAsia="宋体" w:cs="宋体"/>
                <w:sz w:val="24"/>
                <w:szCs w:val="24"/>
                <w:lang w:val="zh-CN"/>
              </w:rPr>
              <w:t>投标人名称</w:t>
            </w:r>
          </w:p>
        </w:tc>
        <w:tc>
          <w:tcPr>
            <w:tcW w:w="3196" w:type="pct"/>
            <w:vAlign w:val="center"/>
          </w:tcPr>
          <w:p w14:paraId="2D6D28A8">
            <w:pPr>
              <w:rPr>
                <w:rFonts w:ascii="宋体" w:hAnsi="宋体" w:eastAsia="宋体" w:cs="宋体"/>
                <w:sz w:val="24"/>
                <w:szCs w:val="24"/>
                <w:lang w:val="zh-CN"/>
              </w:rPr>
            </w:pPr>
            <w:r>
              <w:rPr>
                <w:rFonts w:hint="eastAsia" w:ascii="宋体" w:hAnsi="宋体" w:eastAsia="宋体" w:cs="宋体"/>
                <w:sz w:val="24"/>
                <w:szCs w:val="24"/>
                <w:lang w:val="zh-CN"/>
              </w:rPr>
              <w:t>与营业执照一致</w:t>
            </w:r>
          </w:p>
        </w:tc>
      </w:tr>
      <w:tr w14:paraId="4CB3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413" w:type="pct"/>
            <w:vAlign w:val="center"/>
          </w:tcPr>
          <w:p w14:paraId="44A87479">
            <w:pPr>
              <w:jc w:val="center"/>
              <w:rPr>
                <w:rFonts w:ascii="宋体" w:hAnsi="宋体" w:eastAsia="宋体" w:cs="宋体"/>
                <w:sz w:val="24"/>
                <w:szCs w:val="24"/>
              </w:rPr>
            </w:pPr>
            <w:r>
              <w:rPr>
                <w:rFonts w:hint="eastAsia" w:ascii="宋体" w:hAnsi="宋体" w:eastAsia="宋体" w:cs="宋体"/>
                <w:sz w:val="24"/>
                <w:szCs w:val="24"/>
              </w:rPr>
              <w:t>2</w:t>
            </w:r>
          </w:p>
        </w:tc>
        <w:tc>
          <w:tcPr>
            <w:tcW w:w="1389" w:type="pct"/>
            <w:vAlign w:val="center"/>
          </w:tcPr>
          <w:p w14:paraId="62939921">
            <w:pPr>
              <w:rPr>
                <w:rFonts w:ascii="宋体" w:hAnsi="宋体" w:eastAsia="宋体" w:cs="宋体"/>
                <w:sz w:val="24"/>
                <w:szCs w:val="24"/>
                <w:lang w:val="zh-CN"/>
              </w:rPr>
            </w:pPr>
            <w:r>
              <w:rPr>
                <w:rFonts w:hint="eastAsia" w:ascii="宋体" w:hAnsi="宋体" w:eastAsia="宋体" w:cs="宋体"/>
                <w:sz w:val="24"/>
                <w:szCs w:val="24"/>
                <w:lang w:val="zh-CN"/>
              </w:rPr>
              <w:t>投标函签字盖章</w:t>
            </w:r>
          </w:p>
        </w:tc>
        <w:tc>
          <w:tcPr>
            <w:tcW w:w="3196" w:type="pct"/>
            <w:vAlign w:val="center"/>
          </w:tcPr>
          <w:p w14:paraId="4A796569">
            <w:pPr>
              <w:rPr>
                <w:rFonts w:ascii="宋体" w:hAnsi="宋体" w:eastAsia="宋体" w:cs="宋体"/>
                <w:sz w:val="24"/>
                <w:szCs w:val="24"/>
                <w:lang w:val="zh-CN"/>
              </w:rPr>
            </w:pPr>
            <w:r>
              <w:rPr>
                <w:rFonts w:hint="eastAsia" w:ascii="宋体" w:hAnsi="宋体" w:eastAsia="宋体" w:cs="宋体"/>
                <w:sz w:val="24"/>
                <w:szCs w:val="24"/>
                <w:lang w:val="zh-CN"/>
              </w:rPr>
              <w:t>有法定代表人或其委托代理人签字或加盖单位章</w:t>
            </w:r>
          </w:p>
        </w:tc>
      </w:tr>
      <w:tr w14:paraId="10E9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13" w:type="pct"/>
            <w:vAlign w:val="center"/>
          </w:tcPr>
          <w:p w14:paraId="6A8F72D9">
            <w:pPr>
              <w:jc w:val="center"/>
              <w:rPr>
                <w:rFonts w:ascii="宋体" w:hAnsi="宋体" w:eastAsia="宋体" w:cs="宋体"/>
                <w:sz w:val="24"/>
                <w:szCs w:val="24"/>
              </w:rPr>
            </w:pPr>
            <w:r>
              <w:rPr>
                <w:rFonts w:hint="eastAsia" w:ascii="宋体" w:hAnsi="宋体" w:eastAsia="宋体" w:cs="宋体"/>
                <w:sz w:val="24"/>
                <w:szCs w:val="24"/>
              </w:rPr>
              <w:t>3</w:t>
            </w:r>
          </w:p>
        </w:tc>
        <w:tc>
          <w:tcPr>
            <w:tcW w:w="1389" w:type="pct"/>
            <w:vAlign w:val="center"/>
          </w:tcPr>
          <w:p w14:paraId="192C4CDA">
            <w:pPr>
              <w:rPr>
                <w:rFonts w:ascii="宋体" w:hAnsi="宋体" w:eastAsia="宋体" w:cs="宋体"/>
                <w:sz w:val="24"/>
                <w:szCs w:val="24"/>
                <w:lang w:val="zh-CN"/>
              </w:rPr>
            </w:pPr>
            <w:r>
              <w:rPr>
                <w:rFonts w:hint="eastAsia" w:ascii="宋体" w:hAnsi="宋体" w:eastAsia="宋体" w:cs="宋体"/>
                <w:sz w:val="24"/>
                <w:szCs w:val="24"/>
                <w:lang w:val="zh-CN"/>
              </w:rPr>
              <w:t>投标文件格式</w:t>
            </w:r>
          </w:p>
        </w:tc>
        <w:tc>
          <w:tcPr>
            <w:tcW w:w="3196" w:type="pct"/>
            <w:vAlign w:val="center"/>
          </w:tcPr>
          <w:p w14:paraId="7287554A">
            <w:pPr>
              <w:rPr>
                <w:rFonts w:ascii="宋体" w:hAnsi="宋体" w:eastAsia="宋体" w:cs="宋体"/>
                <w:sz w:val="24"/>
                <w:szCs w:val="24"/>
                <w:lang w:val="zh-CN"/>
              </w:rPr>
            </w:pPr>
            <w:r>
              <w:rPr>
                <w:rFonts w:hint="eastAsia" w:ascii="宋体" w:hAnsi="宋体" w:eastAsia="宋体" w:cs="宋体"/>
                <w:sz w:val="24"/>
                <w:szCs w:val="24"/>
                <w:lang w:val="zh-CN"/>
              </w:rPr>
              <w:t>符合“投标文件构成、要求及格式”的要求</w:t>
            </w:r>
          </w:p>
        </w:tc>
      </w:tr>
      <w:tr w14:paraId="209D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13" w:type="pct"/>
            <w:tcBorders>
              <w:bottom w:val="single" w:color="auto" w:sz="4" w:space="0"/>
            </w:tcBorders>
            <w:vAlign w:val="center"/>
          </w:tcPr>
          <w:p w14:paraId="5FCA3FA9">
            <w:pPr>
              <w:jc w:val="center"/>
              <w:rPr>
                <w:rFonts w:ascii="宋体" w:hAnsi="宋体" w:eastAsia="宋体" w:cs="宋体"/>
                <w:sz w:val="24"/>
                <w:szCs w:val="24"/>
              </w:rPr>
            </w:pPr>
            <w:r>
              <w:rPr>
                <w:rFonts w:hint="eastAsia" w:ascii="宋体" w:hAnsi="宋体" w:eastAsia="宋体" w:cs="宋体"/>
                <w:sz w:val="24"/>
                <w:szCs w:val="24"/>
              </w:rPr>
              <w:t>4</w:t>
            </w:r>
          </w:p>
        </w:tc>
        <w:tc>
          <w:tcPr>
            <w:tcW w:w="1389" w:type="pct"/>
            <w:tcBorders>
              <w:bottom w:val="single" w:color="auto" w:sz="4" w:space="0"/>
            </w:tcBorders>
            <w:vAlign w:val="center"/>
          </w:tcPr>
          <w:p w14:paraId="248C07FB">
            <w:pPr>
              <w:rPr>
                <w:rFonts w:ascii="宋体" w:hAnsi="宋体" w:eastAsia="宋体" w:cs="宋体"/>
                <w:sz w:val="24"/>
                <w:szCs w:val="24"/>
                <w:lang w:val="zh-CN"/>
              </w:rPr>
            </w:pPr>
            <w:r>
              <w:rPr>
                <w:rFonts w:hint="eastAsia" w:ascii="宋体" w:hAnsi="宋体" w:eastAsia="宋体" w:cs="宋体"/>
                <w:sz w:val="24"/>
                <w:szCs w:val="24"/>
                <w:lang w:val="zh-CN"/>
              </w:rPr>
              <w:t>报价唯一</w:t>
            </w:r>
          </w:p>
        </w:tc>
        <w:tc>
          <w:tcPr>
            <w:tcW w:w="3196" w:type="pct"/>
            <w:tcBorders>
              <w:bottom w:val="single" w:color="auto" w:sz="4" w:space="0"/>
            </w:tcBorders>
            <w:vAlign w:val="center"/>
          </w:tcPr>
          <w:p w14:paraId="741B36E5">
            <w:pPr>
              <w:rPr>
                <w:rFonts w:ascii="宋体" w:hAnsi="宋体" w:eastAsia="宋体" w:cs="宋体"/>
                <w:sz w:val="24"/>
                <w:szCs w:val="24"/>
                <w:lang w:val="zh-CN"/>
              </w:rPr>
            </w:pPr>
            <w:r>
              <w:rPr>
                <w:rFonts w:hint="eastAsia" w:ascii="宋体" w:hAnsi="宋体" w:eastAsia="宋体" w:cs="宋体"/>
                <w:sz w:val="24"/>
                <w:szCs w:val="24"/>
                <w:lang w:val="zh-CN"/>
              </w:rPr>
              <w:t>只能有一个有效报价</w:t>
            </w:r>
          </w:p>
        </w:tc>
      </w:tr>
      <w:tr w14:paraId="2F9D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13" w:type="pct"/>
            <w:vAlign w:val="center"/>
          </w:tcPr>
          <w:p w14:paraId="5538E245">
            <w:pPr>
              <w:jc w:val="center"/>
              <w:rPr>
                <w:rFonts w:ascii="宋体" w:hAnsi="宋体" w:eastAsia="宋体" w:cs="宋体"/>
                <w:sz w:val="24"/>
                <w:szCs w:val="24"/>
              </w:rPr>
            </w:pPr>
            <w:r>
              <w:rPr>
                <w:rFonts w:hint="eastAsia" w:ascii="宋体" w:hAnsi="宋体" w:eastAsia="宋体" w:cs="宋体"/>
                <w:sz w:val="24"/>
                <w:szCs w:val="24"/>
              </w:rPr>
              <w:t>5</w:t>
            </w:r>
          </w:p>
        </w:tc>
        <w:tc>
          <w:tcPr>
            <w:tcW w:w="1389" w:type="pct"/>
            <w:vAlign w:val="center"/>
          </w:tcPr>
          <w:p w14:paraId="4686846F">
            <w:pPr>
              <w:rPr>
                <w:rFonts w:ascii="宋体" w:hAnsi="宋体" w:eastAsia="宋体" w:cs="宋体"/>
                <w:sz w:val="24"/>
                <w:szCs w:val="24"/>
                <w:lang w:val="zh-CN"/>
              </w:rPr>
            </w:pPr>
            <w:r>
              <w:rPr>
                <w:rFonts w:hint="eastAsia" w:ascii="宋体" w:hAnsi="宋体" w:eastAsia="宋体" w:cs="宋体"/>
                <w:sz w:val="24"/>
                <w:szCs w:val="24"/>
                <w:lang w:val="zh-CN"/>
              </w:rPr>
              <w:t>投标内容</w:t>
            </w:r>
          </w:p>
        </w:tc>
        <w:tc>
          <w:tcPr>
            <w:tcW w:w="3196" w:type="pct"/>
            <w:vAlign w:val="center"/>
          </w:tcPr>
          <w:p w14:paraId="512CA904">
            <w:pPr>
              <w:rPr>
                <w:rFonts w:ascii="宋体" w:hAnsi="宋体" w:eastAsia="宋体" w:cs="宋体"/>
                <w:sz w:val="24"/>
                <w:szCs w:val="24"/>
                <w:lang w:val="zh-CN"/>
              </w:rPr>
            </w:pPr>
            <w:r>
              <w:rPr>
                <w:rFonts w:hint="eastAsia" w:ascii="宋体" w:hAnsi="宋体" w:eastAsia="宋体" w:cs="宋体"/>
                <w:sz w:val="24"/>
                <w:szCs w:val="24"/>
                <w:lang w:val="zh-CN"/>
              </w:rPr>
              <w:t>满足招标文件要求</w:t>
            </w:r>
          </w:p>
        </w:tc>
      </w:tr>
      <w:tr w14:paraId="0F07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13" w:type="pct"/>
            <w:vAlign w:val="center"/>
          </w:tcPr>
          <w:p w14:paraId="50690F38">
            <w:pPr>
              <w:jc w:val="center"/>
              <w:rPr>
                <w:rFonts w:ascii="宋体" w:hAnsi="宋体" w:eastAsia="宋体" w:cs="宋体"/>
                <w:sz w:val="24"/>
                <w:szCs w:val="24"/>
              </w:rPr>
            </w:pPr>
            <w:r>
              <w:rPr>
                <w:rFonts w:hint="eastAsia" w:ascii="宋体" w:hAnsi="宋体" w:eastAsia="宋体" w:cs="宋体"/>
                <w:sz w:val="24"/>
                <w:szCs w:val="24"/>
              </w:rPr>
              <w:t>6</w:t>
            </w:r>
          </w:p>
        </w:tc>
        <w:tc>
          <w:tcPr>
            <w:tcW w:w="1389" w:type="pct"/>
            <w:vAlign w:val="center"/>
          </w:tcPr>
          <w:p w14:paraId="07074706">
            <w:pPr>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合同履行期限</w:t>
            </w:r>
          </w:p>
        </w:tc>
        <w:tc>
          <w:tcPr>
            <w:tcW w:w="3196" w:type="pct"/>
            <w:vAlign w:val="center"/>
          </w:tcPr>
          <w:p w14:paraId="768989C7">
            <w:pPr>
              <w:spacing w:line="360" w:lineRule="auto"/>
              <w:rPr>
                <w:rFonts w:ascii="宋体" w:hAnsi="宋体" w:cs="宋体"/>
                <w:sz w:val="24"/>
                <w:szCs w:val="24"/>
                <w:highlight w:val="none"/>
              </w:rPr>
            </w:pPr>
            <w:r>
              <w:rPr>
                <w:rFonts w:hint="eastAsia" w:asciiTheme="minorEastAsia" w:hAnsiTheme="minorEastAsia" w:cstheme="minorEastAsia"/>
                <w:sz w:val="24"/>
                <w:highlight w:val="none"/>
              </w:rPr>
              <w:t>签订合同之日起30日内交货，</w:t>
            </w:r>
            <w:r>
              <w:rPr>
                <w:rFonts w:hint="eastAsia" w:cs="宋体" w:asciiTheme="minorEastAsia" w:hAnsiTheme="minorEastAsia"/>
                <w:sz w:val="24"/>
                <w:szCs w:val="24"/>
                <w:highlight w:val="none"/>
              </w:rPr>
              <w:t>并安装调试完毕。</w:t>
            </w:r>
          </w:p>
        </w:tc>
      </w:tr>
      <w:tr w14:paraId="10DE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413" w:type="pct"/>
            <w:vAlign w:val="center"/>
          </w:tcPr>
          <w:p w14:paraId="59362392">
            <w:pPr>
              <w:jc w:val="center"/>
              <w:rPr>
                <w:rFonts w:ascii="宋体" w:hAnsi="宋体" w:eastAsia="宋体" w:cs="宋体"/>
                <w:sz w:val="24"/>
                <w:szCs w:val="24"/>
              </w:rPr>
            </w:pPr>
            <w:r>
              <w:rPr>
                <w:rFonts w:hint="eastAsia" w:ascii="宋体" w:hAnsi="宋体" w:eastAsia="宋体" w:cs="宋体"/>
                <w:sz w:val="24"/>
                <w:szCs w:val="24"/>
              </w:rPr>
              <w:t>7</w:t>
            </w:r>
          </w:p>
        </w:tc>
        <w:tc>
          <w:tcPr>
            <w:tcW w:w="1389" w:type="pct"/>
            <w:vAlign w:val="center"/>
          </w:tcPr>
          <w:p w14:paraId="7D367691">
            <w:pPr>
              <w:rPr>
                <w:rFonts w:ascii="宋体" w:hAnsi="宋体" w:eastAsia="宋体" w:cs="宋体"/>
                <w:sz w:val="24"/>
                <w:szCs w:val="24"/>
                <w:lang w:val="zh-CN"/>
              </w:rPr>
            </w:pPr>
            <w:r>
              <w:rPr>
                <w:rFonts w:hint="eastAsia" w:ascii="宋体" w:hAnsi="宋体" w:eastAsia="宋体" w:cs="宋体"/>
                <w:sz w:val="24"/>
                <w:szCs w:val="24"/>
                <w:lang w:val="zh-CN"/>
              </w:rPr>
              <w:t>质量要求</w:t>
            </w:r>
          </w:p>
        </w:tc>
        <w:tc>
          <w:tcPr>
            <w:tcW w:w="3196" w:type="pct"/>
            <w:vAlign w:val="center"/>
          </w:tcPr>
          <w:p w14:paraId="5BF6C6FA">
            <w:pPr>
              <w:rPr>
                <w:rFonts w:ascii="宋体" w:hAnsi="宋体" w:eastAsia="宋体" w:cs="宋体"/>
                <w:sz w:val="24"/>
                <w:szCs w:val="24"/>
              </w:rPr>
            </w:pPr>
            <w:r>
              <w:rPr>
                <w:rFonts w:hint="eastAsia" w:ascii="宋体" w:hAnsi="宋体" w:eastAsia="宋体" w:cs="宋体"/>
                <w:sz w:val="24"/>
                <w:szCs w:val="24"/>
                <w:lang w:val="zh-CN"/>
              </w:rPr>
              <w:t>符合现行国家、行业、地方或者其他相关标准的合格要求。</w:t>
            </w:r>
          </w:p>
        </w:tc>
      </w:tr>
      <w:tr w14:paraId="155C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13" w:type="pct"/>
            <w:vAlign w:val="center"/>
          </w:tcPr>
          <w:p w14:paraId="556FF152">
            <w:pPr>
              <w:jc w:val="center"/>
              <w:rPr>
                <w:rFonts w:ascii="宋体" w:hAnsi="宋体" w:eastAsia="宋体" w:cs="宋体"/>
                <w:sz w:val="24"/>
                <w:szCs w:val="24"/>
              </w:rPr>
            </w:pPr>
            <w:r>
              <w:rPr>
                <w:rFonts w:hint="eastAsia" w:ascii="宋体" w:hAnsi="宋体" w:eastAsia="宋体" w:cs="宋体"/>
                <w:sz w:val="24"/>
                <w:szCs w:val="24"/>
              </w:rPr>
              <w:t>8</w:t>
            </w:r>
          </w:p>
        </w:tc>
        <w:tc>
          <w:tcPr>
            <w:tcW w:w="1389" w:type="pct"/>
            <w:vAlign w:val="center"/>
          </w:tcPr>
          <w:p w14:paraId="7240921B">
            <w:pPr>
              <w:rPr>
                <w:rFonts w:ascii="宋体" w:hAnsi="宋体" w:eastAsia="宋体" w:cs="宋体"/>
                <w:sz w:val="24"/>
                <w:szCs w:val="24"/>
                <w:lang w:val="zh-CN"/>
              </w:rPr>
            </w:pPr>
            <w:r>
              <w:rPr>
                <w:rFonts w:hint="eastAsia" w:ascii="宋体" w:hAnsi="宋体" w:eastAsia="宋体" w:cs="宋体"/>
                <w:sz w:val="24"/>
                <w:szCs w:val="24"/>
                <w:lang w:val="zh-CN"/>
              </w:rPr>
              <w:t>投标有效期</w:t>
            </w:r>
          </w:p>
        </w:tc>
        <w:tc>
          <w:tcPr>
            <w:tcW w:w="3196" w:type="pct"/>
            <w:vAlign w:val="center"/>
          </w:tcPr>
          <w:p w14:paraId="3F933A9E">
            <w:pPr>
              <w:rPr>
                <w:rFonts w:ascii="宋体" w:hAnsi="宋体" w:eastAsia="宋体" w:cs="宋体"/>
                <w:sz w:val="24"/>
                <w:szCs w:val="24"/>
                <w:lang w:val="zh-CN"/>
              </w:rPr>
            </w:pPr>
            <w:r>
              <w:rPr>
                <w:rFonts w:hint="eastAsia" w:ascii="宋体" w:hAnsi="宋体" w:eastAsia="宋体" w:cs="宋体"/>
                <w:sz w:val="24"/>
                <w:szCs w:val="24"/>
                <w:lang w:val="zh-CN"/>
              </w:rPr>
              <w:t>自开标之日起90天</w:t>
            </w:r>
          </w:p>
        </w:tc>
      </w:tr>
      <w:tr w14:paraId="1A80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13" w:type="pct"/>
            <w:vAlign w:val="center"/>
          </w:tcPr>
          <w:p w14:paraId="29C8C940">
            <w:pPr>
              <w:jc w:val="center"/>
              <w:rPr>
                <w:rFonts w:ascii="宋体" w:hAnsi="宋体" w:eastAsia="宋体" w:cs="宋体"/>
                <w:sz w:val="24"/>
                <w:szCs w:val="24"/>
              </w:rPr>
            </w:pPr>
            <w:r>
              <w:rPr>
                <w:rFonts w:hint="eastAsia" w:ascii="宋体" w:hAnsi="宋体" w:eastAsia="宋体" w:cs="宋体"/>
                <w:sz w:val="24"/>
                <w:szCs w:val="24"/>
              </w:rPr>
              <w:t>9</w:t>
            </w:r>
          </w:p>
        </w:tc>
        <w:tc>
          <w:tcPr>
            <w:tcW w:w="1389" w:type="pct"/>
            <w:vAlign w:val="center"/>
          </w:tcPr>
          <w:p w14:paraId="16C35630">
            <w:pPr>
              <w:rPr>
                <w:rFonts w:ascii="宋体" w:hAnsi="宋体" w:eastAsia="宋体" w:cs="宋体"/>
                <w:sz w:val="24"/>
                <w:szCs w:val="24"/>
                <w:lang w:val="zh-CN"/>
              </w:rPr>
            </w:pPr>
            <w:r>
              <w:rPr>
                <w:rFonts w:hint="eastAsia" w:ascii="宋体" w:hAnsi="宋体" w:eastAsia="宋体" w:cs="宋体"/>
                <w:sz w:val="24"/>
                <w:szCs w:val="24"/>
                <w:lang w:val="zh-CN"/>
              </w:rPr>
              <w:t>投标保证金</w:t>
            </w:r>
          </w:p>
        </w:tc>
        <w:tc>
          <w:tcPr>
            <w:tcW w:w="3196" w:type="pct"/>
            <w:vAlign w:val="center"/>
          </w:tcPr>
          <w:p w14:paraId="64061530">
            <w:pPr>
              <w:rPr>
                <w:rFonts w:ascii="宋体" w:hAnsi="宋体" w:eastAsia="宋体" w:cs="宋体"/>
                <w:sz w:val="24"/>
                <w:szCs w:val="24"/>
                <w:lang w:val="zh-CN"/>
              </w:rPr>
            </w:pPr>
            <w:r>
              <w:rPr>
                <w:rFonts w:hint="eastAsia" w:ascii="宋体" w:hAnsi="宋体" w:eastAsia="宋体" w:cs="宋体"/>
                <w:sz w:val="24"/>
                <w:szCs w:val="24"/>
                <w:lang w:val="zh-CN"/>
              </w:rPr>
              <w:t>满足招标文件要求</w:t>
            </w:r>
          </w:p>
        </w:tc>
      </w:tr>
      <w:tr w14:paraId="7EBA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413" w:type="pct"/>
            <w:vAlign w:val="center"/>
          </w:tcPr>
          <w:p w14:paraId="59EC560B">
            <w:pPr>
              <w:jc w:val="center"/>
              <w:rPr>
                <w:rFonts w:ascii="宋体" w:hAnsi="宋体" w:eastAsia="宋体" w:cs="宋体"/>
                <w:sz w:val="24"/>
                <w:szCs w:val="24"/>
              </w:rPr>
            </w:pPr>
            <w:r>
              <w:rPr>
                <w:rFonts w:hint="eastAsia" w:ascii="宋体" w:hAnsi="宋体" w:eastAsia="宋体" w:cs="宋体"/>
                <w:sz w:val="24"/>
                <w:szCs w:val="24"/>
              </w:rPr>
              <w:t>10</w:t>
            </w:r>
          </w:p>
        </w:tc>
        <w:tc>
          <w:tcPr>
            <w:tcW w:w="1389" w:type="pct"/>
            <w:vAlign w:val="center"/>
          </w:tcPr>
          <w:p w14:paraId="38E05D54">
            <w:pPr>
              <w:rPr>
                <w:rFonts w:ascii="宋体" w:hAnsi="宋体" w:eastAsia="宋体" w:cs="宋体"/>
                <w:sz w:val="24"/>
                <w:szCs w:val="24"/>
                <w:lang w:val="zh-CN"/>
              </w:rPr>
            </w:pPr>
            <w:r>
              <w:rPr>
                <w:rFonts w:hint="eastAsia" w:ascii="宋体" w:hAnsi="宋体" w:eastAsia="宋体" w:cs="宋体"/>
                <w:sz w:val="24"/>
                <w:szCs w:val="24"/>
                <w:lang w:val="zh-CN"/>
              </w:rPr>
              <w:t>权利义务</w:t>
            </w:r>
          </w:p>
        </w:tc>
        <w:tc>
          <w:tcPr>
            <w:tcW w:w="3196" w:type="pct"/>
            <w:vAlign w:val="center"/>
          </w:tcPr>
          <w:p w14:paraId="084B5570">
            <w:pPr>
              <w:rPr>
                <w:rFonts w:ascii="宋体" w:hAnsi="宋体" w:eastAsia="宋体" w:cs="宋体"/>
                <w:sz w:val="24"/>
                <w:szCs w:val="24"/>
                <w:lang w:val="zh-CN"/>
              </w:rPr>
            </w:pPr>
            <w:r>
              <w:rPr>
                <w:rFonts w:hint="eastAsia" w:ascii="宋体" w:hAnsi="宋体" w:eastAsia="宋体" w:cs="宋体"/>
                <w:sz w:val="24"/>
                <w:szCs w:val="24"/>
                <w:lang w:val="zh-CN"/>
              </w:rPr>
              <w:t>符合招标文件规定</w:t>
            </w:r>
          </w:p>
        </w:tc>
      </w:tr>
      <w:tr w14:paraId="7D4D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13" w:type="pct"/>
            <w:vAlign w:val="center"/>
          </w:tcPr>
          <w:p w14:paraId="1F85B568">
            <w:pPr>
              <w:jc w:val="center"/>
              <w:rPr>
                <w:rFonts w:ascii="宋体" w:hAnsi="宋体" w:eastAsia="宋体" w:cs="宋体"/>
                <w:sz w:val="24"/>
                <w:szCs w:val="24"/>
              </w:rPr>
            </w:pPr>
            <w:r>
              <w:rPr>
                <w:rFonts w:hint="eastAsia" w:ascii="宋体" w:hAnsi="宋体" w:eastAsia="宋体" w:cs="宋体"/>
                <w:sz w:val="24"/>
                <w:szCs w:val="24"/>
              </w:rPr>
              <w:t>11</w:t>
            </w:r>
          </w:p>
        </w:tc>
        <w:tc>
          <w:tcPr>
            <w:tcW w:w="1389" w:type="pct"/>
            <w:vAlign w:val="center"/>
          </w:tcPr>
          <w:p w14:paraId="1F5218F4">
            <w:pPr>
              <w:rPr>
                <w:rFonts w:ascii="宋体" w:hAnsi="宋体" w:eastAsia="宋体" w:cs="宋体"/>
                <w:sz w:val="24"/>
                <w:szCs w:val="24"/>
                <w:lang w:val="zh-CN"/>
              </w:rPr>
            </w:pPr>
            <w:r>
              <w:rPr>
                <w:rFonts w:hint="eastAsia" w:ascii="宋体" w:hAnsi="宋体" w:eastAsia="宋体" w:cs="宋体"/>
                <w:sz w:val="24"/>
                <w:szCs w:val="24"/>
                <w:lang w:val="zh-CN"/>
              </w:rPr>
              <w:t>采购需求</w:t>
            </w:r>
          </w:p>
        </w:tc>
        <w:tc>
          <w:tcPr>
            <w:tcW w:w="3196" w:type="pct"/>
            <w:vAlign w:val="center"/>
          </w:tcPr>
          <w:p w14:paraId="2059933C">
            <w:pPr>
              <w:rPr>
                <w:rFonts w:ascii="Times New Roman" w:hAnsi="Times New Roman" w:eastAsia="宋体" w:cs="Times New Roman"/>
                <w:sz w:val="24"/>
                <w:szCs w:val="20"/>
                <w:lang w:val="zh-CN"/>
              </w:rPr>
            </w:pPr>
            <w:r>
              <w:rPr>
                <w:rFonts w:hint="eastAsia" w:ascii="宋体" w:hAnsi="宋体" w:eastAsia="宋体" w:cs="宋体"/>
                <w:sz w:val="24"/>
                <w:szCs w:val="24"/>
                <w:lang w:val="zh-CN"/>
              </w:rPr>
              <w:t>符合招标文件“第五章 采购需求”中</w:t>
            </w:r>
            <w:r>
              <w:rPr>
                <w:rFonts w:hint="eastAsia" w:ascii="宋体" w:hAnsi="宋体" w:eastAsia="宋体" w:cs="宋体"/>
                <w:sz w:val="24"/>
                <w:szCs w:val="24"/>
              </w:rPr>
              <w:t>的</w:t>
            </w:r>
            <w:r>
              <w:rPr>
                <w:rFonts w:hint="eastAsia" w:ascii="宋体" w:hAnsi="宋体" w:eastAsia="宋体" w:cs="宋体"/>
                <w:sz w:val="24"/>
                <w:szCs w:val="24"/>
                <w:lang w:val="zh-CN"/>
              </w:rPr>
              <w:t>要求</w:t>
            </w:r>
          </w:p>
        </w:tc>
      </w:tr>
      <w:tr w14:paraId="35D7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413" w:type="pct"/>
            <w:vAlign w:val="center"/>
          </w:tcPr>
          <w:p w14:paraId="6FC516B3">
            <w:pPr>
              <w:jc w:val="center"/>
              <w:rPr>
                <w:rFonts w:ascii="宋体" w:hAnsi="宋体" w:eastAsia="宋体" w:cs="宋体"/>
                <w:sz w:val="24"/>
                <w:szCs w:val="24"/>
              </w:rPr>
            </w:pPr>
            <w:r>
              <w:rPr>
                <w:rFonts w:hint="eastAsia" w:ascii="宋体" w:hAnsi="宋体" w:eastAsia="宋体" w:cs="宋体"/>
                <w:sz w:val="24"/>
                <w:szCs w:val="24"/>
              </w:rPr>
              <w:t>12</w:t>
            </w:r>
          </w:p>
        </w:tc>
        <w:tc>
          <w:tcPr>
            <w:tcW w:w="1389" w:type="pct"/>
            <w:vAlign w:val="center"/>
          </w:tcPr>
          <w:p w14:paraId="6EC1DB9B">
            <w:pPr>
              <w:rPr>
                <w:rFonts w:ascii="宋体" w:hAnsi="宋体" w:eastAsia="宋体" w:cs="宋体"/>
                <w:sz w:val="24"/>
                <w:szCs w:val="24"/>
                <w:lang w:val="zh-CN"/>
              </w:rPr>
            </w:pPr>
            <w:r>
              <w:rPr>
                <w:rFonts w:hint="eastAsia" w:ascii="宋体" w:hAnsi="宋体" w:eastAsia="宋体" w:cs="宋体"/>
                <w:sz w:val="24"/>
                <w:szCs w:val="24"/>
                <w:lang w:val="zh-CN"/>
              </w:rPr>
              <w:t>投标报价</w:t>
            </w:r>
          </w:p>
        </w:tc>
        <w:tc>
          <w:tcPr>
            <w:tcW w:w="3196" w:type="pct"/>
            <w:vAlign w:val="center"/>
          </w:tcPr>
          <w:p w14:paraId="18D4C95C">
            <w:pPr>
              <w:rPr>
                <w:rFonts w:ascii="宋体" w:hAnsi="宋体" w:eastAsia="宋体" w:cs="宋体"/>
                <w:sz w:val="24"/>
                <w:szCs w:val="24"/>
              </w:rPr>
            </w:pPr>
            <w:r>
              <w:rPr>
                <w:rFonts w:hint="eastAsia" w:ascii="宋体" w:hAnsi="宋体" w:eastAsia="宋体" w:cs="宋体"/>
                <w:sz w:val="24"/>
                <w:szCs w:val="24"/>
                <w:lang w:val="zh-CN"/>
              </w:rPr>
              <w:t>不低于合理成本价，投标总价不得超过控制价。</w:t>
            </w:r>
          </w:p>
        </w:tc>
      </w:tr>
      <w:tr w14:paraId="280D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413" w:type="pct"/>
            <w:vAlign w:val="center"/>
          </w:tcPr>
          <w:p w14:paraId="20D322E0">
            <w:pPr>
              <w:jc w:val="center"/>
              <w:rPr>
                <w:rFonts w:ascii="宋体" w:hAnsi="宋体" w:eastAsia="宋体" w:cs="宋体"/>
                <w:sz w:val="24"/>
                <w:szCs w:val="24"/>
              </w:rPr>
            </w:pPr>
            <w:r>
              <w:rPr>
                <w:rFonts w:hint="eastAsia" w:ascii="宋体" w:hAnsi="宋体" w:eastAsia="宋体" w:cs="宋体"/>
                <w:sz w:val="24"/>
                <w:szCs w:val="24"/>
              </w:rPr>
              <w:t>13</w:t>
            </w:r>
          </w:p>
        </w:tc>
        <w:tc>
          <w:tcPr>
            <w:tcW w:w="2765" w:type="dxa"/>
            <w:vAlign w:val="center"/>
          </w:tcPr>
          <w:p w14:paraId="7CA8E45D">
            <w:pPr>
              <w:spacing w:line="400" w:lineRule="exact"/>
              <w:jc w:val="left"/>
              <w:rPr>
                <w:rFonts w:ascii="宋体" w:hAnsi="宋体" w:eastAsia="宋体" w:cs="宋体"/>
                <w:sz w:val="24"/>
                <w:szCs w:val="24"/>
                <w:lang w:val="zh-CN"/>
              </w:rPr>
            </w:pPr>
            <w:r>
              <w:rPr>
                <w:rFonts w:hint="eastAsia" w:ascii="宋体" w:hAnsi="宋体" w:eastAsia="宋体" w:cs="宋体"/>
                <w:sz w:val="24"/>
                <w:szCs w:val="24"/>
              </w:rPr>
              <w:t>★号条款</w:t>
            </w:r>
          </w:p>
        </w:tc>
        <w:tc>
          <w:tcPr>
            <w:tcW w:w="6363" w:type="dxa"/>
            <w:vAlign w:val="center"/>
          </w:tcPr>
          <w:p w14:paraId="1EB01A21">
            <w:pPr>
              <w:spacing w:line="400" w:lineRule="exact"/>
              <w:rPr>
                <w:rFonts w:ascii="宋体" w:hAnsi="宋体" w:eastAsia="宋体" w:cs="宋体"/>
                <w:sz w:val="24"/>
                <w:szCs w:val="24"/>
                <w:lang w:val="zh-CN"/>
              </w:rPr>
            </w:pPr>
            <w:r>
              <w:rPr>
                <w:rFonts w:hint="eastAsia" w:ascii="宋体" w:hAnsi="宋体" w:eastAsia="宋体" w:cs="宋体"/>
                <w:sz w:val="24"/>
                <w:lang w:val="zh-CN"/>
              </w:rPr>
              <w:t>不允许有负偏离。</w:t>
            </w:r>
          </w:p>
        </w:tc>
      </w:tr>
      <w:tr w14:paraId="03B4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5000" w:type="pct"/>
            <w:gridSpan w:val="3"/>
            <w:vAlign w:val="center"/>
          </w:tcPr>
          <w:p w14:paraId="34A6056B">
            <w:pPr>
              <w:jc w:val="center"/>
              <w:rPr>
                <w:rFonts w:ascii="宋体" w:hAnsi="宋体" w:eastAsia="宋体" w:cs="宋体"/>
                <w:sz w:val="24"/>
                <w:szCs w:val="24"/>
                <w:lang w:val="zh-CN"/>
              </w:rPr>
            </w:pPr>
            <w:r>
              <w:rPr>
                <w:rFonts w:hint="eastAsia" w:ascii="宋体" w:hAnsi="宋体" w:eastAsia="宋体" w:cs="宋体"/>
                <w:sz w:val="24"/>
                <w:szCs w:val="24"/>
                <w:lang w:val="zh-CN"/>
              </w:rPr>
              <w:t>评审结果</w:t>
            </w:r>
            <w:r>
              <w:rPr>
                <w:rFonts w:hint="eastAsia" w:ascii="宋体" w:hAnsi="宋体" w:eastAsia="宋体" w:cs="宋体"/>
                <w:bCs/>
                <w:sz w:val="24"/>
                <w:szCs w:val="24"/>
                <w:lang w:val="zh-CN"/>
              </w:rPr>
              <w:t>（</w:t>
            </w:r>
            <w:r>
              <w:rPr>
                <w:rFonts w:hint="eastAsia" w:ascii="宋体" w:hAnsi="宋体" w:eastAsia="宋体" w:cs="宋体"/>
                <w:bCs/>
                <w:sz w:val="24"/>
                <w:szCs w:val="24"/>
              </w:rPr>
              <w:t>合格不合格</w:t>
            </w:r>
            <w:r>
              <w:rPr>
                <w:rFonts w:hint="eastAsia" w:ascii="宋体" w:hAnsi="宋体" w:eastAsia="宋体" w:cs="宋体"/>
                <w:bCs/>
                <w:sz w:val="24"/>
                <w:szCs w:val="24"/>
                <w:lang w:val="zh-CN"/>
              </w:rPr>
              <w:t>）</w:t>
            </w:r>
          </w:p>
        </w:tc>
      </w:tr>
    </w:tbl>
    <w:p w14:paraId="5E8B8240">
      <w:pPr>
        <w:rPr>
          <w:rFonts w:ascii="宋体" w:hAnsi="宋体" w:eastAsia="宋体" w:cs="宋体"/>
          <w:sz w:val="24"/>
          <w:szCs w:val="24"/>
          <w:lang w:val="zh-CN"/>
        </w:rPr>
      </w:pPr>
      <w:r>
        <w:rPr>
          <w:rFonts w:hint="eastAsia" w:ascii="宋体" w:hAnsi="宋体" w:eastAsia="宋体" w:cs="宋体"/>
          <w:sz w:val="24"/>
          <w:szCs w:val="24"/>
          <w:lang w:val="zh-CN"/>
        </w:rPr>
        <w:t>注：（1）“√”为合格，“×”为不合格。</w:t>
      </w:r>
    </w:p>
    <w:p w14:paraId="1D124023">
      <w:pPr>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（2）此表中有一项不满足招标文件及投标人最低标准，则为不合格。不合格的投标人的投标将被否决不能进入评分细则阶段。</w:t>
      </w:r>
    </w:p>
    <w:p w14:paraId="7ACA1EA9">
      <w:pPr>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（3）如不合格在表下面注明不合格原因。</w:t>
      </w:r>
    </w:p>
    <w:p w14:paraId="7F04BA7F">
      <w:pPr>
        <w:autoSpaceDE w:val="0"/>
        <w:autoSpaceDN w:val="0"/>
        <w:adjustRightInd w:val="0"/>
        <w:jc w:val="left"/>
        <w:rPr>
          <w:rFonts w:ascii="宋体" w:hAnsi="宋体" w:eastAsia="宋体" w:cs="宋体"/>
          <w:szCs w:val="21"/>
        </w:rPr>
      </w:pPr>
    </w:p>
    <w:p w14:paraId="27888B8D">
      <w:pPr>
        <w:autoSpaceDE w:val="0"/>
        <w:autoSpaceDN w:val="0"/>
        <w:adjustRightInd w:val="0"/>
        <w:jc w:val="left"/>
        <w:rPr>
          <w:rFonts w:ascii="宋体" w:hAnsi="宋体" w:eastAsia="宋体" w:cs="宋体"/>
          <w:szCs w:val="21"/>
        </w:rPr>
      </w:pPr>
    </w:p>
    <w:p w14:paraId="47D3D381">
      <w:pPr>
        <w:autoSpaceDE w:val="0"/>
        <w:autoSpaceDN w:val="0"/>
        <w:adjustRightInd w:val="0"/>
        <w:jc w:val="left"/>
        <w:rPr>
          <w:rFonts w:ascii="宋体" w:hAnsi="宋体" w:eastAsia="宋体" w:cs="宋体"/>
          <w:szCs w:val="21"/>
        </w:rPr>
      </w:pPr>
    </w:p>
    <w:p w14:paraId="22395C21">
      <w:pPr>
        <w:autoSpaceDE w:val="0"/>
        <w:autoSpaceDN w:val="0"/>
        <w:adjustRightInd w:val="0"/>
        <w:jc w:val="center"/>
        <w:rPr>
          <w:rFonts w:ascii="宋体" w:hAnsi="宋体" w:eastAsia="宋体" w:cs="宋体"/>
          <w:b/>
          <w:bCs/>
          <w:sz w:val="24"/>
          <w:szCs w:val="24"/>
        </w:rPr>
        <w:sectPr>
          <w:footerReference r:id="rId4" w:type="default"/>
          <w:pgSz w:w="11906" w:h="16838"/>
          <w:pgMar w:top="1440" w:right="1080" w:bottom="1440" w:left="1080" w:header="851" w:footer="992" w:gutter="0"/>
          <w:pgNumType w:start="1"/>
          <w:cols w:space="425" w:num="1"/>
          <w:docGrid w:type="lines" w:linePitch="312" w:charSpace="0"/>
        </w:sectPr>
      </w:pPr>
    </w:p>
    <w:p w14:paraId="340E1F5F">
      <w:pPr>
        <w:autoSpaceDE w:val="0"/>
        <w:autoSpaceDN w:val="0"/>
        <w:adjustRightInd w:val="0"/>
        <w:jc w:val="center"/>
        <w:rPr>
          <w:rFonts w:ascii="宋体" w:hAnsi="宋体" w:eastAsia="宋体" w:cs="宋体"/>
          <w:b/>
          <w:bCs/>
          <w:sz w:val="24"/>
          <w:szCs w:val="24"/>
        </w:rPr>
      </w:pPr>
      <w:r>
        <w:rPr>
          <w:rFonts w:hint="eastAsia" w:ascii="宋体" w:hAnsi="宋体" w:eastAsia="宋体" w:cs="宋体"/>
          <w:b/>
          <w:bCs/>
          <w:sz w:val="24"/>
          <w:szCs w:val="24"/>
        </w:rPr>
        <w:t>评分细则</w:t>
      </w:r>
    </w:p>
    <w:p w14:paraId="4178E09F">
      <w:pPr>
        <w:autoSpaceDE w:val="0"/>
        <w:autoSpaceDN w:val="0"/>
        <w:adjustRightInd w:val="0"/>
        <w:jc w:val="left"/>
        <w:rPr>
          <w:rFonts w:ascii="宋体" w:hAnsi="宋体" w:eastAsia="宋体" w:cs="宋体"/>
          <w:sz w:val="24"/>
          <w:szCs w:val="24"/>
        </w:rPr>
      </w:pPr>
      <w:r>
        <w:rPr>
          <w:rFonts w:hint="eastAsia" w:ascii="宋体" w:hAnsi="宋体" w:eastAsia="宋体" w:cs="宋体"/>
          <w:sz w:val="24"/>
          <w:szCs w:val="24"/>
        </w:rPr>
        <w:t>评标委员会应当按照招标文件中规定的评标方法和标准，对符合性审查合格的投标文件进行价格因素、商务因素及技术因素。</w:t>
      </w:r>
    </w:p>
    <w:tbl>
      <w:tblPr>
        <w:tblStyle w:val="21"/>
        <w:tblW w:w="5154"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378"/>
        <w:gridCol w:w="7011"/>
        <w:gridCol w:w="857"/>
      </w:tblGrid>
      <w:tr w14:paraId="38B6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blHeader/>
        </w:trPr>
        <w:tc>
          <w:tcPr>
            <w:tcW w:w="498" w:type="pct"/>
            <w:shd w:val="clear" w:color="auto" w:fill="auto"/>
            <w:vAlign w:val="center"/>
          </w:tcPr>
          <w:p w14:paraId="6F795DB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条款号</w:t>
            </w:r>
          </w:p>
        </w:tc>
        <w:tc>
          <w:tcPr>
            <w:tcW w:w="671" w:type="pct"/>
            <w:shd w:val="clear" w:color="auto" w:fill="auto"/>
            <w:vAlign w:val="center"/>
          </w:tcPr>
          <w:p w14:paraId="0771877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评审因素</w:t>
            </w:r>
          </w:p>
        </w:tc>
        <w:tc>
          <w:tcPr>
            <w:tcW w:w="3412" w:type="pct"/>
            <w:shd w:val="clear" w:color="auto" w:fill="auto"/>
            <w:vAlign w:val="center"/>
          </w:tcPr>
          <w:p w14:paraId="2E89436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评分标准</w:t>
            </w:r>
          </w:p>
        </w:tc>
        <w:tc>
          <w:tcPr>
            <w:tcW w:w="417" w:type="pct"/>
            <w:shd w:val="clear" w:color="auto" w:fill="auto"/>
            <w:vAlign w:val="center"/>
          </w:tcPr>
          <w:p w14:paraId="5A3B640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满分</w:t>
            </w:r>
          </w:p>
        </w:tc>
      </w:tr>
      <w:tr w14:paraId="7D54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498" w:type="pct"/>
            <w:shd w:val="clear" w:color="auto" w:fill="auto"/>
            <w:vAlign w:val="center"/>
          </w:tcPr>
          <w:p w14:paraId="517BF896">
            <w:pPr>
              <w:widowControl/>
              <w:jc w:val="center"/>
              <w:rPr>
                <w:rFonts w:ascii="宋体" w:hAnsi="宋体" w:eastAsia="宋体" w:cs="宋体"/>
                <w:kern w:val="0"/>
                <w:sz w:val="24"/>
                <w:szCs w:val="24"/>
              </w:rPr>
            </w:pPr>
            <w:r>
              <w:rPr>
                <w:rFonts w:hint="eastAsia" w:ascii="宋体" w:hAnsi="宋体" w:eastAsia="宋体" w:cs="宋体"/>
                <w:kern w:val="0"/>
                <w:sz w:val="24"/>
                <w:szCs w:val="24"/>
              </w:rPr>
              <w:t>价格部分(30分)</w:t>
            </w:r>
          </w:p>
        </w:tc>
        <w:tc>
          <w:tcPr>
            <w:tcW w:w="671" w:type="pct"/>
            <w:shd w:val="clear" w:color="auto" w:fill="auto"/>
            <w:vAlign w:val="center"/>
          </w:tcPr>
          <w:p w14:paraId="6551857F">
            <w:pPr>
              <w:widowControl/>
              <w:jc w:val="center"/>
              <w:rPr>
                <w:rFonts w:ascii="宋体" w:hAnsi="宋体" w:eastAsia="宋体" w:cs="宋体"/>
                <w:kern w:val="0"/>
                <w:sz w:val="24"/>
                <w:szCs w:val="24"/>
              </w:rPr>
            </w:pPr>
            <w:r>
              <w:rPr>
                <w:rFonts w:hint="eastAsia" w:ascii="宋体" w:hAnsi="宋体" w:eastAsia="宋体" w:cs="宋体"/>
                <w:kern w:val="0"/>
                <w:sz w:val="24"/>
                <w:szCs w:val="24"/>
              </w:rPr>
              <w:t>报价分</w:t>
            </w:r>
          </w:p>
        </w:tc>
        <w:tc>
          <w:tcPr>
            <w:tcW w:w="3412" w:type="pct"/>
            <w:shd w:val="clear" w:color="auto" w:fill="auto"/>
            <w:vAlign w:val="center"/>
          </w:tcPr>
          <w:p w14:paraId="451733ED">
            <w:pPr>
              <w:widowControl/>
              <w:jc w:val="left"/>
              <w:rPr>
                <w:rFonts w:ascii="宋体" w:hAnsi="宋体" w:eastAsia="宋体" w:cs="宋体"/>
                <w:kern w:val="0"/>
                <w:sz w:val="24"/>
                <w:szCs w:val="24"/>
              </w:rPr>
            </w:pPr>
            <w:r>
              <w:rPr>
                <w:rFonts w:hint="eastAsia" w:ascii="宋体" w:hAnsi="宋体" w:eastAsia="宋体" w:cs="宋体"/>
                <w:kern w:val="0"/>
                <w:sz w:val="24"/>
                <w:szCs w:val="24"/>
              </w:rPr>
              <w:t>各有效投标人的报价中，取最低价为评标基准价，其价格分为满分。报价得分=(评标基准价/投标人报价)×30注：得分分值计算保留小数点后两位，第三位四舍五入。</w:t>
            </w:r>
          </w:p>
        </w:tc>
        <w:tc>
          <w:tcPr>
            <w:tcW w:w="417" w:type="pct"/>
            <w:shd w:val="clear" w:color="auto" w:fill="auto"/>
            <w:vAlign w:val="center"/>
          </w:tcPr>
          <w:p w14:paraId="00190B81">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r>
      <w:tr w14:paraId="4A6B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498" w:type="pct"/>
            <w:vMerge w:val="restart"/>
            <w:shd w:val="clear" w:color="auto" w:fill="auto"/>
            <w:vAlign w:val="center"/>
          </w:tcPr>
          <w:p w14:paraId="2C806A96">
            <w:pPr>
              <w:widowControl/>
              <w:jc w:val="center"/>
              <w:rPr>
                <w:rFonts w:ascii="宋体" w:hAnsi="宋体" w:eastAsia="宋体" w:cs="宋体"/>
                <w:kern w:val="0"/>
                <w:sz w:val="24"/>
                <w:szCs w:val="24"/>
              </w:rPr>
            </w:pPr>
            <w:r>
              <w:rPr>
                <w:rFonts w:hint="eastAsia" w:ascii="宋体" w:hAnsi="宋体" w:eastAsia="宋体" w:cs="宋体"/>
                <w:kern w:val="0"/>
                <w:sz w:val="24"/>
                <w:szCs w:val="24"/>
              </w:rPr>
              <w:t>商务部分(20分)</w:t>
            </w:r>
          </w:p>
        </w:tc>
        <w:tc>
          <w:tcPr>
            <w:tcW w:w="671" w:type="pct"/>
            <w:shd w:val="clear" w:color="auto" w:fill="auto"/>
            <w:vAlign w:val="center"/>
          </w:tcPr>
          <w:p w14:paraId="0DF4AEE0">
            <w:pPr>
              <w:widowControl/>
              <w:jc w:val="center"/>
              <w:rPr>
                <w:rFonts w:ascii="宋体" w:hAnsi="宋体" w:eastAsia="宋体" w:cs="宋体"/>
                <w:kern w:val="0"/>
                <w:sz w:val="24"/>
                <w:szCs w:val="24"/>
              </w:rPr>
            </w:pPr>
            <w:r>
              <w:rPr>
                <w:rFonts w:hint="eastAsia" w:ascii="宋体" w:hAnsi="宋体" w:eastAsia="宋体" w:cs="宋体"/>
                <w:kern w:val="0"/>
                <w:sz w:val="24"/>
                <w:szCs w:val="24"/>
              </w:rPr>
              <w:t>企业业绩</w:t>
            </w:r>
          </w:p>
        </w:tc>
        <w:tc>
          <w:tcPr>
            <w:tcW w:w="3412" w:type="pct"/>
            <w:shd w:val="clear" w:color="auto" w:fill="auto"/>
            <w:vAlign w:val="center"/>
          </w:tcPr>
          <w:p w14:paraId="7216E87E">
            <w:pPr>
              <w:widowControl/>
              <w:jc w:val="left"/>
              <w:rPr>
                <w:rFonts w:ascii="宋体" w:hAnsi="宋体" w:eastAsia="宋体" w:cs="宋体"/>
                <w:kern w:val="0"/>
                <w:sz w:val="24"/>
                <w:szCs w:val="24"/>
              </w:rPr>
            </w:pPr>
            <w:r>
              <w:rPr>
                <w:rFonts w:hint="eastAsia" w:ascii="宋体" w:hAnsi="宋体" w:eastAsia="宋体" w:cs="宋体"/>
                <w:kern w:val="0"/>
                <w:sz w:val="24"/>
                <w:szCs w:val="24"/>
              </w:rPr>
              <w:t>投标人需提供近年(202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年-至今)从事过类似项目的业绩证明材料(合同或中标通知书），每提供一个业绩得2分，最多得6分；</w:t>
            </w:r>
          </w:p>
        </w:tc>
        <w:tc>
          <w:tcPr>
            <w:tcW w:w="417" w:type="pct"/>
            <w:shd w:val="clear" w:color="auto" w:fill="auto"/>
            <w:vAlign w:val="center"/>
          </w:tcPr>
          <w:p w14:paraId="4BFCF06F">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73D0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498" w:type="pct"/>
            <w:vMerge w:val="continue"/>
            <w:vAlign w:val="center"/>
          </w:tcPr>
          <w:p w14:paraId="47A27E7E">
            <w:pPr>
              <w:widowControl/>
              <w:jc w:val="left"/>
              <w:rPr>
                <w:rFonts w:ascii="宋体" w:hAnsi="宋体" w:eastAsia="宋体" w:cs="宋体"/>
                <w:kern w:val="0"/>
                <w:sz w:val="24"/>
                <w:szCs w:val="24"/>
              </w:rPr>
            </w:pPr>
          </w:p>
        </w:tc>
        <w:tc>
          <w:tcPr>
            <w:tcW w:w="671" w:type="pct"/>
            <w:shd w:val="clear" w:color="auto" w:fill="auto"/>
            <w:vAlign w:val="center"/>
          </w:tcPr>
          <w:p w14:paraId="77777A7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人员配置</w:t>
            </w:r>
          </w:p>
        </w:tc>
        <w:tc>
          <w:tcPr>
            <w:tcW w:w="3412" w:type="pct"/>
            <w:shd w:val="clear" w:color="auto" w:fill="auto"/>
            <w:vAlign w:val="center"/>
          </w:tcPr>
          <w:p w14:paraId="549E3B18">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对比投标人对本项目前期及后期维护投入的技术人员数量，每提供1人得1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分，最多得</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分。</w:t>
            </w:r>
          </w:p>
          <w:p w14:paraId="6EBC009F">
            <w:pPr>
              <w:widowControl/>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（提供人员的社保证明、身份证及相关职称证等证明材料复印件）</w:t>
            </w:r>
          </w:p>
        </w:tc>
        <w:tc>
          <w:tcPr>
            <w:tcW w:w="417" w:type="pct"/>
            <w:shd w:val="clear" w:color="auto" w:fill="auto"/>
            <w:vAlign w:val="center"/>
          </w:tcPr>
          <w:p w14:paraId="686C2A07">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r>
      <w:tr w14:paraId="424F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498" w:type="pct"/>
            <w:vMerge w:val="continue"/>
            <w:vAlign w:val="center"/>
          </w:tcPr>
          <w:p w14:paraId="5DF43F6E">
            <w:pPr>
              <w:widowControl/>
              <w:jc w:val="left"/>
              <w:rPr>
                <w:rFonts w:ascii="宋体" w:hAnsi="宋体" w:eastAsia="宋体" w:cs="宋体"/>
                <w:kern w:val="0"/>
                <w:sz w:val="24"/>
                <w:szCs w:val="24"/>
              </w:rPr>
            </w:pPr>
          </w:p>
        </w:tc>
        <w:tc>
          <w:tcPr>
            <w:tcW w:w="671" w:type="pct"/>
            <w:shd w:val="clear" w:color="auto" w:fill="auto"/>
            <w:vAlign w:val="center"/>
          </w:tcPr>
          <w:p w14:paraId="2967309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保修期</w:t>
            </w:r>
          </w:p>
        </w:tc>
        <w:tc>
          <w:tcPr>
            <w:tcW w:w="3412" w:type="pct"/>
            <w:shd w:val="clear" w:color="auto" w:fill="auto"/>
            <w:vAlign w:val="center"/>
          </w:tcPr>
          <w:p w14:paraId="08DB6EB6">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在招标文件要求的基础上，每延长一年，加</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.5分，满分</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p w14:paraId="3C2B7B18">
            <w:pPr>
              <w:widowControl/>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（投标文件提供承诺书加盖公章）</w:t>
            </w:r>
          </w:p>
        </w:tc>
        <w:tc>
          <w:tcPr>
            <w:tcW w:w="417" w:type="pct"/>
            <w:shd w:val="clear" w:color="auto" w:fill="auto"/>
            <w:vAlign w:val="center"/>
          </w:tcPr>
          <w:p w14:paraId="22E404B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r>
      <w:tr w14:paraId="79CB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498" w:type="pct"/>
            <w:vMerge w:val="continue"/>
            <w:vAlign w:val="center"/>
          </w:tcPr>
          <w:p w14:paraId="23E30AAB">
            <w:pPr>
              <w:widowControl/>
              <w:jc w:val="left"/>
              <w:rPr>
                <w:rFonts w:ascii="宋体" w:hAnsi="宋体" w:eastAsia="宋体" w:cs="宋体"/>
                <w:kern w:val="0"/>
                <w:sz w:val="24"/>
                <w:szCs w:val="24"/>
              </w:rPr>
            </w:pPr>
          </w:p>
        </w:tc>
        <w:tc>
          <w:tcPr>
            <w:tcW w:w="671" w:type="pct"/>
            <w:shd w:val="clear" w:color="auto" w:fill="auto"/>
            <w:vAlign w:val="center"/>
          </w:tcPr>
          <w:p w14:paraId="0E5FB8D3">
            <w:pPr>
              <w:widowControl/>
              <w:jc w:val="center"/>
              <w:rPr>
                <w:rFonts w:ascii="宋体" w:hAnsi="宋体" w:eastAsia="宋体" w:cs="宋体"/>
                <w:kern w:val="0"/>
                <w:sz w:val="24"/>
                <w:szCs w:val="24"/>
              </w:rPr>
            </w:pPr>
            <w:r>
              <w:rPr>
                <w:rFonts w:hint="eastAsia" w:ascii="宋体" w:hAnsi="宋体" w:eastAsia="宋体" w:cs="宋体"/>
                <w:kern w:val="0"/>
                <w:sz w:val="24"/>
                <w:szCs w:val="24"/>
              </w:rPr>
              <w:t>售后服务</w:t>
            </w:r>
          </w:p>
        </w:tc>
        <w:tc>
          <w:tcPr>
            <w:tcW w:w="3412" w:type="pct"/>
            <w:shd w:val="clear" w:color="auto" w:fill="auto"/>
            <w:vAlign w:val="center"/>
          </w:tcPr>
          <w:p w14:paraId="16649826">
            <w:pPr>
              <w:widowControl/>
              <w:jc w:val="left"/>
              <w:rPr>
                <w:rFonts w:ascii="宋体" w:hAnsi="宋体" w:eastAsia="宋体" w:cs="宋体"/>
                <w:kern w:val="0"/>
                <w:sz w:val="24"/>
                <w:szCs w:val="24"/>
              </w:rPr>
            </w:pPr>
            <w:r>
              <w:rPr>
                <w:rFonts w:hint="eastAsia" w:ascii="宋体" w:hAnsi="宋体" w:eastAsia="宋体" w:cs="宋体"/>
                <w:kern w:val="0"/>
                <w:sz w:val="24"/>
                <w:szCs w:val="24"/>
              </w:rPr>
              <w:t>1.投标人承诺在接到报修通知6小时内响应，12小时内到达现场维修，得3分</w:t>
            </w:r>
          </w:p>
          <w:p w14:paraId="41B6143D">
            <w:pPr>
              <w:widowControl/>
              <w:jc w:val="left"/>
              <w:rPr>
                <w:rFonts w:ascii="宋体" w:hAnsi="宋体" w:eastAsia="宋体" w:cs="宋体"/>
                <w:kern w:val="0"/>
                <w:sz w:val="24"/>
                <w:szCs w:val="24"/>
              </w:rPr>
            </w:pPr>
            <w:r>
              <w:rPr>
                <w:rFonts w:hint="eastAsia" w:ascii="宋体" w:hAnsi="宋体" w:eastAsia="宋体" w:cs="宋体"/>
                <w:kern w:val="0"/>
                <w:sz w:val="24"/>
                <w:szCs w:val="24"/>
              </w:rPr>
              <w:t>2.投标人承诺在接到报修通知8小时内响应，16小时内到达现场维修，得2分</w:t>
            </w:r>
          </w:p>
          <w:p w14:paraId="735575ED">
            <w:pPr>
              <w:widowControl/>
              <w:jc w:val="left"/>
              <w:rPr>
                <w:rFonts w:ascii="宋体" w:hAnsi="宋体" w:eastAsia="宋体" w:cs="宋体"/>
                <w:kern w:val="0"/>
                <w:sz w:val="24"/>
                <w:szCs w:val="24"/>
              </w:rPr>
            </w:pPr>
            <w:r>
              <w:rPr>
                <w:rFonts w:hint="eastAsia" w:ascii="宋体" w:hAnsi="宋体" w:eastAsia="宋体" w:cs="宋体"/>
                <w:kern w:val="0"/>
                <w:sz w:val="24"/>
                <w:szCs w:val="24"/>
              </w:rPr>
              <w:t>3.投标人承诺在接到报修通知10小时内响应，20小时内到达现场维修，得1分</w:t>
            </w:r>
          </w:p>
          <w:p w14:paraId="6B62F62B">
            <w:pPr>
              <w:widowControl/>
              <w:jc w:val="left"/>
              <w:rPr>
                <w:rFonts w:ascii="宋体" w:hAnsi="宋体" w:eastAsia="宋体" w:cs="宋体"/>
                <w:kern w:val="0"/>
                <w:sz w:val="24"/>
                <w:szCs w:val="24"/>
              </w:rPr>
            </w:pPr>
            <w:r>
              <w:rPr>
                <w:rFonts w:hint="eastAsia" w:ascii="宋体" w:hAnsi="宋体" w:eastAsia="宋体" w:cs="宋体"/>
                <w:b/>
                <w:bCs/>
                <w:kern w:val="0"/>
                <w:sz w:val="24"/>
                <w:szCs w:val="24"/>
              </w:rPr>
              <w:t>（投标文件提供承诺书加盖公章）</w:t>
            </w:r>
          </w:p>
        </w:tc>
        <w:tc>
          <w:tcPr>
            <w:tcW w:w="417" w:type="pct"/>
            <w:shd w:val="clear" w:color="auto" w:fill="auto"/>
            <w:vAlign w:val="center"/>
          </w:tcPr>
          <w:p w14:paraId="4D6E3B9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186D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trPr>
        <w:tc>
          <w:tcPr>
            <w:tcW w:w="498" w:type="pct"/>
            <w:vMerge w:val="restart"/>
            <w:shd w:val="clear" w:color="auto" w:fill="auto"/>
            <w:vAlign w:val="center"/>
          </w:tcPr>
          <w:p w14:paraId="73B26887">
            <w:pPr>
              <w:widowControl/>
              <w:jc w:val="center"/>
              <w:rPr>
                <w:rFonts w:ascii="宋体" w:hAnsi="宋体" w:eastAsia="宋体" w:cs="宋体"/>
                <w:kern w:val="0"/>
                <w:sz w:val="24"/>
                <w:szCs w:val="24"/>
                <w:highlight w:val="green"/>
              </w:rPr>
            </w:pPr>
            <w:r>
              <w:rPr>
                <w:rFonts w:hint="eastAsia" w:ascii="宋体" w:hAnsi="宋体" w:eastAsia="宋体" w:cs="宋体"/>
                <w:kern w:val="0"/>
                <w:sz w:val="24"/>
                <w:szCs w:val="24"/>
              </w:rPr>
              <w:t>技术方案(50分)</w:t>
            </w:r>
          </w:p>
        </w:tc>
        <w:tc>
          <w:tcPr>
            <w:tcW w:w="671" w:type="pct"/>
            <w:shd w:val="clear" w:color="auto" w:fill="auto"/>
            <w:vAlign w:val="center"/>
          </w:tcPr>
          <w:p w14:paraId="667FD4E1">
            <w:pPr>
              <w:widowControl/>
              <w:jc w:val="center"/>
              <w:rPr>
                <w:rFonts w:ascii="宋体" w:hAnsi="宋体" w:eastAsia="宋体" w:cs="宋体"/>
                <w:kern w:val="0"/>
                <w:sz w:val="24"/>
                <w:szCs w:val="24"/>
                <w:highlight w:val="green"/>
              </w:rPr>
            </w:pPr>
            <w:r>
              <w:rPr>
                <w:rFonts w:hint="eastAsia" w:ascii="宋体" w:hAnsi="宋体" w:eastAsia="宋体" w:cs="宋体"/>
                <w:kern w:val="0"/>
                <w:sz w:val="24"/>
                <w:szCs w:val="24"/>
              </w:rPr>
              <w:t>投标产品技术指标响应情况</w:t>
            </w:r>
          </w:p>
        </w:tc>
        <w:tc>
          <w:tcPr>
            <w:tcW w:w="3412" w:type="pct"/>
            <w:shd w:val="clear" w:color="auto" w:fill="auto"/>
            <w:vAlign w:val="center"/>
          </w:tcPr>
          <w:p w14:paraId="44AA591A">
            <w:pPr>
              <w:jc w:val="left"/>
              <w:rPr>
                <w:rFonts w:ascii="宋体" w:hAnsi="宋体" w:eastAsia="宋体" w:cs="宋体"/>
                <w:kern w:val="0"/>
                <w:sz w:val="24"/>
                <w:szCs w:val="24"/>
                <w:highlight w:val="green"/>
              </w:rPr>
            </w:pPr>
            <w:r>
              <w:rPr>
                <w:rFonts w:hint="eastAsia"/>
                <w:sz w:val="24"/>
              </w:rPr>
              <w:t>根据所投产品技术指标响应情况评分，</w:t>
            </w:r>
            <w:r>
              <w:rPr>
                <w:rFonts w:hint="eastAsia" w:ascii="宋体" w:hAnsi="宋体" w:cs="宋体"/>
                <w:bCs/>
                <w:sz w:val="24"/>
                <w:lang w:val="zh-CN"/>
              </w:rPr>
              <w:t>技术指标全部满足的，得</w:t>
            </w:r>
            <w:r>
              <w:rPr>
                <w:rFonts w:hint="eastAsia" w:ascii="宋体" w:hAnsi="宋体" w:eastAsia="宋体" w:cs="宋体"/>
                <w:kern w:val="0"/>
                <w:sz w:val="24"/>
                <w:szCs w:val="24"/>
              </w:rPr>
              <w:t>22</w:t>
            </w:r>
            <w:r>
              <w:rPr>
                <w:rFonts w:hint="eastAsia" w:ascii="宋体" w:hAnsi="宋体" w:cs="宋体"/>
                <w:bCs/>
                <w:sz w:val="24"/>
                <w:lang w:val="zh-CN"/>
              </w:rPr>
              <w:t>分；</w:t>
            </w:r>
            <w:r>
              <w:rPr>
                <w:rFonts w:hint="eastAsia" w:ascii="宋体" w:hAnsi="宋体" w:cs="宋体"/>
                <w:bCs/>
                <w:sz w:val="24"/>
              </w:rPr>
              <w:t>▲参数</w:t>
            </w:r>
            <w:r>
              <w:rPr>
                <w:rFonts w:hint="eastAsia" w:ascii="宋体" w:hAnsi="宋体" w:cs="宋体"/>
                <w:bCs/>
                <w:sz w:val="24"/>
                <w:lang w:val="zh-CN"/>
              </w:rPr>
              <w:t>有1项</w:t>
            </w:r>
            <w:r>
              <w:rPr>
                <w:rFonts w:hint="eastAsia" w:ascii="宋体" w:hAnsi="宋体" w:cs="宋体"/>
                <w:bCs/>
                <w:sz w:val="24"/>
              </w:rPr>
              <w:t>负偏离</w:t>
            </w:r>
            <w:r>
              <w:rPr>
                <w:rFonts w:hint="eastAsia" w:ascii="宋体" w:hAnsi="宋体" w:cs="宋体"/>
                <w:bCs/>
                <w:sz w:val="24"/>
                <w:lang w:val="zh-CN"/>
              </w:rPr>
              <w:t>的，扣</w:t>
            </w:r>
            <w:r>
              <w:rPr>
                <w:rFonts w:hint="eastAsia" w:ascii="宋体" w:hAnsi="宋体" w:cs="宋体"/>
                <w:bCs/>
                <w:sz w:val="24"/>
              </w:rPr>
              <w:t>2</w:t>
            </w:r>
            <w:r>
              <w:rPr>
                <w:rFonts w:hint="eastAsia" w:ascii="宋体" w:hAnsi="宋体" w:cs="宋体"/>
                <w:bCs/>
                <w:sz w:val="24"/>
                <w:lang w:val="zh-CN"/>
              </w:rPr>
              <w:t>分；</w:t>
            </w:r>
            <w:r>
              <w:rPr>
                <w:rFonts w:hint="eastAsia" w:ascii="宋体" w:hAnsi="宋体" w:cs="宋体"/>
                <w:bCs/>
                <w:sz w:val="24"/>
              </w:rPr>
              <w:t>其他</w:t>
            </w:r>
            <w:r>
              <w:rPr>
                <w:rFonts w:hint="eastAsia"/>
                <w:sz w:val="24"/>
              </w:rPr>
              <w:t>非实质性</w:t>
            </w:r>
            <w:r>
              <w:rPr>
                <w:rFonts w:hint="eastAsia" w:ascii="宋体" w:hAnsi="宋体" w:cs="宋体"/>
                <w:bCs/>
                <w:sz w:val="24"/>
              </w:rPr>
              <w:t>技术参数有1项负偏离的，扣1分，</w:t>
            </w:r>
            <w:r>
              <w:rPr>
                <w:rFonts w:hint="eastAsia" w:ascii="宋体" w:hAnsi="宋体" w:cs="宋体"/>
                <w:bCs/>
                <w:sz w:val="24"/>
                <w:lang w:val="zh-CN"/>
              </w:rPr>
              <w:t>最低得分为0分。</w:t>
            </w:r>
            <w:r>
              <w:rPr>
                <w:rFonts w:hint="eastAsia" w:ascii="宋体" w:hAnsi="宋体" w:cs="宋体"/>
                <w:b/>
                <w:sz w:val="24"/>
                <w:lang w:val="zh-CN"/>
              </w:rPr>
              <w:t>（供应商须在</w:t>
            </w:r>
            <w:r>
              <w:rPr>
                <w:rFonts w:hint="eastAsia" w:ascii="宋体" w:hAnsi="宋体" w:cs="宋体"/>
                <w:b/>
                <w:sz w:val="24"/>
              </w:rPr>
              <w:t>投标</w:t>
            </w:r>
            <w:r>
              <w:rPr>
                <w:rFonts w:hint="eastAsia" w:ascii="宋体" w:hAnsi="宋体" w:cs="宋体"/>
                <w:b/>
                <w:sz w:val="24"/>
                <w:lang w:val="zh-CN"/>
              </w:rPr>
              <w:t>文件中提供技术</w:t>
            </w:r>
            <w:r>
              <w:rPr>
                <w:rFonts w:hint="eastAsia" w:ascii="宋体" w:hAnsi="宋体" w:cs="宋体"/>
                <w:b/>
                <w:sz w:val="24"/>
              </w:rPr>
              <w:t>响应</w:t>
            </w:r>
            <w:r>
              <w:rPr>
                <w:rFonts w:hint="eastAsia" w:ascii="宋体" w:hAnsi="宋体" w:cs="宋体"/>
                <w:b/>
                <w:sz w:val="24"/>
                <w:lang w:val="zh-CN"/>
              </w:rPr>
              <w:t>的技术支持资料（或证明材料），包括但不限于产品宣传页、技术白皮书、制造商官方网站发布的产品信息、说明书等或检测机构出具的检测报告、认证证书等具有官方公信力的材料。未提供投标产品技术支持资料（或证明材料）的，或提供的产品技术支持资料（或证明材料）未按</w:t>
            </w:r>
            <w:r>
              <w:rPr>
                <w:rFonts w:hint="eastAsia" w:ascii="宋体" w:hAnsi="宋体" w:cs="宋体"/>
                <w:b/>
                <w:sz w:val="24"/>
              </w:rPr>
              <w:t>要求</w:t>
            </w:r>
            <w:r>
              <w:rPr>
                <w:rFonts w:hint="eastAsia" w:ascii="宋体" w:hAnsi="宋体" w:cs="宋体"/>
                <w:b/>
                <w:sz w:val="24"/>
                <w:lang w:val="zh-CN"/>
              </w:rPr>
              <w:t>加盖供应商或生产厂家（或境内总代理、独家代理）公章的，评标委员会可不予承认。证明材料需清晰可见，证明材料模糊不清或证明材料不完整的按未提供处理。）</w:t>
            </w:r>
          </w:p>
        </w:tc>
        <w:tc>
          <w:tcPr>
            <w:tcW w:w="417" w:type="pct"/>
            <w:shd w:val="clear" w:color="auto" w:fill="auto"/>
            <w:vAlign w:val="center"/>
          </w:tcPr>
          <w:p w14:paraId="378F56CB">
            <w:pPr>
              <w:widowControl/>
              <w:jc w:val="center"/>
              <w:rPr>
                <w:rFonts w:ascii="宋体" w:hAnsi="宋体" w:eastAsia="宋体" w:cs="宋体"/>
                <w:kern w:val="0"/>
                <w:sz w:val="24"/>
                <w:szCs w:val="24"/>
                <w:highlight w:val="green"/>
              </w:rPr>
            </w:pPr>
            <w:r>
              <w:rPr>
                <w:rFonts w:hint="eastAsia" w:ascii="宋体" w:hAnsi="宋体" w:eastAsia="宋体" w:cs="宋体"/>
                <w:kern w:val="0"/>
                <w:sz w:val="24"/>
                <w:szCs w:val="24"/>
              </w:rPr>
              <w:t>22</w:t>
            </w:r>
          </w:p>
        </w:tc>
      </w:tr>
      <w:tr w14:paraId="0199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498" w:type="pct"/>
            <w:vMerge w:val="continue"/>
            <w:vAlign w:val="center"/>
          </w:tcPr>
          <w:p w14:paraId="7344739D">
            <w:pPr>
              <w:widowControl/>
              <w:jc w:val="left"/>
              <w:rPr>
                <w:rFonts w:ascii="宋体" w:hAnsi="宋体" w:eastAsia="宋体" w:cs="宋体"/>
                <w:kern w:val="0"/>
                <w:sz w:val="24"/>
                <w:szCs w:val="24"/>
              </w:rPr>
            </w:pPr>
          </w:p>
        </w:tc>
        <w:tc>
          <w:tcPr>
            <w:tcW w:w="671" w:type="pct"/>
            <w:shd w:val="clear" w:color="auto" w:fill="auto"/>
            <w:vAlign w:val="center"/>
          </w:tcPr>
          <w:p w14:paraId="59916D26">
            <w:pPr>
              <w:widowControl/>
              <w:jc w:val="center"/>
              <w:rPr>
                <w:rFonts w:ascii="宋体" w:hAnsi="宋体" w:eastAsia="宋体" w:cs="宋体"/>
                <w:kern w:val="0"/>
                <w:sz w:val="24"/>
                <w:szCs w:val="24"/>
              </w:rPr>
            </w:pPr>
            <w:r>
              <w:rPr>
                <w:rFonts w:hint="eastAsia" w:ascii="宋体" w:hAnsi="宋体" w:eastAsia="宋体" w:cs="宋体"/>
                <w:kern w:val="0"/>
                <w:sz w:val="24"/>
                <w:szCs w:val="24"/>
              </w:rPr>
              <w:t>供货方案（7分）</w:t>
            </w:r>
          </w:p>
        </w:tc>
        <w:tc>
          <w:tcPr>
            <w:tcW w:w="3412" w:type="pct"/>
            <w:shd w:val="clear" w:color="auto" w:fill="auto"/>
            <w:vAlign w:val="center"/>
          </w:tcPr>
          <w:p w14:paraId="7837E186">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根据项目供货进度及实施周期要求，提供内容完整、详细可行的供货方案： </w:t>
            </w:r>
          </w:p>
          <w:p w14:paraId="089DEFEA">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供货方案内容完整、进度计划安排合理、针对性强完全满足招标文件供货进度要求，得7分； </w:t>
            </w:r>
          </w:p>
          <w:p w14:paraId="349CEE24">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供货方案内容完整、进度计划未按实际需求进行详细分析、对满足招标文件供货进度要求存在风险，得5分； </w:t>
            </w:r>
          </w:p>
          <w:p w14:paraId="36A549CE">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供货方案内容完整度一般、进度计划安排合理性较差、基本满足招标文件供货要求，得3分； </w:t>
            </w:r>
          </w:p>
          <w:p w14:paraId="4071710E">
            <w:pPr>
              <w:widowControl/>
              <w:jc w:val="left"/>
              <w:rPr>
                <w:rFonts w:ascii="宋体" w:hAnsi="宋体" w:eastAsia="宋体" w:cs="宋体"/>
                <w:kern w:val="0"/>
                <w:sz w:val="24"/>
                <w:szCs w:val="24"/>
              </w:rPr>
            </w:pPr>
            <w:r>
              <w:rPr>
                <w:rFonts w:hint="eastAsia" w:ascii="宋体" w:hAnsi="宋体" w:eastAsia="宋体" w:cs="宋体"/>
                <w:kern w:val="0"/>
                <w:sz w:val="24"/>
                <w:szCs w:val="24"/>
              </w:rPr>
              <w:t>未提供供货方案得 0 分。</w:t>
            </w:r>
          </w:p>
        </w:tc>
        <w:tc>
          <w:tcPr>
            <w:tcW w:w="417" w:type="pct"/>
            <w:shd w:val="clear" w:color="auto" w:fill="auto"/>
            <w:vAlign w:val="center"/>
          </w:tcPr>
          <w:p w14:paraId="305ED3B0">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r>
      <w:tr w14:paraId="1C2A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498" w:type="pct"/>
            <w:vMerge w:val="continue"/>
            <w:vAlign w:val="center"/>
          </w:tcPr>
          <w:p w14:paraId="38D6B541">
            <w:pPr>
              <w:widowControl/>
              <w:jc w:val="left"/>
              <w:rPr>
                <w:rFonts w:ascii="宋体" w:hAnsi="宋体" w:eastAsia="宋体" w:cs="宋体"/>
                <w:kern w:val="0"/>
                <w:sz w:val="24"/>
                <w:szCs w:val="24"/>
              </w:rPr>
            </w:pPr>
          </w:p>
        </w:tc>
        <w:tc>
          <w:tcPr>
            <w:tcW w:w="671" w:type="pct"/>
            <w:shd w:val="clear" w:color="auto" w:fill="auto"/>
            <w:vAlign w:val="center"/>
          </w:tcPr>
          <w:p w14:paraId="05651C8B">
            <w:pPr>
              <w:widowControl/>
              <w:jc w:val="center"/>
              <w:rPr>
                <w:rFonts w:ascii="宋体" w:hAnsi="宋体" w:eastAsia="宋体" w:cs="宋体"/>
                <w:kern w:val="0"/>
                <w:sz w:val="24"/>
                <w:szCs w:val="24"/>
              </w:rPr>
            </w:pPr>
            <w:r>
              <w:rPr>
                <w:rFonts w:hint="eastAsia" w:ascii="宋体" w:hAnsi="宋体" w:eastAsia="宋体" w:cs="宋体"/>
                <w:kern w:val="0"/>
                <w:sz w:val="24"/>
                <w:szCs w:val="24"/>
              </w:rPr>
              <w:t>安装调试验收方案</w:t>
            </w:r>
          </w:p>
          <w:p w14:paraId="502B2C19">
            <w:pPr>
              <w:widowControl/>
              <w:jc w:val="center"/>
              <w:rPr>
                <w:rFonts w:ascii="宋体" w:hAnsi="宋体" w:eastAsia="宋体" w:cs="宋体"/>
                <w:kern w:val="0"/>
                <w:sz w:val="24"/>
                <w:szCs w:val="24"/>
              </w:rPr>
            </w:pPr>
            <w:r>
              <w:rPr>
                <w:rFonts w:hint="eastAsia" w:ascii="宋体" w:hAnsi="宋体" w:eastAsia="宋体" w:cs="宋体"/>
                <w:kern w:val="0"/>
                <w:sz w:val="24"/>
                <w:szCs w:val="24"/>
              </w:rPr>
              <w:t>（7分）</w:t>
            </w:r>
          </w:p>
        </w:tc>
        <w:tc>
          <w:tcPr>
            <w:tcW w:w="3412" w:type="pct"/>
            <w:shd w:val="clear" w:color="auto" w:fill="auto"/>
            <w:vAlign w:val="center"/>
          </w:tcPr>
          <w:p w14:paraId="6BE0B0C4">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调试安装验收方案的合理性，可操作性，根据方案是否明确，验收标准是否考虑到等级保护要求等进行综合评审。 </w:t>
            </w:r>
          </w:p>
          <w:p w14:paraId="7B62E7A5">
            <w:pPr>
              <w:widowControl/>
              <w:jc w:val="left"/>
              <w:rPr>
                <w:rFonts w:ascii="宋体" w:hAnsi="宋体" w:eastAsia="宋体" w:cs="宋体"/>
                <w:kern w:val="0"/>
                <w:sz w:val="24"/>
                <w:szCs w:val="24"/>
              </w:rPr>
            </w:pPr>
            <w:r>
              <w:rPr>
                <w:rFonts w:hint="eastAsia" w:ascii="宋体" w:hAnsi="宋体" w:eastAsia="宋体" w:cs="宋体"/>
                <w:kern w:val="0"/>
                <w:sz w:val="24"/>
                <w:szCs w:val="24"/>
              </w:rPr>
              <w:t>安装调试验收方案有效措施，内容全面，逻辑关系理解分析清晰详细，得7分；</w:t>
            </w:r>
          </w:p>
          <w:p w14:paraId="2F7EEB57">
            <w:pPr>
              <w:widowControl/>
              <w:jc w:val="left"/>
              <w:rPr>
                <w:rFonts w:ascii="宋体" w:hAnsi="宋体" w:eastAsia="宋体" w:cs="宋体"/>
                <w:kern w:val="0"/>
                <w:sz w:val="24"/>
                <w:szCs w:val="24"/>
              </w:rPr>
            </w:pPr>
            <w:r>
              <w:rPr>
                <w:rFonts w:hint="eastAsia" w:ascii="宋体" w:hAnsi="宋体" w:eastAsia="宋体" w:cs="宋体"/>
                <w:kern w:val="0"/>
                <w:sz w:val="24"/>
                <w:szCs w:val="24"/>
              </w:rPr>
              <w:t>安装调试验收方案内容全面，描述相对简单，具有可行性，得5分；</w:t>
            </w:r>
          </w:p>
          <w:p w14:paraId="6E5E278B">
            <w:pPr>
              <w:widowControl/>
              <w:jc w:val="left"/>
              <w:rPr>
                <w:rFonts w:ascii="宋体" w:hAnsi="宋体" w:eastAsia="宋体" w:cs="宋体"/>
                <w:kern w:val="0"/>
                <w:sz w:val="24"/>
                <w:szCs w:val="24"/>
              </w:rPr>
            </w:pPr>
            <w:r>
              <w:rPr>
                <w:rFonts w:hint="eastAsia" w:ascii="宋体" w:hAnsi="宋体" w:eastAsia="宋体" w:cs="宋体"/>
                <w:kern w:val="0"/>
                <w:sz w:val="24"/>
                <w:szCs w:val="24"/>
              </w:rPr>
              <w:t>安装调试验收方案内容基本满足招标文件供货要求，得3分；</w:t>
            </w:r>
          </w:p>
          <w:p w14:paraId="48A0F883">
            <w:pPr>
              <w:widowControl/>
              <w:jc w:val="left"/>
              <w:rPr>
                <w:rFonts w:ascii="宋体" w:hAnsi="宋体" w:eastAsia="宋体" w:cs="宋体"/>
                <w:kern w:val="0"/>
                <w:sz w:val="24"/>
                <w:szCs w:val="24"/>
              </w:rPr>
            </w:pPr>
            <w:r>
              <w:rPr>
                <w:rFonts w:hint="eastAsia" w:ascii="宋体" w:hAnsi="宋体" w:eastAsia="宋体" w:cs="宋体"/>
                <w:kern w:val="0"/>
                <w:sz w:val="24"/>
                <w:szCs w:val="24"/>
              </w:rPr>
              <w:t>未提供安装调试验收方案得0分。</w:t>
            </w:r>
          </w:p>
        </w:tc>
        <w:tc>
          <w:tcPr>
            <w:tcW w:w="417" w:type="pct"/>
            <w:shd w:val="clear" w:color="auto" w:fill="auto"/>
            <w:vAlign w:val="center"/>
          </w:tcPr>
          <w:p w14:paraId="5EAD607C">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r>
      <w:tr w14:paraId="2F05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498" w:type="pct"/>
            <w:vMerge w:val="continue"/>
            <w:vAlign w:val="center"/>
          </w:tcPr>
          <w:p w14:paraId="3FFA169A">
            <w:pPr>
              <w:widowControl/>
              <w:jc w:val="left"/>
              <w:rPr>
                <w:rFonts w:ascii="宋体" w:hAnsi="宋体" w:eastAsia="宋体" w:cs="宋体"/>
                <w:kern w:val="0"/>
                <w:sz w:val="24"/>
                <w:szCs w:val="24"/>
              </w:rPr>
            </w:pPr>
          </w:p>
        </w:tc>
        <w:tc>
          <w:tcPr>
            <w:tcW w:w="671" w:type="pct"/>
            <w:shd w:val="clear" w:color="auto" w:fill="auto"/>
            <w:vAlign w:val="center"/>
          </w:tcPr>
          <w:p w14:paraId="46B4081A">
            <w:pPr>
              <w:widowControl/>
              <w:jc w:val="center"/>
              <w:rPr>
                <w:rFonts w:ascii="宋体" w:hAnsi="宋体" w:eastAsia="宋体" w:cs="宋体"/>
                <w:kern w:val="0"/>
                <w:sz w:val="24"/>
                <w:szCs w:val="24"/>
              </w:rPr>
            </w:pPr>
            <w:r>
              <w:rPr>
                <w:rFonts w:hint="eastAsia" w:ascii="宋体" w:hAnsi="宋体" w:eastAsia="宋体" w:cs="宋体"/>
                <w:kern w:val="0"/>
                <w:sz w:val="24"/>
                <w:szCs w:val="24"/>
              </w:rPr>
              <w:t>培训方案</w:t>
            </w:r>
          </w:p>
          <w:p w14:paraId="7275A508">
            <w:pPr>
              <w:widowControl/>
              <w:jc w:val="center"/>
              <w:rPr>
                <w:rFonts w:ascii="宋体" w:hAnsi="宋体" w:eastAsia="宋体" w:cs="宋体"/>
                <w:kern w:val="0"/>
                <w:sz w:val="24"/>
                <w:szCs w:val="24"/>
              </w:rPr>
            </w:pPr>
            <w:r>
              <w:rPr>
                <w:rFonts w:hint="eastAsia" w:ascii="宋体" w:hAnsi="宋体" w:eastAsia="宋体" w:cs="宋体"/>
                <w:kern w:val="0"/>
                <w:sz w:val="24"/>
                <w:szCs w:val="24"/>
              </w:rPr>
              <w:t>（7分）</w:t>
            </w:r>
          </w:p>
        </w:tc>
        <w:tc>
          <w:tcPr>
            <w:tcW w:w="3412" w:type="pct"/>
            <w:shd w:val="clear" w:color="auto" w:fill="auto"/>
            <w:vAlign w:val="center"/>
          </w:tcPr>
          <w:p w14:paraId="7AA6A16D">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根据项目对培训的要求，提供内容完整、详细可行的培训方案（包含但不限于：仪器设备的基本原理、安装、调试、操作使用和日常保养维修等）： </w:t>
            </w:r>
          </w:p>
          <w:p w14:paraId="548E9CF6">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培训方案内容完整、全面且详细、针对性强，得7分； </w:t>
            </w:r>
          </w:p>
          <w:p w14:paraId="567A67D9">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培训方案内容完整、但只是对所要求内容进行简单罗列、针对性一般，得5分； </w:t>
            </w:r>
          </w:p>
          <w:p w14:paraId="0B8B75D8">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培训方案内容完整度一般、详细性及针对性较差，得 3 分； </w:t>
            </w:r>
          </w:p>
          <w:p w14:paraId="69019367">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未提供培训方案得 0 分。  </w:t>
            </w:r>
          </w:p>
        </w:tc>
        <w:tc>
          <w:tcPr>
            <w:tcW w:w="417" w:type="pct"/>
            <w:shd w:val="clear" w:color="auto" w:fill="auto"/>
            <w:vAlign w:val="center"/>
          </w:tcPr>
          <w:p w14:paraId="2E05EE5B">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r>
      <w:tr w14:paraId="273B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498" w:type="pct"/>
            <w:vMerge w:val="continue"/>
            <w:vAlign w:val="center"/>
          </w:tcPr>
          <w:p w14:paraId="0F8ECC8E">
            <w:pPr>
              <w:widowControl/>
              <w:jc w:val="left"/>
              <w:rPr>
                <w:rFonts w:ascii="宋体" w:hAnsi="宋体" w:eastAsia="宋体" w:cs="宋体"/>
                <w:kern w:val="0"/>
                <w:sz w:val="24"/>
                <w:szCs w:val="24"/>
              </w:rPr>
            </w:pPr>
          </w:p>
        </w:tc>
        <w:tc>
          <w:tcPr>
            <w:tcW w:w="671" w:type="pct"/>
            <w:shd w:val="clear" w:color="auto" w:fill="auto"/>
            <w:vAlign w:val="center"/>
          </w:tcPr>
          <w:p w14:paraId="57AAB1A0">
            <w:pPr>
              <w:widowControl/>
              <w:jc w:val="center"/>
              <w:rPr>
                <w:rFonts w:ascii="宋体" w:hAnsi="宋体" w:eastAsia="宋体" w:cs="宋体"/>
                <w:kern w:val="0"/>
                <w:sz w:val="24"/>
                <w:szCs w:val="24"/>
              </w:rPr>
            </w:pPr>
            <w:r>
              <w:rPr>
                <w:rFonts w:hint="eastAsia" w:ascii="宋体" w:hAnsi="宋体" w:eastAsia="宋体" w:cs="宋体"/>
                <w:kern w:val="0"/>
                <w:sz w:val="24"/>
                <w:szCs w:val="24"/>
              </w:rPr>
              <w:t>质量保证</w:t>
            </w:r>
          </w:p>
          <w:p w14:paraId="42E6CAC7">
            <w:pPr>
              <w:widowControl/>
              <w:jc w:val="center"/>
              <w:rPr>
                <w:rFonts w:ascii="宋体" w:hAnsi="宋体" w:eastAsia="宋体" w:cs="宋体"/>
                <w:kern w:val="0"/>
                <w:sz w:val="24"/>
                <w:szCs w:val="24"/>
              </w:rPr>
            </w:pPr>
            <w:r>
              <w:rPr>
                <w:rFonts w:hint="eastAsia" w:ascii="宋体" w:hAnsi="宋体" w:eastAsia="宋体" w:cs="宋体"/>
                <w:kern w:val="0"/>
                <w:sz w:val="24"/>
                <w:szCs w:val="24"/>
              </w:rPr>
              <w:t>方案</w:t>
            </w:r>
          </w:p>
          <w:p w14:paraId="025E1672">
            <w:pPr>
              <w:widowControl/>
              <w:jc w:val="center"/>
              <w:rPr>
                <w:rFonts w:ascii="宋体" w:hAnsi="宋体" w:eastAsia="宋体" w:cs="宋体"/>
                <w:kern w:val="0"/>
                <w:sz w:val="24"/>
                <w:szCs w:val="24"/>
              </w:rPr>
            </w:pPr>
            <w:r>
              <w:rPr>
                <w:rFonts w:hint="eastAsia" w:ascii="宋体" w:hAnsi="宋体" w:eastAsia="宋体" w:cs="宋体"/>
                <w:kern w:val="0"/>
                <w:sz w:val="24"/>
                <w:szCs w:val="24"/>
              </w:rPr>
              <w:t>（7分）</w:t>
            </w:r>
          </w:p>
          <w:p w14:paraId="6BD9FB8E">
            <w:pPr>
              <w:widowControl/>
              <w:jc w:val="center"/>
              <w:rPr>
                <w:rFonts w:ascii="宋体" w:hAnsi="宋体" w:eastAsia="宋体" w:cs="宋体"/>
                <w:kern w:val="0"/>
                <w:sz w:val="24"/>
                <w:szCs w:val="24"/>
              </w:rPr>
            </w:pPr>
          </w:p>
        </w:tc>
        <w:tc>
          <w:tcPr>
            <w:tcW w:w="3412" w:type="pct"/>
            <w:shd w:val="clear" w:color="auto" w:fill="auto"/>
            <w:vAlign w:val="center"/>
          </w:tcPr>
          <w:p w14:paraId="56C13FDD">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针对本项目技术要求，对于供货时产品质量的保障、质保期内产品质量及维修的保证等方案： </w:t>
            </w:r>
          </w:p>
          <w:p w14:paraId="4B9CD378">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质量保证方案内容完整、考虑周详、措施详细、清晰度高，得7分； </w:t>
            </w:r>
          </w:p>
          <w:p w14:paraId="22128A6F">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质量保证方案内容较完整、措施详细但有欠缺、清晰度高，得5分； </w:t>
            </w:r>
          </w:p>
          <w:p w14:paraId="238B8FC4">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质量保证方案内容有缺失，前后逻辑错误、不影响项目的实施，得 3分； </w:t>
            </w:r>
          </w:p>
          <w:p w14:paraId="48F1B2E5">
            <w:pPr>
              <w:widowControl/>
              <w:jc w:val="left"/>
              <w:rPr>
                <w:rFonts w:ascii="宋体" w:hAnsi="宋体" w:eastAsia="宋体" w:cs="宋体"/>
                <w:kern w:val="0"/>
                <w:sz w:val="24"/>
                <w:szCs w:val="24"/>
              </w:rPr>
            </w:pPr>
            <w:r>
              <w:rPr>
                <w:rFonts w:hint="eastAsia" w:ascii="宋体" w:hAnsi="宋体" w:eastAsia="宋体" w:cs="宋体"/>
                <w:kern w:val="0"/>
                <w:sz w:val="24"/>
                <w:szCs w:val="24"/>
              </w:rPr>
              <w:t>未提供质量保证方案得 0 分。</w:t>
            </w:r>
          </w:p>
        </w:tc>
        <w:tc>
          <w:tcPr>
            <w:tcW w:w="417" w:type="pct"/>
            <w:shd w:val="clear" w:color="auto" w:fill="auto"/>
            <w:vAlign w:val="center"/>
          </w:tcPr>
          <w:p w14:paraId="481F6F6B">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r>
      <w:tr w14:paraId="70CF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582" w:type="pct"/>
            <w:gridSpan w:val="3"/>
            <w:shd w:val="clear" w:color="auto" w:fill="auto"/>
            <w:vAlign w:val="center"/>
          </w:tcPr>
          <w:p w14:paraId="5EEB214B">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417" w:type="pct"/>
            <w:shd w:val="clear" w:color="auto" w:fill="auto"/>
            <w:vAlign w:val="center"/>
          </w:tcPr>
          <w:p w14:paraId="5A70A8E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r>
    </w:tbl>
    <w:p w14:paraId="72466E73">
      <w:pPr>
        <w:autoSpaceDE w:val="0"/>
        <w:autoSpaceDN w:val="0"/>
        <w:adjustRightInd w:val="0"/>
        <w:jc w:val="left"/>
        <w:rPr>
          <w:rFonts w:ascii="宋体" w:hAnsi="宋体" w:eastAsia="宋体" w:cs="宋体"/>
          <w:sz w:val="24"/>
          <w:szCs w:val="24"/>
        </w:rPr>
      </w:pPr>
    </w:p>
    <w:p w14:paraId="4D62C473">
      <w:pPr>
        <w:rPr>
          <w:rFonts w:ascii="宋体" w:hAnsi="宋体" w:eastAsia="宋体" w:cs="宋体"/>
          <w:sz w:val="24"/>
          <w:szCs w:val="24"/>
        </w:rPr>
      </w:pPr>
      <w:r>
        <w:rPr>
          <w:rFonts w:hint="eastAsia" w:ascii="宋体" w:hAnsi="宋体" w:eastAsia="宋体" w:cs="宋体"/>
          <w:sz w:val="24"/>
          <w:szCs w:val="24"/>
        </w:rPr>
        <w:br w:type="page"/>
      </w:r>
    </w:p>
    <w:p w14:paraId="6B18FDD0">
      <w:pPr>
        <w:spacing w:line="420" w:lineRule="exact"/>
        <w:rPr>
          <w:rFonts w:ascii="宋体" w:hAnsi="宋体" w:eastAsia="宋体" w:cs="宋体"/>
          <w:sz w:val="24"/>
          <w:szCs w:val="24"/>
        </w:rPr>
      </w:pPr>
      <w:r>
        <w:rPr>
          <w:rFonts w:hint="eastAsia" w:ascii="宋体" w:hAnsi="宋体" w:eastAsia="宋体" w:cs="宋体"/>
          <w:sz w:val="24"/>
          <w:szCs w:val="24"/>
        </w:rPr>
        <w:t>1.评标方法和标准：</w:t>
      </w:r>
    </w:p>
    <w:p w14:paraId="31A32820">
      <w:pPr>
        <w:spacing w:line="420" w:lineRule="exact"/>
        <w:ind w:firstLine="240" w:firstLineChars="100"/>
        <w:rPr>
          <w:rFonts w:ascii="宋体" w:hAnsi="宋体" w:eastAsia="宋体" w:cs="宋体"/>
          <w:sz w:val="24"/>
          <w:szCs w:val="24"/>
        </w:rPr>
      </w:pPr>
      <w:r>
        <w:rPr>
          <w:rFonts w:hint="eastAsia" w:ascii="宋体" w:hAnsi="宋体" w:eastAsia="宋体" w:cs="宋体"/>
          <w:sz w:val="24"/>
          <w:szCs w:val="24"/>
        </w:rPr>
        <w:t xml:space="preserve">1.1本项目采用综合评分法评标，评标委员会将按下述标准评定中标人：按评审后投标人得分由高到低的顺序排列；得分相同的，按投标报价由低到高顺序排列；得分且投标报价相同的并列（按所投产品列入政府优先采购产品类别认证证书多少顺序排列）。投标文件满足招标文件全部实质性要求，且按照评审因素的量化指标评审得分最高的投标人为排名第一的中标候选人。 </w:t>
      </w:r>
    </w:p>
    <w:p w14:paraId="3BCA71D0">
      <w:pPr>
        <w:spacing w:line="420" w:lineRule="exact"/>
        <w:ind w:firstLine="240" w:firstLineChars="100"/>
        <w:rPr>
          <w:rFonts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zh-CN"/>
        </w:rPr>
        <w:t>本项目评分满分100分，由价格因素、商务因素及技术因素部分构成，具体评分</w:t>
      </w:r>
      <w:r>
        <w:rPr>
          <w:rFonts w:hint="eastAsia" w:ascii="宋体" w:hAnsi="宋体" w:eastAsia="宋体" w:cs="宋体"/>
          <w:sz w:val="24"/>
          <w:szCs w:val="24"/>
        </w:rPr>
        <w:t>详见</w:t>
      </w:r>
      <w:r>
        <w:rPr>
          <w:rFonts w:hint="eastAsia" w:ascii="宋体" w:hAnsi="宋体" w:eastAsia="宋体" w:cs="宋体"/>
          <w:sz w:val="24"/>
          <w:szCs w:val="24"/>
          <w:lang w:val="zh-CN"/>
        </w:rPr>
        <w:t>评标标准和方法，每项评分按四舍五入原则精确到小数点后两位。</w:t>
      </w:r>
      <w:r>
        <w:rPr>
          <w:rFonts w:hint="eastAsia" w:ascii="宋体" w:hAnsi="宋体" w:eastAsia="宋体" w:cs="宋体"/>
          <w:sz w:val="24"/>
          <w:szCs w:val="24"/>
        </w:rPr>
        <w:t>。</w:t>
      </w:r>
    </w:p>
    <w:p w14:paraId="1EC5DCFF">
      <w:pPr>
        <w:spacing w:line="420" w:lineRule="exact"/>
        <w:rPr>
          <w:rFonts w:ascii="宋体" w:hAnsi="宋体" w:eastAsia="宋体" w:cs="宋体"/>
          <w:sz w:val="24"/>
          <w:szCs w:val="24"/>
        </w:rPr>
      </w:pPr>
      <w:r>
        <w:rPr>
          <w:rFonts w:hint="eastAsia" w:ascii="宋体" w:hAnsi="宋体" w:eastAsia="宋体" w:cs="宋体"/>
          <w:sz w:val="24"/>
          <w:szCs w:val="24"/>
        </w:rPr>
        <w:t>2.价格部分按以下两个步骤进行：</w:t>
      </w:r>
    </w:p>
    <w:p w14:paraId="08608299">
      <w:pPr>
        <w:spacing w:line="420" w:lineRule="exact"/>
        <w:ind w:firstLine="240" w:firstLineChars="1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1</w:t>
      </w:r>
      <w:r>
        <w:rPr>
          <w:rFonts w:hint="eastAsia" w:ascii="宋体" w:hAnsi="宋体" w:eastAsia="宋体" w:cs="宋体"/>
          <w:sz w:val="24"/>
          <w:szCs w:val="24"/>
          <w:lang w:val="zh-CN"/>
        </w:rPr>
        <w:t>落实政府采购政策需进行的价格扣除</w:t>
      </w:r>
    </w:p>
    <w:p w14:paraId="4296DB5C">
      <w:pPr>
        <w:spacing w:line="420" w:lineRule="exact"/>
        <w:ind w:firstLine="240" w:firstLineChars="10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对于非专门面向中小微企业采购的项目：</w:t>
      </w:r>
      <w:r>
        <w:rPr>
          <w:rFonts w:hint="eastAsia" w:ascii="宋体" w:hAnsi="宋体" w:eastAsia="宋体" w:cs="宋体"/>
          <w:sz w:val="24"/>
          <w:szCs w:val="24"/>
          <w:lang w:val="zh-CN"/>
        </w:rPr>
        <w:t>落实政府采购政策需进行的价格扣除根据《政府采购促进中小企业发展管理办法》（财库[2020]46号）和《关于进一步加大政府采购支持中小企业力度的通知》（财库〔2022〕19号）的文件规定对符合本办法规定的小微企业，评标时应当给予10%的价格扣除，用扣除后的价格参与评审。小型、微型企业应当提供《中小企业声明函》。</w:t>
      </w:r>
    </w:p>
    <w:p w14:paraId="1BCA6538">
      <w:pPr>
        <w:spacing w:line="420" w:lineRule="exact"/>
        <w:ind w:firstLine="240" w:firstLineChars="100"/>
        <w:rPr>
          <w:rFonts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监狱企业视同小型、微型企业，监狱企业投标的提供由省级以上监狱管理局、戒毒管理局(含新疆生产建设兵团)出具的属于监狱企业的证明文件，不再提供《中小微企业声明函》；</w:t>
      </w:r>
    </w:p>
    <w:p w14:paraId="24147493">
      <w:pPr>
        <w:spacing w:line="420" w:lineRule="exact"/>
        <w:ind w:firstLine="240" w:firstLineChars="100"/>
        <w:rPr>
          <w:rFonts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残疾人福利性单位视同小型、微型企业，残疾人福利性单位属于小型、微型企业的，不重复享受政策。符合条件的残疾人福利性单位在参加政府采购活动时，应当提供《残疾人福利性单位声明函》。</w:t>
      </w:r>
    </w:p>
    <w:p w14:paraId="3B2586E8">
      <w:pPr>
        <w:spacing w:line="420" w:lineRule="exact"/>
        <w:ind w:firstLine="240" w:firstLineChars="100"/>
        <w:rPr>
          <w:rFonts w:ascii="宋体" w:hAnsi="宋体" w:eastAsia="宋体" w:cs="宋体"/>
          <w:sz w:val="24"/>
          <w:szCs w:val="24"/>
        </w:rPr>
      </w:pPr>
      <w:r>
        <w:rPr>
          <w:rFonts w:hint="eastAsia" w:ascii="宋体" w:hAnsi="宋体" w:eastAsia="宋体" w:cs="宋体"/>
          <w:sz w:val="24"/>
          <w:szCs w:val="24"/>
        </w:rPr>
        <w:t>2.2价格评分的计算</w:t>
      </w:r>
    </w:p>
    <w:p w14:paraId="309E50FB">
      <w:pPr>
        <w:spacing w:line="420" w:lineRule="exact"/>
        <w:ind w:firstLine="240" w:firstLineChars="100"/>
        <w:rPr>
          <w:rFonts w:ascii="宋体" w:hAnsi="宋体" w:eastAsia="宋体" w:cs="宋体"/>
          <w:sz w:val="24"/>
          <w:szCs w:val="24"/>
        </w:rPr>
      </w:pPr>
      <w:r>
        <w:rPr>
          <w:rFonts w:hint="eastAsia" w:ascii="宋体" w:hAnsi="宋体" w:eastAsia="宋体" w:cs="宋体"/>
          <w:sz w:val="24"/>
          <w:szCs w:val="24"/>
          <w:lang w:val="zh-CN"/>
        </w:rPr>
        <w:t>价格分统一采用低价优先法计算，各有效投标人的评标价中，以最低价为评标基准价，其价格分为满分。其他投标人的价格分统一按照下列公式计算：价格评分=（评标基准价／评标价）×</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0，评标价仅用于计算价格评分，中标金额以经评标委员会修正后（如有）的实际投标价为准。</w:t>
      </w:r>
    </w:p>
    <w:p w14:paraId="7610B666">
      <w:pPr>
        <w:spacing w:line="420" w:lineRule="exact"/>
        <w:rPr>
          <w:rFonts w:ascii="宋体" w:hAnsi="宋体" w:eastAsia="宋体" w:cs="宋体"/>
          <w:sz w:val="24"/>
          <w:szCs w:val="24"/>
        </w:rPr>
      </w:pPr>
      <w:r>
        <w:rPr>
          <w:rFonts w:hint="eastAsia" w:ascii="宋体" w:hAnsi="宋体" w:eastAsia="宋体" w:cs="宋体"/>
          <w:sz w:val="24"/>
          <w:szCs w:val="24"/>
        </w:rPr>
        <w:t>3.合格投标人得分的计算方法：</w:t>
      </w:r>
    </w:p>
    <w:p w14:paraId="6E59C1B2">
      <w:pPr>
        <w:spacing w:line="420" w:lineRule="exact"/>
        <w:rPr>
          <w:rFonts w:ascii="宋体" w:hAnsi="宋体" w:eastAsia="宋体" w:cs="宋体"/>
          <w:sz w:val="24"/>
          <w:szCs w:val="24"/>
        </w:rPr>
      </w:pPr>
      <w:r>
        <w:rPr>
          <w:rFonts w:hint="eastAsia" w:ascii="宋体" w:hAnsi="宋体" w:eastAsia="宋体" w:cs="宋体"/>
          <w:sz w:val="24"/>
          <w:szCs w:val="24"/>
        </w:rPr>
        <w:t xml:space="preserve">（1）投标人得分为评标委员会所有成员评分之和的算数平均值为该投标人的最终得分； </w:t>
      </w:r>
    </w:p>
    <w:p w14:paraId="7D836F37">
      <w:pPr>
        <w:spacing w:line="420" w:lineRule="exact"/>
        <w:rPr>
          <w:rFonts w:ascii="宋体" w:hAnsi="宋体" w:eastAsia="宋体" w:cs="宋体"/>
          <w:sz w:val="24"/>
          <w:szCs w:val="24"/>
        </w:rPr>
      </w:pPr>
      <w:r>
        <w:rPr>
          <w:rFonts w:hint="eastAsia" w:ascii="宋体" w:hAnsi="宋体" w:eastAsia="宋体" w:cs="宋体"/>
          <w:sz w:val="24"/>
          <w:szCs w:val="24"/>
        </w:rPr>
        <w:t xml:space="preserve">（2）对所有合格投标人的最终得分进行排序，得分高者为中标人。 </w:t>
      </w:r>
    </w:p>
    <w:p w14:paraId="05D51E8C">
      <w:pPr>
        <w:spacing w:line="420" w:lineRule="exact"/>
        <w:rPr>
          <w:rFonts w:ascii="宋体" w:hAnsi="宋体" w:eastAsia="宋体" w:cs="宋体"/>
          <w:sz w:val="24"/>
          <w:szCs w:val="24"/>
        </w:rPr>
      </w:pPr>
      <w:r>
        <w:rPr>
          <w:rFonts w:hint="eastAsia" w:ascii="宋体" w:hAnsi="宋体" w:eastAsia="宋体" w:cs="宋体"/>
          <w:sz w:val="24"/>
          <w:szCs w:val="24"/>
        </w:rPr>
        <w:t>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1219F3E3">
      <w:pPr>
        <w:spacing w:line="420" w:lineRule="exact"/>
        <w:rPr>
          <w:rFonts w:ascii="宋体" w:hAnsi="宋体" w:eastAsia="宋体" w:cs="宋体"/>
          <w:bCs/>
          <w:sz w:val="24"/>
          <w:szCs w:val="24"/>
        </w:rPr>
      </w:pPr>
      <w:r>
        <w:rPr>
          <w:rFonts w:hint="eastAsia" w:ascii="宋体" w:hAnsi="宋体" w:eastAsia="宋体" w:cs="宋体"/>
          <w:bCs/>
          <w:sz w:val="24"/>
          <w:szCs w:val="24"/>
        </w:rPr>
        <w:t>5.评标委员会完成评标后，应当向采购人提交书面评标报告。</w:t>
      </w:r>
    </w:p>
    <w:p w14:paraId="1C46F7E7">
      <w:pPr>
        <w:pStyle w:val="2"/>
        <w:rPr>
          <w:lang w:val="zh-CN"/>
        </w:rPr>
      </w:pPr>
      <w:r>
        <w:rPr>
          <w:kern w:val="2"/>
          <w:lang w:val="zh-CN"/>
        </w:rPr>
        <w:br w:type="page"/>
      </w:r>
      <w:bookmarkStart w:id="59" w:name="_Toc164847790"/>
      <w:bookmarkStart w:id="60" w:name="_Toc7681"/>
      <w:bookmarkStart w:id="61" w:name="_Toc167280763"/>
      <w:bookmarkStart w:id="62" w:name="_Toc359494610"/>
      <w:r>
        <w:rPr>
          <w:rFonts w:hint="eastAsia"/>
          <w:lang w:val="zh-CN"/>
        </w:rPr>
        <w:t>第四章 政府采购合同书格式</w:t>
      </w:r>
      <w:bookmarkEnd w:id="59"/>
      <w:bookmarkEnd w:id="60"/>
      <w:bookmarkEnd w:id="61"/>
    </w:p>
    <w:bookmarkEnd w:id="62"/>
    <w:p w14:paraId="3786BF45">
      <w:pPr>
        <w:autoSpaceDE w:val="0"/>
        <w:autoSpaceDN w:val="0"/>
        <w:adjustRightInd w:val="0"/>
        <w:jc w:val="center"/>
        <w:rPr>
          <w:rFonts w:ascii="宋体" w:hAnsi="宋体" w:eastAsia="宋体" w:cs="宋体"/>
          <w:sz w:val="24"/>
          <w:szCs w:val="24"/>
          <w:lang w:val="zh-CN"/>
        </w:rPr>
      </w:pPr>
      <w:r>
        <w:rPr>
          <w:rFonts w:hint="eastAsia" w:ascii="宋体" w:hAnsi="宋体" w:eastAsia="宋体" w:cs="宋体"/>
          <w:sz w:val="24"/>
          <w:szCs w:val="24"/>
          <w:lang w:val="zh-CN"/>
        </w:rPr>
        <w:t>（仅供参考，以实际签订为准）</w:t>
      </w:r>
    </w:p>
    <w:p w14:paraId="7BEB4CA7">
      <w:pPr>
        <w:autoSpaceDE w:val="0"/>
        <w:autoSpaceDN w:val="0"/>
        <w:adjustRightInd w:val="0"/>
        <w:rPr>
          <w:rFonts w:ascii="宋体" w:hAnsi="宋体" w:eastAsia="宋体" w:cs="宋体"/>
          <w:sz w:val="24"/>
          <w:szCs w:val="24"/>
          <w:lang w:val="zh-CN"/>
        </w:rPr>
      </w:pPr>
      <w:r>
        <w:rPr>
          <w:rFonts w:hint="eastAsia" w:ascii="宋体" w:hAnsi="宋体" w:eastAsia="宋体" w:cs="宋体"/>
          <w:sz w:val="24"/>
          <w:szCs w:val="24"/>
          <w:lang w:val="zh-CN"/>
        </w:rPr>
        <w:t>合同编号：</w:t>
      </w:r>
    </w:p>
    <w:p w14:paraId="41A5F524">
      <w:pPr>
        <w:autoSpaceDE w:val="0"/>
        <w:autoSpaceDN w:val="0"/>
        <w:adjustRightInd w:val="0"/>
        <w:rPr>
          <w:rFonts w:ascii="宋体" w:hAnsi="宋体" w:eastAsia="宋体" w:cs="宋体"/>
          <w:sz w:val="24"/>
          <w:szCs w:val="24"/>
          <w:lang w:val="zh-CN"/>
        </w:rPr>
      </w:pPr>
      <w:r>
        <w:rPr>
          <w:rFonts w:hint="eastAsia" w:ascii="宋体" w:hAnsi="宋体" w:eastAsia="宋体" w:cs="宋体"/>
          <w:sz w:val="24"/>
          <w:szCs w:val="24"/>
          <w:lang w:val="zh-CN"/>
        </w:rPr>
        <w:t>签订地点：</w:t>
      </w:r>
    </w:p>
    <w:p w14:paraId="131B3FEC">
      <w:pPr>
        <w:autoSpaceDE w:val="0"/>
        <w:autoSpaceDN w:val="0"/>
        <w:adjustRightInd w:val="0"/>
        <w:rPr>
          <w:rFonts w:ascii="宋体" w:hAnsi="宋体" w:eastAsia="宋体" w:cs="宋体"/>
          <w:sz w:val="24"/>
          <w:szCs w:val="24"/>
          <w:lang w:val="zh-CN"/>
        </w:rPr>
      </w:pPr>
      <w:r>
        <w:rPr>
          <w:rFonts w:hint="eastAsia" w:ascii="宋体" w:hAnsi="宋体" w:eastAsia="宋体" w:cs="宋体"/>
          <w:sz w:val="24"/>
          <w:szCs w:val="24"/>
          <w:lang w:val="zh-CN"/>
        </w:rPr>
        <w:t xml:space="preserve">签订日期：  年  月  日 </w:t>
      </w:r>
    </w:p>
    <w:p w14:paraId="45FE7B32">
      <w:pPr>
        <w:autoSpaceDE w:val="0"/>
        <w:autoSpaceDN w:val="0"/>
        <w:adjustRightInd w:val="0"/>
        <w:rPr>
          <w:rFonts w:ascii="宋体" w:hAnsi="宋体" w:eastAsia="宋体" w:cs="宋体"/>
          <w:sz w:val="24"/>
          <w:szCs w:val="24"/>
          <w:lang w:val="zh-CN"/>
        </w:rPr>
      </w:pPr>
      <w:r>
        <w:rPr>
          <w:rFonts w:hint="eastAsia" w:ascii="宋体" w:hAnsi="宋体" w:eastAsia="宋体" w:cs="宋体"/>
          <w:sz w:val="24"/>
          <w:szCs w:val="24"/>
          <w:lang w:val="zh-CN"/>
        </w:rPr>
        <w:t>采购任务通知书编号：</w:t>
      </w:r>
    </w:p>
    <w:p w14:paraId="48AC9D23">
      <w:pPr>
        <w:autoSpaceDE w:val="0"/>
        <w:autoSpaceDN w:val="0"/>
        <w:adjustRightInd w:val="0"/>
        <w:rPr>
          <w:rFonts w:ascii="宋体" w:hAnsi="宋体" w:eastAsia="宋体" w:cs="宋体"/>
          <w:sz w:val="24"/>
          <w:szCs w:val="24"/>
          <w:lang w:val="zh-CN"/>
        </w:rPr>
      </w:pPr>
      <w:r>
        <w:rPr>
          <w:rFonts w:hint="eastAsia" w:ascii="宋体" w:hAnsi="宋体" w:eastAsia="宋体" w:cs="宋体"/>
          <w:sz w:val="24"/>
          <w:szCs w:val="24"/>
          <w:lang w:val="zh-CN"/>
        </w:rPr>
        <w:t>（需方）需求的（货物名称）经招标公司以编号为的招标文件在国内公开招标，评标委员会评定（供方）为中标人。供需双方按照《中华人民共和国民法典》和有关法律法规，遵循平等、自愿、公平和诚实信用原则，同意按照下面的条款和条件订立本合同，共同信守。</w:t>
      </w:r>
    </w:p>
    <w:p w14:paraId="306B1916">
      <w:pPr>
        <w:autoSpaceDE w:val="0"/>
        <w:autoSpaceDN w:val="0"/>
        <w:adjustRightInd w:val="0"/>
        <w:rPr>
          <w:rFonts w:ascii="宋体" w:hAnsi="宋体" w:eastAsia="宋体" w:cs="宋体"/>
          <w:sz w:val="24"/>
          <w:szCs w:val="24"/>
          <w:lang w:val="zh-CN"/>
        </w:rPr>
      </w:pPr>
      <w:r>
        <w:rPr>
          <w:rFonts w:hint="eastAsia" w:ascii="宋体" w:hAnsi="宋体" w:eastAsia="宋体" w:cs="宋体"/>
          <w:b/>
          <w:sz w:val="24"/>
          <w:szCs w:val="24"/>
          <w:lang w:val="zh-CN"/>
        </w:rPr>
        <w:t>1.合同标的</w:t>
      </w:r>
      <w:r>
        <w:rPr>
          <w:rFonts w:hint="eastAsia" w:ascii="宋体" w:hAnsi="宋体" w:eastAsia="宋体" w:cs="宋体"/>
          <w:sz w:val="24"/>
          <w:szCs w:val="24"/>
          <w:lang w:val="zh-CN"/>
        </w:rPr>
        <w:t xml:space="preserve">： </w:t>
      </w:r>
    </w:p>
    <w:tbl>
      <w:tblPr>
        <w:tblStyle w:val="21"/>
        <w:tblW w:w="4996" w:type="pct"/>
        <w:jc w:val="center"/>
        <w:tblLayout w:type="autofit"/>
        <w:tblCellMar>
          <w:top w:w="0" w:type="dxa"/>
          <w:left w:w="10" w:type="dxa"/>
          <w:bottom w:w="0" w:type="dxa"/>
          <w:right w:w="10" w:type="dxa"/>
        </w:tblCellMar>
      </w:tblPr>
      <w:tblGrid>
        <w:gridCol w:w="1521"/>
        <w:gridCol w:w="1781"/>
        <w:gridCol w:w="2757"/>
        <w:gridCol w:w="1092"/>
        <w:gridCol w:w="1023"/>
        <w:gridCol w:w="1584"/>
      </w:tblGrid>
      <w:tr w14:paraId="15BA18C8">
        <w:tblPrEx>
          <w:tblCellMar>
            <w:top w:w="0" w:type="dxa"/>
            <w:left w:w="10" w:type="dxa"/>
            <w:bottom w:w="0" w:type="dxa"/>
            <w:right w:w="10" w:type="dxa"/>
          </w:tblCellMar>
        </w:tblPrEx>
        <w:trPr>
          <w:trHeight w:val="493" w:hRule="atLeast"/>
          <w:jc w:val="center"/>
        </w:trPr>
        <w:tc>
          <w:tcPr>
            <w:tcW w:w="779" w:type="pct"/>
            <w:tcBorders>
              <w:top w:val="single" w:color="000000" w:sz="6" w:space="0"/>
              <w:left w:val="single" w:color="000000" w:sz="6" w:space="0"/>
              <w:bottom w:val="single" w:color="000000" w:sz="6" w:space="0"/>
              <w:right w:val="single" w:color="000000" w:sz="6" w:space="0"/>
            </w:tcBorders>
            <w:vAlign w:val="center"/>
          </w:tcPr>
          <w:p w14:paraId="0AC5DCA5">
            <w:pPr>
              <w:autoSpaceDE w:val="0"/>
              <w:autoSpaceDN w:val="0"/>
              <w:adjustRightInd w:val="0"/>
              <w:jc w:val="center"/>
              <w:rPr>
                <w:rFonts w:ascii="宋体" w:hAnsi="宋体" w:eastAsia="宋体" w:cs="宋体"/>
                <w:sz w:val="24"/>
                <w:szCs w:val="24"/>
              </w:rPr>
            </w:pPr>
            <w:r>
              <w:rPr>
                <w:rFonts w:hint="eastAsia" w:ascii="宋体" w:hAnsi="宋体" w:eastAsia="宋体" w:cs="宋体"/>
                <w:sz w:val="24"/>
                <w:szCs w:val="24"/>
              </w:rPr>
              <w:t>货物名称</w:t>
            </w:r>
          </w:p>
        </w:tc>
        <w:tc>
          <w:tcPr>
            <w:tcW w:w="912" w:type="pct"/>
            <w:tcBorders>
              <w:top w:val="single" w:color="000000" w:sz="6" w:space="0"/>
              <w:left w:val="single" w:color="000000" w:sz="6" w:space="0"/>
              <w:bottom w:val="single" w:color="000000" w:sz="6" w:space="0"/>
              <w:right w:val="single" w:color="auto" w:sz="4" w:space="0"/>
            </w:tcBorders>
            <w:vAlign w:val="center"/>
          </w:tcPr>
          <w:p w14:paraId="183E490C">
            <w:pPr>
              <w:autoSpaceDE w:val="0"/>
              <w:autoSpaceDN w:val="0"/>
              <w:adjustRightInd w:val="0"/>
              <w:jc w:val="center"/>
              <w:rPr>
                <w:rFonts w:ascii="宋体" w:hAnsi="宋体" w:eastAsia="宋体" w:cs="宋体"/>
                <w:sz w:val="24"/>
                <w:szCs w:val="24"/>
              </w:rPr>
            </w:pPr>
            <w:r>
              <w:rPr>
                <w:rFonts w:hint="eastAsia" w:ascii="宋体" w:hAnsi="宋体" w:eastAsia="宋体" w:cs="宋体"/>
                <w:sz w:val="24"/>
                <w:szCs w:val="24"/>
              </w:rPr>
              <w:t>品牌型号</w:t>
            </w:r>
          </w:p>
        </w:tc>
        <w:tc>
          <w:tcPr>
            <w:tcW w:w="1412" w:type="pct"/>
            <w:tcBorders>
              <w:top w:val="single" w:color="000000" w:sz="6" w:space="0"/>
              <w:left w:val="single" w:color="auto" w:sz="4" w:space="0"/>
              <w:bottom w:val="single" w:color="000000" w:sz="6" w:space="0"/>
              <w:right w:val="single" w:color="000000" w:sz="6" w:space="0"/>
            </w:tcBorders>
            <w:vAlign w:val="center"/>
          </w:tcPr>
          <w:p w14:paraId="1C2FA844">
            <w:pPr>
              <w:autoSpaceDE w:val="0"/>
              <w:autoSpaceDN w:val="0"/>
              <w:adjustRightInd w:val="0"/>
              <w:jc w:val="center"/>
              <w:rPr>
                <w:rFonts w:ascii="宋体" w:hAnsi="宋体" w:eastAsia="宋体" w:cs="宋体"/>
                <w:sz w:val="24"/>
                <w:szCs w:val="24"/>
                <w:lang w:val="zh-CN"/>
              </w:rPr>
            </w:pPr>
            <w:r>
              <w:rPr>
                <w:rFonts w:hint="eastAsia" w:ascii="宋体" w:hAnsi="宋体" w:eastAsia="宋体" w:cs="宋体"/>
                <w:sz w:val="24"/>
                <w:szCs w:val="24"/>
                <w:lang w:val="zh-CN"/>
              </w:rPr>
              <w:t>详细配置及主要技术参数</w:t>
            </w:r>
          </w:p>
        </w:tc>
        <w:tc>
          <w:tcPr>
            <w:tcW w:w="559" w:type="pct"/>
            <w:tcBorders>
              <w:top w:val="single" w:color="000000" w:sz="6" w:space="0"/>
              <w:left w:val="single" w:color="000000" w:sz="6" w:space="0"/>
              <w:bottom w:val="single" w:color="000000" w:sz="6" w:space="0"/>
              <w:right w:val="single" w:color="000000" w:sz="6" w:space="0"/>
            </w:tcBorders>
            <w:vAlign w:val="center"/>
          </w:tcPr>
          <w:p w14:paraId="4415BED8">
            <w:pPr>
              <w:autoSpaceDE w:val="0"/>
              <w:autoSpaceDN w:val="0"/>
              <w:adjustRightInd w:val="0"/>
              <w:jc w:val="center"/>
              <w:rPr>
                <w:rFonts w:ascii="宋体" w:hAnsi="宋体" w:eastAsia="宋体" w:cs="宋体"/>
                <w:sz w:val="24"/>
                <w:szCs w:val="24"/>
              </w:rPr>
            </w:pPr>
            <w:r>
              <w:rPr>
                <w:rFonts w:hint="eastAsia" w:ascii="宋体" w:hAnsi="宋体" w:eastAsia="宋体" w:cs="宋体"/>
                <w:sz w:val="24"/>
                <w:szCs w:val="24"/>
                <w:lang w:val="zh-CN"/>
              </w:rPr>
              <w:t>数量</w:t>
            </w:r>
          </w:p>
        </w:tc>
        <w:tc>
          <w:tcPr>
            <w:tcW w:w="524" w:type="pct"/>
            <w:tcBorders>
              <w:top w:val="single" w:color="000000" w:sz="6" w:space="0"/>
              <w:left w:val="single" w:color="000000" w:sz="6" w:space="0"/>
              <w:bottom w:val="single" w:color="000000" w:sz="6" w:space="0"/>
              <w:right w:val="single" w:color="000000" w:sz="6" w:space="0"/>
            </w:tcBorders>
            <w:vAlign w:val="center"/>
          </w:tcPr>
          <w:p w14:paraId="1B78D9E3">
            <w:pPr>
              <w:autoSpaceDE w:val="0"/>
              <w:autoSpaceDN w:val="0"/>
              <w:adjustRightInd w:val="0"/>
              <w:jc w:val="center"/>
              <w:rPr>
                <w:rFonts w:ascii="宋体" w:hAnsi="宋体" w:eastAsia="宋体" w:cs="宋体"/>
                <w:sz w:val="24"/>
                <w:szCs w:val="24"/>
              </w:rPr>
            </w:pPr>
            <w:r>
              <w:rPr>
                <w:rFonts w:hint="eastAsia" w:ascii="宋体" w:hAnsi="宋体" w:eastAsia="宋体" w:cs="宋体"/>
                <w:sz w:val="24"/>
                <w:szCs w:val="24"/>
                <w:lang w:val="zh-CN"/>
              </w:rPr>
              <w:t>单价</w:t>
            </w:r>
            <w:r>
              <w:rPr>
                <w:rFonts w:hint="eastAsia" w:ascii="宋体" w:hAnsi="宋体" w:eastAsia="宋体" w:cs="宋体"/>
                <w:sz w:val="24"/>
                <w:szCs w:val="24"/>
              </w:rPr>
              <w:t>(</w:t>
            </w:r>
            <w:r>
              <w:rPr>
                <w:rFonts w:hint="eastAsia" w:ascii="宋体" w:hAnsi="宋体" w:eastAsia="宋体" w:cs="宋体"/>
                <w:sz w:val="24"/>
                <w:szCs w:val="24"/>
                <w:lang w:val="zh-CN"/>
              </w:rPr>
              <w:t>元</w:t>
            </w:r>
            <w:r>
              <w:rPr>
                <w:rFonts w:hint="eastAsia" w:ascii="宋体" w:hAnsi="宋体" w:eastAsia="宋体" w:cs="宋体"/>
                <w:sz w:val="24"/>
                <w:szCs w:val="24"/>
              </w:rPr>
              <w:t>)</w:t>
            </w:r>
          </w:p>
        </w:tc>
        <w:tc>
          <w:tcPr>
            <w:tcW w:w="811" w:type="pct"/>
            <w:tcBorders>
              <w:top w:val="single" w:color="000000" w:sz="6" w:space="0"/>
              <w:left w:val="single" w:color="000000" w:sz="6" w:space="0"/>
              <w:bottom w:val="single" w:color="000000" w:sz="6" w:space="0"/>
              <w:right w:val="single" w:color="000000" w:sz="6" w:space="0"/>
            </w:tcBorders>
            <w:vAlign w:val="center"/>
          </w:tcPr>
          <w:p w14:paraId="11D1C89A">
            <w:pPr>
              <w:autoSpaceDE w:val="0"/>
              <w:autoSpaceDN w:val="0"/>
              <w:adjustRightInd w:val="0"/>
              <w:jc w:val="center"/>
              <w:rPr>
                <w:rFonts w:ascii="宋体" w:hAnsi="宋体" w:eastAsia="宋体" w:cs="宋体"/>
                <w:sz w:val="24"/>
                <w:szCs w:val="24"/>
              </w:rPr>
            </w:pPr>
            <w:r>
              <w:rPr>
                <w:rFonts w:hint="eastAsia" w:ascii="宋体" w:hAnsi="宋体" w:eastAsia="宋体" w:cs="宋体"/>
                <w:sz w:val="24"/>
                <w:szCs w:val="24"/>
                <w:lang w:val="zh-CN"/>
              </w:rPr>
              <w:t>合计</w:t>
            </w:r>
            <w:r>
              <w:rPr>
                <w:rFonts w:hint="eastAsia" w:ascii="宋体" w:hAnsi="宋体" w:eastAsia="宋体" w:cs="宋体"/>
                <w:sz w:val="24"/>
                <w:szCs w:val="24"/>
              </w:rPr>
              <w:t>(</w:t>
            </w:r>
            <w:r>
              <w:rPr>
                <w:rFonts w:hint="eastAsia" w:ascii="宋体" w:hAnsi="宋体" w:eastAsia="宋体" w:cs="宋体"/>
                <w:sz w:val="24"/>
                <w:szCs w:val="24"/>
                <w:lang w:val="zh-CN"/>
              </w:rPr>
              <w:t>元</w:t>
            </w:r>
            <w:r>
              <w:rPr>
                <w:rFonts w:hint="eastAsia" w:ascii="宋体" w:hAnsi="宋体" w:eastAsia="宋体" w:cs="宋体"/>
                <w:sz w:val="24"/>
                <w:szCs w:val="24"/>
              </w:rPr>
              <w:t>)</w:t>
            </w:r>
          </w:p>
        </w:tc>
      </w:tr>
      <w:tr w14:paraId="3B94B598">
        <w:tblPrEx>
          <w:tblCellMar>
            <w:top w:w="0" w:type="dxa"/>
            <w:left w:w="10" w:type="dxa"/>
            <w:bottom w:w="0" w:type="dxa"/>
            <w:right w:w="10" w:type="dxa"/>
          </w:tblCellMar>
        </w:tblPrEx>
        <w:trPr>
          <w:trHeight w:val="507" w:hRule="atLeast"/>
          <w:jc w:val="center"/>
        </w:trPr>
        <w:tc>
          <w:tcPr>
            <w:tcW w:w="779" w:type="pct"/>
            <w:tcBorders>
              <w:top w:val="single" w:color="000000" w:sz="6" w:space="0"/>
              <w:left w:val="single" w:color="000000" w:sz="6" w:space="0"/>
              <w:bottom w:val="single" w:color="000000" w:sz="6" w:space="0"/>
              <w:right w:val="single" w:color="000000" w:sz="6" w:space="0"/>
            </w:tcBorders>
            <w:vAlign w:val="center"/>
          </w:tcPr>
          <w:p w14:paraId="1422F14A">
            <w:pPr>
              <w:autoSpaceDE w:val="0"/>
              <w:autoSpaceDN w:val="0"/>
              <w:adjustRightInd w:val="0"/>
              <w:jc w:val="center"/>
              <w:rPr>
                <w:rFonts w:ascii="宋体" w:hAnsi="宋体" w:eastAsia="宋体" w:cs="宋体"/>
                <w:sz w:val="24"/>
                <w:szCs w:val="24"/>
                <w:lang w:val="zh-CN"/>
              </w:rPr>
            </w:pPr>
          </w:p>
        </w:tc>
        <w:tc>
          <w:tcPr>
            <w:tcW w:w="912" w:type="pct"/>
            <w:tcBorders>
              <w:top w:val="single" w:color="000000" w:sz="6" w:space="0"/>
              <w:left w:val="single" w:color="000000" w:sz="6" w:space="0"/>
              <w:bottom w:val="single" w:color="000000" w:sz="6" w:space="0"/>
              <w:right w:val="single" w:color="auto" w:sz="4" w:space="0"/>
            </w:tcBorders>
            <w:vAlign w:val="center"/>
          </w:tcPr>
          <w:p w14:paraId="46901F82">
            <w:pPr>
              <w:autoSpaceDE w:val="0"/>
              <w:autoSpaceDN w:val="0"/>
              <w:adjustRightInd w:val="0"/>
              <w:jc w:val="center"/>
              <w:rPr>
                <w:rFonts w:ascii="宋体" w:hAnsi="宋体" w:eastAsia="宋体" w:cs="宋体"/>
                <w:sz w:val="24"/>
                <w:szCs w:val="24"/>
                <w:lang w:val="zh-CN"/>
              </w:rPr>
            </w:pPr>
          </w:p>
        </w:tc>
        <w:tc>
          <w:tcPr>
            <w:tcW w:w="1412" w:type="pct"/>
            <w:tcBorders>
              <w:top w:val="single" w:color="000000" w:sz="6" w:space="0"/>
              <w:left w:val="single" w:color="auto" w:sz="4" w:space="0"/>
              <w:bottom w:val="single" w:color="000000" w:sz="6" w:space="0"/>
              <w:right w:val="single" w:color="000000" w:sz="6" w:space="0"/>
            </w:tcBorders>
            <w:vAlign w:val="center"/>
          </w:tcPr>
          <w:p w14:paraId="287188BF">
            <w:pPr>
              <w:autoSpaceDE w:val="0"/>
              <w:autoSpaceDN w:val="0"/>
              <w:adjustRightInd w:val="0"/>
              <w:jc w:val="center"/>
              <w:rPr>
                <w:rFonts w:ascii="宋体" w:hAnsi="宋体" w:eastAsia="宋体" w:cs="宋体"/>
                <w:sz w:val="24"/>
                <w:szCs w:val="24"/>
                <w:lang w:val="zh-CN"/>
              </w:rPr>
            </w:pPr>
          </w:p>
        </w:tc>
        <w:tc>
          <w:tcPr>
            <w:tcW w:w="559" w:type="pct"/>
            <w:tcBorders>
              <w:top w:val="single" w:color="000000" w:sz="6" w:space="0"/>
              <w:left w:val="single" w:color="000000" w:sz="6" w:space="0"/>
              <w:bottom w:val="single" w:color="000000" w:sz="6" w:space="0"/>
              <w:right w:val="single" w:color="000000" w:sz="6" w:space="0"/>
            </w:tcBorders>
            <w:vAlign w:val="center"/>
          </w:tcPr>
          <w:p w14:paraId="0A18E80A">
            <w:pPr>
              <w:autoSpaceDE w:val="0"/>
              <w:autoSpaceDN w:val="0"/>
              <w:adjustRightInd w:val="0"/>
              <w:jc w:val="center"/>
              <w:rPr>
                <w:rFonts w:ascii="宋体" w:hAnsi="宋体" w:eastAsia="宋体" w:cs="宋体"/>
                <w:sz w:val="24"/>
                <w:szCs w:val="24"/>
                <w:lang w:val="zh-CN"/>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70E51EE9">
            <w:pPr>
              <w:autoSpaceDE w:val="0"/>
              <w:autoSpaceDN w:val="0"/>
              <w:adjustRightInd w:val="0"/>
              <w:jc w:val="center"/>
              <w:rPr>
                <w:rFonts w:ascii="宋体" w:hAnsi="宋体" w:eastAsia="宋体" w:cs="宋体"/>
                <w:sz w:val="24"/>
                <w:szCs w:val="24"/>
                <w:lang w:val="zh-CN"/>
              </w:rPr>
            </w:pPr>
          </w:p>
        </w:tc>
        <w:tc>
          <w:tcPr>
            <w:tcW w:w="811" w:type="pct"/>
            <w:tcBorders>
              <w:top w:val="single" w:color="000000" w:sz="6" w:space="0"/>
              <w:left w:val="single" w:color="000000" w:sz="6" w:space="0"/>
              <w:bottom w:val="single" w:color="000000" w:sz="6" w:space="0"/>
              <w:right w:val="single" w:color="000000" w:sz="6" w:space="0"/>
            </w:tcBorders>
            <w:vAlign w:val="center"/>
          </w:tcPr>
          <w:p w14:paraId="32315B23">
            <w:pPr>
              <w:autoSpaceDE w:val="0"/>
              <w:autoSpaceDN w:val="0"/>
              <w:adjustRightInd w:val="0"/>
              <w:jc w:val="center"/>
              <w:rPr>
                <w:rFonts w:ascii="宋体" w:hAnsi="宋体" w:eastAsia="宋体" w:cs="宋体"/>
                <w:sz w:val="24"/>
                <w:szCs w:val="24"/>
                <w:lang w:val="zh-CN"/>
              </w:rPr>
            </w:pPr>
          </w:p>
        </w:tc>
      </w:tr>
    </w:tbl>
    <w:p w14:paraId="0F121ACD">
      <w:pPr>
        <w:autoSpaceDE w:val="0"/>
        <w:autoSpaceDN w:val="0"/>
        <w:adjustRightInd w:val="0"/>
        <w:rPr>
          <w:rFonts w:ascii="宋体" w:hAnsi="宋体" w:eastAsia="宋体" w:cs="宋体"/>
          <w:bCs/>
          <w:sz w:val="24"/>
          <w:szCs w:val="24"/>
          <w:lang w:val="zh-CN"/>
        </w:rPr>
      </w:pPr>
      <w:r>
        <w:rPr>
          <w:rFonts w:hint="eastAsia" w:ascii="宋体" w:hAnsi="宋体" w:eastAsia="宋体" w:cs="宋体"/>
          <w:b/>
          <w:sz w:val="24"/>
          <w:szCs w:val="24"/>
          <w:lang w:val="zh-CN"/>
        </w:rPr>
        <w:t>2</w:t>
      </w:r>
      <w:r>
        <w:rPr>
          <w:rFonts w:hint="eastAsia" w:ascii="宋体" w:hAnsi="宋体" w:eastAsia="宋体" w:cs="宋体"/>
          <w:bCs/>
          <w:sz w:val="24"/>
          <w:szCs w:val="24"/>
          <w:lang w:val="zh-CN"/>
        </w:rPr>
        <w:t>.合同价格：人民币（大写）             元，（小写）￥:            元。</w:t>
      </w:r>
    </w:p>
    <w:p w14:paraId="41681020">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lang w:val="zh-CN"/>
        </w:rPr>
        <w:t>3.合同履行期限、地点、方式</w:t>
      </w:r>
    </w:p>
    <w:p w14:paraId="5E86A13E">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lang w:val="zh-CN"/>
        </w:rPr>
        <w:t>3.1合同履行期限：签订合同后天内供货。</w:t>
      </w:r>
    </w:p>
    <w:p w14:paraId="6A3779D7">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lang w:val="zh-CN"/>
        </w:rPr>
        <w:t xml:space="preserve">3.2供货地点： </w:t>
      </w:r>
    </w:p>
    <w:p w14:paraId="755759C4">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lang w:val="zh-CN"/>
        </w:rPr>
        <w:t>3.3供货方式：由中标人负责将包装完好的货物安全完好运抵交货地点、安装调试并保证验收合格。</w:t>
      </w:r>
    </w:p>
    <w:p w14:paraId="0CF6EA27">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lang w:val="zh-CN"/>
        </w:rPr>
        <w:t>4.付款方式：</w:t>
      </w:r>
    </w:p>
    <w:p w14:paraId="25B7C6AE">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lang w:val="zh-CN"/>
        </w:rPr>
        <w:t>4.1供方供货时应提交下列文件：销售发票，国家有关质检机构出具的检验报告或证书（如果合同约定有的话），进口产品的报关文件（如果合同约定有的话），制造厂商出具的质量检验证书、产品合格证等。</w:t>
      </w:r>
    </w:p>
    <w:p w14:paraId="42A2F6DE">
      <w:pPr>
        <w:rPr>
          <w:rFonts w:ascii="宋体" w:hAnsi="宋体" w:eastAsia="宋体" w:cs="宋体"/>
          <w:bCs/>
          <w:sz w:val="24"/>
          <w:szCs w:val="24"/>
          <w:lang w:val="zh-CN"/>
        </w:rPr>
      </w:pPr>
      <w:r>
        <w:rPr>
          <w:rFonts w:hint="eastAsia" w:ascii="宋体" w:hAnsi="宋体" w:eastAsia="宋体" w:cs="宋体"/>
          <w:bCs/>
          <w:sz w:val="24"/>
          <w:szCs w:val="24"/>
          <w:lang w:val="zh-CN"/>
        </w:rPr>
        <w:t>4.2财政付款：政府采购项目资金支付程序，按照国家有关财政资金支付管理的规定执行。</w:t>
      </w:r>
    </w:p>
    <w:p w14:paraId="24503C4C">
      <w:pPr>
        <w:rPr>
          <w:rFonts w:ascii="宋体" w:hAnsi="宋体" w:eastAsia="宋体" w:cs="宋体"/>
          <w:bCs/>
          <w:sz w:val="24"/>
          <w:szCs w:val="24"/>
          <w:lang w:val="zh-CN"/>
        </w:rPr>
      </w:pPr>
      <w:r>
        <w:rPr>
          <w:rFonts w:hint="eastAsia" w:ascii="宋体" w:hAnsi="宋体" w:eastAsia="宋体" w:cs="宋体"/>
          <w:bCs/>
          <w:sz w:val="24"/>
          <w:szCs w:val="24"/>
          <w:lang w:val="zh-CN"/>
        </w:rPr>
        <w:t>4.3需方自行付款：本合同总价款中由需方自行支付 元。需方承诺在 年 月前支付。如果需方届时不能支付或者不能全额支付，由需方承担违约责任，供方承担全部收款责任。</w:t>
      </w:r>
    </w:p>
    <w:p w14:paraId="052EC2B8">
      <w:pPr>
        <w:rPr>
          <w:rFonts w:ascii="宋体" w:hAnsi="宋体" w:eastAsia="宋体" w:cs="宋体"/>
          <w:sz w:val="24"/>
          <w:szCs w:val="24"/>
        </w:rPr>
      </w:pPr>
      <w:r>
        <w:rPr>
          <w:rFonts w:hint="eastAsia" w:ascii="宋体" w:hAnsi="宋体" w:eastAsia="宋体" w:cs="宋体"/>
          <w:bCs/>
          <w:sz w:val="24"/>
          <w:szCs w:val="24"/>
          <w:lang w:val="zh-CN"/>
        </w:rPr>
        <w:t>5</w:t>
      </w:r>
      <w:r>
        <w:rPr>
          <w:rFonts w:hint="eastAsia" w:ascii="宋体" w:hAnsi="宋体" w:eastAsia="宋体" w:cs="宋体"/>
          <w:bCs/>
          <w:sz w:val="24"/>
          <w:szCs w:val="24"/>
        </w:rPr>
        <w:t>.</w:t>
      </w:r>
      <w:r>
        <w:rPr>
          <w:rFonts w:hint="eastAsia" w:ascii="宋体" w:hAnsi="宋体" w:eastAsia="宋体" w:cs="宋体"/>
          <w:bCs/>
          <w:sz w:val="24"/>
          <w:szCs w:val="24"/>
          <w:lang w:val="zh-CN"/>
        </w:rPr>
        <w:t>履约保证金：</w:t>
      </w:r>
    </w:p>
    <w:p w14:paraId="1FED424A">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rPr>
        <w:t>6</w:t>
      </w:r>
      <w:r>
        <w:rPr>
          <w:rFonts w:hint="eastAsia" w:ascii="宋体" w:hAnsi="宋体" w:eastAsia="宋体" w:cs="宋体"/>
          <w:bCs/>
          <w:sz w:val="24"/>
          <w:szCs w:val="24"/>
          <w:lang w:val="zh-CN"/>
        </w:rPr>
        <w:t>.合同补充条款：</w:t>
      </w:r>
    </w:p>
    <w:p w14:paraId="1069D552">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rPr>
        <w:t>6</w:t>
      </w:r>
      <w:r>
        <w:rPr>
          <w:rFonts w:hint="eastAsia" w:ascii="宋体" w:hAnsi="宋体" w:eastAsia="宋体" w:cs="宋体"/>
          <w:bCs/>
          <w:sz w:val="24"/>
          <w:szCs w:val="24"/>
          <w:lang w:val="zh-CN"/>
        </w:rPr>
        <w:t>.1质量保证：</w:t>
      </w:r>
      <w:r>
        <w:rPr>
          <w:rFonts w:hint="eastAsia" w:ascii="宋体" w:hAnsi="宋体" w:eastAsia="宋体" w:cs="宋体"/>
          <w:sz w:val="24"/>
          <w:szCs w:val="24"/>
          <w:lang w:val="zh-CN"/>
        </w:rPr>
        <w:t>供方提交的货物由需方负责检验验收，供方应提供货物的现场安装、启动和试运行、在质量保证期内对所交付货物提供运行监督、维修保养、免费上门服务，对仪器故障维修机更换确保仪器设备正常运转等，并对需方人员进行培训。</w:t>
      </w:r>
    </w:p>
    <w:p w14:paraId="6B6F13F0">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rPr>
        <w:t>7</w:t>
      </w:r>
      <w:r>
        <w:rPr>
          <w:rFonts w:hint="eastAsia" w:ascii="宋体" w:hAnsi="宋体" w:eastAsia="宋体" w:cs="宋体"/>
          <w:bCs/>
          <w:sz w:val="24"/>
          <w:szCs w:val="24"/>
          <w:lang w:val="zh-CN"/>
        </w:rPr>
        <w:t>.争议解决方式：供需双方达成仲裁协议，向</w:t>
      </w:r>
      <w:r>
        <w:rPr>
          <w:rFonts w:hint="eastAsia" w:ascii="宋体" w:hAnsi="宋体" w:eastAsia="宋体" w:cs="宋体"/>
          <w:bCs/>
          <w:sz w:val="24"/>
          <w:szCs w:val="24"/>
        </w:rPr>
        <w:t>吉林</w:t>
      </w:r>
      <w:r>
        <w:rPr>
          <w:rFonts w:hint="eastAsia" w:ascii="宋体" w:hAnsi="宋体" w:eastAsia="宋体" w:cs="宋体"/>
          <w:bCs/>
          <w:sz w:val="24"/>
          <w:szCs w:val="24"/>
          <w:lang w:val="zh-CN"/>
        </w:rPr>
        <w:t>市仲裁委员会申请仲裁（或向合同签订地人民法院提起诉讼）。</w:t>
      </w:r>
    </w:p>
    <w:p w14:paraId="47120D3A">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rPr>
        <w:t>8.</w:t>
      </w:r>
      <w:r>
        <w:rPr>
          <w:rFonts w:hint="eastAsia" w:ascii="宋体" w:hAnsi="宋体" w:eastAsia="宋体" w:cs="宋体"/>
          <w:bCs/>
          <w:sz w:val="24"/>
          <w:szCs w:val="24"/>
          <w:lang w:val="zh-CN"/>
        </w:rPr>
        <w:t>合同构成：下列文件构成本合同不可分割的组成部分，与本合同具有同等法律效力：</w:t>
      </w:r>
    </w:p>
    <w:p w14:paraId="2FDDE217">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rPr>
        <w:t>8</w:t>
      </w:r>
      <w:r>
        <w:rPr>
          <w:rFonts w:hint="eastAsia" w:ascii="宋体" w:hAnsi="宋体" w:eastAsia="宋体" w:cs="宋体"/>
          <w:bCs/>
          <w:sz w:val="24"/>
          <w:szCs w:val="24"/>
          <w:lang w:val="zh-CN"/>
        </w:rPr>
        <w:t>.1本合同书；</w:t>
      </w:r>
    </w:p>
    <w:p w14:paraId="383EAFD6">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rPr>
        <w:t>8</w:t>
      </w:r>
      <w:r>
        <w:rPr>
          <w:rFonts w:hint="eastAsia" w:ascii="宋体" w:hAnsi="宋体" w:eastAsia="宋体" w:cs="宋体"/>
          <w:bCs/>
          <w:sz w:val="24"/>
          <w:szCs w:val="24"/>
          <w:lang w:val="zh-CN"/>
        </w:rPr>
        <w:t>.2中标通知书；</w:t>
      </w:r>
    </w:p>
    <w:p w14:paraId="442A187A">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rPr>
        <w:t>8</w:t>
      </w:r>
      <w:r>
        <w:rPr>
          <w:rFonts w:hint="eastAsia" w:ascii="宋体" w:hAnsi="宋体" w:eastAsia="宋体" w:cs="宋体"/>
          <w:bCs/>
          <w:sz w:val="24"/>
          <w:szCs w:val="24"/>
          <w:lang w:val="zh-CN"/>
        </w:rPr>
        <w:t>.3招标文件及澄清、修改、补遗文件；</w:t>
      </w:r>
    </w:p>
    <w:p w14:paraId="172542B5">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rPr>
        <w:t>8</w:t>
      </w:r>
      <w:r>
        <w:rPr>
          <w:rFonts w:hint="eastAsia" w:ascii="宋体" w:hAnsi="宋体" w:eastAsia="宋体" w:cs="宋体"/>
          <w:bCs/>
          <w:sz w:val="24"/>
          <w:szCs w:val="24"/>
          <w:lang w:val="zh-CN"/>
        </w:rPr>
        <w:t>.4供方的投标文件及书面澄清、说明、补正文件；</w:t>
      </w:r>
    </w:p>
    <w:p w14:paraId="201D8F3A">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rPr>
        <w:t>8</w:t>
      </w:r>
      <w:r>
        <w:rPr>
          <w:rFonts w:hint="eastAsia" w:ascii="宋体" w:hAnsi="宋体" w:eastAsia="宋体" w:cs="宋体"/>
          <w:bCs/>
          <w:sz w:val="24"/>
          <w:szCs w:val="24"/>
          <w:lang w:val="zh-CN"/>
        </w:rPr>
        <w:t>.5产品样本、样品（样机）、说明书、图纸等有关资料；</w:t>
      </w:r>
    </w:p>
    <w:p w14:paraId="625E28D7">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rPr>
        <w:t>8</w:t>
      </w:r>
      <w:r>
        <w:rPr>
          <w:rFonts w:hint="eastAsia" w:ascii="宋体" w:hAnsi="宋体" w:eastAsia="宋体" w:cs="宋体"/>
          <w:bCs/>
          <w:sz w:val="24"/>
          <w:szCs w:val="24"/>
          <w:lang w:val="zh-CN"/>
        </w:rPr>
        <w:t>.6采购验收报告单；</w:t>
      </w:r>
    </w:p>
    <w:p w14:paraId="371A8085">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rPr>
        <w:t>8</w:t>
      </w:r>
      <w:r>
        <w:rPr>
          <w:rFonts w:hint="eastAsia" w:ascii="宋体" w:hAnsi="宋体" w:eastAsia="宋体" w:cs="宋体"/>
          <w:bCs/>
          <w:sz w:val="24"/>
          <w:szCs w:val="24"/>
          <w:lang w:val="zh-CN"/>
        </w:rPr>
        <w:t>.7合同的其它附件。</w:t>
      </w:r>
    </w:p>
    <w:p w14:paraId="5292F1FE">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lang w:val="zh-CN"/>
        </w:rPr>
        <w:t>上述组成合同的文件如有不一致之处，以日期在后的为准。</w:t>
      </w:r>
    </w:p>
    <w:p w14:paraId="25672AEF">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rPr>
        <w:t>9</w:t>
      </w:r>
      <w:r>
        <w:rPr>
          <w:rFonts w:hint="eastAsia" w:ascii="宋体" w:hAnsi="宋体" w:eastAsia="宋体" w:cs="宋体"/>
          <w:bCs/>
          <w:sz w:val="24"/>
          <w:szCs w:val="24"/>
          <w:lang w:val="zh-CN"/>
        </w:rPr>
        <w:t xml:space="preserve">.合同份数：本合同一式份，供需双方各执份。 </w:t>
      </w:r>
    </w:p>
    <w:p w14:paraId="63929C41">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rPr>
        <w:t>10</w:t>
      </w:r>
      <w:r>
        <w:rPr>
          <w:rFonts w:hint="eastAsia" w:ascii="宋体" w:hAnsi="宋体" w:eastAsia="宋体" w:cs="宋体"/>
          <w:bCs/>
          <w:sz w:val="24"/>
          <w:szCs w:val="24"/>
          <w:lang w:val="zh-CN"/>
        </w:rPr>
        <w:t>.合同生效：本合同在供需双方法定代表人或其授权代理人签字、加盖双方公章或者合同专用章，并且需方收到供方提交的履约保证金后生效。</w:t>
      </w:r>
    </w:p>
    <w:p w14:paraId="2C11E3E1">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rPr>
        <w:t>11</w:t>
      </w:r>
      <w:r>
        <w:rPr>
          <w:rFonts w:hint="eastAsia" w:ascii="宋体" w:hAnsi="宋体" w:eastAsia="宋体" w:cs="宋体"/>
          <w:bCs/>
          <w:sz w:val="24"/>
          <w:szCs w:val="24"/>
          <w:lang w:val="zh-CN"/>
        </w:rPr>
        <w:t>.合同修改：除供需双方签署书面修改、补充协议外，本合同条件不得有任何变化或修改。</w:t>
      </w:r>
    </w:p>
    <w:p w14:paraId="552ECC42">
      <w:pPr>
        <w:autoSpaceDE w:val="0"/>
        <w:autoSpaceDN w:val="0"/>
        <w:adjustRightInd w:val="0"/>
        <w:rPr>
          <w:rFonts w:ascii="宋体" w:hAnsi="宋体" w:eastAsia="宋体" w:cs="宋体"/>
          <w:bCs/>
          <w:sz w:val="24"/>
          <w:szCs w:val="24"/>
          <w:lang w:val="zh-CN"/>
        </w:rPr>
      </w:pPr>
    </w:p>
    <w:p w14:paraId="47B6553F">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lang w:val="zh-CN"/>
        </w:rPr>
        <w:t xml:space="preserve">需方：（加盖公章或合同专用章）                   供方：（加盖公章或合同专用章）  </w:t>
      </w:r>
    </w:p>
    <w:p w14:paraId="1744C076">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lang w:val="zh-CN"/>
        </w:rPr>
        <w:t>地址：                   地址：</w:t>
      </w:r>
    </w:p>
    <w:p w14:paraId="7C7FA448">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lang w:val="zh-CN"/>
        </w:rPr>
        <w:t>法定代表人或授权代理人签字：                    法定代表人或授权代理人签字：</w:t>
      </w:r>
    </w:p>
    <w:p w14:paraId="70CC534B">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lang w:val="zh-CN"/>
        </w:rPr>
        <w:t>签字日期：               签字日期：</w:t>
      </w:r>
    </w:p>
    <w:p w14:paraId="5195B953">
      <w:pPr>
        <w:autoSpaceDE w:val="0"/>
        <w:autoSpaceDN w:val="0"/>
        <w:adjustRightInd w:val="0"/>
        <w:rPr>
          <w:rFonts w:ascii="宋体" w:hAnsi="宋体" w:eastAsia="宋体" w:cs="宋体"/>
          <w:bCs/>
          <w:sz w:val="24"/>
          <w:szCs w:val="24"/>
          <w:lang w:val="zh-CN"/>
        </w:rPr>
      </w:pPr>
      <w:r>
        <w:rPr>
          <w:rFonts w:hint="eastAsia" w:ascii="宋体" w:hAnsi="宋体" w:eastAsia="宋体" w:cs="宋体"/>
          <w:bCs/>
          <w:sz w:val="24"/>
          <w:szCs w:val="24"/>
          <w:lang w:val="zh-CN"/>
        </w:rPr>
        <w:t>邮政编码：               邮政编码：</w:t>
      </w:r>
    </w:p>
    <w:p w14:paraId="655B5400">
      <w:pPr>
        <w:autoSpaceDE w:val="0"/>
        <w:autoSpaceDN w:val="0"/>
        <w:adjustRightInd w:val="0"/>
        <w:ind w:firstLine="5880" w:firstLineChars="2450"/>
        <w:rPr>
          <w:rFonts w:ascii="宋体" w:hAnsi="宋体" w:eastAsia="宋体" w:cs="宋体"/>
          <w:bCs/>
          <w:sz w:val="24"/>
          <w:szCs w:val="24"/>
          <w:lang w:val="zh-CN"/>
        </w:rPr>
      </w:pPr>
      <w:r>
        <w:rPr>
          <w:rFonts w:hint="eastAsia" w:ascii="宋体" w:hAnsi="宋体" w:eastAsia="宋体" w:cs="宋体"/>
          <w:bCs/>
          <w:sz w:val="24"/>
          <w:szCs w:val="24"/>
          <w:lang w:val="zh-CN"/>
        </w:rPr>
        <w:t>电话：</w:t>
      </w:r>
    </w:p>
    <w:p w14:paraId="7E5E7CE9">
      <w:pPr>
        <w:autoSpaceDE w:val="0"/>
        <w:autoSpaceDN w:val="0"/>
        <w:adjustRightInd w:val="0"/>
        <w:ind w:firstLine="5880" w:firstLineChars="2450"/>
        <w:rPr>
          <w:rFonts w:ascii="宋体" w:hAnsi="宋体" w:eastAsia="宋体" w:cs="宋体"/>
          <w:bCs/>
          <w:sz w:val="24"/>
          <w:szCs w:val="24"/>
          <w:lang w:val="zh-CN"/>
        </w:rPr>
      </w:pPr>
      <w:r>
        <w:rPr>
          <w:rFonts w:hint="eastAsia" w:ascii="宋体" w:hAnsi="宋体" w:eastAsia="宋体" w:cs="宋体"/>
          <w:bCs/>
          <w:sz w:val="24"/>
          <w:szCs w:val="24"/>
          <w:lang w:val="zh-CN"/>
        </w:rPr>
        <w:t>联系人：</w:t>
      </w:r>
    </w:p>
    <w:p w14:paraId="3BA7FDA3">
      <w:pPr>
        <w:autoSpaceDE w:val="0"/>
        <w:autoSpaceDN w:val="0"/>
        <w:adjustRightInd w:val="0"/>
        <w:ind w:firstLine="5880" w:firstLineChars="2450"/>
        <w:rPr>
          <w:rFonts w:ascii="宋体" w:hAnsi="宋体" w:eastAsia="宋体" w:cs="宋体"/>
          <w:bCs/>
          <w:sz w:val="24"/>
          <w:szCs w:val="24"/>
          <w:lang w:val="zh-CN"/>
        </w:rPr>
      </w:pPr>
      <w:r>
        <w:rPr>
          <w:rFonts w:hint="eastAsia" w:ascii="宋体" w:hAnsi="宋体" w:eastAsia="宋体" w:cs="宋体"/>
          <w:bCs/>
          <w:sz w:val="24"/>
          <w:szCs w:val="24"/>
          <w:lang w:val="zh-CN"/>
        </w:rPr>
        <w:t>开户银行：</w:t>
      </w:r>
    </w:p>
    <w:p w14:paraId="1EBB46E6">
      <w:pPr>
        <w:autoSpaceDE w:val="0"/>
        <w:autoSpaceDN w:val="0"/>
        <w:adjustRightInd w:val="0"/>
        <w:ind w:firstLine="5880" w:firstLineChars="2450"/>
        <w:rPr>
          <w:rFonts w:ascii="宋体" w:hAnsi="宋体" w:eastAsia="宋体" w:cs="宋体"/>
          <w:bCs/>
          <w:sz w:val="24"/>
          <w:szCs w:val="24"/>
          <w:lang w:val="zh-CN"/>
        </w:rPr>
      </w:pPr>
      <w:r>
        <w:rPr>
          <w:rFonts w:hint="eastAsia" w:ascii="宋体" w:hAnsi="宋体" w:eastAsia="宋体" w:cs="宋体"/>
          <w:bCs/>
          <w:sz w:val="24"/>
          <w:szCs w:val="24"/>
          <w:lang w:val="zh-CN"/>
        </w:rPr>
        <w:t>帐户名称：</w:t>
      </w:r>
    </w:p>
    <w:p w14:paraId="0ED3FFE0">
      <w:pPr>
        <w:autoSpaceDE w:val="0"/>
        <w:autoSpaceDN w:val="0"/>
        <w:adjustRightInd w:val="0"/>
        <w:ind w:firstLine="5880" w:firstLineChars="2450"/>
        <w:rPr>
          <w:rFonts w:ascii="宋体" w:hAnsi="宋体" w:eastAsia="宋体" w:cs="宋体"/>
          <w:bCs/>
          <w:sz w:val="24"/>
          <w:szCs w:val="24"/>
          <w:lang w:val="zh-CN"/>
        </w:rPr>
      </w:pPr>
      <w:r>
        <w:rPr>
          <w:rFonts w:hint="eastAsia" w:ascii="宋体" w:hAnsi="宋体" w:eastAsia="宋体" w:cs="宋体"/>
          <w:bCs/>
          <w:sz w:val="24"/>
          <w:szCs w:val="24"/>
          <w:lang w:val="zh-CN"/>
        </w:rPr>
        <w:t>帐号：</w:t>
      </w:r>
    </w:p>
    <w:p w14:paraId="0F5CCBD3">
      <w:pPr>
        <w:widowControl/>
        <w:jc w:val="left"/>
        <w:rPr>
          <w:rFonts w:ascii="宋体" w:hAnsi="宋体" w:eastAsia="宋体" w:cs="宋体"/>
          <w:sz w:val="24"/>
          <w:szCs w:val="24"/>
          <w:lang w:val="zh-CN"/>
        </w:rPr>
      </w:pPr>
      <w:r>
        <w:rPr>
          <w:rFonts w:ascii="宋体" w:hAnsi="宋体" w:eastAsia="宋体" w:cs="宋体"/>
          <w:sz w:val="24"/>
          <w:szCs w:val="24"/>
          <w:lang w:val="zh-CN"/>
        </w:rPr>
        <w:br w:type="page"/>
      </w:r>
    </w:p>
    <w:p w14:paraId="2E426E8D">
      <w:pPr>
        <w:pStyle w:val="2"/>
        <w:rPr>
          <w:lang w:val="zh-CN"/>
        </w:rPr>
        <w:sectPr>
          <w:pgSz w:w="11906" w:h="16838"/>
          <w:pgMar w:top="1440" w:right="1080" w:bottom="1440" w:left="1080" w:header="851" w:footer="992" w:gutter="0"/>
          <w:cols w:space="425" w:num="1"/>
          <w:docGrid w:type="lines" w:linePitch="312" w:charSpace="0"/>
        </w:sectPr>
      </w:pPr>
      <w:bookmarkStart w:id="63" w:name="_Toc19697"/>
      <w:bookmarkStart w:id="64" w:name="_Toc164847791"/>
      <w:bookmarkStart w:id="65" w:name="_Toc167280764"/>
      <w:r>
        <w:rPr>
          <w:rFonts w:hint="eastAsia"/>
        </w:rPr>
        <w:t>第五章 采购</w:t>
      </w:r>
      <w:bookmarkEnd w:id="63"/>
      <w:bookmarkEnd w:id="64"/>
      <w:bookmarkEnd w:id="65"/>
      <w:bookmarkStart w:id="66" w:name="_Toc167280765"/>
      <w:bookmarkStart w:id="67" w:name="_Toc164847792"/>
      <w:r>
        <w:rPr>
          <w:rFonts w:hint="eastAsia"/>
        </w:rPr>
        <w:t>需求</w:t>
      </w:r>
    </w:p>
    <w:tbl>
      <w:tblPr>
        <w:tblStyle w:val="22"/>
        <w:tblpPr w:leftFromText="180" w:rightFromText="180" w:vertAnchor="text" w:horzAnchor="page" w:tblpX="782" w:tblpY="629"/>
        <w:tblOverlap w:val="never"/>
        <w:tblW w:w="10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46"/>
        <w:gridCol w:w="634"/>
        <w:gridCol w:w="593"/>
        <w:gridCol w:w="7517"/>
      </w:tblGrid>
      <w:tr w14:paraId="71C8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4" w:type="dxa"/>
            <w:noWrap/>
            <w:vAlign w:val="center"/>
          </w:tcPr>
          <w:p w14:paraId="778A9DCA">
            <w:pPr>
              <w:jc w:val="center"/>
            </w:pPr>
            <w:r>
              <w:rPr>
                <w:rFonts w:hint="eastAsia"/>
              </w:rPr>
              <w:t>序号</w:t>
            </w:r>
          </w:p>
        </w:tc>
        <w:tc>
          <w:tcPr>
            <w:tcW w:w="1146" w:type="dxa"/>
            <w:noWrap/>
            <w:vAlign w:val="center"/>
          </w:tcPr>
          <w:p w14:paraId="048EE61A">
            <w:pPr>
              <w:jc w:val="center"/>
            </w:pPr>
            <w:r>
              <w:rPr>
                <w:rFonts w:hint="eastAsia"/>
              </w:rPr>
              <w:t>设备名称</w:t>
            </w:r>
          </w:p>
        </w:tc>
        <w:tc>
          <w:tcPr>
            <w:tcW w:w="634" w:type="dxa"/>
            <w:noWrap/>
            <w:vAlign w:val="center"/>
          </w:tcPr>
          <w:p w14:paraId="4EBEDE30">
            <w:pPr>
              <w:jc w:val="center"/>
            </w:pPr>
            <w:r>
              <w:rPr>
                <w:rFonts w:hint="eastAsia"/>
              </w:rPr>
              <w:t>单位</w:t>
            </w:r>
          </w:p>
        </w:tc>
        <w:tc>
          <w:tcPr>
            <w:tcW w:w="593" w:type="dxa"/>
            <w:noWrap/>
            <w:vAlign w:val="center"/>
          </w:tcPr>
          <w:p w14:paraId="2C3DF142">
            <w:pPr>
              <w:jc w:val="center"/>
            </w:pPr>
            <w:r>
              <w:rPr>
                <w:rFonts w:hint="eastAsia"/>
              </w:rPr>
              <w:t>数量</w:t>
            </w:r>
          </w:p>
        </w:tc>
        <w:tc>
          <w:tcPr>
            <w:tcW w:w="7517" w:type="dxa"/>
            <w:noWrap/>
            <w:vAlign w:val="center"/>
          </w:tcPr>
          <w:p w14:paraId="1E1525B8">
            <w:pPr>
              <w:jc w:val="center"/>
            </w:pPr>
            <w:r>
              <w:rPr>
                <w:rFonts w:hint="eastAsia"/>
              </w:rPr>
              <w:t>性能参数</w:t>
            </w:r>
          </w:p>
        </w:tc>
      </w:tr>
      <w:tr w14:paraId="34E5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1" w:hRule="atLeast"/>
        </w:trPr>
        <w:tc>
          <w:tcPr>
            <w:tcW w:w="754" w:type="dxa"/>
            <w:noWrap/>
            <w:vAlign w:val="center"/>
          </w:tcPr>
          <w:p w14:paraId="3B47D1E2">
            <w:pPr>
              <w:jc w:val="center"/>
            </w:pPr>
            <w:r>
              <w:rPr>
                <w:rFonts w:hint="eastAsia"/>
              </w:rPr>
              <w:t>1</w:t>
            </w:r>
          </w:p>
        </w:tc>
        <w:tc>
          <w:tcPr>
            <w:tcW w:w="1146" w:type="dxa"/>
            <w:noWrap/>
            <w:vAlign w:val="center"/>
          </w:tcPr>
          <w:p w14:paraId="5CE4A487">
            <w:pPr>
              <w:jc w:val="center"/>
            </w:pPr>
            <w:r>
              <w:rPr>
                <w:rFonts w:hint="eastAsia"/>
              </w:rPr>
              <w:t>万分之一和十万分之一双量程电子天平</w:t>
            </w:r>
          </w:p>
        </w:tc>
        <w:tc>
          <w:tcPr>
            <w:tcW w:w="634" w:type="dxa"/>
            <w:noWrap/>
            <w:vAlign w:val="center"/>
          </w:tcPr>
          <w:p w14:paraId="223856BA">
            <w:pPr>
              <w:jc w:val="center"/>
            </w:pPr>
            <w:r>
              <w:rPr>
                <w:rFonts w:hint="eastAsia"/>
              </w:rPr>
              <w:t>套</w:t>
            </w:r>
          </w:p>
        </w:tc>
        <w:tc>
          <w:tcPr>
            <w:tcW w:w="593" w:type="dxa"/>
            <w:noWrap/>
            <w:vAlign w:val="center"/>
          </w:tcPr>
          <w:p w14:paraId="1A964572">
            <w:pPr>
              <w:jc w:val="center"/>
              <w:rPr>
                <w:color w:val="auto"/>
              </w:rPr>
            </w:pPr>
            <w:r>
              <w:rPr>
                <w:rFonts w:hint="eastAsia"/>
                <w:color w:val="auto"/>
              </w:rPr>
              <w:t>1</w:t>
            </w:r>
          </w:p>
        </w:tc>
        <w:tc>
          <w:tcPr>
            <w:tcW w:w="7517" w:type="dxa"/>
          </w:tcPr>
          <w:p w14:paraId="5D8E02AA">
            <w:pPr>
              <w:rPr>
                <w:color w:val="auto"/>
              </w:rPr>
            </w:pPr>
            <w:r>
              <w:rPr>
                <w:rFonts w:hint="eastAsia"/>
                <w:color w:val="auto"/>
              </w:rPr>
              <w:t>称重能力：最大/最小   120g/42g；1mg</w:t>
            </w:r>
            <w:r>
              <w:rPr>
                <w:rFonts w:hint="eastAsia"/>
                <w:color w:val="auto"/>
              </w:rPr>
              <w:br w:type="textWrapping"/>
            </w:r>
            <w:r>
              <w:rPr>
                <w:rFonts w:hint="eastAsia"/>
                <w:color w:val="auto"/>
              </w:rPr>
              <w:t>最小显示值  0.1mg/0.01mg</w:t>
            </w:r>
            <w:r>
              <w:rPr>
                <w:rFonts w:hint="eastAsia"/>
                <w:color w:val="auto"/>
              </w:rPr>
              <w:br w:type="textWrapping"/>
            </w:r>
            <w:r>
              <w:rPr>
                <w:rFonts w:hint="eastAsia"/>
                <w:color w:val="auto"/>
              </w:rPr>
              <w:t>标准偏差  ≤0.1mg(大量程）；≤0.02mg(小量程）</w:t>
            </w:r>
            <w:r>
              <w:rPr>
                <w:rFonts w:hint="eastAsia"/>
                <w:color w:val="auto"/>
              </w:rPr>
              <w:br w:type="textWrapping"/>
            </w:r>
            <w:r>
              <w:rPr>
                <w:rFonts w:hint="eastAsia"/>
                <w:color w:val="auto"/>
              </w:rPr>
              <w:t>线性  ±0.2mg（大量程）；±0.03mg(小量程）</w:t>
            </w:r>
            <w:r>
              <w:rPr>
                <w:rFonts w:hint="eastAsia"/>
                <w:color w:val="auto"/>
              </w:rPr>
              <w:br w:type="textWrapping"/>
            </w:r>
            <w:r>
              <w:rPr>
                <w:rFonts w:hint="eastAsia"/>
                <w:color w:val="auto"/>
              </w:rPr>
              <w:t>响应时间  3秒（大量程）；12s（小量程）</w:t>
            </w:r>
            <w:r>
              <w:rPr>
                <w:rFonts w:hint="eastAsia"/>
                <w:color w:val="auto"/>
              </w:rPr>
              <w:br w:type="textWrapping"/>
            </w:r>
            <w:r>
              <w:rPr>
                <w:rFonts w:hint="eastAsia"/>
                <w:color w:val="auto"/>
              </w:rPr>
              <w:t>校正砝码  机内</w:t>
            </w:r>
            <w:r>
              <w:rPr>
                <w:rFonts w:hint="eastAsia"/>
                <w:color w:val="auto"/>
              </w:rPr>
              <w:br w:type="textWrapping"/>
            </w:r>
            <w:r>
              <w:rPr>
                <w:rFonts w:hint="eastAsia"/>
                <w:color w:val="auto"/>
              </w:rPr>
              <w:t>称量盘的尺寸及称量室高度  80mm</w:t>
            </w:r>
            <w:r>
              <w:rPr>
                <w:rFonts w:hint="eastAsia"/>
                <w:color w:val="auto"/>
              </w:rPr>
              <w:br w:type="textWrapping"/>
            </w:r>
            <w:r>
              <w:rPr>
                <w:rFonts w:hint="eastAsia"/>
                <w:color w:val="auto"/>
              </w:rPr>
              <w:t>主体尺寸  220（W）*330（D）*310（H）mm</w:t>
            </w:r>
            <w:r>
              <w:rPr>
                <w:rFonts w:hint="eastAsia"/>
                <w:color w:val="auto"/>
              </w:rPr>
              <w:br w:type="textWrapping"/>
            </w:r>
            <w:r>
              <w:rPr>
                <w:rFonts w:hint="eastAsia"/>
                <w:color w:val="auto"/>
              </w:rPr>
              <w:t>功能与特长：</w:t>
            </w:r>
            <w:r>
              <w:rPr>
                <w:rFonts w:hint="eastAsia"/>
                <w:color w:val="auto"/>
              </w:rPr>
              <w:br w:type="textWrapping"/>
            </w:r>
            <w:r>
              <w:rPr>
                <w:rFonts w:hint="eastAsia"/>
                <w:color w:val="auto"/>
              </w:rPr>
              <w:t xml:space="preserve">机内时钟  </w:t>
            </w:r>
            <w:r>
              <w:rPr>
                <w:rFonts w:hint="eastAsia"/>
                <w:color w:val="auto"/>
              </w:rPr>
              <w:br w:type="textWrapping"/>
            </w:r>
            <w:r>
              <w:rPr>
                <w:rFonts w:hint="eastAsia"/>
                <w:color w:val="auto"/>
              </w:rPr>
              <w:t>直通视窗：天平内部自带软件，通过一根电缆线直接连接。</w:t>
            </w:r>
            <w:r>
              <w:rPr>
                <w:rFonts w:hint="eastAsia"/>
                <w:color w:val="auto"/>
              </w:rPr>
              <w:br w:type="textWrapping"/>
            </w:r>
            <w:r>
              <w:rPr>
                <w:rFonts w:hint="eastAsia"/>
                <w:color w:val="auto"/>
              </w:rPr>
              <w:t>量程自动或手动切换。</w:t>
            </w:r>
            <w:r>
              <w:rPr>
                <w:rFonts w:hint="eastAsia"/>
                <w:color w:val="auto"/>
              </w:rPr>
              <w:br w:type="textWrapping"/>
            </w:r>
            <w:r>
              <w:rPr>
                <w:rFonts w:hint="eastAsia"/>
                <w:color w:val="auto"/>
              </w:rPr>
              <w:t>比重测定软件、计数、%显示、单位换算</w:t>
            </w:r>
            <w:r>
              <w:rPr>
                <w:rFonts w:hint="eastAsia"/>
                <w:color w:val="auto"/>
              </w:rPr>
              <w:br w:type="textWrapping"/>
            </w:r>
            <w:r>
              <w:rPr>
                <w:rFonts w:hint="eastAsia"/>
                <w:color w:val="auto"/>
              </w:rPr>
              <w:t xml:space="preserve"> ▲传感器类型：双杠杆单体模块结构</w:t>
            </w:r>
          </w:p>
        </w:tc>
      </w:tr>
      <w:tr w14:paraId="2690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754" w:type="dxa"/>
            <w:noWrap/>
            <w:vAlign w:val="center"/>
          </w:tcPr>
          <w:p w14:paraId="0EDB6ECE">
            <w:pPr>
              <w:jc w:val="center"/>
            </w:pPr>
            <w:r>
              <w:rPr>
                <w:rFonts w:hint="eastAsia"/>
              </w:rPr>
              <w:t>2</w:t>
            </w:r>
          </w:p>
        </w:tc>
        <w:tc>
          <w:tcPr>
            <w:tcW w:w="1146" w:type="dxa"/>
            <w:vAlign w:val="center"/>
          </w:tcPr>
          <w:p w14:paraId="6CBCA28C">
            <w:pPr>
              <w:jc w:val="center"/>
            </w:pPr>
            <w:r>
              <w:rPr>
                <w:rFonts w:hint="eastAsia"/>
              </w:rPr>
              <w:t>全自动真空过滤泵</w:t>
            </w:r>
          </w:p>
        </w:tc>
        <w:tc>
          <w:tcPr>
            <w:tcW w:w="634" w:type="dxa"/>
            <w:noWrap/>
            <w:vAlign w:val="center"/>
          </w:tcPr>
          <w:p w14:paraId="11A637C2">
            <w:pPr>
              <w:jc w:val="center"/>
            </w:pPr>
            <w:r>
              <w:rPr>
                <w:rFonts w:hint="eastAsia"/>
              </w:rPr>
              <w:t>套</w:t>
            </w:r>
          </w:p>
        </w:tc>
        <w:tc>
          <w:tcPr>
            <w:tcW w:w="593" w:type="dxa"/>
            <w:noWrap/>
            <w:vAlign w:val="center"/>
          </w:tcPr>
          <w:p w14:paraId="20ED3E0B">
            <w:pPr>
              <w:jc w:val="center"/>
            </w:pPr>
            <w:r>
              <w:rPr>
                <w:rFonts w:hint="eastAsia"/>
              </w:rPr>
              <w:t>2</w:t>
            </w:r>
          </w:p>
        </w:tc>
        <w:tc>
          <w:tcPr>
            <w:tcW w:w="7517" w:type="dxa"/>
          </w:tcPr>
          <w:p w14:paraId="6AB69499">
            <w:r>
              <w:rPr>
                <w:rFonts w:hint="eastAsia"/>
              </w:rPr>
              <w:t>全自动真空过滤泵</w:t>
            </w:r>
            <w:r>
              <w:rPr>
                <w:rFonts w:hint="eastAsia"/>
              </w:rPr>
              <w:br w:type="textWrapping"/>
            </w:r>
            <w:r>
              <w:rPr>
                <w:rFonts w:hint="eastAsia"/>
              </w:rPr>
              <w:t>技术参数：</w:t>
            </w:r>
            <w:r>
              <w:rPr>
                <w:rFonts w:hint="eastAsia"/>
              </w:rPr>
              <w:br w:type="textWrapping"/>
            </w:r>
            <w:r>
              <w:rPr>
                <w:rFonts w:hint="eastAsia"/>
              </w:rPr>
              <w:t>1) 功率：100W</w:t>
            </w:r>
            <w:r>
              <w:rPr>
                <w:rFonts w:hint="eastAsia"/>
              </w:rPr>
              <w:br w:type="textWrapping"/>
            </w:r>
            <w:r>
              <w:rPr>
                <w:rFonts w:hint="eastAsia"/>
              </w:rPr>
              <w:t>2) 极限真空度： 150mbar,抽气速率：50L/min</w:t>
            </w:r>
            <w:r>
              <w:rPr>
                <w:rFonts w:hint="eastAsia"/>
              </w:rPr>
              <w:br w:type="textWrapping"/>
            </w:r>
            <w:r>
              <w:rPr>
                <w:rFonts w:hint="eastAsia"/>
              </w:rPr>
              <w:t>3) 无油抽气，节能环保，维护简单方便</w:t>
            </w:r>
            <w:r>
              <w:rPr>
                <w:rFonts w:hint="eastAsia"/>
              </w:rPr>
              <w:br w:type="textWrapping"/>
            </w:r>
            <w:r>
              <w:rPr>
                <w:rFonts w:hint="eastAsia"/>
              </w:rPr>
              <w:t>4) 指针压力表实时显示系统真空度</w:t>
            </w:r>
            <w:r>
              <w:rPr>
                <w:rFonts w:hint="eastAsia"/>
              </w:rPr>
              <w:br w:type="textWrapping"/>
            </w:r>
            <w:r>
              <w:rPr>
                <w:rFonts w:hint="eastAsia"/>
              </w:rPr>
              <w:t>5) 压力调节旋钮，可随时根据实验需求调节真空度，调节范围150mbar～常压</w:t>
            </w:r>
            <w:r>
              <w:rPr>
                <w:rFonts w:hint="eastAsia"/>
              </w:rPr>
              <w:br w:type="textWrapping"/>
            </w:r>
            <w:r>
              <w:rPr>
                <w:rFonts w:hint="eastAsia"/>
              </w:rPr>
              <w:t>6）过滤精度：0.2</w:t>
            </w:r>
            <w:r>
              <w:t>μ</w:t>
            </w:r>
            <w:r>
              <w:rPr>
                <w:rFonts w:hint="eastAsia"/>
              </w:rPr>
              <w:t>m</w:t>
            </w:r>
            <w:r>
              <w:rPr>
                <w:rFonts w:hint="eastAsia"/>
              </w:rPr>
              <w:br w:type="textWrapping"/>
            </w:r>
            <w:r>
              <w:rPr>
                <w:rFonts w:hint="eastAsia"/>
              </w:rPr>
              <w:t>7）过滤效率：≥99.9%</w:t>
            </w:r>
          </w:p>
        </w:tc>
      </w:tr>
      <w:tr w14:paraId="42E8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0" w:hRule="atLeast"/>
        </w:trPr>
        <w:tc>
          <w:tcPr>
            <w:tcW w:w="754" w:type="dxa"/>
            <w:noWrap/>
            <w:vAlign w:val="center"/>
          </w:tcPr>
          <w:p w14:paraId="377E18E4">
            <w:pPr>
              <w:jc w:val="center"/>
            </w:pPr>
            <w:r>
              <w:rPr>
                <w:rFonts w:hint="eastAsia"/>
              </w:rPr>
              <w:t>3</w:t>
            </w:r>
          </w:p>
        </w:tc>
        <w:tc>
          <w:tcPr>
            <w:tcW w:w="1146" w:type="dxa"/>
            <w:vAlign w:val="center"/>
          </w:tcPr>
          <w:p w14:paraId="6C0C99C3">
            <w:pPr>
              <w:jc w:val="center"/>
            </w:pPr>
            <w:r>
              <w:rPr>
                <w:rFonts w:hint="eastAsia"/>
              </w:rPr>
              <w:t>恒温水浴振荡器</w:t>
            </w:r>
          </w:p>
        </w:tc>
        <w:tc>
          <w:tcPr>
            <w:tcW w:w="634" w:type="dxa"/>
            <w:noWrap/>
            <w:vAlign w:val="center"/>
          </w:tcPr>
          <w:p w14:paraId="0440E63F">
            <w:pPr>
              <w:jc w:val="center"/>
            </w:pPr>
            <w:r>
              <w:rPr>
                <w:rFonts w:hint="eastAsia"/>
              </w:rPr>
              <w:t>套</w:t>
            </w:r>
          </w:p>
        </w:tc>
        <w:tc>
          <w:tcPr>
            <w:tcW w:w="593" w:type="dxa"/>
            <w:noWrap/>
            <w:vAlign w:val="center"/>
          </w:tcPr>
          <w:p w14:paraId="2E74C611">
            <w:pPr>
              <w:jc w:val="center"/>
            </w:pPr>
            <w:r>
              <w:rPr>
                <w:rFonts w:hint="eastAsia"/>
              </w:rPr>
              <w:t>1</w:t>
            </w:r>
          </w:p>
        </w:tc>
        <w:tc>
          <w:tcPr>
            <w:tcW w:w="7517" w:type="dxa"/>
          </w:tcPr>
          <w:p w14:paraId="3D66C8BE">
            <w:pPr>
              <w:spacing w:after="160"/>
            </w:pPr>
            <w:r>
              <w:rPr>
                <w:rFonts w:hint="eastAsia"/>
              </w:rPr>
              <w:t xml:space="preserve">恒温水浴振荡器招标参数 </w:t>
            </w:r>
            <w:r>
              <w:rPr>
                <w:rFonts w:hint="eastAsia"/>
              </w:rPr>
              <w:br w:type="textWrapping"/>
            </w:r>
            <w:r>
              <w:rPr>
                <w:rFonts w:hint="eastAsia"/>
              </w:rPr>
              <w:t>1. 用途：</w:t>
            </w:r>
            <w:r>
              <w:rPr>
                <w:rFonts w:hint="eastAsia"/>
              </w:rPr>
              <w:br w:type="textWrapping"/>
            </w:r>
            <w:r>
              <w:rPr>
                <w:rFonts w:hint="eastAsia"/>
              </w:rPr>
              <w:t>专为需要添加强酸强碱等腐蚀性试剂的应用设计，提供全塑结构的防腐蚀操作空间，有效解决金属浴槽腐蚀问题。</w:t>
            </w:r>
            <w:r>
              <w:rPr>
                <w:rFonts w:hint="eastAsia"/>
              </w:rPr>
              <w:br w:type="textWrapping"/>
            </w:r>
            <w:r>
              <w:rPr>
                <w:rFonts w:hint="eastAsia"/>
              </w:rPr>
              <w:t>2. 技术参数</w:t>
            </w:r>
            <w:r>
              <w:rPr>
                <w:rFonts w:hint="eastAsia"/>
              </w:rPr>
              <w:br w:type="textWrapping"/>
            </w:r>
            <w:r>
              <w:rPr>
                <w:rFonts w:hint="eastAsia"/>
              </w:rPr>
              <w:t>1) 控温范围：室温+5℃～100℃；控温精度：±0.2℃</w:t>
            </w:r>
            <w:r>
              <w:rPr>
                <w:rFonts w:hint="eastAsia"/>
              </w:rPr>
              <w:br w:type="textWrapping"/>
            </w:r>
            <w:r>
              <w:rPr>
                <w:rFonts w:hint="eastAsia"/>
              </w:rPr>
              <w:t>2) 控温方式：</w:t>
            </w:r>
            <w:r>
              <w:rPr>
                <w:rFonts w:hint="eastAsia"/>
                <w:color w:val="auto"/>
              </w:rPr>
              <w:t xml:space="preserve">智能PID控制(LCD数显) </w:t>
            </w:r>
            <w:r>
              <w:rPr>
                <w:rFonts w:hint="eastAsia"/>
                <w:color w:val="auto"/>
              </w:rPr>
              <w:br w:type="textWrapping"/>
            </w:r>
            <w:r>
              <w:rPr>
                <w:rFonts w:hint="eastAsia"/>
                <w:color w:val="auto"/>
              </w:rPr>
              <w:t>3) 加热功率：2600W</w:t>
            </w:r>
            <w:r>
              <w:rPr>
                <w:rFonts w:hint="eastAsia"/>
                <w:color w:val="auto"/>
              </w:rPr>
              <w:br w:type="textWrapping"/>
            </w:r>
            <w:r>
              <w:rPr>
                <w:rFonts w:hint="eastAsia"/>
                <w:color w:val="auto"/>
              </w:rPr>
              <w:t>4)  ▲浴槽材质：不锈钢喷涂特氟龙，耐各种强酸强碱腐蚀</w:t>
            </w:r>
            <w:r>
              <w:rPr>
                <w:rFonts w:hint="eastAsia"/>
                <w:color w:val="auto"/>
              </w:rPr>
              <w:br w:type="textWrapping"/>
            </w:r>
            <w:r>
              <w:rPr>
                <w:rFonts w:hint="eastAsia"/>
                <w:color w:val="auto"/>
              </w:rPr>
              <w:t>5)  ▲</w:t>
            </w:r>
            <w:r>
              <w:rPr>
                <w:rFonts w:ascii="Segoe UI" w:hAnsi="Segoe UI" w:cs="Segoe UI"/>
                <w:color w:val="auto"/>
                <w:shd w:val="clear" w:color="auto" w:fill="FFFFFF"/>
              </w:rPr>
              <w:t>操作平台材质：整体高分子聚合物结构</w:t>
            </w:r>
            <w:r>
              <w:rPr>
                <w:rFonts w:hint="eastAsia"/>
                <w:color w:val="auto"/>
              </w:rPr>
              <w:t>，无金属部件裸露，适应强酸性工作环境</w:t>
            </w:r>
            <w:r>
              <w:rPr>
                <w:rFonts w:hint="eastAsia"/>
                <w:color w:val="auto"/>
              </w:rPr>
              <w:br w:type="textWrapping"/>
            </w:r>
            <w:r>
              <w:rPr>
                <w:rFonts w:hint="eastAsia"/>
                <w:color w:val="auto"/>
              </w:rPr>
              <w:t>6) 配备透明耐腐蚀聚碳酸酯回流保护罩，方便观察</w:t>
            </w:r>
            <w:r>
              <w:rPr>
                <w:rFonts w:hint="eastAsia"/>
                <w:color w:val="auto"/>
              </w:rPr>
              <w:br w:type="textWrapping"/>
            </w:r>
            <w:r>
              <w:rPr>
                <w:rFonts w:hint="eastAsia"/>
                <w:color w:val="auto"/>
              </w:rPr>
              <w:t>7) 耐腐蚀全塑三层试管支架，运行更稳定；试管位数60位（50mL）、112位（15mL）可选</w:t>
            </w:r>
            <w:r>
              <w:rPr>
                <w:rFonts w:hint="eastAsia"/>
              </w:rPr>
              <w:br w:type="textWrapping"/>
            </w:r>
            <w:r>
              <w:rPr>
                <w:rFonts w:hint="eastAsia"/>
              </w:rPr>
              <w:t>8) 浴槽容积：20L，浴槽尺寸（L*W*H）500mm×300mm×150mm</w:t>
            </w:r>
            <w:r>
              <w:rPr>
                <w:rFonts w:hint="eastAsia"/>
              </w:rPr>
              <w:br w:type="textWrapping"/>
            </w:r>
            <w:r>
              <w:rPr>
                <w:rFonts w:hint="eastAsia"/>
              </w:rPr>
              <w:t>9) 振荡功能：往复振荡模式，振荡幅度20mm，振荡频率20~500rpm/min，可选择间歇振荡模式</w:t>
            </w:r>
            <w:r>
              <w:rPr>
                <w:rFonts w:hint="eastAsia"/>
              </w:rPr>
              <w:br w:type="textWrapping"/>
            </w:r>
            <w:r>
              <w:rPr>
                <w:rFonts w:hint="eastAsia"/>
              </w:rPr>
              <w:t>10) ▲全自动智能预约开机，实现无人值守，自主开始实验，提高工作效率</w:t>
            </w:r>
            <w:r>
              <w:rPr>
                <w:rFonts w:hint="eastAsia"/>
              </w:rPr>
              <w:br w:type="textWrapping"/>
            </w:r>
            <w:r>
              <w:rPr>
                <w:rFonts w:hint="eastAsia"/>
              </w:rPr>
              <w:t>11) 定时功能，多种定时模式：温度和振荡可进行独立时间设定，操作更灵活</w:t>
            </w:r>
            <w:r>
              <w:rPr>
                <w:rFonts w:hint="eastAsia"/>
              </w:rPr>
              <w:br w:type="textWrapping"/>
            </w:r>
            <w:r>
              <w:rPr>
                <w:rFonts w:hint="eastAsia"/>
              </w:rPr>
              <w:t>12) 掉点记忆功能：仪器突然断电，来电后自动开始运行，无需重新设置</w:t>
            </w:r>
            <w:r>
              <w:rPr>
                <w:rFonts w:hint="eastAsia"/>
              </w:rPr>
              <w:br w:type="textWrapping"/>
            </w:r>
            <w:r>
              <w:rPr>
                <w:rFonts w:hint="eastAsia"/>
              </w:rPr>
              <w:t>13) 防干烧设计，故障自检：多种故障自检，出现问题，故障代码直接显示在控制器屏幕上</w:t>
            </w:r>
            <w:r>
              <w:rPr>
                <w:rFonts w:hint="eastAsia"/>
              </w:rPr>
              <w:br w:type="textWrapping"/>
            </w:r>
            <w:r>
              <w:rPr>
                <w:rFonts w:hint="eastAsia"/>
              </w:rPr>
              <w:t>配置清单：</w:t>
            </w:r>
            <w:r>
              <w:rPr>
                <w:rFonts w:hint="eastAsia"/>
              </w:rPr>
              <w:br w:type="textWrapping"/>
            </w:r>
            <w:r>
              <w:rPr>
                <w:rFonts w:hint="eastAsia"/>
              </w:rPr>
              <w:t>智能防腐振荡水浴1台，全塑透明材料回流保护罩1个，60位全塑试管支架1套</w:t>
            </w:r>
          </w:p>
        </w:tc>
      </w:tr>
      <w:tr w14:paraId="6CBE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754" w:type="dxa"/>
            <w:noWrap/>
            <w:vAlign w:val="center"/>
          </w:tcPr>
          <w:p w14:paraId="444C88F1">
            <w:pPr>
              <w:spacing w:after="160"/>
              <w:jc w:val="center"/>
            </w:pPr>
            <w:r>
              <w:rPr>
                <w:rFonts w:hint="eastAsia"/>
              </w:rPr>
              <w:t>4</w:t>
            </w:r>
          </w:p>
        </w:tc>
        <w:tc>
          <w:tcPr>
            <w:tcW w:w="1146" w:type="dxa"/>
            <w:noWrap/>
            <w:vAlign w:val="center"/>
          </w:tcPr>
          <w:p w14:paraId="554C73A7">
            <w:pPr>
              <w:jc w:val="center"/>
            </w:pPr>
            <w:r>
              <w:rPr>
                <w:rFonts w:hint="eastAsia"/>
              </w:rPr>
              <w:t>数显涡轮振荡器</w:t>
            </w:r>
          </w:p>
        </w:tc>
        <w:tc>
          <w:tcPr>
            <w:tcW w:w="634" w:type="dxa"/>
            <w:noWrap/>
            <w:vAlign w:val="center"/>
          </w:tcPr>
          <w:p w14:paraId="6FEB1505">
            <w:pPr>
              <w:jc w:val="center"/>
            </w:pPr>
            <w:r>
              <w:rPr>
                <w:rFonts w:hint="eastAsia"/>
              </w:rPr>
              <w:t>套</w:t>
            </w:r>
          </w:p>
        </w:tc>
        <w:tc>
          <w:tcPr>
            <w:tcW w:w="593" w:type="dxa"/>
            <w:noWrap/>
            <w:vAlign w:val="center"/>
          </w:tcPr>
          <w:p w14:paraId="3C4DB979">
            <w:pPr>
              <w:jc w:val="center"/>
            </w:pPr>
            <w:r>
              <w:rPr>
                <w:rFonts w:hint="eastAsia"/>
              </w:rPr>
              <w:t>1</w:t>
            </w:r>
          </w:p>
        </w:tc>
        <w:tc>
          <w:tcPr>
            <w:tcW w:w="7517" w:type="dxa"/>
          </w:tcPr>
          <w:p w14:paraId="161313AC">
            <w:r>
              <w:rPr>
                <w:rFonts w:hint="eastAsia"/>
              </w:rPr>
              <w:t>技术参数</w:t>
            </w:r>
            <w:r>
              <w:rPr>
                <w:rFonts w:hint="eastAsia"/>
              </w:rPr>
              <w:br w:type="textWrapping"/>
            </w:r>
            <w:r>
              <w:rPr>
                <w:rFonts w:hint="eastAsia"/>
              </w:rPr>
              <w:t>功率  60W   振荡方式 圆周</w:t>
            </w:r>
            <w:r>
              <w:rPr>
                <w:rFonts w:hint="eastAsia"/>
              </w:rPr>
              <w:br w:type="textWrapping"/>
            </w:r>
            <w:r>
              <w:rPr>
                <w:rFonts w:hint="eastAsia"/>
              </w:rPr>
              <w:t>周转直径 4 mm电机类型 罩极电机</w:t>
            </w:r>
            <w:r>
              <w:rPr>
                <w:rFonts w:hint="eastAsia"/>
              </w:rPr>
              <w:br w:type="textWrapping"/>
            </w:r>
            <w:r>
              <w:rPr>
                <w:rFonts w:hint="eastAsia"/>
              </w:rPr>
              <w:t>电机输入功率 58W      电机输出功率 10W</w:t>
            </w:r>
            <w:r>
              <w:rPr>
                <w:rFonts w:hint="eastAsia"/>
              </w:rPr>
              <w:br w:type="textWrapping"/>
            </w:r>
            <w:r>
              <w:rPr>
                <w:rFonts w:hint="eastAsia"/>
              </w:rPr>
              <w:t>速度范围  0-3000rpm转速显示   刻度</w:t>
            </w:r>
            <w:r>
              <w:rPr>
                <w:rFonts w:hint="eastAsia"/>
              </w:rPr>
              <w:br w:type="textWrapping"/>
            </w:r>
            <w:r>
              <w:rPr>
                <w:rFonts w:hint="eastAsia"/>
              </w:rPr>
              <w:t>运行方式 连续运转/点动</w:t>
            </w:r>
            <w:r>
              <w:rPr>
                <w:rFonts w:hint="eastAsia"/>
              </w:rPr>
              <w:br w:type="textWrapping"/>
            </w:r>
            <w:r>
              <w:rPr>
                <w:rFonts w:hint="eastAsia"/>
              </w:rPr>
              <w:t>外观尺（长x宽x高） 127×130×160mm</w:t>
            </w:r>
            <w:r>
              <w:rPr>
                <w:rFonts w:hint="eastAsia"/>
              </w:rPr>
              <w:br w:type="textWrapping"/>
            </w:r>
            <w:r>
              <w:rPr>
                <w:rFonts w:hint="eastAsia"/>
              </w:rPr>
              <w:t>重量 2kg  外壳防护等级 IP21</w:t>
            </w:r>
          </w:p>
        </w:tc>
      </w:tr>
      <w:tr w14:paraId="77BD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754" w:type="dxa"/>
            <w:noWrap/>
            <w:vAlign w:val="center"/>
          </w:tcPr>
          <w:p w14:paraId="216DA064">
            <w:pPr>
              <w:jc w:val="center"/>
            </w:pPr>
            <w:r>
              <w:rPr>
                <w:rFonts w:hint="eastAsia"/>
              </w:rPr>
              <w:t>5</w:t>
            </w:r>
          </w:p>
        </w:tc>
        <w:tc>
          <w:tcPr>
            <w:tcW w:w="1146" w:type="dxa"/>
            <w:noWrap/>
            <w:vAlign w:val="center"/>
          </w:tcPr>
          <w:p w14:paraId="19FB9CFE">
            <w:pPr>
              <w:jc w:val="center"/>
            </w:pPr>
            <w:r>
              <w:rPr>
                <w:rFonts w:hint="eastAsia"/>
              </w:rPr>
              <w:t>重金属消解仪</w:t>
            </w:r>
          </w:p>
        </w:tc>
        <w:tc>
          <w:tcPr>
            <w:tcW w:w="634" w:type="dxa"/>
            <w:noWrap/>
            <w:vAlign w:val="center"/>
          </w:tcPr>
          <w:p w14:paraId="143AA3E5">
            <w:pPr>
              <w:jc w:val="center"/>
            </w:pPr>
            <w:r>
              <w:rPr>
                <w:rFonts w:hint="eastAsia"/>
              </w:rPr>
              <w:t>套</w:t>
            </w:r>
          </w:p>
        </w:tc>
        <w:tc>
          <w:tcPr>
            <w:tcW w:w="593" w:type="dxa"/>
            <w:noWrap/>
            <w:vAlign w:val="center"/>
          </w:tcPr>
          <w:p w14:paraId="3C5AF5C3">
            <w:pPr>
              <w:jc w:val="center"/>
            </w:pPr>
            <w:r>
              <w:rPr>
                <w:rFonts w:hint="eastAsia"/>
              </w:rPr>
              <w:t>1</w:t>
            </w:r>
          </w:p>
        </w:tc>
        <w:tc>
          <w:tcPr>
            <w:tcW w:w="7517" w:type="dxa"/>
          </w:tcPr>
          <w:p w14:paraId="77F7BF21">
            <w:r>
              <w:rPr>
                <w:rFonts w:hint="eastAsia"/>
                <w:sz w:val="22"/>
                <w:szCs w:val="24"/>
                <w14:ligatures w14:val="standardContextual"/>
              </w:rPr>
              <w:t>1、</w:t>
            </w:r>
            <w:r>
              <w:rPr>
                <w:rFonts w:hint="eastAsia"/>
              </w:rPr>
              <w:t>适用范围</w:t>
            </w:r>
            <w:r>
              <w:rPr>
                <w:rFonts w:hint="eastAsia"/>
              </w:rPr>
              <w:br w:type="textWrapping"/>
            </w:r>
            <w:r>
              <w:rPr>
                <w:rFonts w:hint="eastAsia"/>
              </w:rPr>
              <w:t>用于UV-Vis、AAS、AFS、ICP、ICP-MS等仪器的快速样品消解处理，广泛应用于食品、药品、保健品、疾控、化工、环境、农产品、化妆品等样品的分析检测。</w:t>
            </w:r>
            <w:r>
              <w:rPr>
                <w:rFonts w:hint="eastAsia"/>
              </w:rPr>
              <w:br w:type="textWrapping"/>
            </w:r>
            <w:r>
              <w:rPr>
                <w:rFonts w:hint="eastAsia"/>
              </w:rPr>
              <w:t>2、技术指标</w:t>
            </w:r>
            <w:r>
              <w:rPr>
                <w:rFonts w:hint="eastAsia"/>
              </w:rPr>
              <w:br w:type="textWrapping"/>
            </w:r>
            <w:r>
              <w:rPr>
                <w:rFonts w:hint="eastAsia"/>
              </w:rPr>
              <w:t>2.1 主机</w:t>
            </w:r>
            <w:r>
              <w:rPr>
                <w:rFonts w:hint="eastAsia"/>
              </w:rPr>
              <w:br w:type="textWrapping"/>
            </w:r>
            <w:r>
              <w:rPr>
                <w:rFonts w:hint="eastAsia"/>
              </w:rPr>
              <w:t>2.1.1 双磁控管非脉冲变频控制系统双向二维排布，微波最大输出功率≥2000W，高频闭环反馈控制实时调节微波输出功率，保证腔体内微波磁场均匀，确保实验样品消解的一致性。</w:t>
            </w:r>
            <w:r>
              <w:rPr>
                <w:rFonts w:hint="eastAsia"/>
              </w:rPr>
              <w:br w:type="textWrapping"/>
            </w:r>
            <w:r>
              <w:rPr>
                <w:rFonts w:hint="eastAsia"/>
              </w:rPr>
              <w:t>2.1.2 炉腔为316L材质不锈钢谐振腔，体积≥62L，喷涂多层特氟龙涂层，耐各种酸碱溶剂腐蚀及高温，炉腔5年质保。</w:t>
            </w:r>
            <w:r>
              <w:rPr>
                <w:rFonts w:hint="eastAsia"/>
              </w:rPr>
              <w:br w:type="textWrapping"/>
            </w:r>
            <w:r>
              <w:rPr>
                <w:rFonts w:hint="eastAsia"/>
              </w:rPr>
              <w:t>2.1.3 安全门三维定向防爆机制设计，配备防爆可视窗，具有一体化抗流槽结构，提供高强度的防爆能力的同时防止腔内微波泄露。</w:t>
            </w:r>
            <w:r>
              <w:rPr>
                <w:rFonts w:hint="eastAsia"/>
              </w:rPr>
              <w:br w:type="textWrapping"/>
            </w:r>
            <w:r>
              <w:rPr>
                <w:rFonts w:hint="eastAsia"/>
              </w:rPr>
              <w:t xml:space="preserve"> ▲2.1.4 具备机械和电子双重门锁，非低于安全温度无法打开炉门，安全温度可设置，以保证使用安全；具备感应自动开门功能，非工作状态下无需按压门锁或屏幕即可感应开门，使用更加便捷。</w:t>
            </w:r>
            <w:r>
              <w:rPr>
                <w:rFonts w:hint="eastAsia"/>
              </w:rPr>
              <w:br w:type="textWrapping"/>
            </w:r>
            <w:r>
              <w:rPr>
                <w:rFonts w:hint="eastAsia"/>
              </w:rPr>
              <w:t xml:space="preserve"> ▲2.1.5 视频影像监控系统：炉腔内置摄像头，主机配备7寸彩色触摸屏及7寸彩色视频监控屏，可实时显示实验参数及温压变化曲线，又可同时清晰观察炉腔内部工作影像，实验状态一目了然。</w:t>
            </w:r>
            <w:r>
              <w:rPr>
                <w:rFonts w:hint="eastAsia"/>
              </w:rPr>
              <w:br w:type="textWrapping"/>
            </w:r>
            <w:r>
              <w:rPr>
                <w:rFonts w:hint="eastAsia"/>
              </w:rPr>
              <w:t>2.1.6 灯光识别系统：具有≥4种颜色变化功能，可远距离通过可视窗观察灯光变化，掌握机器运行状态。</w:t>
            </w:r>
            <w:r>
              <w:rPr>
                <w:rFonts w:hint="eastAsia"/>
              </w:rPr>
              <w:br w:type="textWrapping"/>
            </w:r>
            <w:r>
              <w:rPr>
                <w:rFonts w:hint="eastAsia"/>
              </w:rPr>
              <w:t>2.1.7 炉腔配备大功率排风系统，风量可根据实验进程自动调整，各种反应可在通风、安全且易于观察的环境下长时间连续进行，采用腔内强制风冷/腔外自然风冷等冷却方式。</w:t>
            </w:r>
            <w:r>
              <w:rPr>
                <w:rFonts w:hint="eastAsia"/>
              </w:rPr>
              <w:br w:type="textWrapping"/>
            </w:r>
            <w:r>
              <w:rPr>
                <w:rFonts w:hint="eastAsia"/>
              </w:rPr>
              <w:t>2.1.8 可选配高灵敏度溶剂监控系统，能够实时监测腔内溶剂泄漏情况，有效消除合成萃取实验过程的安全隐患。</w:t>
            </w:r>
            <w:r>
              <w:rPr>
                <w:rFonts w:hint="eastAsia"/>
              </w:rPr>
              <w:br w:type="textWrapping"/>
            </w:r>
            <w:r>
              <w:rPr>
                <w:rFonts w:hint="eastAsia"/>
              </w:rPr>
              <w:t>2.2 温度、压力控制系统</w:t>
            </w:r>
            <w:r>
              <w:rPr>
                <w:rFonts w:hint="eastAsia"/>
              </w:rPr>
              <w:br w:type="textWrapping"/>
            </w:r>
            <w:r>
              <w:rPr>
                <w:rFonts w:hint="eastAsia"/>
              </w:rPr>
              <w:t>2.2.1 全罐测温：采用非接触式中红外全罐测温技术，直接测量每个消解罐内样品溶液的温度，可对全部消解罐底部而非侧面进行温度扫描，测温范围不小于60-400℃，检测精度±0.1℃；</w:t>
            </w:r>
          </w:p>
          <w:p w14:paraId="7F2E8CDE">
            <w:r>
              <w:rPr>
                <w:rFonts w:hint="eastAsia"/>
              </w:rPr>
              <w:t>2.2.2 全罐控压：实时监控每个消解罐内压力变化，具备弹性泄压自密封技术，无须任何消耗品，可在压力过高时及时释放多余压力并继续保持消解罐密封状态。</w:t>
            </w:r>
            <w:r>
              <w:rPr>
                <w:rFonts w:hint="eastAsia"/>
                <w:color w:val="auto"/>
              </w:rPr>
              <w:br w:type="textWrapping"/>
            </w:r>
            <w:r>
              <w:rPr>
                <w:rFonts w:hint="eastAsia"/>
                <w:color w:val="auto"/>
              </w:rPr>
              <w:t>2.2.3 配备COT实时异常监控系统，能够在任意消解罐出现异常时，自动报警并切断微波，多方位监控以确保仪器安全运行。</w:t>
            </w:r>
            <w:r>
              <w:rPr>
                <w:rFonts w:hint="eastAsia"/>
                <w:color w:val="auto"/>
              </w:rPr>
              <w:br w:type="textWrapping"/>
            </w:r>
            <w:r>
              <w:rPr>
                <w:rFonts w:hint="eastAsia"/>
                <w:color w:val="auto"/>
              </w:rPr>
              <w:t>2.3 消解转子系统</w:t>
            </w:r>
            <w:r>
              <w:rPr>
                <w:rFonts w:hint="eastAsia"/>
                <w:color w:val="auto"/>
              </w:rPr>
              <w:br w:type="textWrapping"/>
            </w:r>
            <w:r>
              <w:rPr>
                <w:rFonts w:hint="eastAsia"/>
                <w:color w:val="auto"/>
              </w:rPr>
              <w:t xml:space="preserve">▲2.3.1 </w:t>
            </w:r>
            <w:r>
              <w:rPr>
                <w:rFonts w:ascii="Segoe UI" w:hAnsi="Segoe UI" w:cs="Segoe UI"/>
                <w:color w:val="auto"/>
                <w:shd w:val="clear" w:color="auto" w:fill="FFFFFF"/>
              </w:rPr>
              <w:t>外罐材质要求：复合纤维材料，耐压≥20MPa</w:t>
            </w:r>
            <w:r>
              <w:rPr>
                <w:rFonts w:hint="eastAsia"/>
                <w:color w:val="auto"/>
              </w:rPr>
              <w:t>，而非PEEK或者陶瓷材料，耐压≥20Mpa。外罐应整体喷涂特氟龙涂层，耐腐蚀</w:t>
            </w:r>
            <w:r>
              <w:rPr>
                <w:rFonts w:hint="eastAsia"/>
              </w:rPr>
              <w:t>、支持水洗易于清洁。</w:t>
            </w:r>
            <w:r>
              <w:rPr>
                <w:rFonts w:hint="eastAsia"/>
              </w:rPr>
              <w:br w:type="textWrapping"/>
            </w:r>
            <w:r>
              <w:rPr>
                <w:rFonts w:hint="eastAsia"/>
              </w:rPr>
              <w:t>2.3.2 内罐：容积≥55mL，带有识别编码无需手写；内罐、内塞、盖子等应采用TFM或PFA材质，不得含有任何金属材质的零部件、可泡酸清洗，以保证实验的准确性和重复性。</w:t>
            </w:r>
            <w:r>
              <w:rPr>
                <w:rFonts w:hint="eastAsia"/>
              </w:rPr>
              <w:br w:type="textWrapping"/>
            </w:r>
            <w:r>
              <w:rPr>
                <w:rFonts w:hint="eastAsia"/>
              </w:rPr>
              <w:t>▲2.3.3 批次处理量≥24位，可升级为40位。转子应为上下双层结构，用于固定外罐，以保证运行过程安全。</w:t>
            </w:r>
            <w:r>
              <w:rPr>
                <w:rFonts w:hint="eastAsia"/>
              </w:rPr>
              <w:br w:type="textWrapping"/>
            </w:r>
            <w:r>
              <w:rPr>
                <w:rFonts w:hint="eastAsia"/>
              </w:rPr>
              <w:t>2.4 软件系统</w:t>
            </w:r>
            <w:r>
              <w:rPr>
                <w:rFonts w:hint="eastAsia"/>
              </w:rPr>
              <w:br w:type="textWrapping"/>
            </w:r>
            <w:r>
              <w:rPr>
                <w:rFonts w:hint="eastAsia"/>
              </w:rPr>
              <w:t>2.4.1 内置专业应用方法库和视频培训教程，仪器可自动识别转子类型，自动判断消解罐位置并计数消解罐数量，使用更加方便快捷。</w:t>
            </w:r>
            <w:r>
              <w:rPr>
                <w:rFonts w:hint="eastAsia"/>
              </w:rPr>
              <w:br w:type="textWrapping"/>
            </w:r>
            <w:r>
              <w:rPr>
                <w:rFonts w:hint="eastAsia"/>
              </w:rPr>
              <w:t>2.4.2 配备≥7寸彩色触摸屏，可实时显示温度、步骤、时间、功率等实验状态，可显示全罐温度柱状图，并查看任意消解罐升温曲线。</w:t>
            </w:r>
            <w:r>
              <w:rPr>
                <w:rFonts w:hint="eastAsia"/>
              </w:rPr>
              <w:br w:type="textWrapping"/>
            </w:r>
            <w:r>
              <w:rPr>
                <w:rFonts w:hint="eastAsia"/>
              </w:rPr>
              <w:t>2.4.3 可置顶最近用过的实验方法≥5个，可选择标准控制、功率控制、爬坡控制等不同升温模式，仪器内置温度、压力及微波功率校准程序，用户可自行对仪器做定期维护校准，确保仪器安全状况。</w:t>
            </w:r>
            <w:r>
              <w:rPr>
                <w:rFonts w:hint="eastAsia"/>
              </w:rPr>
              <w:br w:type="textWrapping"/>
            </w:r>
            <w:r>
              <w:rPr>
                <w:rFonts w:hint="eastAsia"/>
              </w:rPr>
              <w:t>2.4.4 操作系统应符合21CFR Part11要求，可实现用户权限分级管理、密码登录、日志追溯等功能。</w:t>
            </w:r>
            <w:r>
              <w:rPr>
                <w:rFonts w:hint="eastAsia"/>
              </w:rPr>
              <w:br w:type="textWrapping"/>
            </w:r>
            <w:r>
              <w:rPr>
                <w:rFonts w:hint="eastAsia"/>
              </w:rPr>
              <w:t>2.4.5 可通过电脑工作站控制仪器，实时查看实验运行情况。</w:t>
            </w:r>
            <w:r>
              <w:rPr>
                <w:rFonts w:hint="eastAsia"/>
              </w:rPr>
              <w:br w:type="textWrapping"/>
            </w:r>
            <w:r>
              <w:rPr>
                <w:rFonts w:hint="eastAsia"/>
              </w:rPr>
              <w:t>▲2.5 配备专用工具车，用于升降、转移消解转子，转子的转运、装载和取出均无需手工操作。</w:t>
            </w:r>
          </w:p>
          <w:p w14:paraId="6D62B47E">
            <w:r>
              <w:rPr>
                <w:rFonts w:hint="eastAsia"/>
              </w:rPr>
              <w:t>3、配置要求</w:t>
            </w:r>
            <w:r>
              <w:rPr>
                <w:rFonts w:hint="eastAsia"/>
              </w:rPr>
              <w:br w:type="textWrapping"/>
            </w:r>
            <w:r>
              <w:rPr>
                <w:rFonts w:hint="eastAsia"/>
              </w:rPr>
              <w:t>3.1 微波消解仪主机（含软件操作系统和排风系统）1台；</w:t>
            </w:r>
            <w:r>
              <w:rPr>
                <w:rFonts w:hint="eastAsia"/>
              </w:rPr>
              <w:br w:type="textWrapping"/>
            </w:r>
            <w:r>
              <w:rPr>
                <w:rFonts w:hint="eastAsia"/>
              </w:rPr>
              <w:t>3.2 非接触式中红外温度传感器2套；</w:t>
            </w:r>
            <w:r>
              <w:rPr>
                <w:rFonts w:hint="eastAsia"/>
              </w:rPr>
              <w:br w:type="textWrapping"/>
            </w:r>
            <w:r>
              <w:rPr>
                <w:rFonts w:hint="eastAsia"/>
              </w:rPr>
              <w:t>3.3 COT实时异常监控系统1套；</w:t>
            </w:r>
            <w:r>
              <w:rPr>
                <w:rFonts w:hint="eastAsia"/>
              </w:rPr>
              <w:br w:type="textWrapping"/>
            </w:r>
            <w:r>
              <w:rPr>
                <w:rFonts w:hint="eastAsia"/>
              </w:rPr>
              <w:t>3.4 全罐压力监控系统1套。</w:t>
            </w:r>
            <w:r>
              <w:rPr>
                <w:rFonts w:hint="eastAsia"/>
              </w:rPr>
              <w:br w:type="textWrapping"/>
            </w:r>
            <w:r>
              <w:rPr>
                <w:rFonts w:hint="eastAsia"/>
              </w:rPr>
              <w:t>3.5 视频影像监控系统1套；</w:t>
            </w:r>
            <w:r>
              <w:rPr>
                <w:rFonts w:hint="eastAsia"/>
              </w:rPr>
              <w:br w:type="textWrapping"/>
            </w:r>
            <w:r>
              <w:rPr>
                <w:rFonts w:hint="eastAsia"/>
              </w:rPr>
              <w:t>3.6 电脑工作站软件及加密狗1套；</w:t>
            </w:r>
            <w:r>
              <w:rPr>
                <w:rFonts w:hint="eastAsia"/>
              </w:rPr>
              <w:br w:type="textWrapping"/>
            </w:r>
            <w:r>
              <w:rPr>
                <w:rFonts w:hint="eastAsia"/>
              </w:rPr>
              <w:t>3.7 消解转子系统1套：包含外罐、内罐、罐盖及内塞各20个；</w:t>
            </w:r>
            <w:r>
              <w:rPr>
                <w:rFonts w:hint="eastAsia"/>
              </w:rPr>
              <w:br w:type="textWrapping"/>
            </w:r>
            <w:r>
              <w:rPr>
                <w:rFonts w:hint="eastAsia"/>
              </w:rPr>
              <w:t>3.8 辅助工具：消解转子平移升降工具车1台，专用工具包1套，内罐杯架2套。</w:t>
            </w:r>
            <w:r>
              <w:rPr>
                <w:rFonts w:hint="eastAsia"/>
              </w:rPr>
              <w:br w:type="textWrapping"/>
            </w:r>
            <w:r>
              <w:rPr>
                <w:rFonts w:hint="eastAsia"/>
              </w:rPr>
              <w:t xml:space="preserve">3.9 深孔赶酸仪1台 </w:t>
            </w:r>
            <w:r>
              <w:rPr>
                <w:rFonts w:hint="eastAsia"/>
              </w:rPr>
              <w:br w:type="textWrapping"/>
            </w:r>
            <w:r>
              <w:rPr>
                <w:rFonts w:hint="eastAsia"/>
              </w:rPr>
              <w:t>4、售后服务及培训</w:t>
            </w:r>
            <w:r>
              <w:rPr>
                <w:rFonts w:hint="eastAsia"/>
              </w:rPr>
              <w:br w:type="textWrapping"/>
            </w:r>
            <w:r>
              <w:rPr>
                <w:rFonts w:hint="eastAsia"/>
              </w:rPr>
              <w:t>4.1 仪器制造商在用户所在地应有专门的技术应用支持工程师，保修期后保证长期供应零备件和正常的售后服务，需在用户指定地点提供上门安装调试并对用户指定的操作人员进行培训。安装验收期间，免费对用户进行仪器操作和日常维护的现场培训，内容包括但不限于仪器原理、使用方法和维护方法等。</w:t>
            </w:r>
            <w:r>
              <w:rPr>
                <w:rFonts w:hint="eastAsia"/>
              </w:rPr>
              <w:br w:type="textWrapping"/>
            </w:r>
            <w:r>
              <w:rPr>
                <w:rFonts w:hint="eastAsia"/>
              </w:rPr>
              <w:t>4.2 质保期：微波消解仪主机质量保证期3年，赶酸仪质保1年。终身维修；</w:t>
            </w:r>
            <w:r>
              <w:rPr>
                <w:rFonts w:hint="eastAsia"/>
              </w:rPr>
              <w:br w:type="textWrapping"/>
            </w:r>
            <w:r>
              <w:rPr>
                <w:rFonts w:hint="eastAsia"/>
              </w:rPr>
              <w:t>4.3 故障服务：仪器设备出现故障时，供货方得到通知1-2日内派维修人员到达用户现场进行维修服务。</w:t>
            </w:r>
          </w:p>
        </w:tc>
      </w:tr>
      <w:tr w14:paraId="4056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54" w:type="dxa"/>
            <w:noWrap/>
            <w:vAlign w:val="center"/>
          </w:tcPr>
          <w:p w14:paraId="0E382964">
            <w:pPr>
              <w:jc w:val="center"/>
            </w:pPr>
            <w:r>
              <w:rPr>
                <w:rFonts w:hint="eastAsia"/>
              </w:rPr>
              <w:t>6</w:t>
            </w:r>
          </w:p>
        </w:tc>
        <w:tc>
          <w:tcPr>
            <w:tcW w:w="1146" w:type="dxa"/>
            <w:vAlign w:val="center"/>
          </w:tcPr>
          <w:p w14:paraId="26508D0A">
            <w:pPr>
              <w:jc w:val="center"/>
            </w:pPr>
            <w:r>
              <w:rPr>
                <w:rFonts w:hint="eastAsia"/>
              </w:rPr>
              <w:t>低本底α β放射性测量仪</w:t>
            </w:r>
          </w:p>
        </w:tc>
        <w:tc>
          <w:tcPr>
            <w:tcW w:w="634" w:type="dxa"/>
            <w:noWrap/>
            <w:vAlign w:val="center"/>
          </w:tcPr>
          <w:p w14:paraId="4C62674E">
            <w:pPr>
              <w:jc w:val="center"/>
            </w:pPr>
            <w:r>
              <w:rPr>
                <w:rFonts w:hint="eastAsia"/>
              </w:rPr>
              <w:t>套</w:t>
            </w:r>
          </w:p>
        </w:tc>
        <w:tc>
          <w:tcPr>
            <w:tcW w:w="593" w:type="dxa"/>
            <w:noWrap/>
            <w:vAlign w:val="center"/>
          </w:tcPr>
          <w:p w14:paraId="106AE301">
            <w:pPr>
              <w:jc w:val="center"/>
            </w:pPr>
            <w:r>
              <w:rPr>
                <w:rFonts w:hint="eastAsia"/>
              </w:rPr>
              <w:t>1</w:t>
            </w:r>
          </w:p>
        </w:tc>
        <w:tc>
          <w:tcPr>
            <w:tcW w:w="7517" w:type="dxa"/>
          </w:tcPr>
          <w:p w14:paraId="6381B3BF">
            <w:r>
              <w:rPr>
                <w:rFonts w:hint="eastAsia"/>
                <w:sz w:val="22"/>
                <w:szCs w:val="24"/>
                <w14:ligatures w14:val="standardContextual"/>
              </w:rPr>
              <w:t>1、</w:t>
            </w:r>
            <w:r>
              <w:rPr>
                <w:rFonts w:hint="eastAsia"/>
              </w:rPr>
              <w:t>主要用途：</w:t>
            </w:r>
            <w:r>
              <w:rPr>
                <w:rFonts w:hint="eastAsia"/>
              </w:rPr>
              <w:br w:type="textWrapping"/>
            </w:r>
            <w:r>
              <w:rPr>
                <w:rFonts w:hint="eastAsia"/>
              </w:rPr>
              <w:t>1.1依据GB 5749-2022《生活饮用水卫生标准》，对生活饮用水、环境样品、公共卫生、食品及生物样品中的总α、总β活度浓度的测量；</w:t>
            </w:r>
            <w:r>
              <w:rPr>
                <w:rFonts w:hint="eastAsia"/>
              </w:rPr>
              <w:br w:type="textWrapping"/>
            </w:r>
            <w:r>
              <w:rPr>
                <w:rFonts w:hint="eastAsia"/>
              </w:rPr>
              <w:t>▲1.2依据GB14883.3-2016 《食品安全国家标准食品中放射性物质锶-89和锶-90的测定》，对生活饮用水、环境样品、公共卫生、食品及生物样品中的锶-89和锶-90的测量。</w:t>
            </w:r>
            <w:r>
              <w:rPr>
                <w:rFonts w:hint="eastAsia"/>
              </w:rPr>
              <w:br w:type="textWrapping"/>
            </w:r>
            <w:r>
              <w:rPr>
                <w:rFonts w:hint="eastAsia"/>
              </w:rPr>
              <w:t>1.3为了方便用户打印报告必须满足GB/T5750.13-2023不确定度、B类不确定度和综合扩展不确定度、C±2U的结果表达（需自带软件自动计算）、相对误差、探测限、相对误差、水样信息在一张报告体现。</w:t>
            </w:r>
            <w:r>
              <w:rPr>
                <w:rFonts w:hint="eastAsia"/>
              </w:rPr>
              <w:br w:type="textWrapping"/>
            </w:r>
            <w:r>
              <w:rPr>
                <w:rFonts w:hint="eastAsia"/>
              </w:rPr>
              <w:t>中文界面，自动化程度高，支持半衰期活度校正，支持工作源测量，标准源测量，本底测量，水样品测量，一般样品测量和食品样品测量、气溶胶等测量方式；</w:t>
            </w:r>
            <w:r>
              <w:rPr>
                <w:rFonts w:hint="eastAsia"/>
              </w:rPr>
              <w:br w:type="textWrapping"/>
            </w:r>
            <w:r>
              <w:rPr>
                <w:rFonts w:hint="eastAsia"/>
              </w:rPr>
              <w:t>3、技术指标：</w:t>
            </w:r>
            <w:r>
              <w:rPr>
                <w:rFonts w:hint="eastAsia"/>
              </w:rPr>
              <w:br w:type="textWrapping"/>
            </w:r>
            <w:r>
              <w:rPr>
                <w:rFonts w:hint="eastAsia"/>
              </w:rPr>
              <w:t>▲3.1 可以同时测量二个样品，并可分别给出二个被测样品中的总α、总β、89Sr、90Sr的活度浓度，一个送样抽屉可同时独立测量二组样品，每个通道水样品由控制器和软件独立控制分析检测，提高测量的灵活性和仪器的使用效率。</w:t>
            </w:r>
            <w:r>
              <w:rPr>
                <w:rFonts w:hint="eastAsia"/>
              </w:rPr>
              <w:br w:type="textWrapping"/>
            </w:r>
            <w:r>
              <w:rPr>
                <w:rFonts w:hint="eastAsia"/>
              </w:rPr>
              <w:t>3.2 本底计数率：α≤0.003 cm-2•min-1,β≤0.1cm-2•min-1。</w:t>
            </w:r>
            <w:r>
              <w:rPr>
                <w:rFonts w:hint="eastAsia"/>
              </w:rPr>
              <w:br w:type="textWrapping"/>
            </w:r>
            <w:r>
              <w:rPr>
                <w:rFonts w:hint="eastAsia"/>
              </w:rPr>
              <w:t>3.3 探测效率比：α≥85%，β≥58%。</w:t>
            </w:r>
            <w:r>
              <w:rPr>
                <w:rFonts w:hint="eastAsia"/>
              </w:rPr>
              <w:br w:type="textWrapping"/>
            </w:r>
            <w:r>
              <w:rPr>
                <w:rFonts w:hint="eastAsia"/>
              </w:rPr>
              <w:t>3.4 串道比：α射线对β道≤2.5%，β射线对α道≤0.3%。</w:t>
            </w:r>
            <w:r>
              <w:rPr>
                <w:rFonts w:hint="eastAsia"/>
              </w:rPr>
              <w:br w:type="textWrapping"/>
            </w:r>
            <w:r>
              <w:rPr>
                <w:rFonts w:hint="eastAsia"/>
              </w:rPr>
              <w:t>▲3.5 烁体釆用HND-DS401型闪烁体反符合探测器和光电倍增管组成，反符合效率＞99%，宜于降低仪器本底。（提供软件实拍照片以佐证）</w:t>
            </w:r>
            <w:r>
              <w:rPr>
                <w:rFonts w:hint="eastAsia"/>
              </w:rPr>
              <w:br w:type="textWrapping"/>
            </w:r>
            <w:r>
              <w:rPr>
                <w:rFonts w:hint="eastAsia"/>
              </w:rPr>
              <w:t>3.6控制软件采用纯中文界面，通过软件高压控制，阈值控制，采样控制，通信控制，通信中断监测，高压信息等监测内容。</w:t>
            </w:r>
            <w:r>
              <w:rPr>
                <w:rFonts w:hint="eastAsia"/>
              </w:rPr>
              <w:br w:type="textWrapping"/>
            </w:r>
            <w:r>
              <w:rPr>
                <w:rFonts w:hint="eastAsia"/>
              </w:rPr>
              <w:t>▲3.7 对样品测量过程中，自动确定测量时间，减少人为判定测量时间的不确定性（提供相关证明文件）</w:t>
            </w:r>
            <w:r>
              <w:rPr>
                <w:rFonts w:hint="eastAsia"/>
              </w:rPr>
              <w:br w:type="textWrapping"/>
            </w:r>
            <w:r>
              <w:rPr>
                <w:rFonts w:hint="eastAsia"/>
              </w:rPr>
              <w:t>3.8预留自动进样，自动出样装置，可以实现无人值守自动测量运行一次样品待测数:≥40个，全过程无人值守，窗口可视（提供成熟技术照片佐证）。</w:t>
            </w:r>
          </w:p>
          <w:p w14:paraId="45BCAE62">
            <w:r>
              <w:rPr>
                <w:rFonts w:hint="eastAsia"/>
              </w:rPr>
              <w:t>仪器配置</w:t>
            </w:r>
            <w:r>
              <w:rPr>
                <w:rFonts w:hint="eastAsia"/>
              </w:rPr>
              <w:br w:type="textWrapping"/>
            </w:r>
            <w:r>
              <w:rPr>
                <w:rFonts w:hint="eastAsia"/>
              </w:rPr>
              <w:t xml:space="preserve">1 标准网络机柜1个 </w:t>
            </w:r>
            <w:r>
              <w:rPr>
                <w:rFonts w:hint="eastAsia"/>
              </w:rPr>
              <w:br w:type="textWrapping"/>
            </w:r>
            <w:r>
              <w:rPr>
                <w:rFonts w:hint="eastAsia"/>
              </w:rPr>
              <w:t>2 高性能核脉冲分析控制器1套</w:t>
            </w:r>
            <w:r>
              <w:rPr>
                <w:rFonts w:hint="eastAsia"/>
              </w:rPr>
              <w:br w:type="textWrapping"/>
            </w:r>
            <w:r>
              <w:rPr>
                <w:rFonts w:hint="eastAsia"/>
              </w:rPr>
              <w:t>3 主探测器2只</w:t>
            </w:r>
            <w:r>
              <w:rPr>
                <w:rFonts w:hint="eastAsia"/>
              </w:rPr>
              <w:br w:type="textWrapping"/>
            </w:r>
            <w:r>
              <w:rPr>
                <w:rFonts w:hint="eastAsia"/>
              </w:rPr>
              <w:t>4 反符合探测器1套</w:t>
            </w:r>
            <w:r>
              <w:rPr>
                <w:rFonts w:hint="eastAsia"/>
              </w:rPr>
              <w:br w:type="textWrapping"/>
            </w:r>
            <w:r>
              <w:rPr>
                <w:rFonts w:hint="eastAsia"/>
              </w:rPr>
              <w:t>5 上铅室1套，下铅室1套，带四个滑轮的底座1套</w:t>
            </w:r>
            <w:r>
              <w:rPr>
                <w:rFonts w:hint="eastAsia"/>
              </w:rPr>
              <w:br w:type="textWrapping"/>
            </w:r>
            <w:r>
              <w:rPr>
                <w:rFonts w:hint="eastAsia"/>
              </w:rPr>
              <w:t>6 标准粉末源KCl 1瓶（含校准证书）</w:t>
            </w:r>
            <w:r>
              <w:rPr>
                <w:rFonts w:hint="eastAsia"/>
              </w:rPr>
              <w:br w:type="textWrapping"/>
            </w:r>
            <w:r>
              <w:rPr>
                <w:rFonts w:hint="eastAsia"/>
              </w:rPr>
              <w:t>7 标准粉末源241Am 1瓶（含校准证书）</w:t>
            </w:r>
            <w:r>
              <w:rPr>
                <w:rFonts w:hint="eastAsia"/>
              </w:rPr>
              <w:br w:type="textWrapping"/>
            </w:r>
            <w:r>
              <w:rPr>
                <w:rFonts w:hint="eastAsia"/>
              </w:rPr>
              <w:t>8 铅室搬运把手四个</w:t>
            </w:r>
            <w:r>
              <w:rPr>
                <w:rFonts w:hint="eastAsia"/>
              </w:rPr>
              <w:br w:type="textWrapping"/>
            </w:r>
            <w:r>
              <w:rPr>
                <w:rFonts w:hint="eastAsia"/>
              </w:rPr>
              <w:t>9 机脚扳手1个</w:t>
            </w:r>
            <w:r>
              <w:rPr>
                <w:rFonts w:hint="eastAsia"/>
              </w:rPr>
              <w:br w:type="textWrapping"/>
            </w:r>
            <w:r>
              <w:rPr>
                <w:rFonts w:hint="eastAsia"/>
              </w:rPr>
              <w:t>10 12吋螺丝刀1把</w:t>
            </w:r>
            <w:r>
              <w:rPr>
                <w:rFonts w:hint="eastAsia"/>
              </w:rPr>
              <w:br w:type="textWrapping"/>
            </w:r>
            <w:r>
              <w:rPr>
                <w:rFonts w:hint="eastAsia"/>
              </w:rPr>
              <w:t>11 配件100个</w:t>
            </w:r>
            <w:r>
              <w:rPr>
                <w:rFonts w:hint="eastAsia"/>
              </w:rPr>
              <w:br w:type="textWrapping"/>
            </w:r>
            <w:r>
              <w:rPr>
                <w:rFonts w:hint="eastAsia"/>
              </w:rPr>
              <w:t>12 探测器连接线1套</w:t>
            </w:r>
            <w:r>
              <w:rPr>
                <w:rFonts w:hint="eastAsia"/>
              </w:rPr>
              <w:br w:type="textWrapping"/>
            </w:r>
            <w:r>
              <w:rPr>
                <w:rFonts w:hint="eastAsia"/>
              </w:rPr>
              <w:t>13 USB数据电缆1根</w:t>
            </w:r>
            <w:r>
              <w:rPr>
                <w:rFonts w:hint="eastAsia"/>
              </w:rPr>
              <w:br w:type="textWrapping"/>
            </w:r>
            <w:r>
              <w:rPr>
                <w:rFonts w:hint="eastAsia"/>
              </w:rPr>
              <w:t>14无源效率刻度1套：内置无源效率刻度功能，输入表征刻度文件以及修正文件，可选不同材料，得到样品效率曲线分析软件1套</w:t>
            </w:r>
            <w:r>
              <w:rPr>
                <w:rFonts w:hint="eastAsia"/>
              </w:rPr>
              <w:br w:type="textWrapping"/>
            </w:r>
            <w:r>
              <w:rPr>
                <w:rFonts w:hint="eastAsia"/>
              </w:rPr>
              <w:t>15 产品使用说明书1份</w:t>
            </w:r>
            <w:r>
              <w:rPr>
                <w:rFonts w:hint="eastAsia"/>
              </w:rPr>
              <w:br w:type="textWrapping"/>
            </w:r>
            <w:r>
              <w:rPr>
                <w:rFonts w:hint="eastAsia"/>
              </w:rPr>
              <w:t>16 扣除40K、方法验证、综合扩展不确定度的计算功能软件 1套</w:t>
            </w:r>
            <w:r>
              <w:rPr>
                <w:rFonts w:hint="eastAsia"/>
              </w:rPr>
              <w:br w:type="textWrapping"/>
            </w:r>
            <w:r>
              <w:rPr>
                <w:rFonts w:hint="eastAsia"/>
              </w:rPr>
              <w:t>17 产品合格证1份</w:t>
            </w:r>
            <w:r>
              <w:rPr>
                <w:rFonts w:hint="eastAsia"/>
              </w:rPr>
              <w:br w:type="textWrapping"/>
            </w:r>
            <w:r>
              <w:rPr>
                <w:rFonts w:hint="eastAsia"/>
              </w:rPr>
              <w:t>18 装箱清单1份</w:t>
            </w:r>
            <w:r>
              <w:rPr>
                <w:rFonts w:hint="eastAsia"/>
              </w:rPr>
              <w:br w:type="textWrapping"/>
            </w:r>
            <w:r>
              <w:rPr>
                <w:rFonts w:hint="eastAsia"/>
              </w:rPr>
              <w:t>19.商务台式电脑1台</w:t>
            </w:r>
            <w:r>
              <w:rPr>
                <w:rFonts w:hint="eastAsia"/>
              </w:rPr>
              <w:br w:type="textWrapping"/>
            </w:r>
            <w:r>
              <w:rPr>
                <w:rFonts w:hint="eastAsia"/>
              </w:rPr>
              <w:t>20.激光打印机 1台</w:t>
            </w:r>
          </w:p>
        </w:tc>
      </w:tr>
      <w:tr w14:paraId="6B26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754" w:type="dxa"/>
            <w:noWrap/>
            <w:vAlign w:val="center"/>
          </w:tcPr>
          <w:p w14:paraId="03129A4D">
            <w:pPr>
              <w:jc w:val="center"/>
            </w:pPr>
            <w:r>
              <w:rPr>
                <w:rFonts w:hint="eastAsia"/>
              </w:rPr>
              <w:t>7</w:t>
            </w:r>
          </w:p>
        </w:tc>
        <w:tc>
          <w:tcPr>
            <w:tcW w:w="1146" w:type="dxa"/>
            <w:noWrap/>
            <w:vAlign w:val="center"/>
          </w:tcPr>
          <w:p w14:paraId="1CE3F77E">
            <w:pPr>
              <w:jc w:val="center"/>
            </w:pPr>
            <w:r>
              <w:rPr>
                <w:rFonts w:hint="eastAsia"/>
              </w:rPr>
              <w:t>全自动凯氏定氮仪</w:t>
            </w:r>
          </w:p>
        </w:tc>
        <w:tc>
          <w:tcPr>
            <w:tcW w:w="634" w:type="dxa"/>
            <w:noWrap/>
            <w:vAlign w:val="center"/>
          </w:tcPr>
          <w:p w14:paraId="3572E299">
            <w:pPr>
              <w:jc w:val="center"/>
            </w:pPr>
            <w:r>
              <w:rPr>
                <w:rFonts w:hint="eastAsia"/>
              </w:rPr>
              <w:t>套</w:t>
            </w:r>
          </w:p>
        </w:tc>
        <w:tc>
          <w:tcPr>
            <w:tcW w:w="593" w:type="dxa"/>
            <w:noWrap/>
            <w:vAlign w:val="center"/>
          </w:tcPr>
          <w:p w14:paraId="261CD4C7">
            <w:pPr>
              <w:jc w:val="center"/>
            </w:pPr>
            <w:r>
              <w:rPr>
                <w:rFonts w:hint="eastAsia"/>
              </w:rPr>
              <w:t>1</w:t>
            </w:r>
          </w:p>
        </w:tc>
        <w:tc>
          <w:tcPr>
            <w:tcW w:w="7517" w:type="dxa"/>
          </w:tcPr>
          <w:p w14:paraId="24C6E39A">
            <w:pPr>
              <w:spacing w:after="160"/>
              <w:ind w:left="110"/>
            </w:pPr>
            <w:r>
              <w:rPr>
                <w:rFonts w:hint="eastAsia"/>
                <w:sz w:val="22"/>
                <w:szCs w:val="24"/>
                <w14:ligatures w14:val="standardContextual"/>
              </w:rPr>
              <w:t>1、</w:t>
            </w:r>
            <w:r>
              <w:rPr>
                <w:rFonts w:hint="eastAsia"/>
              </w:rPr>
              <w:t>设备用途</w:t>
            </w:r>
            <w:r>
              <w:rPr>
                <w:rFonts w:hint="eastAsia"/>
              </w:rPr>
              <w:br w:type="textWrapping"/>
            </w:r>
            <w:r>
              <w:rPr>
                <w:rFonts w:hint="eastAsia"/>
              </w:rPr>
              <w:t xml:space="preserve">   用于检测食品、药品、保健品、土壤、植物、种子、农业、肥料、秸秆、谷物、畜牧、烟草等样品中全氮、蛋白质含量和土壤中阳离子交换量以及其它挥发性组分的分析</w:t>
            </w:r>
            <w:r>
              <w:rPr>
                <w:rFonts w:hint="eastAsia"/>
              </w:rPr>
              <w:br w:type="textWrapping"/>
            </w:r>
            <w:r>
              <w:rPr>
                <w:rFonts w:hint="eastAsia"/>
              </w:rPr>
              <w:t>2、基本配置</w:t>
            </w:r>
            <w:r>
              <w:rPr>
                <w:rFonts w:hint="eastAsia"/>
              </w:rPr>
              <w:br w:type="textWrapping"/>
            </w:r>
            <w:r>
              <w:rPr>
                <w:rFonts w:hint="eastAsia"/>
              </w:rPr>
              <w:t>全自动凯氏定氮仪+自动进样器+工作站+催化剂片一箱（1000片）+800ml消化管10支+托架1个</w:t>
            </w:r>
            <w:r>
              <w:rPr>
                <w:rFonts w:hint="eastAsia"/>
              </w:rPr>
              <w:br w:type="textWrapping"/>
            </w:r>
            <w:r>
              <w:rPr>
                <w:rFonts w:hint="eastAsia"/>
              </w:rPr>
              <w:t>3、全自动凯氏定氮仪主机部分</w:t>
            </w:r>
            <w:r>
              <w:rPr>
                <w:rFonts w:hint="eastAsia"/>
              </w:rPr>
              <w:br w:type="textWrapping"/>
            </w:r>
            <w:r>
              <w:rPr>
                <w:rFonts w:hint="eastAsia"/>
              </w:rPr>
              <w:t>1 工作条件</w:t>
            </w:r>
            <w:r>
              <w:rPr>
                <w:rFonts w:hint="eastAsia"/>
              </w:rPr>
              <w:br w:type="textWrapping"/>
            </w:r>
            <w:r>
              <w:rPr>
                <w:rFonts w:hint="eastAsia"/>
              </w:rPr>
              <w:t xml:space="preserve"> 1.1 电源：220 VAC ±10%   50Hz</w:t>
            </w:r>
            <w:r>
              <w:rPr>
                <w:rFonts w:hint="eastAsia"/>
              </w:rPr>
              <w:br w:type="textWrapping"/>
            </w:r>
            <w:r>
              <w:rPr>
                <w:rFonts w:hint="eastAsia"/>
              </w:rPr>
              <w:t xml:space="preserve"> 1.2 环境温度：10℃～35℃</w:t>
            </w:r>
            <w:r>
              <w:rPr>
                <w:rFonts w:hint="eastAsia"/>
              </w:rPr>
              <w:br w:type="textWrapping"/>
            </w:r>
            <w:r>
              <w:rPr>
                <w:rFonts w:hint="eastAsia"/>
              </w:rPr>
              <w:t>2 技术参数</w:t>
            </w:r>
            <w:r>
              <w:rPr>
                <w:rFonts w:hint="eastAsia"/>
              </w:rPr>
              <w:br w:type="textWrapping"/>
            </w:r>
            <w:r>
              <w:rPr>
                <w:rFonts w:hint="eastAsia"/>
              </w:rPr>
              <w:t xml:space="preserve"> 2.1 仪器配置：全自动凯氏定氮仪   含蒸馏系统、滴定系统、冷凝系统、软件系统</w:t>
            </w:r>
            <w:r>
              <w:rPr>
                <w:rFonts w:hint="eastAsia"/>
              </w:rPr>
              <w:br w:type="textWrapping"/>
            </w:r>
            <w:r>
              <w:rPr>
                <w:rFonts w:hint="eastAsia"/>
              </w:rPr>
              <w:t>▲2.2 主机基础要求：蒸馏滴定一体机，不接受另配滴定器模式；</w:t>
            </w:r>
            <w:r>
              <w:rPr>
                <w:rFonts w:hint="eastAsia"/>
              </w:rPr>
              <w:br w:type="textWrapping"/>
            </w:r>
            <w:r>
              <w:rPr>
                <w:rFonts w:hint="eastAsia"/>
              </w:rPr>
              <w:t xml:space="preserve"> 2.2.1 采用国家标准的凯氏定氮方法：浓硫酸环境消解样品、碱性环境蒸汽蒸馏、硼酸吸收、指示剂滴定终点颜色判定法；</w:t>
            </w:r>
            <w:r>
              <w:rPr>
                <w:rFonts w:hint="eastAsia"/>
              </w:rPr>
              <w:br w:type="textWrapping"/>
            </w:r>
            <w:r>
              <w:rPr>
                <w:rFonts w:hint="eastAsia"/>
              </w:rPr>
              <w:t xml:space="preserve"> 2.2.2 检测范围：0.1-240mg 氮；</w:t>
            </w:r>
            <w:r>
              <w:rPr>
                <w:rFonts w:hint="eastAsia"/>
              </w:rPr>
              <w:br w:type="textWrapping"/>
            </w:r>
            <w:r>
              <w:rPr>
                <w:rFonts w:hint="eastAsia"/>
              </w:rPr>
              <w:t xml:space="preserve"> 2.2.3 重复性误差(RSD)：≤0.5%；</w:t>
            </w:r>
            <w:r>
              <w:rPr>
                <w:rFonts w:hint="eastAsia"/>
              </w:rPr>
              <w:br w:type="textWrapping"/>
            </w:r>
            <w:r>
              <w:rPr>
                <w:rFonts w:hint="eastAsia"/>
              </w:rPr>
              <w:t xml:space="preserve"> 2.2.4 回收率≥99.5%；</w:t>
            </w:r>
            <w:r>
              <w:rPr>
                <w:rFonts w:hint="eastAsia"/>
              </w:rPr>
              <w:br w:type="textWrapping"/>
            </w:r>
            <w:r>
              <w:rPr>
                <w:rFonts w:hint="eastAsia"/>
              </w:rPr>
              <w:t xml:space="preserve"> 2.2.5 滴定精度：0.2</w:t>
            </w:r>
            <w:r>
              <w:t>μ</w:t>
            </w:r>
            <w:r>
              <w:rPr>
                <w:rFonts w:hint="eastAsia"/>
              </w:rPr>
              <w:t>L/步，0.4</w:t>
            </w:r>
            <w:r>
              <w:t>μ</w:t>
            </w:r>
            <w:r>
              <w:rPr>
                <w:rFonts w:hint="eastAsia"/>
              </w:rPr>
              <w:t>L/步，1.0</w:t>
            </w:r>
            <w:r>
              <w:t>μ</w:t>
            </w:r>
            <w:r>
              <w:rPr>
                <w:rFonts w:hint="eastAsia"/>
              </w:rPr>
              <w:t xml:space="preserve">L/步三挡可选 </w:t>
            </w:r>
            <w:r>
              <w:rPr>
                <w:rFonts w:hint="eastAsia"/>
              </w:rPr>
              <w:br w:type="textWrapping"/>
            </w:r>
            <w:r>
              <w:rPr>
                <w:rFonts w:hint="eastAsia"/>
              </w:rPr>
              <w:t xml:space="preserve"> 2.2.6 测定样品重量：固体≤5g   液体≤20ml；</w:t>
            </w:r>
            <w:r>
              <w:rPr>
                <w:rFonts w:hint="eastAsia"/>
              </w:rPr>
              <w:br w:type="textWrapping"/>
            </w:r>
            <w:r>
              <w:rPr>
                <w:rFonts w:hint="eastAsia"/>
              </w:rPr>
              <w:t xml:space="preserve"> 2.2.7 全自动加碱加酸加稀释剂、全自动蒸馏滴定、全自动排废、全自动清洗、全自动校正、</w:t>
            </w:r>
            <w:r>
              <w:rPr>
                <w:rFonts w:hint="eastAsia"/>
                <w:color w:val="auto"/>
              </w:rPr>
              <w:t>全自动消化管排空、全自动故障检测、全自动溶液液位监测、全自动超温监测、全自动计算结果、输出、打印；</w:t>
            </w:r>
            <w:r>
              <w:rPr>
                <w:rFonts w:hint="eastAsia"/>
                <w:color w:val="auto"/>
              </w:rPr>
              <w:br w:type="textWrapping"/>
            </w:r>
            <w:r>
              <w:rPr>
                <w:rFonts w:hint="eastAsia"/>
                <w:color w:val="auto"/>
              </w:rPr>
              <w:t xml:space="preserve"> 2.2.8   10寸彩色触摸显示系统，内置安卓操作系统，功能强大。</w:t>
            </w:r>
            <w:r>
              <w:rPr>
                <w:rFonts w:hint="eastAsia" w:ascii="Segoe UI" w:hAnsi="Segoe UI" w:cs="Segoe UI"/>
                <w:color w:val="auto"/>
                <w:kern w:val="0"/>
                <w:shd w:val="clear" w:color="auto" w:fill="FFFFFF"/>
              </w:rPr>
              <w:t>操作界面：触摸屏控制，支持方法存储功能</w:t>
            </w:r>
            <w:r>
              <w:rPr>
                <w:rFonts w:hint="eastAsia"/>
                <w:color w:val="auto"/>
              </w:rPr>
              <w:t>；滴定曲线和实验过程同时显示；</w:t>
            </w:r>
            <w:r>
              <w:rPr>
                <w:rFonts w:hint="eastAsia"/>
                <w:color w:val="auto"/>
              </w:rPr>
              <w:br w:type="textWrapping"/>
            </w:r>
            <w:r>
              <w:rPr>
                <w:rFonts w:hint="eastAsia"/>
                <w:color w:val="auto"/>
              </w:rPr>
              <w:t>2.2.9采用三级用户名加密码形式登录，并可对密码进行老化设置，内置用户权限分级规则；</w:t>
            </w:r>
          </w:p>
          <w:p w14:paraId="4614A60A">
            <w:pPr>
              <w:spacing w:after="160"/>
              <w:ind w:left="110"/>
            </w:pPr>
            <w:r>
              <w:rPr>
                <w:rFonts w:hint="eastAsia"/>
              </w:rPr>
              <w:t>2.2.10 云服务功能,能够通过LAN或者WIFI连接网络，将试验方法和测试结果上传到云端或下载到本地；应用方案持续更新，系统在线升级等功能；</w:t>
            </w:r>
            <w:r>
              <w:rPr>
                <w:rFonts w:hint="eastAsia"/>
              </w:rPr>
              <w:br w:type="textWrapping"/>
            </w:r>
            <w:r>
              <w:rPr>
                <w:rFonts w:hint="eastAsia"/>
              </w:rPr>
              <w:t>2.2.11 批量测试功能，能够批量的输入样品信息，减少用户的工作量，使测试方便快捷，提高测试效率；</w:t>
            </w:r>
            <w:r>
              <w:rPr>
                <w:rFonts w:hint="eastAsia"/>
              </w:rPr>
              <w:br w:type="textWrapping"/>
            </w:r>
            <w:r>
              <w:rPr>
                <w:rFonts w:hint="eastAsia"/>
              </w:rPr>
              <w:t>2.2.12 数据存储量：100万条（仪器内部），无限制（云储存）</w:t>
            </w:r>
            <w:r>
              <w:rPr>
                <w:rFonts w:hint="eastAsia"/>
              </w:rPr>
              <w:br w:type="textWrapping"/>
            </w:r>
            <w:r>
              <w:rPr>
                <w:rFonts w:hint="eastAsia"/>
              </w:rPr>
              <w:t>2.2.13接口：USB，LAN，RS232，CAN，WIFI；</w:t>
            </w:r>
            <w:r>
              <w:rPr>
                <w:rFonts w:hint="eastAsia"/>
              </w:rPr>
              <w:br w:type="textWrapping"/>
            </w:r>
            <w:r>
              <w:rPr>
                <w:rFonts w:hint="eastAsia"/>
              </w:rPr>
              <w:t>2.2.14 主机测试结果可直接转换为PDF和XML版，可直接打印测试报告，标题可编辑；</w:t>
            </w:r>
            <w:r>
              <w:rPr>
                <w:rFonts w:hint="eastAsia"/>
              </w:rPr>
              <w:br w:type="textWrapping"/>
            </w:r>
            <w:r>
              <w:rPr>
                <w:rFonts w:hint="eastAsia"/>
              </w:rPr>
              <w:t>2.2.15 主机通过电脑连接匹配天平后，称量数据可直接上传到主机，无须人工去输入，节省实验效率；</w:t>
            </w:r>
            <w:r>
              <w:rPr>
                <w:rFonts w:hint="eastAsia"/>
              </w:rPr>
              <w:br w:type="textWrapping"/>
            </w:r>
            <w:r>
              <w:rPr>
                <w:rFonts w:hint="eastAsia"/>
              </w:rPr>
              <w:t>▲2.2.16采用高精度计量泵进行溶液的加注，最小加液量为1mL，并且在实验过程中可补加碱液，实验操作灵活，避免试剂浪费，需提供证明文件；</w:t>
            </w:r>
            <w:r>
              <w:rPr>
                <w:rFonts w:hint="eastAsia"/>
              </w:rPr>
              <w:br w:type="textWrapping"/>
            </w:r>
            <w:r>
              <w:rPr>
                <w:rFonts w:hint="eastAsia"/>
              </w:rPr>
              <w:t>▲2.2.17主机需内置土壤阳离子交换量专用实验方案，实验过程直接调用，无须人工计算，节省实验效率；</w:t>
            </w:r>
            <w:r>
              <w:rPr>
                <w:rFonts w:hint="eastAsia"/>
              </w:rPr>
              <w:br w:type="textWrapping"/>
            </w:r>
            <w:r>
              <w:rPr>
                <w:rFonts w:hint="eastAsia"/>
              </w:rPr>
              <w:t>2.2.18 可以对接LIMS实验室信息管理系统，数据统一管理，方便快捷。</w:t>
            </w:r>
            <w:r>
              <w:rPr>
                <w:rFonts w:hint="eastAsia"/>
              </w:rPr>
              <w:br w:type="textWrapping"/>
            </w:r>
            <w:r>
              <w:rPr>
                <w:rFonts w:hint="eastAsia"/>
              </w:rPr>
              <w:t>2.2.19 结果高低限报警功能，及时提示实验人员结果异常，避免批次结果受损。</w:t>
            </w:r>
            <w:r>
              <w:rPr>
                <w:rFonts w:hint="eastAsia"/>
              </w:rPr>
              <w:br w:type="textWrapping"/>
            </w:r>
            <w:r>
              <w:rPr>
                <w:rFonts w:hint="eastAsia"/>
              </w:rPr>
              <w:t>2.3 蒸馏系统</w:t>
            </w:r>
            <w:r>
              <w:rPr>
                <w:rFonts w:hint="eastAsia"/>
              </w:rPr>
              <w:br w:type="textWrapping"/>
            </w:r>
            <w:r>
              <w:rPr>
                <w:rFonts w:hint="eastAsia"/>
              </w:rPr>
              <w:t xml:space="preserve"> 2.3.1 蒸汽流量0-100% 可调；</w:t>
            </w:r>
            <w:r>
              <w:rPr>
                <w:rFonts w:hint="eastAsia"/>
              </w:rPr>
              <w:br w:type="textWrapping"/>
            </w:r>
            <w:r>
              <w:rPr>
                <w:rFonts w:hint="eastAsia"/>
              </w:rPr>
              <w:t xml:space="preserve"> 2.3.2 采用氨残留回收技术，蒸馏结束前可再次自动加碱，以保证管路中氨残留部分自动回收，保证样品的高回收率和结果的准确性；</w:t>
            </w:r>
            <w:r>
              <w:rPr>
                <w:rFonts w:hint="eastAsia"/>
              </w:rPr>
              <w:br w:type="textWrapping"/>
            </w:r>
            <w:r>
              <w:rPr>
                <w:rFonts w:hint="eastAsia"/>
              </w:rPr>
              <w:t xml:space="preserve"> 2.3.3 蒸馏模式：双蒸馏模式可选；</w:t>
            </w:r>
            <w:r>
              <w:rPr>
                <w:rFonts w:hint="eastAsia"/>
              </w:rPr>
              <w:br w:type="textWrapping"/>
            </w:r>
            <w:r>
              <w:rPr>
                <w:rFonts w:hint="eastAsia"/>
              </w:rPr>
              <w:t xml:space="preserve"> 2.3.4 蒸馏时间：0—6000S 连续可调；</w:t>
            </w:r>
            <w:r>
              <w:rPr>
                <w:rFonts w:hint="eastAsia"/>
              </w:rPr>
              <w:br w:type="textWrapping"/>
            </w:r>
            <w:r>
              <w:rPr>
                <w:rFonts w:hint="eastAsia"/>
              </w:rPr>
              <w:t>▲2.3.5 采用金属材质蒸馏发生器，具有压力传感器、温度传感器、温度保护开关、分离式液位监测等多重保护，需提供仪器实物图片；</w:t>
            </w:r>
            <w:r>
              <w:rPr>
                <w:rFonts w:hint="eastAsia"/>
              </w:rPr>
              <w:br w:type="textWrapping"/>
            </w:r>
            <w:r>
              <w:rPr>
                <w:rFonts w:hint="eastAsia"/>
              </w:rPr>
              <w:t xml:space="preserve"> 2.3.6 具备冷凝水温度检测功能，冷凝充分，保证回收率,并避免溜出液温度过高造成氨挥发；</w:t>
            </w:r>
            <w:r>
              <w:rPr>
                <w:rFonts w:hint="eastAsia"/>
              </w:rPr>
              <w:br w:type="textWrapping"/>
            </w:r>
            <w:r>
              <w:rPr>
                <w:rFonts w:hint="eastAsia"/>
              </w:rPr>
              <w:t>▲2.3.7防溅瓶采用耐碱液腐蚀的高分子复合塑料材质，告别原始玻璃防溅瓶，彻底解决长时间侵泡在强酸强碱中对防溅瓶造成的腐蚀，需提供证明照片；</w:t>
            </w:r>
          </w:p>
          <w:p w14:paraId="151EC3BD">
            <w:pPr>
              <w:spacing w:after="160"/>
              <w:ind w:left="110"/>
            </w:pPr>
            <w:r>
              <w:rPr>
                <w:rFonts w:hint="eastAsia"/>
              </w:rPr>
              <w:t>2.3.8 仪器实时监测馏出液温度，并可根据温度自动调节冷凝水流量，在保证冷凝效果的同时降低冷凝水的消耗；</w:t>
            </w:r>
            <w:r>
              <w:rPr>
                <w:rFonts w:hint="eastAsia"/>
              </w:rPr>
              <w:br w:type="textWrapping"/>
            </w:r>
            <w:r>
              <w:rPr>
                <w:rFonts w:hint="eastAsia"/>
              </w:rPr>
              <w:t xml:space="preserve"> 2.3.9接收杯上盖可随时拆卸，无需借助工具，便于清洗接收杯等部件</w:t>
            </w:r>
            <w:r>
              <w:rPr>
                <w:rFonts w:hint="eastAsia"/>
              </w:rPr>
              <w:br w:type="textWrapping"/>
            </w:r>
            <w:r>
              <w:rPr>
                <w:rFonts w:hint="eastAsia"/>
              </w:rPr>
              <w:t>2.4 滴定系统</w:t>
            </w:r>
            <w:r>
              <w:rPr>
                <w:rFonts w:hint="eastAsia"/>
              </w:rPr>
              <w:br w:type="textWrapping"/>
            </w:r>
            <w:r>
              <w:rPr>
                <w:rFonts w:hint="eastAsia"/>
              </w:rPr>
              <w:t>2.4.1 直线电机微控滴定系统，具备边蒸馏边滴定功能，减少测试时间，提高测试准确性；</w:t>
            </w:r>
            <w:r>
              <w:rPr>
                <w:rFonts w:hint="eastAsia"/>
              </w:rPr>
              <w:br w:type="textWrapping"/>
            </w:r>
            <w:r>
              <w:rPr>
                <w:rFonts w:hint="eastAsia"/>
              </w:rPr>
              <w:t>2.4.2 采用柱塞泵式滴定系统，配合进口标准25mL滴定管,也可根据需要选配5mL及10mL滴定管，保证实验的准确性；</w:t>
            </w:r>
            <w:r>
              <w:rPr>
                <w:rFonts w:hint="eastAsia"/>
              </w:rPr>
              <w:br w:type="textWrapping"/>
            </w:r>
            <w:r>
              <w:rPr>
                <w:rFonts w:hint="eastAsia"/>
              </w:rPr>
              <w:t xml:space="preserve"> 2.4.3 仪器采用正压式进液，可有效避免滴定过程气泡产生，滴定酸桶内置在主机箱体内，配备滴定酸液位监测系统，保证实验正常进行；</w:t>
            </w:r>
            <w:r>
              <w:rPr>
                <w:rFonts w:hint="eastAsia"/>
              </w:rPr>
              <w:br w:type="textWrapping"/>
            </w:r>
            <w:r>
              <w:rPr>
                <w:rFonts w:hint="eastAsia"/>
              </w:rPr>
              <w:t xml:space="preserve"> 2.4.4 具备边蒸馏边滴定和变速度变体积滴定技术，减少测试时间，提高测试准确性；</w:t>
            </w:r>
            <w:r>
              <w:rPr>
                <w:rFonts w:hint="eastAsia"/>
              </w:rPr>
              <w:br w:type="textWrapping"/>
            </w:r>
            <w:r>
              <w:rPr>
                <w:rFonts w:hint="eastAsia"/>
              </w:rPr>
              <w:t>▲2.4.5 滴定颜色设置和微调功能，共三种颜色判定，可支持凯氏定氮各指示剂种类及配比，满足各类标准需要，需提供证明照片；</w:t>
            </w:r>
            <w:r>
              <w:rPr>
                <w:rFonts w:hint="eastAsia"/>
              </w:rPr>
              <w:br w:type="textWrapping"/>
            </w:r>
            <w:r>
              <w:rPr>
                <w:rFonts w:hint="eastAsia"/>
              </w:rPr>
              <w:t>2.5 冷凝系统</w:t>
            </w:r>
            <w:r>
              <w:rPr>
                <w:rFonts w:hint="eastAsia"/>
              </w:rPr>
              <w:br w:type="textWrapping"/>
            </w:r>
            <w:r>
              <w:rPr>
                <w:rFonts w:hint="eastAsia"/>
              </w:rPr>
              <w:t xml:space="preserve"> 2.5.1 采用金属冷凝方式，温度传感器置于冷凝瓶冷凝水的出水处，保证流出液的温度不超温，保证测试结果的准确性；</w:t>
            </w:r>
            <w:r>
              <w:rPr>
                <w:rFonts w:hint="eastAsia"/>
              </w:rPr>
              <w:br w:type="textWrapping"/>
            </w:r>
            <w:r>
              <w:rPr>
                <w:rFonts w:hint="eastAsia"/>
              </w:rPr>
              <w:t>2.6 其他安全保证</w:t>
            </w:r>
            <w:r>
              <w:rPr>
                <w:rFonts w:hint="eastAsia"/>
              </w:rPr>
              <w:br w:type="textWrapping"/>
            </w:r>
            <w:r>
              <w:rPr>
                <w:rFonts w:hint="eastAsia"/>
              </w:rPr>
              <w:t xml:space="preserve"> 2.6.1 具备安全门自动监测、消化管在位监测、溶液桶液位监测、接收杯溢出监测、进样器监测；</w:t>
            </w:r>
            <w:r>
              <w:rPr>
                <w:rFonts w:hint="eastAsia"/>
              </w:rPr>
              <w:br w:type="textWrapping"/>
            </w:r>
            <w:r>
              <w:rPr>
                <w:rFonts w:hint="eastAsia"/>
              </w:rPr>
              <w:t>2.7 自动进样器部分</w:t>
            </w:r>
            <w:r>
              <w:rPr>
                <w:rFonts w:hint="eastAsia"/>
              </w:rPr>
              <w:br w:type="textWrapping"/>
            </w:r>
            <w:r>
              <w:rPr>
                <w:rFonts w:hint="eastAsia"/>
              </w:rPr>
              <w:t xml:space="preserve"> 2.7.1 批次处理：与全自动凯氏定氮仪配合，一次可连续进行24个实验，实现真正无人值守工作。</w:t>
            </w:r>
            <w:r>
              <w:rPr>
                <w:rFonts w:hint="eastAsia"/>
              </w:rPr>
              <w:br w:type="textWrapping"/>
            </w:r>
            <w:r>
              <w:rPr>
                <w:rFonts w:hint="eastAsia"/>
              </w:rPr>
              <w:t xml:space="preserve"> 2.7.2 转盘速度：≥0.04r/s；</w:t>
            </w:r>
            <w:r>
              <w:rPr>
                <w:rFonts w:hint="eastAsia"/>
              </w:rPr>
              <w:br w:type="textWrapping"/>
            </w:r>
            <w:r>
              <w:rPr>
                <w:rFonts w:hint="eastAsia"/>
              </w:rPr>
              <w:t xml:space="preserve"> 2.7.3 消化管顶杆顶出速度：≥40mm/s；</w:t>
            </w:r>
            <w:r>
              <w:rPr>
                <w:rFonts w:hint="eastAsia"/>
              </w:rPr>
              <w:br w:type="textWrapping"/>
            </w:r>
            <w:r>
              <w:rPr>
                <w:rFonts w:hint="eastAsia"/>
              </w:rPr>
              <w:t xml:space="preserve"> 2.7.4进样器内置溶液桶容积：4个15L溶液桶；</w:t>
            </w:r>
            <w:r>
              <w:rPr>
                <w:rFonts w:hint="eastAsia"/>
              </w:rPr>
              <w:br w:type="textWrapping"/>
            </w:r>
            <w:r>
              <w:rPr>
                <w:rFonts w:hint="eastAsia"/>
              </w:rPr>
              <w:t xml:space="preserve"> 2.7.5消化管上升位置由双传感器共同控制，保证消化管位置的准确性；</w:t>
            </w:r>
            <w:r>
              <w:rPr>
                <w:rFonts w:hint="eastAsia"/>
              </w:rPr>
              <w:br w:type="textWrapping"/>
            </w:r>
            <w:r>
              <w:rPr>
                <w:rFonts w:hint="eastAsia"/>
              </w:rPr>
              <w:t xml:space="preserve"> 2.7.6电源：24VDC，可直接与全自动凯氏定氮仪连接，无需其他外界电源；</w:t>
            </w:r>
            <w:r>
              <w:rPr>
                <w:rFonts w:hint="eastAsia"/>
              </w:rPr>
              <w:br w:type="textWrapping"/>
            </w:r>
            <w:r>
              <w:rPr>
                <w:rFonts w:hint="eastAsia"/>
              </w:rPr>
              <w:t xml:space="preserve"> 2.7.7接口：CAN；</w:t>
            </w:r>
          </w:p>
          <w:p w14:paraId="41EB1A57">
            <w:pPr>
              <w:spacing w:after="160"/>
              <w:ind w:left="110"/>
            </w:pPr>
            <w:r>
              <w:rPr>
                <w:rFonts w:hint="eastAsia"/>
              </w:rPr>
              <w:t>4、售后服务</w:t>
            </w:r>
            <w:r>
              <w:rPr>
                <w:rFonts w:hint="eastAsia"/>
              </w:rPr>
              <w:br w:type="textWrapping"/>
            </w:r>
            <w:r>
              <w:rPr>
                <w:rFonts w:hint="eastAsia"/>
              </w:rPr>
              <w:t xml:space="preserve"> 4.1在吉林省内应有专门的技术应用支持工程师。保修期后，保证长期供应零备件和正常的售后服务. 安装验收期间，免费对用户进行仪器的基本操作和日常维护的现场培训，内容包括仪器原理，使用方法和维护方法等，厂家需要最终用户指定地点提供上门安装调试并对用户指定的两名操作人员进行操作使用培训；</w:t>
            </w:r>
            <w:r>
              <w:rPr>
                <w:rFonts w:hint="eastAsia"/>
              </w:rPr>
              <w:br w:type="textWrapping"/>
            </w:r>
            <w:r>
              <w:rPr>
                <w:rFonts w:hint="eastAsia"/>
              </w:rPr>
              <w:t xml:space="preserve"> 4.2 质保期：质量保证期 3年，终身维修；</w:t>
            </w:r>
            <w:r>
              <w:rPr>
                <w:rFonts w:hint="eastAsia"/>
              </w:rPr>
              <w:br w:type="textWrapping"/>
            </w:r>
            <w:r>
              <w:rPr>
                <w:rFonts w:hint="eastAsia"/>
              </w:rPr>
              <w:t xml:space="preserve"> 4.3 故障服务：仪器设备出现故障时，供货方得到通知1-2日内派维修人员到达用户现场维修；</w:t>
            </w:r>
          </w:p>
        </w:tc>
      </w:tr>
      <w:tr w14:paraId="5ADC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754" w:type="dxa"/>
            <w:noWrap/>
            <w:vAlign w:val="center"/>
          </w:tcPr>
          <w:p w14:paraId="6056183C">
            <w:pPr>
              <w:jc w:val="center"/>
            </w:pPr>
            <w:r>
              <w:rPr>
                <w:rFonts w:hint="eastAsia"/>
              </w:rPr>
              <w:t>8</w:t>
            </w:r>
          </w:p>
        </w:tc>
        <w:tc>
          <w:tcPr>
            <w:tcW w:w="1146" w:type="dxa"/>
            <w:noWrap/>
            <w:vAlign w:val="center"/>
          </w:tcPr>
          <w:p w14:paraId="3C5847C1">
            <w:pPr>
              <w:jc w:val="center"/>
            </w:pPr>
            <w:r>
              <w:rPr>
                <w:rFonts w:hint="eastAsia"/>
              </w:rPr>
              <w:t>磁力搅拌器</w:t>
            </w:r>
          </w:p>
        </w:tc>
        <w:tc>
          <w:tcPr>
            <w:tcW w:w="634" w:type="dxa"/>
            <w:noWrap/>
            <w:vAlign w:val="center"/>
          </w:tcPr>
          <w:p w14:paraId="539CA525">
            <w:pPr>
              <w:jc w:val="center"/>
            </w:pPr>
            <w:r>
              <w:rPr>
                <w:rFonts w:hint="eastAsia"/>
              </w:rPr>
              <w:t>套</w:t>
            </w:r>
          </w:p>
        </w:tc>
        <w:tc>
          <w:tcPr>
            <w:tcW w:w="593" w:type="dxa"/>
            <w:noWrap/>
            <w:vAlign w:val="center"/>
          </w:tcPr>
          <w:p w14:paraId="72F96BC8">
            <w:pPr>
              <w:jc w:val="center"/>
            </w:pPr>
            <w:r>
              <w:rPr>
                <w:rFonts w:hint="eastAsia"/>
              </w:rPr>
              <w:t>1</w:t>
            </w:r>
          </w:p>
        </w:tc>
        <w:tc>
          <w:tcPr>
            <w:tcW w:w="7517" w:type="dxa"/>
          </w:tcPr>
          <w:p w14:paraId="307EDBD1">
            <w:pPr>
              <w:spacing w:after="160"/>
            </w:pPr>
            <w:r>
              <w:rPr>
                <w:rFonts w:hint="eastAsia"/>
              </w:rPr>
              <w:t>磁力搅拌器技术参数</w:t>
            </w:r>
            <w:r>
              <w:rPr>
                <w:rFonts w:hint="eastAsia"/>
              </w:rPr>
              <w:br w:type="textWrapping"/>
            </w:r>
            <w:r>
              <w:rPr>
                <w:rFonts w:hint="eastAsia"/>
              </w:rPr>
              <w:t>1) ▲加热温度范围：室温-335℃</w:t>
            </w:r>
            <w:r>
              <w:rPr>
                <w:rFonts w:hint="eastAsia"/>
              </w:rPr>
              <w:br w:type="textWrapping"/>
            </w:r>
            <w:r>
              <w:rPr>
                <w:rFonts w:hint="eastAsia"/>
              </w:rPr>
              <w:t>2) 温度显示：LCD数字显示，温度显示精度0.1℃;转速显示：LCD数字显示，转速显示精度1rpm</w:t>
            </w:r>
            <w:r>
              <w:rPr>
                <w:rFonts w:hint="eastAsia"/>
              </w:rPr>
              <w:br w:type="textWrapping"/>
            </w:r>
            <w:r>
              <w:rPr>
                <w:rFonts w:hint="eastAsia"/>
              </w:rPr>
              <w:t>3) 模糊PID控温技术，控温精度高</w:t>
            </w:r>
            <w:r>
              <w:rPr>
                <w:rFonts w:hint="eastAsia"/>
              </w:rPr>
              <w:br w:type="textWrapping"/>
            </w:r>
            <w:r>
              <w:rPr>
                <w:rFonts w:hint="eastAsia"/>
              </w:rPr>
              <w:t>4) 转速范围：100-1480rpm</w:t>
            </w:r>
            <w:r>
              <w:rPr>
                <w:rFonts w:hint="eastAsia"/>
              </w:rPr>
              <w:br w:type="textWrapping"/>
            </w:r>
            <w:r>
              <w:rPr>
                <w:rFonts w:hint="eastAsia"/>
              </w:rPr>
              <w:t>5) 功率：550W</w:t>
            </w:r>
            <w:r>
              <w:rPr>
                <w:rFonts w:hint="eastAsia"/>
              </w:rPr>
              <w:br w:type="textWrapping"/>
            </w:r>
            <w:r>
              <w:rPr>
                <w:rFonts w:hint="eastAsia"/>
              </w:rPr>
              <w:t>6) ▲最大搅拌量（H2O）：20L</w:t>
            </w:r>
            <w:r>
              <w:rPr>
                <w:rFonts w:hint="eastAsia"/>
              </w:rPr>
              <w:br w:type="textWrapping"/>
            </w:r>
            <w:r>
              <w:rPr>
                <w:rFonts w:hint="eastAsia"/>
              </w:rPr>
              <w:t>7) 工作盘尺寸：ø135mm</w:t>
            </w:r>
            <w:r>
              <w:rPr>
                <w:rFonts w:hint="eastAsia"/>
              </w:rPr>
              <w:br w:type="textWrapping"/>
            </w:r>
            <w:r>
              <w:rPr>
                <w:rFonts w:hint="eastAsia"/>
              </w:rPr>
              <w:t>8) 工作盘表面材料：陶瓷</w:t>
            </w:r>
            <w:r>
              <w:rPr>
                <w:rFonts w:hint="eastAsia"/>
              </w:rPr>
              <w:br w:type="textWrapping"/>
            </w:r>
            <w:r>
              <w:rPr>
                <w:rFonts w:hint="eastAsia"/>
              </w:rPr>
              <w:t>9) ▲可自动判别搅拌子逃脱，并自动重新捕获</w:t>
            </w:r>
            <w:r>
              <w:rPr>
                <w:rFonts w:hint="eastAsia"/>
              </w:rPr>
              <w:br w:type="textWrapping"/>
            </w:r>
            <w:r>
              <w:rPr>
                <w:rFonts w:hint="eastAsia"/>
              </w:rPr>
              <w:t>10) ▲50℃过热防烫指示；关机后仍可显示加热盘温度（≥50℃）</w:t>
            </w:r>
          </w:p>
        </w:tc>
      </w:tr>
      <w:tr w14:paraId="1F01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54" w:type="dxa"/>
            <w:noWrap/>
            <w:vAlign w:val="center"/>
          </w:tcPr>
          <w:p w14:paraId="29C01185">
            <w:pPr>
              <w:spacing w:after="160"/>
              <w:jc w:val="center"/>
            </w:pPr>
            <w:r>
              <w:rPr>
                <w:rFonts w:hint="eastAsia"/>
              </w:rPr>
              <w:t>9</w:t>
            </w:r>
          </w:p>
        </w:tc>
        <w:tc>
          <w:tcPr>
            <w:tcW w:w="1146" w:type="dxa"/>
            <w:noWrap/>
            <w:vAlign w:val="center"/>
          </w:tcPr>
          <w:p w14:paraId="7E217C0F">
            <w:pPr>
              <w:jc w:val="center"/>
            </w:pPr>
            <w:r>
              <w:rPr>
                <w:rFonts w:hint="eastAsia"/>
              </w:rPr>
              <w:t>α β前处理装置水样蒸发仪</w:t>
            </w:r>
          </w:p>
        </w:tc>
        <w:tc>
          <w:tcPr>
            <w:tcW w:w="634" w:type="dxa"/>
            <w:noWrap/>
            <w:vAlign w:val="center"/>
          </w:tcPr>
          <w:p w14:paraId="286C0340">
            <w:pPr>
              <w:jc w:val="center"/>
            </w:pPr>
            <w:r>
              <w:rPr>
                <w:rFonts w:hint="eastAsia"/>
              </w:rPr>
              <w:t>套</w:t>
            </w:r>
          </w:p>
        </w:tc>
        <w:tc>
          <w:tcPr>
            <w:tcW w:w="593" w:type="dxa"/>
            <w:noWrap/>
            <w:vAlign w:val="center"/>
          </w:tcPr>
          <w:p w14:paraId="70BBFD15">
            <w:pPr>
              <w:jc w:val="center"/>
            </w:pPr>
            <w:r>
              <w:rPr>
                <w:rFonts w:hint="eastAsia"/>
              </w:rPr>
              <w:t>1</w:t>
            </w:r>
          </w:p>
        </w:tc>
        <w:tc>
          <w:tcPr>
            <w:tcW w:w="7517" w:type="dxa"/>
          </w:tcPr>
          <w:p w14:paraId="3853E9E7">
            <w:r>
              <w:rPr>
                <w:rFonts w:hint="eastAsia"/>
                <w:sz w:val="22"/>
                <w:szCs w:val="24"/>
                <w14:ligatures w14:val="standardContextual"/>
              </w:rPr>
              <w:t>1.</w:t>
            </w:r>
            <w:r>
              <w:rPr>
                <w:rFonts w:hint="eastAsia"/>
              </w:rPr>
              <w:t>设备用途：</w:t>
            </w:r>
            <w:r>
              <w:rPr>
                <w:rFonts w:hint="eastAsia"/>
              </w:rPr>
              <w:br w:type="textWrapping"/>
            </w:r>
            <w:r>
              <w:rPr>
                <w:rFonts w:hint="eastAsia"/>
              </w:rPr>
              <w:t>适用于放射性总</w:t>
            </w:r>
            <w:r>
              <w:t>α</w:t>
            </w:r>
            <w:r>
              <w:rPr>
                <w:rFonts w:hint="eastAsia"/>
              </w:rPr>
              <w:t>、</w:t>
            </w:r>
            <w:r>
              <w:t>β</w:t>
            </w:r>
            <w:r>
              <w:rPr>
                <w:rFonts w:hint="eastAsia"/>
              </w:rPr>
              <w:t>放射性水样检测过程中的水样蒸发浓缩赶酸前处理，溶解性总固体(TDS)的蒸发浓缩，环境空气降尘样品自动蒸发浓缩。</w:t>
            </w:r>
            <w:r>
              <w:rPr>
                <w:rFonts w:hint="eastAsia"/>
              </w:rPr>
              <w:br w:type="textWrapping"/>
            </w:r>
            <w:r>
              <w:rPr>
                <w:rFonts w:hint="eastAsia"/>
              </w:rPr>
              <w:t>2.技术要求</w:t>
            </w:r>
            <w:r>
              <w:rPr>
                <w:rFonts w:hint="eastAsia"/>
              </w:rPr>
              <w:br w:type="textWrapping"/>
            </w:r>
            <w:r>
              <w:rPr>
                <w:rFonts w:hint="eastAsia"/>
              </w:rPr>
              <w:t>▲2.1同时处理样品通道数：8个，单路单控（提供仪器设计工程图）</w:t>
            </w:r>
            <w:r>
              <w:rPr>
                <w:rFonts w:hint="eastAsia"/>
              </w:rPr>
              <w:br w:type="textWrapping"/>
            </w:r>
            <w:r>
              <w:rPr>
                <w:rFonts w:hint="eastAsia"/>
              </w:rPr>
              <w:t>2.2加热控制：单路功率0-320W可调</w:t>
            </w:r>
            <w:r>
              <w:rPr>
                <w:rFonts w:hint="eastAsia"/>
              </w:rPr>
              <w:br w:type="textWrapping"/>
            </w:r>
            <w:r>
              <w:rPr>
                <w:rFonts w:hint="eastAsia"/>
              </w:rPr>
              <w:t>2.3具有开机自检功能，蠕动泵工作状态可视化，方便观察运行状态和故障排除及维护</w:t>
            </w:r>
            <w:r>
              <w:rPr>
                <w:rFonts w:hint="eastAsia"/>
              </w:rPr>
              <w:br w:type="textWrapping"/>
            </w:r>
            <w:r>
              <w:rPr>
                <w:rFonts w:hint="eastAsia"/>
              </w:rPr>
              <w:t>▲2.4仪器配备7寸无线手持触摸屏，防腐蚀，手持操控更灵活(需配置工业级的无线射频模块，提供相关仪器照片)</w:t>
            </w:r>
            <w:r>
              <w:rPr>
                <w:rFonts w:hint="eastAsia"/>
              </w:rPr>
              <w:br w:type="textWrapping"/>
            </w:r>
            <w:r>
              <w:rPr>
                <w:rFonts w:hint="eastAsia"/>
              </w:rPr>
              <w:t>▲2.5容器规格：兼容125ml、150ml、200ml瓷蒸发皿</w:t>
            </w:r>
            <w:r>
              <w:rPr>
                <w:rFonts w:hint="eastAsia"/>
              </w:rPr>
              <w:br w:type="textWrapping"/>
            </w:r>
            <w:r>
              <w:rPr>
                <w:rFonts w:hint="eastAsia"/>
              </w:rPr>
              <w:t>2.6最大处理量：水样体积60L</w:t>
            </w:r>
            <w:r>
              <w:rPr>
                <w:rFonts w:hint="eastAsia"/>
              </w:rPr>
              <w:br w:type="textWrapping"/>
            </w:r>
            <w:r>
              <w:rPr>
                <w:rFonts w:hint="eastAsia"/>
              </w:rPr>
              <w:t>2.7浓缩体积：0-100ml</w:t>
            </w:r>
            <w:r>
              <w:rPr>
                <w:rFonts w:hint="eastAsia"/>
              </w:rPr>
              <w:br w:type="textWrapping"/>
            </w:r>
            <w:r>
              <w:rPr>
                <w:rFonts w:hint="eastAsia"/>
              </w:rPr>
              <w:t>2.8水样进样速度：80-120ml/min</w:t>
            </w:r>
            <w:r>
              <w:rPr>
                <w:rFonts w:hint="eastAsia"/>
              </w:rPr>
              <w:br w:type="textWrapping"/>
            </w:r>
            <w:r>
              <w:rPr>
                <w:rFonts w:hint="eastAsia"/>
              </w:rPr>
              <w:t>▲2.9仪器需配备工业级的PLC主控系统，提高仪器整体稳定型（需提供PLC的CE认证证书）</w:t>
            </w:r>
            <w:r>
              <w:rPr>
                <w:rFonts w:hint="eastAsia"/>
              </w:rPr>
              <w:br w:type="textWrapping"/>
            </w:r>
            <w:r>
              <w:rPr>
                <w:rFonts w:hint="eastAsia"/>
              </w:rPr>
              <w:t>2.10一键启动无人值守工作，仪器智能添加补充水样，实时记录已蒸发量，达到设定量停止工作</w:t>
            </w:r>
            <w:r>
              <w:rPr>
                <w:rFonts w:hint="eastAsia"/>
              </w:rPr>
              <w:br w:type="textWrapping"/>
            </w:r>
            <w:r>
              <w:rPr>
                <w:rFonts w:hint="eastAsia"/>
              </w:rPr>
              <w:t>2.11使用蒸发皿作为蒸发容器，蒸发浓缩赶酸全过程无需转移，减少了待测物质的损失</w:t>
            </w:r>
            <w:r>
              <w:rPr>
                <w:rFonts w:hint="eastAsia"/>
              </w:rPr>
              <w:br w:type="textWrapping"/>
            </w:r>
            <w:r>
              <w:rPr>
                <w:rFonts w:hint="eastAsia"/>
              </w:rPr>
              <w:t>▲2.12内置断电保护模块，断电开机可继续工作，数据不丢失，样品无损坏；不接受任何外配锂电池等非仪器内置的补充方案（提供断电保护的启动程序工作界面图和结构设计图）</w:t>
            </w:r>
            <w:r>
              <w:rPr>
                <w:rFonts w:hint="eastAsia"/>
              </w:rPr>
              <w:br w:type="textWrapping"/>
            </w:r>
            <w:r>
              <w:rPr>
                <w:rFonts w:hint="eastAsia"/>
              </w:rPr>
              <w:t>2.13远红外陶瓷辐射加热，加热均匀，避免水样迸溅</w:t>
            </w:r>
            <w:r>
              <w:rPr>
                <w:rFonts w:hint="eastAsia"/>
              </w:rPr>
              <w:br w:type="textWrapping"/>
            </w:r>
            <w:r>
              <w:rPr>
                <w:rFonts w:hint="eastAsia"/>
              </w:rPr>
              <w:t>2.14单路配置一个小型天平定量，定量精度优于1.5%</w:t>
            </w:r>
            <w:r>
              <w:rPr>
                <w:rFonts w:hint="eastAsia"/>
              </w:rPr>
              <w:br w:type="textWrapping"/>
            </w:r>
            <w:r>
              <w:rPr>
                <w:rFonts w:hint="eastAsia"/>
              </w:rPr>
              <w:t>2.15整机工业特氟龙防腐处理耐酸耐高温保护，确保长期稳定运行</w:t>
            </w:r>
            <w:r>
              <w:rPr>
                <w:rFonts w:hint="eastAsia"/>
              </w:rPr>
              <w:br w:type="textWrapping"/>
            </w:r>
            <w:r>
              <w:rPr>
                <w:rFonts w:hint="eastAsia"/>
              </w:rPr>
              <w:t>▲2.16主机内部内置气路正压吹扫系统，防止酸雾进入引起的腐蚀</w:t>
            </w:r>
            <w:r>
              <w:rPr>
                <w:rFonts w:hint="eastAsia"/>
              </w:rPr>
              <w:br w:type="textWrapping"/>
            </w:r>
            <w:r>
              <w:rPr>
                <w:rFonts w:hint="eastAsia"/>
              </w:rPr>
              <w:t>2.17仪器内置自动清洗程序，一键操作完成管路清洗</w:t>
            </w:r>
            <w:r>
              <w:rPr>
                <w:rFonts w:hint="eastAsia"/>
              </w:rPr>
              <w:br w:type="textWrapping"/>
            </w:r>
            <w:r>
              <w:rPr>
                <w:rFonts w:hint="eastAsia"/>
              </w:rPr>
              <w:t>▲2.18仪器上表面需配置大于等于4mm厚的聚四氟乙烯板，防止生锈和腐蚀。</w:t>
            </w:r>
          </w:p>
          <w:p w14:paraId="67E26DD9">
            <w:r>
              <w:rPr>
                <w:rFonts w:hint="eastAsia"/>
              </w:rPr>
              <w:t>3.配置要求</w:t>
            </w:r>
            <w:r>
              <w:rPr>
                <w:rFonts w:hint="eastAsia"/>
              </w:rPr>
              <w:br w:type="textWrapping"/>
            </w:r>
            <w:r>
              <w:rPr>
                <w:rFonts w:hint="eastAsia"/>
              </w:rPr>
              <w:t xml:space="preserve">3.1全自动放射性水样蒸发浓缩赶酸仪主机 1 台（8通道） </w:t>
            </w:r>
            <w:r>
              <w:rPr>
                <w:rFonts w:hint="eastAsia"/>
              </w:rPr>
              <w:br w:type="textWrapping"/>
            </w:r>
            <w:r>
              <w:rPr>
                <w:rFonts w:hint="eastAsia"/>
              </w:rPr>
              <w:t xml:space="preserve">3.2进样硅胶管及进样头8套 </w:t>
            </w:r>
            <w:r>
              <w:rPr>
                <w:rFonts w:hint="eastAsia"/>
              </w:rPr>
              <w:br w:type="textWrapping"/>
            </w:r>
            <w:r>
              <w:rPr>
                <w:rFonts w:hint="eastAsia"/>
              </w:rPr>
              <w:t>3.3蠕动泵管及接头8个</w:t>
            </w:r>
            <w:r>
              <w:rPr>
                <w:rFonts w:hint="eastAsia"/>
              </w:rPr>
              <w:br w:type="textWrapping"/>
            </w:r>
            <w:r>
              <w:rPr>
                <w:rFonts w:hint="eastAsia"/>
              </w:rPr>
              <w:t>3.4瓷蒸发皿 8个（200ml）</w:t>
            </w:r>
            <w:r>
              <w:rPr>
                <w:rFonts w:hint="eastAsia"/>
              </w:rPr>
              <w:br w:type="textWrapping"/>
            </w:r>
            <w:r>
              <w:rPr>
                <w:rFonts w:hint="eastAsia"/>
              </w:rPr>
              <w:t>3.5随机配套附件1套</w:t>
            </w:r>
          </w:p>
        </w:tc>
      </w:tr>
      <w:tr w14:paraId="2569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54" w:type="dxa"/>
            <w:noWrap/>
            <w:vAlign w:val="center"/>
          </w:tcPr>
          <w:p w14:paraId="47979BE2">
            <w:pPr>
              <w:jc w:val="center"/>
            </w:pPr>
            <w:r>
              <w:rPr>
                <w:rFonts w:hint="eastAsia"/>
              </w:rPr>
              <w:t>10</w:t>
            </w:r>
          </w:p>
        </w:tc>
        <w:tc>
          <w:tcPr>
            <w:tcW w:w="1146" w:type="dxa"/>
            <w:noWrap/>
            <w:vAlign w:val="center"/>
          </w:tcPr>
          <w:p w14:paraId="5340038E">
            <w:pPr>
              <w:jc w:val="center"/>
            </w:pPr>
            <w:r>
              <w:rPr>
                <w:rFonts w:hint="eastAsia"/>
              </w:rPr>
              <w:t>气相色谱仪</w:t>
            </w:r>
          </w:p>
        </w:tc>
        <w:tc>
          <w:tcPr>
            <w:tcW w:w="634" w:type="dxa"/>
            <w:noWrap/>
            <w:vAlign w:val="center"/>
          </w:tcPr>
          <w:p w14:paraId="61FF7D55">
            <w:pPr>
              <w:jc w:val="center"/>
            </w:pPr>
            <w:r>
              <w:rPr>
                <w:rFonts w:hint="eastAsia"/>
              </w:rPr>
              <w:t>套</w:t>
            </w:r>
          </w:p>
        </w:tc>
        <w:tc>
          <w:tcPr>
            <w:tcW w:w="593" w:type="dxa"/>
            <w:noWrap/>
            <w:vAlign w:val="center"/>
          </w:tcPr>
          <w:p w14:paraId="44712E23">
            <w:pPr>
              <w:spacing w:after="160"/>
              <w:jc w:val="center"/>
            </w:pPr>
            <w:r>
              <w:rPr>
                <w:rFonts w:hint="eastAsia"/>
              </w:rPr>
              <w:t>1</w:t>
            </w:r>
          </w:p>
        </w:tc>
        <w:tc>
          <w:tcPr>
            <w:tcW w:w="7517" w:type="dxa"/>
          </w:tcPr>
          <w:p w14:paraId="349CA5E1">
            <w:pPr>
              <w:spacing w:after="160"/>
              <w:rPr>
                <w:color w:val="auto"/>
              </w:rPr>
            </w:pPr>
            <w:r>
              <w:rPr>
                <w:rFonts w:hint="eastAsia"/>
              </w:rPr>
              <w:t>气相色谱参数</w:t>
            </w:r>
            <w:r>
              <w:rPr>
                <w:rFonts w:hint="eastAsia"/>
              </w:rPr>
              <w:br w:type="textWrapping"/>
            </w:r>
            <w:r>
              <w:rPr>
                <w:rFonts w:hint="eastAsia"/>
              </w:rPr>
              <w:t>性能指标</w:t>
            </w:r>
            <w:r>
              <w:rPr>
                <w:rFonts w:hint="eastAsia"/>
              </w:rPr>
              <w:br w:type="textWrapping"/>
            </w:r>
            <w:r>
              <w:rPr>
                <w:rFonts w:hint="eastAsia"/>
              </w:rPr>
              <w:t xml:space="preserve">1 </w:t>
            </w:r>
            <w:r>
              <w:rPr>
                <w:rFonts w:hint="eastAsia"/>
                <w:color w:val="auto"/>
                <w:highlight w:val="none"/>
              </w:rPr>
              <w:t>气相色谱仪</w:t>
            </w:r>
            <w:r>
              <w:rPr>
                <w:rFonts w:hint="eastAsia"/>
                <w:color w:val="auto"/>
                <w:highlight w:val="none"/>
              </w:rPr>
              <w:br w:type="textWrapping"/>
            </w:r>
            <w:r>
              <w:rPr>
                <w:rFonts w:hint="eastAsia"/>
                <w:color w:val="auto"/>
                <w:highlight w:val="none"/>
              </w:rPr>
              <w:t>▲色谱性能：要</w:t>
            </w:r>
            <w:r>
              <w:rPr>
                <w:rFonts w:hint="eastAsia"/>
              </w:rPr>
              <w:t>求能同时安装不少于两个进样口和</w:t>
            </w:r>
            <w:r>
              <w:rPr>
                <w:rFonts w:hint="eastAsia"/>
                <w:color w:val="FF0000"/>
              </w:rPr>
              <w:t>三</w:t>
            </w:r>
            <w:r>
              <w:rPr>
                <w:rFonts w:hint="eastAsia"/>
              </w:rPr>
              <w:t>个不同的检测器</w:t>
            </w:r>
            <w:r>
              <w:rPr>
                <w:rFonts w:hint="eastAsia"/>
              </w:rPr>
              <w:br w:type="textWrapping"/>
            </w:r>
            <w:r>
              <w:rPr>
                <w:rFonts w:hint="eastAsia"/>
              </w:rPr>
              <w:t>1.1柱箱</w:t>
            </w:r>
            <w:r>
              <w:rPr>
                <w:rFonts w:hint="eastAsia"/>
              </w:rPr>
              <w:br w:type="textWrapping"/>
            </w:r>
            <w:r>
              <w:rPr>
                <w:rFonts w:hint="eastAsia"/>
              </w:rPr>
              <w:t>1.1.1 操作温度：室温以上3˚C-450˚C</w:t>
            </w:r>
            <w:r>
              <w:rPr>
                <w:rFonts w:hint="eastAsia"/>
              </w:rPr>
              <w:br w:type="textWrapping"/>
            </w:r>
            <w:r>
              <w:rPr>
                <w:rFonts w:hint="eastAsia"/>
              </w:rPr>
              <w:t>1.1.2 温度分辨：1˚C温度设定，0.1˚C程序设定</w:t>
            </w:r>
            <w:r>
              <w:rPr>
                <w:rFonts w:hint="eastAsia"/>
              </w:rPr>
              <w:br w:type="textWrapping"/>
            </w:r>
            <w:r>
              <w:rPr>
                <w:rFonts w:hint="eastAsia"/>
              </w:rPr>
              <w:t>1.1.3 降温速率：从450˚C降至50˚C&lt;250秒</w:t>
            </w:r>
            <w:r>
              <w:rPr>
                <w:rFonts w:hint="eastAsia"/>
              </w:rPr>
              <w:br w:type="textWrapping"/>
            </w:r>
            <w:r>
              <w:rPr>
                <w:rFonts w:hint="eastAsia"/>
              </w:rPr>
              <w:t>1.1.4温度稳定性: 0.01˚C/1˚C环境变化</w:t>
            </w:r>
            <w:r>
              <w:rPr>
                <w:rFonts w:hint="eastAsia"/>
              </w:rPr>
              <w:br w:type="textWrapping"/>
            </w:r>
            <w:r>
              <w:rPr>
                <w:rFonts w:hint="eastAsia"/>
              </w:rPr>
              <w:t>1.1.5 升温速率：＞120˚C/min</w:t>
            </w:r>
            <w:r>
              <w:rPr>
                <w:rFonts w:hint="eastAsia"/>
              </w:rPr>
              <w:br w:type="textWrapping"/>
            </w:r>
            <w:r>
              <w:rPr>
                <w:rFonts w:hint="eastAsia"/>
              </w:rPr>
              <w:t>1.2分流/不分流毛细管柱进样口（带电子气路控制）</w:t>
            </w:r>
            <w:r>
              <w:rPr>
                <w:rFonts w:hint="eastAsia"/>
              </w:rPr>
              <w:br w:type="textWrapping"/>
            </w:r>
            <w:r>
              <w:rPr>
                <w:rFonts w:hint="eastAsia"/>
              </w:rPr>
              <w:t>1.2.1 最高使用温度400˚C</w:t>
            </w:r>
            <w:r>
              <w:rPr>
                <w:rFonts w:hint="eastAsia"/>
              </w:rPr>
              <w:br w:type="textWrapping"/>
            </w:r>
            <w:r>
              <w:rPr>
                <w:rFonts w:hint="eastAsia"/>
              </w:rPr>
              <w:t>1.2.2 流量设定范围：0~500ml/min（以N2为载气时）</w:t>
            </w:r>
            <w:r>
              <w:rPr>
                <w:rFonts w:hint="eastAsia"/>
              </w:rPr>
              <w:br w:type="textWrapping"/>
            </w:r>
            <w:r>
              <w:rPr>
                <w:rFonts w:hint="eastAsia"/>
              </w:rPr>
              <w:t xml:space="preserve">                   0~1250ml/min（以H2或He为载气时）</w:t>
            </w:r>
            <w:r>
              <w:rPr>
                <w:rFonts w:hint="eastAsia"/>
              </w:rPr>
              <w:br w:type="textWrapping"/>
            </w:r>
            <w:r>
              <w:rPr>
                <w:rFonts w:hint="eastAsia"/>
              </w:rPr>
              <w:t>1.2.3分流比可达12500:1</w:t>
            </w:r>
            <w:r>
              <w:rPr>
                <w:rFonts w:hint="eastAsia"/>
              </w:rPr>
              <w:br w:type="textWrapping"/>
            </w:r>
            <w:r>
              <w:rPr>
                <w:rFonts w:hint="eastAsia"/>
              </w:rPr>
              <w:t>1.2.4适合于所有毛细管柱，内径从50μm-530μm</w:t>
            </w:r>
            <w:r>
              <w:rPr>
                <w:rFonts w:hint="eastAsia"/>
              </w:rPr>
              <w:br w:type="textWrapping"/>
            </w:r>
            <w:r>
              <w:rPr>
                <w:rFonts w:hint="eastAsia"/>
              </w:rPr>
              <w:t>1.2.5 最大耐压150psi</w:t>
            </w:r>
            <w:r>
              <w:rPr>
                <w:rFonts w:hint="eastAsia"/>
              </w:rPr>
              <w:br w:type="textWrapping"/>
            </w:r>
            <w:r>
              <w:rPr>
                <w:rFonts w:hint="eastAsia"/>
              </w:rPr>
              <w:t>1.2.6 基线漂移</w:t>
            </w:r>
            <w:r>
              <w:rPr>
                <w:rFonts w:hint="eastAsia"/>
                <w:color w:val="auto"/>
              </w:rPr>
              <w:t>≤0.1mV/30min</w:t>
            </w:r>
            <w:r>
              <w:rPr>
                <w:rFonts w:hint="eastAsia"/>
                <w:color w:val="auto"/>
              </w:rPr>
              <w:br w:type="textWrapping"/>
            </w:r>
            <w:r>
              <w:rPr>
                <w:rFonts w:hint="eastAsia"/>
                <w:color w:val="auto"/>
              </w:rPr>
              <w:t>2 检测器</w:t>
            </w:r>
            <w:r>
              <w:rPr>
                <w:rFonts w:hint="eastAsia"/>
                <w:color w:val="auto"/>
              </w:rPr>
              <w:br w:type="textWrapping"/>
            </w:r>
            <w:r>
              <w:rPr>
                <w:rFonts w:hint="eastAsia"/>
                <w:color w:val="auto"/>
              </w:rPr>
              <w:t>2.1氢火焰检测器（FID）</w:t>
            </w:r>
            <w:r>
              <w:rPr>
                <w:rFonts w:hint="eastAsia"/>
                <w:color w:val="auto"/>
              </w:rPr>
              <w:br w:type="textWrapping"/>
            </w:r>
            <w:r>
              <w:rPr>
                <w:rFonts w:hint="eastAsia"/>
                <w:color w:val="auto"/>
              </w:rPr>
              <w:t>2.1.1最高使用温度：450℃；</w:t>
            </w:r>
            <w:r>
              <w:rPr>
                <w:rFonts w:hint="eastAsia"/>
                <w:color w:val="auto"/>
              </w:rPr>
              <w:br w:type="textWrapping"/>
            </w:r>
            <w:r>
              <w:rPr>
                <w:rFonts w:hint="eastAsia"/>
                <w:color w:val="auto"/>
              </w:rPr>
              <w:t>2.1.2自动再点火装置，具有自动灭火检测功能；</w:t>
            </w:r>
            <w:r>
              <w:rPr>
                <w:rFonts w:hint="eastAsia"/>
                <w:color w:val="auto"/>
              </w:rPr>
              <w:br w:type="textWrapping"/>
            </w:r>
            <w:r>
              <w:rPr>
                <w:rFonts w:hint="eastAsia"/>
                <w:color w:val="auto"/>
              </w:rPr>
              <w:t xml:space="preserve">2.2电子捕获检测器（ECD） </w:t>
            </w:r>
            <w:r>
              <w:rPr>
                <w:rFonts w:hint="eastAsia"/>
                <w:color w:val="auto"/>
              </w:rPr>
              <w:br w:type="textWrapping"/>
            </w:r>
            <w:r>
              <w:rPr>
                <w:rFonts w:hint="eastAsia"/>
                <w:color w:val="auto"/>
              </w:rPr>
              <w:t>2.2.1数据采样速率:50Hz</w:t>
            </w:r>
            <w:r>
              <w:rPr>
                <w:rFonts w:hint="eastAsia"/>
                <w:color w:val="auto"/>
              </w:rPr>
              <w:br w:type="textWrapping"/>
            </w:r>
            <w:r>
              <w:rPr>
                <w:rFonts w:hint="eastAsia"/>
                <w:color w:val="auto"/>
              </w:rPr>
              <w:t>2.2.2最高使用温度：400℃</w:t>
            </w:r>
          </w:p>
          <w:p w14:paraId="1A2325A3">
            <w:pPr>
              <w:spacing w:after="160"/>
            </w:pPr>
            <w:r>
              <w:rPr>
                <w:rFonts w:hint="eastAsia"/>
                <w:color w:val="auto"/>
              </w:rPr>
              <w:t>2.3液体自动进样器</w:t>
            </w:r>
            <w:r>
              <w:rPr>
                <w:rFonts w:hint="eastAsia"/>
                <w:color w:val="auto"/>
              </w:rPr>
              <w:br w:type="textWrapping"/>
            </w:r>
            <w:r>
              <w:rPr>
                <w:rFonts w:hint="eastAsia"/>
                <w:color w:val="auto"/>
              </w:rPr>
              <w:t>2.3.1 液体进样量范围：通常介于0.5-50μL之间</w:t>
            </w:r>
            <w:r>
              <w:rPr>
                <w:rFonts w:hint="eastAsia"/>
                <w:color w:val="auto"/>
              </w:rPr>
              <w:br w:type="textWrapping"/>
            </w:r>
            <w:r>
              <w:rPr>
                <w:rFonts w:hint="eastAsia"/>
                <w:color w:val="auto"/>
              </w:rPr>
              <w:t>2.3.2 样品瓶位数：进样塔的样品盘位数不少于100位</w:t>
            </w:r>
            <w:r>
              <w:rPr>
                <w:rFonts w:hint="eastAsia"/>
                <w:color w:val="auto"/>
              </w:rPr>
              <w:br w:type="textWrapping"/>
            </w:r>
            <w:r>
              <w:rPr>
                <w:rFonts w:hint="eastAsia"/>
                <w:color w:val="auto"/>
              </w:rPr>
              <w:t>2.3.3 进样量线性：≥99%</w:t>
            </w:r>
            <w:r>
              <w:rPr>
                <w:rFonts w:hint="eastAsia"/>
                <w:color w:val="auto"/>
              </w:rPr>
              <w:br w:type="textWrapping"/>
            </w:r>
            <w:r>
              <w:rPr>
                <w:rFonts w:hint="eastAsia"/>
                <w:color w:val="auto"/>
              </w:rPr>
              <w:t>2.3.4 面积重现性：小于0.3% RSD</w:t>
            </w:r>
            <w:r>
              <w:rPr>
                <w:rFonts w:hint="eastAsia"/>
                <w:color w:val="auto"/>
              </w:rPr>
              <w:br w:type="textWrapping"/>
            </w:r>
            <w:r>
              <w:rPr>
                <w:rFonts w:hint="eastAsia"/>
                <w:color w:val="auto"/>
              </w:rPr>
              <w:t>2.3.5可升级配置样品加温/降温等样品预处理功能</w:t>
            </w:r>
            <w:r>
              <w:rPr>
                <w:rFonts w:hint="eastAsia"/>
              </w:rPr>
              <w:br w:type="textWrapping"/>
            </w:r>
            <w:r>
              <w:rPr>
                <w:rFonts w:hint="eastAsia"/>
                <w:color w:val="FF0000"/>
                <w:lang w:val="en-US" w:eastAsia="zh-CN"/>
              </w:rPr>
              <w:t xml:space="preserve">3 </w:t>
            </w:r>
            <w:r>
              <w:rPr>
                <w:rFonts w:hint="eastAsia"/>
              </w:rPr>
              <w:t>配置要求：</w:t>
            </w:r>
            <w:r>
              <w:rPr>
                <w:rFonts w:hint="eastAsia"/>
              </w:rPr>
              <w:br w:type="textWrapping"/>
            </w:r>
            <w:r>
              <w:rPr>
                <w:rFonts w:hint="eastAsia"/>
                <w:lang w:val="en-US" w:eastAsia="zh-CN"/>
              </w:rPr>
              <w:t>3.</w:t>
            </w:r>
            <w:r>
              <w:rPr>
                <w:rFonts w:hint="eastAsia"/>
              </w:rPr>
              <w:t>1</w:t>
            </w:r>
            <w:r>
              <w:rPr>
                <w:rFonts w:hint="eastAsia"/>
                <w:lang w:val="en-US" w:eastAsia="zh-CN"/>
              </w:rPr>
              <w:t xml:space="preserve"> </w:t>
            </w:r>
            <w:r>
              <w:rPr>
                <w:rFonts w:hint="eastAsia"/>
              </w:rPr>
              <w:t>气相色谱主机1台</w:t>
            </w:r>
            <w:r>
              <w:rPr>
                <w:rFonts w:hint="eastAsia"/>
              </w:rPr>
              <w:br w:type="textWrapping"/>
            </w:r>
            <w:r>
              <w:rPr>
                <w:rFonts w:hint="eastAsia"/>
                <w:lang w:val="en-US" w:eastAsia="zh-CN"/>
              </w:rPr>
              <w:t xml:space="preserve">3.2 </w:t>
            </w:r>
            <w:r>
              <w:rPr>
                <w:rFonts w:hint="eastAsia"/>
              </w:rPr>
              <w:t>分流/不分流进样口1个</w:t>
            </w:r>
            <w:r>
              <w:rPr>
                <w:rFonts w:hint="eastAsia"/>
              </w:rPr>
              <w:br w:type="textWrapping"/>
            </w:r>
            <w:r>
              <w:rPr>
                <w:rFonts w:hint="eastAsia"/>
              </w:rPr>
              <w:t>3</w:t>
            </w:r>
            <w:r>
              <w:rPr>
                <w:rFonts w:hint="eastAsia"/>
                <w:lang w:val="en-US" w:eastAsia="zh-CN"/>
              </w:rPr>
              <w:t xml:space="preserve">.3 </w:t>
            </w:r>
            <w:r>
              <w:rPr>
                <w:rFonts w:hint="eastAsia"/>
              </w:rPr>
              <w:t>氢火焰检测器1个</w:t>
            </w:r>
            <w:r>
              <w:rPr>
                <w:rFonts w:hint="eastAsia"/>
              </w:rPr>
              <w:br w:type="textWrapping"/>
            </w:r>
            <w:r>
              <w:rPr>
                <w:rFonts w:hint="eastAsia"/>
                <w:lang w:val="en-US" w:eastAsia="zh-CN"/>
              </w:rPr>
              <w:t>3.</w:t>
            </w:r>
            <w:r>
              <w:rPr>
                <w:rFonts w:hint="eastAsia"/>
              </w:rPr>
              <w:t>4</w:t>
            </w:r>
            <w:r>
              <w:rPr>
                <w:rFonts w:hint="eastAsia"/>
                <w:lang w:val="en-US" w:eastAsia="zh-CN"/>
              </w:rPr>
              <w:t xml:space="preserve">  </w:t>
            </w:r>
            <w:r>
              <w:rPr>
                <w:rFonts w:hint="eastAsia"/>
              </w:rPr>
              <w:t>ECD检测器1个</w:t>
            </w:r>
            <w:r>
              <w:rPr>
                <w:rFonts w:hint="eastAsia"/>
              </w:rPr>
              <w:br w:type="textWrapping"/>
            </w:r>
            <w:r>
              <w:rPr>
                <w:rFonts w:hint="eastAsia"/>
                <w:lang w:val="en-US" w:eastAsia="zh-CN"/>
              </w:rPr>
              <w:t xml:space="preserve">3.5 </w:t>
            </w:r>
            <w:r>
              <w:rPr>
                <w:rFonts w:hint="eastAsia"/>
              </w:rPr>
              <w:t>液体自动进样器1套</w:t>
            </w:r>
            <w:r>
              <w:rPr>
                <w:rFonts w:hint="eastAsia"/>
              </w:rPr>
              <w:br w:type="textWrapping"/>
            </w:r>
            <w:r>
              <w:rPr>
                <w:rFonts w:hint="eastAsia"/>
                <w:lang w:val="en-US" w:eastAsia="zh-CN"/>
              </w:rPr>
              <w:t xml:space="preserve">3.6 </w:t>
            </w:r>
            <w:r>
              <w:rPr>
                <w:rFonts w:hint="eastAsia"/>
              </w:rPr>
              <w:t>原装化学工作站软件1套</w:t>
            </w:r>
            <w:r>
              <w:rPr>
                <w:rFonts w:hint="eastAsia"/>
              </w:rPr>
              <w:br w:type="textWrapping"/>
            </w:r>
            <w:r>
              <w:rPr>
                <w:rFonts w:hint="eastAsia"/>
                <w:lang w:val="en-US" w:eastAsia="zh-CN"/>
              </w:rPr>
              <w:t xml:space="preserve">3.7 </w:t>
            </w:r>
            <w:r>
              <w:rPr>
                <w:rFonts w:hint="eastAsia"/>
              </w:rPr>
              <w:t>安装工具包1套</w:t>
            </w:r>
            <w:r>
              <w:rPr>
                <w:rFonts w:hint="eastAsia"/>
              </w:rPr>
              <w:br w:type="textWrapping"/>
            </w:r>
            <w:r>
              <w:rPr>
                <w:rFonts w:hint="eastAsia"/>
                <w:lang w:val="en-US" w:eastAsia="zh-CN"/>
              </w:rPr>
              <w:t xml:space="preserve">3.8 </w:t>
            </w:r>
            <w:r>
              <w:rPr>
                <w:rFonts w:hint="eastAsia"/>
              </w:rPr>
              <w:t xml:space="preserve">衬管10支，石墨密封垫10个，柱螺帽2个，低流失不粘连进样隔垫100个，手动进样针1只 ，螺纹口样品瓶及盖各200个，捕集阱2个                                         </w:t>
            </w:r>
            <w:r>
              <w:rPr>
                <w:rFonts w:hint="eastAsia"/>
              </w:rPr>
              <w:br w:type="textWrapping"/>
            </w:r>
            <w:r>
              <w:rPr>
                <w:rFonts w:hint="eastAsia"/>
                <w:lang w:val="en-US" w:eastAsia="zh-CN"/>
              </w:rPr>
              <w:t xml:space="preserve">3.9 </w:t>
            </w:r>
            <w:r>
              <w:rPr>
                <w:rFonts w:hint="eastAsia"/>
              </w:rPr>
              <w:t>氢气发生器 1套</w:t>
            </w:r>
            <w:r>
              <w:rPr>
                <w:rFonts w:hint="eastAsia"/>
              </w:rPr>
              <w:br w:type="textWrapping"/>
            </w:r>
            <w:r>
              <w:rPr>
                <w:rFonts w:hint="eastAsia"/>
                <w:lang w:val="en-US" w:eastAsia="zh-CN"/>
              </w:rPr>
              <w:t>3.</w:t>
            </w:r>
            <w:r>
              <w:rPr>
                <w:rFonts w:hint="eastAsia"/>
              </w:rPr>
              <w:t>10</w:t>
            </w:r>
            <w:r>
              <w:rPr>
                <w:rFonts w:hint="eastAsia"/>
                <w:lang w:val="en-US" w:eastAsia="zh-CN"/>
              </w:rPr>
              <w:t xml:space="preserve"> </w:t>
            </w:r>
            <w:r>
              <w:rPr>
                <w:rFonts w:hint="eastAsia"/>
              </w:rPr>
              <w:t>空气发生器1套</w:t>
            </w:r>
            <w:r>
              <w:rPr>
                <w:rFonts w:hint="eastAsia"/>
              </w:rPr>
              <w:br w:type="textWrapping"/>
            </w:r>
            <w:r>
              <w:rPr>
                <w:rFonts w:hint="eastAsia"/>
                <w:lang w:val="en-US" w:eastAsia="zh-CN"/>
              </w:rPr>
              <w:t>3.</w:t>
            </w:r>
            <w:r>
              <w:rPr>
                <w:rFonts w:hint="eastAsia"/>
              </w:rPr>
              <w:t xml:space="preserve">11氮气钢瓶及减压表                                             1套 </w:t>
            </w:r>
            <w:r>
              <w:rPr>
                <w:rFonts w:hint="eastAsia"/>
              </w:rPr>
              <w:br w:type="textWrapping"/>
            </w:r>
            <w:r>
              <w:rPr>
                <w:rFonts w:hint="eastAsia"/>
                <w:lang w:val="en-US" w:eastAsia="zh-CN"/>
              </w:rPr>
              <w:t>3.</w:t>
            </w:r>
            <w:r>
              <w:rPr>
                <w:rFonts w:hint="eastAsia"/>
              </w:rPr>
              <w:t>12</w:t>
            </w:r>
            <w:r>
              <w:rPr>
                <w:rFonts w:hint="eastAsia"/>
                <w:lang w:val="en-US" w:eastAsia="zh-CN"/>
              </w:rPr>
              <w:t xml:space="preserve"> </w:t>
            </w:r>
            <w:r>
              <w:rPr>
                <w:rFonts w:hint="eastAsia"/>
              </w:rPr>
              <w:t xml:space="preserve">电脑及打印机 </w:t>
            </w:r>
          </w:p>
        </w:tc>
      </w:tr>
      <w:tr w14:paraId="384C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754" w:type="dxa"/>
            <w:noWrap/>
            <w:vAlign w:val="center"/>
          </w:tcPr>
          <w:p w14:paraId="1E4EEC0A">
            <w:pPr>
              <w:jc w:val="center"/>
            </w:pPr>
            <w:r>
              <w:rPr>
                <w:rFonts w:hint="eastAsia"/>
              </w:rPr>
              <w:t>11</w:t>
            </w:r>
          </w:p>
        </w:tc>
        <w:tc>
          <w:tcPr>
            <w:tcW w:w="1146" w:type="dxa"/>
            <w:noWrap/>
            <w:vAlign w:val="center"/>
          </w:tcPr>
          <w:p w14:paraId="09419CD7">
            <w:pPr>
              <w:jc w:val="center"/>
            </w:pPr>
            <w:r>
              <w:rPr>
                <w:rFonts w:hint="eastAsia"/>
              </w:rPr>
              <w:t>离子色谱仪</w:t>
            </w:r>
          </w:p>
        </w:tc>
        <w:tc>
          <w:tcPr>
            <w:tcW w:w="634" w:type="dxa"/>
            <w:noWrap/>
            <w:vAlign w:val="center"/>
          </w:tcPr>
          <w:p w14:paraId="4B514050">
            <w:pPr>
              <w:jc w:val="center"/>
            </w:pPr>
            <w:r>
              <w:rPr>
                <w:rFonts w:hint="eastAsia"/>
              </w:rPr>
              <w:t>套</w:t>
            </w:r>
          </w:p>
        </w:tc>
        <w:tc>
          <w:tcPr>
            <w:tcW w:w="593" w:type="dxa"/>
            <w:noWrap/>
            <w:vAlign w:val="center"/>
          </w:tcPr>
          <w:p w14:paraId="06E0FF0D">
            <w:pPr>
              <w:jc w:val="center"/>
            </w:pPr>
            <w:r>
              <w:rPr>
                <w:rFonts w:hint="eastAsia"/>
              </w:rPr>
              <w:t>1</w:t>
            </w:r>
          </w:p>
        </w:tc>
        <w:tc>
          <w:tcPr>
            <w:tcW w:w="7517" w:type="dxa"/>
          </w:tcPr>
          <w:p w14:paraId="7E51C622">
            <w:pPr>
              <w:spacing w:after="160"/>
            </w:pPr>
            <w:r>
              <w:rPr>
                <w:rFonts w:hint="eastAsia"/>
              </w:rPr>
              <w:t>离子色谱仪</w:t>
            </w:r>
            <w:r>
              <w:rPr>
                <w:rFonts w:hint="eastAsia"/>
              </w:rPr>
              <w:br w:type="textWrapping"/>
            </w:r>
            <w:r>
              <w:rPr>
                <w:rFonts w:hint="eastAsia"/>
              </w:rPr>
              <w:t>1.用途及工作条件</w:t>
            </w:r>
            <w:r>
              <w:rPr>
                <w:rFonts w:hint="eastAsia"/>
              </w:rPr>
              <w:br w:type="textWrapping"/>
            </w:r>
            <w:r>
              <w:rPr>
                <w:rFonts w:hint="eastAsia"/>
              </w:rPr>
              <w:t>1.1用途</w:t>
            </w:r>
            <w:r>
              <w:rPr>
                <w:rFonts w:hint="eastAsia"/>
              </w:rPr>
              <w:br w:type="textWrapping"/>
            </w:r>
            <w:r>
              <w:rPr>
                <w:rFonts w:hint="eastAsia"/>
              </w:rPr>
              <w:t>适用于样品中阴阳离子、有机酸及有机胺类物质的分析</w:t>
            </w:r>
            <w:r>
              <w:rPr>
                <w:rFonts w:hint="eastAsia"/>
              </w:rPr>
              <w:br w:type="textWrapping"/>
            </w:r>
            <w:r>
              <w:rPr>
                <w:rFonts w:hint="eastAsia"/>
              </w:rPr>
              <w:t>1.2工作条件</w:t>
            </w:r>
            <w:r>
              <w:rPr>
                <w:rFonts w:hint="eastAsia"/>
              </w:rPr>
              <w:br w:type="textWrapping"/>
            </w:r>
            <w:r>
              <w:rPr>
                <w:rFonts w:hint="eastAsia"/>
              </w:rPr>
              <w:t>1.2.1工作电源： 220V；</w:t>
            </w:r>
            <w:r>
              <w:rPr>
                <w:rFonts w:hint="eastAsia"/>
              </w:rPr>
              <w:br w:type="textWrapping"/>
            </w:r>
            <w:r>
              <w:rPr>
                <w:rFonts w:hint="eastAsia"/>
              </w:rPr>
              <w:t>1.2.2 环境温度：-10~+50℃</w:t>
            </w:r>
            <w:r>
              <w:rPr>
                <w:rFonts w:hint="eastAsia"/>
              </w:rPr>
              <w:br w:type="textWrapping"/>
            </w:r>
            <w:r>
              <w:rPr>
                <w:rFonts w:hint="eastAsia"/>
              </w:rPr>
              <w:t>1.2.3 相对湿度：10~80%</w:t>
            </w:r>
            <w:r>
              <w:rPr>
                <w:rFonts w:hint="eastAsia"/>
              </w:rPr>
              <w:br w:type="textWrapping"/>
            </w:r>
            <w:r>
              <w:rPr>
                <w:rFonts w:hint="eastAsia"/>
              </w:rPr>
              <w:t>2技术要求</w:t>
            </w:r>
            <w:r>
              <w:rPr>
                <w:rFonts w:hint="eastAsia"/>
              </w:rPr>
              <w:br w:type="textWrapping"/>
            </w:r>
            <w:r>
              <w:rPr>
                <w:rFonts w:hint="eastAsia"/>
              </w:rPr>
              <w:t>▲2.1 离子色谱系统，包括高压PEEK泵，内置电动六通阀，内置柱温箱，保护柱，分析柱，电解淋洗液发生器，阴 离子抑制器和电导检测器，整个系统兼容Viper（零死体积）接头及管线。</w:t>
            </w:r>
            <w:r>
              <w:rPr>
                <w:rFonts w:hint="eastAsia"/>
              </w:rPr>
              <w:br w:type="textWrapping"/>
            </w:r>
            <w:r>
              <w:rPr>
                <w:rFonts w:hint="eastAsia"/>
              </w:rPr>
              <w:t xml:space="preserve">2.1.1 标配漏液传感器，实时监控泵、色谱柱、六通阀、电导检测器及管路的连接状态。 </w:t>
            </w:r>
            <w:r>
              <w:rPr>
                <w:rFonts w:hint="eastAsia"/>
              </w:rPr>
              <w:br w:type="textWrapping"/>
            </w:r>
            <w:r>
              <w:rPr>
                <w:rFonts w:hint="eastAsia"/>
              </w:rPr>
              <w:t>#2.1.2主机内部预留额外的阀位，可额外安装一个内置六通阀或内置十通阀用于在线样品前处理。</w:t>
            </w:r>
            <w:r>
              <w:rPr>
                <w:rFonts w:hint="eastAsia"/>
              </w:rPr>
              <w:br w:type="textWrapping"/>
            </w:r>
            <w:r>
              <w:rPr>
                <w:rFonts w:hint="eastAsia"/>
              </w:rPr>
              <w:t>2.2 泵</w:t>
            </w:r>
            <w:r>
              <w:rPr>
                <w:rFonts w:hint="eastAsia"/>
              </w:rPr>
              <w:br w:type="textWrapping"/>
            </w:r>
            <w:r>
              <w:rPr>
                <w:rFonts w:hint="eastAsia"/>
              </w:rPr>
              <w:t>▲2.2.1 高性能/低脉冲高压双柱塞泵，泵所有部件含泵外壳、单向阀外壳、单向阀阀芯、及管路均为化学惰性非金属PEEK材质，适合于pH为0～14的淋洗液及反相有机溶剂。</w:t>
            </w:r>
            <w:r>
              <w:rPr>
                <w:rFonts w:hint="eastAsia"/>
              </w:rPr>
              <w:br w:type="textWrapping"/>
            </w:r>
            <w:r>
              <w:rPr>
                <w:rFonts w:hint="eastAsia"/>
              </w:rPr>
              <w:t>2.2.2 流量范围：0.00-5.00 mL/min。</w:t>
            </w:r>
            <w:r>
              <w:rPr>
                <w:rFonts w:hint="eastAsia"/>
              </w:rPr>
              <w:br w:type="textWrapping"/>
            </w:r>
            <w:r>
              <w:rPr>
                <w:rFonts w:hint="eastAsia"/>
              </w:rPr>
              <w:t>2.2.3 最大耐压：35MPa（5000psi）。</w:t>
            </w:r>
            <w:r>
              <w:rPr>
                <w:rFonts w:hint="eastAsia"/>
              </w:rPr>
              <w:br w:type="textWrapping"/>
            </w:r>
            <w:r>
              <w:rPr>
                <w:rFonts w:hint="eastAsia"/>
              </w:rPr>
              <w:t>2.2.4 压力脉冲：&lt;1.0%。</w:t>
            </w:r>
            <w:r>
              <w:rPr>
                <w:rFonts w:hint="eastAsia"/>
              </w:rPr>
              <w:br w:type="textWrapping"/>
            </w:r>
            <w:r>
              <w:rPr>
                <w:rFonts w:hint="eastAsia"/>
              </w:rPr>
              <w:t>2.2.5 流量设定值误差：&lt;0.1%。</w:t>
            </w:r>
            <w:r>
              <w:rPr>
                <w:rFonts w:hint="eastAsia"/>
              </w:rPr>
              <w:br w:type="textWrapping"/>
            </w:r>
            <w:r>
              <w:rPr>
                <w:rFonts w:hint="eastAsia"/>
              </w:rPr>
              <w:t>2.2.6 流量稳定性：&lt;0.1%。</w:t>
            </w:r>
            <w:r>
              <w:rPr>
                <w:rFonts w:hint="eastAsia"/>
              </w:rPr>
              <w:br w:type="textWrapping"/>
            </w:r>
            <w:r>
              <w:rPr>
                <w:rFonts w:hint="eastAsia"/>
              </w:rPr>
              <w:t>2.2.7 淋洗液截止阀：标配。</w:t>
            </w:r>
            <w:r>
              <w:rPr>
                <w:rFonts w:hint="eastAsia"/>
              </w:rPr>
              <w:br w:type="textWrapping"/>
            </w:r>
            <w:r>
              <w:rPr>
                <w:rFonts w:hint="eastAsia"/>
              </w:rPr>
              <w:t>#2.2.8 密封圈清洗：独立的在线密封圈清洗室，可升级密封圈自动清洗系统，与分析同步进行，减少密封圈的磨损，延长泵的维护周期。</w:t>
            </w:r>
            <w:r>
              <w:rPr>
                <w:rFonts w:hint="eastAsia"/>
              </w:rPr>
              <w:br w:type="textWrapping"/>
            </w:r>
            <w:r>
              <w:rPr>
                <w:rFonts w:hint="eastAsia"/>
              </w:rPr>
              <w:t>#2.2.9泵废液阀需集成在泵内部，不能是独立的一部分。</w:t>
            </w:r>
          </w:p>
          <w:p w14:paraId="3D157942">
            <w:pPr>
              <w:spacing w:after="160"/>
            </w:pPr>
            <w:r>
              <w:rPr>
                <w:rFonts w:hint="eastAsia"/>
              </w:rPr>
              <w:t>2.3 色谱分析柱</w:t>
            </w:r>
            <w:r>
              <w:rPr>
                <w:rFonts w:hint="eastAsia"/>
              </w:rPr>
              <w:br w:type="textWrapping"/>
            </w:r>
            <w:r>
              <w:rPr>
                <w:rFonts w:hint="eastAsia"/>
              </w:rPr>
              <w:t>2.3.1 原厂生产的高效高容量阴离子分析柱及保护柱 1套。</w:t>
            </w:r>
            <w:r>
              <w:rPr>
                <w:rFonts w:hint="eastAsia"/>
              </w:rPr>
              <w:br w:type="textWrapping"/>
            </w:r>
            <w:r>
              <w:rPr>
                <w:rFonts w:hint="eastAsia"/>
              </w:rPr>
              <w:t>2.3.2 乙基乙烯基苯/二乙烯基苯聚合物填料，键和烷醇季铵基官能团</w:t>
            </w:r>
            <w:r>
              <w:rPr>
                <w:rFonts w:hint="eastAsia"/>
              </w:rPr>
              <w:br w:type="textWrapping"/>
            </w:r>
            <w:r>
              <w:rPr>
                <w:rFonts w:hint="eastAsia"/>
              </w:rPr>
              <w:t>2.3.3 兼容氢氧根淋洗液梯度洗脱。</w:t>
            </w:r>
            <w:r>
              <w:rPr>
                <w:rFonts w:hint="eastAsia"/>
              </w:rPr>
              <w:br w:type="textWrapping"/>
            </w:r>
            <w:r>
              <w:rPr>
                <w:rFonts w:hint="eastAsia"/>
              </w:rPr>
              <w:t>2.3.4 耐受0-14的pH工作范围。</w:t>
            </w:r>
            <w:r>
              <w:rPr>
                <w:rFonts w:hint="eastAsia"/>
              </w:rPr>
              <w:br w:type="textWrapping"/>
            </w:r>
            <w:r>
              <w:rPr>
                <w:rFonts w:hint="eastAsia"/>
              </w:rPr>
              <w:t xml:space="preserve">2.3.5 耐受2.0mL/min及以上的流速。 </w:t>
            </w:r>
            <w:r>
              <w:rPr>
                <w:rFonts w:hint="eastAsia"/>
              </w:rPr>
              <w:br w:type="textWrapping"/>
            </w:r>
            <w:r>
              <w:rPr>
                <w:rFonts w:hint="eastAsia"/>
              </w:rPr>
              <w:t>▲2.3.6 耐受0-14的pH工作范围，且最大耐压不小于4000psi，且耐受2.0mL/min及以上的流速，并且柱容量不小于125</w:t>
            </w:r>
            <w:r>
              <w:t>μ</w:t>
            </w:r>
            <w:r>
              <w:rPr>
                <w:rFonts w:hint="eastAsia"/>
              </w:rPr>
              <w:t>eq/根。</w:t>
            </w:r>
            <w:r>
              <w:rPr>
                <w:rFonts w:hint="eastAsia"/>
              </w:rPr>
              <w:br w:type="textWrapping"/>
            </w:r>
            <w:r>
              <w:rPr>
                <w:rFonts w:hint="eastAsia"/>
              </w:rPr>
              <w:t>▲2.3.7 一针进样同时检测七种离子：氟、氯、溴、亚硝酸根、硝酸根、硫酸根、磷酸根，且一针样品分析时间不大于4.7分钟，七种离子均可达到基线分离，分离度均大于1.5。</w:t>
            </w:r>
            <w:r>
              <w:rPr>
                <w:rFonts w:hint="eastAsia"/>
              </w:rPr>
              <w:br w:type="textWrapping"/>
            </w:r>
            <w:r>
              <w:rPr>
                <w:rFonts w:hint="eastAsia"/>
              </w:rPr>
              <w:t>2.4 柱温箱</w:t>
            </w:r>
            <w:r>
              <w:rPr>
                <w:rFonts w:hint="eastAsia"/>
              </w:rPr>
              <w:br w:type="textWrapping"/>
            </w:r>
            <w:r>
              <w:rPr>
                <w:rFonts w:hint="eastAsia"/>
              </w:rPr>
              <w:t>2.4.1 温控范围：10℃ - 60℃。（最低为环境+5℃）</w:t>
            </w:r>
            <w:r>
              <w:rPr>
                <w:rFonts w:hint="eastAsia"/>
              </w:rPr>
              <w:br w:type="textWrapping"/>
            </w:r>
            <w:r>
              <w:rPr>
                <w:rFonts w:hint="eastAsia"/>
              </w:rPr>
              <w:t>#2.4.2 种类：内置柱温控模块。</w:t>
            </w:r>
            <w:r>
              <w:rPr>
                <w:rFonts w:hint="eastAsia"/>
              </w:rPr>
              <w:br w:type="textWrapping"/>
            </w:r>
            <w:r>
              <w:rPr>
                <w:rFonts w:hint="eastAsia"/>
              </w:rPr>
              <w:t>2.4.3 具有样品和淋洗液预加热功能。</w:t>
            </w:r>
            <w:r>
              <w:rPr>
                <w:rFonts w:hint="eastAsia"/>
              </w:rPr>
              <w:br w:type="textWrapping"/>
            </w:r>
            <w:r>
              <w:rPr>
                <w:rFonts w:hint="eastAsia"/>
              </w:rPr>
              <w:t>2.5 抑制器</w:t>
            </w:r>
            <w:r>
              <w:rPr>
                <w:rFonts w:hint="eastAsia"/>
              </w:rPr>
              <w:br w:type="textWrapping"/>
            </w:r>
            <w:r>
              <w:rPr>
                <w:rFonts w:hint="eastAsia"/>
              </w:rPr>
              <w:t>2.5.1 原厂生产阴离子抑制器1 套。</w:t>
            </w:r>
            <w:r>
              <w:rPr>
                <w:rFonts w:hint="eastAsia"/>
              </w:rPr>
              <w:br w:type="textWrapping"/>
            </w:r>
            <w:r>
              <w:rPr>
                <w:rFonts w:hint="eastAsia"/>
              </w:rPr>
              <w:t>2.5.2抑制背景总电导小于5.0</w:t>
            </w:r>
            <w:r>
              <w:t>μ</w:t>
            </w:r>
            <w:r>
              <w:rPr>
                <w:rFonts w:hint="eastAsia"/>
              </w:rPr>
              <w:t>S（针对氢氧根体系）。</w:t>
            </w:r>
            <w:r>
              <w:rPr>
                <w:rFonts w:hint="eastAsia"/>
              </w:rPr>
              <w:br w:type="textWrapping"/>
            </w:r>
            <w:r>
              <w:rPr>
                <w:rFonts w:hint="eastAsia"/>
              </w:rPr>
              <w:t>2.5.3 自动电解连续再生微膜抑制器。</w:t>
            </w:r>
            <w:r>
              <w:rPr>
                <w:rFonts w:hint="eastAsia"/>
              </w:rPr>
              <w:br w:type="textWrapping"/>
            </w:r>
            <w:r>
              <w:rPr>
                <w:rFonts w:hint="eastAsia"/>
              </w:rPr>
              <w:t>2.5.4 无需外加酸（包括但不限于硫酸、硝酸、盐酸、甲基磺酸等）进行化学再生。</w:t>
            </w:r>
            <w:r>
              <w:rPr>
                <w:rFonts w:hint="eastAsia"/>
              </w:rPr>
              <w:br w:type="textWrapping"/>
            </w:r>
            <w:r>
              <w:rPr>
                <w:rFonts w:hint="eastAsia"/>
              </w:rPr>
              <w:t>2.5.5 无需使用蠕动泵或其他任何加液装置进行清洗和再生，无需转子切换。</w:t>
            </w:r>
            <w:r>
              <w:rPr>
                <w:rFonts w:hint="eastAsia"/>
              </w:rPr>
              <w:br w:type="textWrapping"/>
            </w:r>
            <w:r>
              <w:rPr>
                <w:rFonts w:hint="eastAsia"/>
              </w:rPr>
              <w:t>2.5.6 抑制器容量 200mM氢氧化钠或氢氧化钾，1.0mL/min流速，至少持续30min。</w:t>
            </w:r>
            <w:r>
              <w:rPr>
                <w:rFonts w:hint="eastAsia"/>
              </w:rPr>
              <w:br w:type="textWrapping"/>
            </w:r>
            <w:r>
              <w:rPr>
                <w:rFonts w:hint="eastAsia"/>
              </w:rPr>
              <w:t>2.5.7 提供多种抑制模式，自循环电抑制、外接水模式等。</w:t>
            </w:r>
            <w:r>
              <w:rPr>
                <w:rFonts w:hint="eastAsia"/>
              </w:rPr>
              <w:br w:type="textWrapping"/>
            </w:r>
            <w:r>
              <w:rPr>
                <w:rFonts w:hint="eastAsia"/>
              </w:rPr>
              <w:t>#2.5.8 所有样品和标样均通过同一抑制器，且淋洗液与再生液通道完全独立。</w:t>
            </w:r>
          </w:p>
          <w:p w14:paraId="301A5D76">
            <w:pPr>
              <w:spacing w:after="160"/>
            </w:pPr>
            <w:r>
              <w:rPr>
                <w:rFonts w:hint="eastAsia"/>
              </w:rPr>
              <w:t>2.6 电导检测器</w:t>
            </w:r>
            <w:r>
              <w:rPr>
                <w:rFonts w:hint="eastAsia"/>
              </w:rPr>
              <w:br w:type="textWrapping"/>
            </w:r>
            <w:r>
              <w:rPr>
                <w:rFonts w:hint="eastAsia"/>
              </w:rPr>
              <w:t>2.6.1 类型：数字信号控制处理器，当检测</w:t>
            </w:r>
            <w:r>
              <w:t>μ</w:t>
            </w:r>
            <w:r>
              <w:rPr>
                <w:rFonts w:hint="eastAsia"/>
              </w:rPr>
              <w:t>g/L级到g/L级不同浓度的离子时，输出信号可直接数字拓展，无需调整量程，输出值应为直接的电导信号，提供具有电导输出的色谱图。</w:t>
            </w:r>
            <w:r>
              <w:rPr>
                <w:rFonts w:hint="eastAsia"/>
              </w:rPr>
              <w:br w:type="textWrapping"/>
            </w:r>
            <w:r>
              <w:rPr>
                <w:rFonts w:hint="eastAsia"/>
              </w:rPr>
              <w:t xml:space="preserve">2.6.2 全程信号输出范围：0-15000 </w:t>
            </w:r>
            <w:r>
              <w:t>μ</w:t>
            </w:r>
            <w:r>
              <w:rPr>
                <w:rFonts w:hint="eastAsia"/>
              </w:rPr>
              <w:t>S/cm。</w:t>
            </w:r>
            <w:r>
              <w:rPr>
                <w:rFonts w:hint="eastAsia"/>
              </w:rPr>
              <w:br w:type="textWrapping"/>
            </w:r>
            <w:r>
              <w:rPr>
                <w:rFonts w:hint="eastAsia"/>
              </w:rPr>
              <w:t>2.6.3 电导池控温范围：15℃ - 60℃。（最低为环境+7℃）</w:t>
            </w:r>
            <w:r>
              <w:rPr>
                <w:rFonts w:hint="eastAsia"/>
              </w:rPr>
              <w:br w:type="textWrapping"/>
            </w:r>
            <w:r>
              <w:rPr>
                <w:rFonts w:hint="eastAsia"/>
              </w:rPr>
              <w:t>2.6.4 电导池电极材料：钝化316不锈钢。</w:t>
            </w:r>
            <w:r>
              <w:rPr>
                <w:rFonts w:hint="eastAsia"/>
              </w:rPr>
              <w:br w:type="textWrapping"/>
            </w:r>
            <w:r>
              <w:rPr>
                <w:rFonts w:hint="eastAsia"/>
              </w:rPr>
              <w:t>2.6.5 电导池体材料：化学惰性聚合材料。</w:t>
            </w:r>
            <w:r>
              <w:rPr>
                <w:rFonts w:hint="eastAsia"/>
              </w:rPr>
              <w:br w:type="textWrapping"/>
            </w:r>
            <w:r>
              <w:rPr>
                <w:rFonts w:hint="eastAsia"/>
              </w:rPr>
              <w:t>2.6.6 检测器分辨率：≤0.003nS/cm。</w:t>
            </w:r>
            <w:r>
              <w:rPr>
                <w:rFonts w:hint="eastAsia"/>
              </w:rPr>
              <w:br w:type="textWrapping"/>
            </w:r>
            <w:r>
              <w:rPr>
                <w:rFonts w:hint="eastAsia"/>
              </w:rPr>
              <w:t>2.6.7 检测器耐受最大压力：≥8MPa。</w:t>
            </w:r>
            <w:r>
              <w:rPr>
                <w:rFonts w:hint="eastAsia"/>
              </w:rPr>
              <w:br w:type="textWrapping"/>
            </w:r>
            <w:r>
              <w:rPr>
                <w:rFonts w:hint="eastAsia"/>
              </w:rPr>
              <w:t>2.6.8 信号采集频率：信号采集频率可调，并且最大采集频率不低于90Hz。</w:t>
            </w:r>
            <w:r>
              <w:rPr>
                <w:rFonts w:hint="eastAsia"/>
              </w:rPr>
              <w:br w:type="textWrapping"/>
            </w:r>
            <w:r>
              <w:rPr>
                <w:rFonts w:hint="eastAsia"/>
              </w:rPr>
              <w:t>2.7 软件</w:t>
            </w:r>
            <w:r>
              <w:rPr>
                <w:rFonts w:hint="eastAsia"/>
              </w:rPr>
              <w:br w:type="textWrapping"/>
            </w:r>
            <w:r>
              <w:rPr>
                <w:rFonts w:hint="eastAsia"/>
              </w:rPr>
              <w:t>2.7.1 操作界面模拟Microsoft®office操作系统，易于学习和操作。</w:t>
            </w:r>
            <w:r>
              <w:rPr>
                <w:rFonts w:hint="eastAsia"/>
              </w:rPr>
              <w:br w:type="textWrapping"/>
            </w:r>
            <w:r>
              <w:rPr>
                <w:rFonts w:hint="eastAsia"/>
              </w:rPr>
              <w:t>2.7.2 基于数据库设计的数据处理功能，修改色谱图、校正曲线后即可实时动态数据更新；可以对样品信息进行自定义搜索，快速查询数据。</w:t>
            </w:r>
            <w:r>
              <w:rPr>
                <w:rFonts w:hint="eastAsia"/>
              </w:rPr>
              <w:br w:type="textWrapping"/>
            </w:r>
            <w:r>
              <w:rPr>
                <w:rFonts w:hint="eastAsia"/>
              </w:rPr>
              <w:t>2.7.3 可导出txt格式原始数据，以满足国外期刊用专门画图软件绘制谱图的需求。可输出PDF、EXCEL、cmbx、AnDI等格式数据，方便数据读取和传输，支持lims系统数据导入。</w:t>
            </w:r>
            <w:r>
              <w:rPr>
                <w:rFonts w:hint="eastAsia"/>
              </w:rPr>
              <w:br w:type="textWrapping"/>
            </w:r>
            <w:r>
              <w:rPr>
                <w:rFonts w:hint="eastAsia"/>
              </w:rPr>
              <w:t>▲2.7.4 可同时控制本公司离子色谱、气相色谱、液相色谱、质谱检测器。</w:t>
            </w:r>
            <w:r>
              <w:rPr>
                <w:rFonts w:hint="eastAsia"/>
              </w:rPr>
              <w:br w:type="textWrapping"/>
            </w:r>
            <w:r>
              <w:rPr>
                <w:rFonts w:hint="eastAsia"/>
              </w:rPr>
              <w:t>2.7.5 支持仪器相关耗材运行状况的审计追踪和溯源，包含但不限于电解淋洗液发生器、抑制器等。</w:t>
            </w:r>
            <w:r>
              <w:rPr>
                <w:rFonts w:hint="eastAsia"/>
              </w:rPr>
              <w:br w:type="textWrapping"/>
            </w:r>
            <w:r>
              <w:rPr>
                <w:rFonts w:hint="eastAsia"/>
              </w:rPr>
              <w:t>2.7.6 具有色谱峰智能积分功能，提供多种可视化的积分方式，一键选择即可完成智能积分，多种积分方式灵活快速切换。</w:t>
            </w:r>
            <w:r>
              <w:rPr>
                <w:rFonts w:hint="eastAsia"/>
              </w:rPr>
              <w:br w:type="textWrapping"/>
            </w:r>
            <w:r>
              <w:rPr>
                <w:rFonts w:hint="eastAsia"/>
              </w:rPr>
              <w:t>2.7.7 配置虚拟柱软件技术，模拟不同阴离子色谱柱对30种以上阴离子和阳离子和有机酸的分离效果，可帮助进行快速方法开发及辅助未知物定性。可选配软件集成全功能版虚拟柱技术。</w:t>
            </w:r>
          </w:p>
          <w:p w14:paraId="4C04567F">
            <w:pPr>
              <w:spacing w:after="160"/>
            </w:pPr>
            <w:r>
              <w:rPr>
                <w:rFonts w:hint="eastAsia"/>
              </w:rPr>
              <w:t>2.8 在线电解淋洗液发生器</w:t>
            </w:r>
            <w:r>
              <w:rPr>
                <w:rFonts w:hint="eastAsia"/>
              </w:rPr>
              <w:br w:type="textWrapping"/>
            </w:r>
            <w:r>
              <w:rPr>
                <w:rFonts w:hint="eastAsia"/>
              </w:rPr>
              <w:t>2.8.1 梯度产生：高压梯度，梯度产生在泵后高压区，梯度延迟体积小，梯度延迟时间短。</w:t>
            </w:r>
            <w:r>
              <w:rPr>
                <w:rFonts w:hint="eastAsia"/>
              </w:rPr>
              <w:br w:type="textWrapping"/>
            </w:r>
            <w:r>
              <w:rPr>
                <w:rFonts w:hint="eastAsia"/>
              </w:rPr>
              <w:t>#2.8.2 梯度精度：&lt;0.2%。</w:t>
            </w:r>
            <w:r>
              <w:rPr>
                <w:rFonts w:hint="eastAsia"/>
              </w:rPr>
              <w:br w:type="textWrapping"/>
            </w:r>
            <w:r>
              <w:rPr>
                <w:rFonts w:hint="eastAsia"/>
              </w:rPr>
              <w:t>2.8.3 梯度准确度：&lt;0.2%，</w:t>
            </w:r>
            <w:r>
              <w:rPr>
                <w:rFonts w:hint="eastAsia"/>
              </w:rPr>
              <w:br w:type="textWrapping"/>
            </w:r>
            <w:r>
              <w:rPr>
                <w:rFonts w:hint="eastAsia"/>
              </w:rPr>
              <w:t>2.8.4 提供等度和高压浓度梯度。</w:t>
            </w:r>
            <w:r>
              <w:rPr>
                <w:rFonts w:hint="eastAsia"/>
              </w:rPr>
              <w:br w:type="textWrapping"/>
            </w:r>
            <w:r>
              <w:rPr>
                <w:rFonts w:hint="eastAsia"/>
              </w:rPr>
              <w:t>2.8.5 产生方式：利用电解水产生的H+或OH-在线生成酸性或碱性淋洗液，而非通过加液单元进行不同溶液间的在线混合或稀释产生。</w:t>
            </w:r>
            <w:r>
              <w:rPr>
                <w:rFonts w:hint="eastAsia"/>
              </w:rPr>
              <w:br w:type="textWrapping"/>
            </w:r>
            <w:r>
              <w:rPr>
                <w:rFonts w:hint="eastAsia"/>
              </w:rPr>
              <w:t>2.8.6 支持KOH、LiOH、NaOH、MSA和K2CO3等多种电解淋洗液发生罐选择。</w:t>
            </w:r>
            <w:r>
              <w:rPr>
                <w:rFonts w:hint="eastAsia"/>
              </w:rPr>
              <w:br w:type="textWrapping"/>
            </w:r>
            <w:r>
              <w:rPr>
                <w:rFonts w:hint="eastAsia"/>
              </w:rPr>
              <w:t>2.8.7 标配连续电解自动再生捕获柱，进一步净化淋洗液。</w:t>
            </w:r>
            <w:r>
              <w:rPr>
                <w:rFonts w:hint="eastAsia"/>
              </w:rPr>
              <w:br w:type="textWrapping"/>
            </w:r>
            <w:r>
              <w:rPr>
                <w:rFonts w:hint="eastAsia"/>
              </w:rPr>
              <w:t>2.8.8 标配高压自动脱气装置，进行淋洗液脱气。</w:t>
            </w:r>
            <w:r>
              <w:rPr>
                <w:rFonts w:hint="eastAsia"/>
              </w:rPr>
              <w:br w:type="textWrapping"/>
            </w:r>
            <w:r>
              <w:rPr>
                <w:rFonts w:hint="eastAsia"/>
              </w:rPr>
              <w:t>2.8.9 工作站软件直接控制：在工作站软件仪器控制界面/仪器方法中直接输入所需淋洗液浓度，而非编写百分比等其他非浓度参数。</w:t>
            </w:r>
            <w:r>
              <w:rPr>
                <w:rFonts w:hint="eastAsia"/>
              </w:rPr>
              <w:br w:type="textWrapping"/>
            </w:r>
            <w:r>
              <w:rPr>
                <w:rFonts w:hint="eastAsia"/>
              </w:rPr>
              <w:t>2.9自动进样器</w:t>
            </w:r>
            <w:r>
              <w:rPr>
                <w:rFonts w:hint="eastAsia"/>
              </w:rPr>
              <w:br w:type="textWrapping"/>
            </w:r>
            <w:r>
              <w:rPr>
                <w:rFonts w:hint="eastAsia"/>
              </w:rPr>
              <w:t>#2.9.1 具有45个以上进样瓶物理位置。</w:t>
            </w:r>
            <w:r>
              <w:rPr>
                <w:rFonts w:hint="eastAsia"/>
              </w:rPr>
              <w:br w:type="textWrapping"/>
            </w:r>
            <w:r>
              <w:rPr>
                <w:rFonts w:hint="eastAsia"/>
              </w:rPr>
              <w:t>2.9.2 具有进样清洗位。</w:t>
            </w:r>
            <w:r>
              <w:rPr>
                <w:rFonts w:hint="eastAsia"/>
              </w:rPr>
              <w:br w:type="textWrapping"/>
            </w:r>
            <w:r>
              <w:rPr>
                <w:rFonts w:hint="eastAsia"/>
              </w:rPr>
              <w:t>2.9.3 能够自动检测到样品盘中样品瓶的存在与否。</w:t>
            </w:r>
            <w:r>
              <w:rPr>
                <w:rFonts w:hint="eastAsia"/>
              </w:rPr>
              <w:br w:type="textWrapping"/>
            </w:r>
            <w:r>
              <w:rPr>
                <w:rFonts w:hint="eastAsia"/>
              </w:rPr>
              <w:t>2.9.4 进样模式：支持定量环或浓缩柱模式。</w:t>
            </w:r>
            <w:r>
              <w:rPr>
                <w:rFonts w:hint="eastAsia"/>
              </w:rPr>
              <w:br w:type="textWrapping"/>
            </w:r>
            <w:r>
              <w:rPr>
                <w:rFonts w:hint="eastAsia"/>
              </w:rPr>
              <w:t>2.9.5上样速度：0.1-5.0 mL/min。</w:t>
            </w:r>
            <w:r>
              <w:rPr>
                <w:rFonts w:hint="eastAsia"/>
              </w:rPr>
              <w:br w:type="textWrapping"/>
            </w:r>
            <w:r>
              <w:rPr>
                <w:rFonts w:hint="eastAsia"/>
              </w:rPr>
              <w:t>2.9.6 进样器可耐压达100psi。</w:t>
            </w:r>
            <w:r>
              <w:rPr>
                <w:rFonts w:hint="eastAsia"/>
              </w:rPr>
              <w:br w:type="textWrapping"/>
            </w:r>
            <w:r>
              <w:rPr>
                <w:rFonts w:hint="eastAsia"/>
              </w:rPr>
              <w:t>2.9.7 自动进样器带有样品盘保护罩，降低外界环境对样品的影响。</w:t>
            </w:r>
            <w:r>
              <w:rPr>
                <w:rFonts w:hint="eastAsia"/>
              </w:rPr>
              <w:br w:type="textWrapping"/>
            </w:r>
            <w:r>
              <w:rPr>
                <w:rFonts w:hint="eastAsia"/>
              </w:rPr>
              <w:t>2.9.8 预留额外的六通阀或十通阀位置，可用于在线样品前处理等应用。</w:t>
            </w:r>
            <w:r>
              <w:rPr>
                <w:rFonts w:hint="eastAsia"/>
              </w:rPr>
              <w:br w:type="textWrapping"/>
            </w:r>
            <w:r>
              <w:rPr>
                <w:rFonts w:hint="eastAsia"/>
              </w:rPr>
              <w:t>2.9.9样品瓶带有单独的过滤芯瓶盖，可自动过滤样品中的颗粒物。或配置在线过滤装置，且提供100片以上在线过滤滤膜。</w:t>
            </w:r>
            <w:r>
              <w:rPr>
                <w:rFonts w:hint="eastAsia"/>
              </w:rPr>
              <w:br w:type="textWrapping"/>
            </w:r>
            <w:r>
              <w:rPr>
                <w:rFonts w:hint="eastAsia"/>
              </w:rPr>
              <w:t>▲2.9.10样品瓶带有可自动去除颗粒物和重金属污染功能的瓶盖，自动过滤样品中的颗粒、除重金属污染物等；或配置在线过滤装置且提供100片以上在线过滤滤膜，且配置100根在线Na柱。100根浓缩柱、一套额外的离子色谱主机内置进样阀、一套额外的离子色谱主机内置的PEEK泵。（验收指标）</w:t>
            </w:r>
          </w:p>
          <w:p w14:paraId="43E218F4">
            <w:pPr>
              <w:spacing w:after="160"/>
            </w:pPr>
            <w:r>
              <w:rPr>
                <w:rFonts w:hint="eastAsia"/>
              </w:rPr>
              <w:t>▲2.9.11 样品瓶带有可自动去除颗粒物和疏水性化合物功能的瓶盖；或配置在线过滤装置且提供100片以上在线过滤滤膜，且配置100根在线反相前处理柱。</w:t>
            </w:r>
            <w:r>
              <w:rPr>
                <w:rFonts w:hint="eastAsia"/>
              </w:rPr>
              <w:br w:type="textWrapping"/>
            </w:r>
            <w:r>
              <w:rPr>
                <w:rFonts w:hint="eastAsia"/>
              </w:rPr>
              <w:t>▲2.9.12 样品瓶带有可自动去除颗粒物和阴离子、在线中和酸功能的瓶盖；或配置在线过滤装置且提供100片以上在线过滤滤膜，且配置100根在线阴离子捕获柱。</w:t>
            </w:r>
            <w:r>
              <w:rPr>
                <w:rFonts w:hint="eastAsia"/>
              </w:rPr>
              <w:br w:type="textWrapping"/>
            </w:r>
            <w:r>
              <w:rPr>
                <w:rFonts w:hint="eastAsia"/>
              </w:rPr>
              <w:t>3供货范围</w:t>
            </w:r>
            <w:r>
              <w:rPr>
                <w:rFonts w:hint="eastAsia"/>
              </w:rPr>
              <w:br w:type="textWrapping"/>
            </w:r>
            <w:r>
              <w:rPr>
                <w:rFonts w:hint="eastAsia"/>
              </w:rPr>
              <w:t>3.1离子色谱仪主机1套</w:t>
            </w:r>
            <w:r>
              <w:rPr>
                <w:rFonts w:hint="eastAsia"/>
              </w:rPr>
              <w:br w:type="textWrapping"/>
            </w:r>
            <w:r>
              <w:rPr>
                <w:rFonts w:hint="eastAsia"/>
              </w:rPr>
              <w:t>3.2操作软件1套</w:t>
            </w:r>
            <w:r>
              <w:rPr>
                <w:rFonts w:hint="eastAsia"/>
              </w:rPr>
              <w:br w:type="textWrapping"/>
            </w:r>
            <w:r>
              <w:rPr>
                <w:rFonts w:hint="eastAsia"/>
              </w:rPr>
              <w:t>3.3柱温箱1套</w:t>
            </w:r>
            <w:r>
              <w:rPr>
                <w:rFonts w:hint="eastAsia"/>
              </w:rPr>
              <w:br w:type="textWrapping"/>
            </w:r>
            <w:r>
              <w:rPr>
                <w:rFonts w:hint="eastAsia"/>
              </w:rPr>
              <w:t>3.4气体调节阀1套</w:t>
            </w:r>
            <w:r>
              <w:rPr>
                <w:rFonts w:hint="eastAsia"/>
              </w:rPr>
              <w:br w:type="textWrapping"/>
            </w:r>
            <w:r>
              <w:rPr>
                <w:rFonts w:hint="eastAsia"/>
              </w:rPr>
              <w:t>3.5电源线 2根</w:t>
            </w:r>
            <w:r>
              <w:rPr>
                <w:rFonts w:hint="eastAsia"/>
              </w:rPr>
              <w:br w:type="textWrapping"/>
            </w:r>
            <w:r>
              <w:rPr>
                <w:rFonts w:hint="eastAsia"/>
              </w:rPr>
              <w:t>3.6阴离子分析柱1根</w:t>
            </w:r>
            <w:r>
              <w:rPr>
                <w:rFonts w:hint="eastAsia"/>
              </w:rPr>
              <w:br w:type="textWrapping"/>
            </w:r>
            <w:r>
              <w:rPr>
                <w:rFonts w:hint="eastAsia"/>
              </w:rPr>
              <w:t>3.7阴离子保护柱1根</w:t>
            </w:r>
            <w:r>
              <w:rPr>
                <w:rFonts w:hint="eastAsia"/>
              </w:rPr>
              <w:br w:type="textWrapping"/>
            </w:r>
            <w:r>
              <w:rPr>
                <w:rFonts w:hint="eastAsia"/>
              </w:rPr>
              <w:t>3.8阴离子电解再生抑制器 1套</w:t>
            </w:r>
            <w:r>
              <w:rPr>
                <w:rFonts w:hint="eastAsia"/>
              </w:rPr>
              <w:br w:type="textWrapping"/>
            </w:r>
            <w:r>
              <w:rPr>
                <w:rFonts w:hint="eastAsia"/>
              </w:rPr>
              <w:t>3.9电解再生淋洗液发生器 1套</w:t>
            </w:r>
            <w:r>
              <w:rPr>
                <w:rFonts w:hint="eastAsia"/>
              </w:rPr>
              <w:br w:type="textWrapping"/>
            </w:r>
            <w:r>
              <w:rPr>
                <w:rFonts w:hint="eastAsia"/>
              </w:rPr>
              <w:t>3.10 KOH储备罐1套</w:t>
            </w:r>
            <w:r>
              <w:rPr>
                <w:rFonts w:hint="eastAsia"/>
              </w:rPr>
              <w:br w:type="textWrapping"/>
            </w:r>
            <w:r>
              <w:rPr>
                <w:rFonts w:hint="eastAsia"/>
              </w:rPr>
              <w:t>3.11在线阴离子电解再生捕获柱1根</w:t>
            </w:r>
            <w:r>
              <w:rPr>
                <w:rFonts w:hint="eastAsia"/>
              </w:rPr>
              <w:br w:type="textWrapping"/>
            </w:r>
            <w:r>
              <w:rPr>
                <w:rFonts w:hint="eastAsia"/>
              </w:rPr>
              <w:t>3.12水中氟、氯、硝酸根、硫酸根、磷酸根混合标准溶液 1套</w:t>
            </w:r>
            <w:r>
              <w:rPr>
                <w:rFonts w:hint="eastAsia"/>
              </w:rPr>
              <w:br w:type="textWrapping"/>
            </w:r>
            <w:r>
              <w:rPr>
                <w:rFonts w:hint="eastAsia"/>
              </w:rPr>
              <w:t>3.13电脑及打印机：一线品牌主流商务机，i7 CPU，内存15G以上，1T以上硬盘，正版64位中文专业版windows10以上系统配置，22英寸以上液晶显示器、可读写光驱；品牌激光打印机各1套</w:t>
            </w:r>
            <w:r>
              <w:rPr>
                <w:rFonts w:hint="eastAsia"/>
              </w:rPr>
              <w:br w:type="textWrapping"/>
            </w:r>
            <w:r>
              <w:rPr>
                <w:rFonts w:hint="eastAsia"/>
              </w:rPr>
              <w:t>3.14  自动进样器 1套</w:t>
            </w:r>
            <w:r>
              <w:rPr>
                <w:rFonts w:hint="eastAsia"/>
              </w:rPr>
              <w:br w:type="textWrapping"/>
            </w:r>
            <w:r>
              <w:rPr>
                <w:rFonts w:hint="eastAsia"/>
              </w:rPr>
              <w:t>3.15  样品瓶和盖 500个</w:t>
            </w:r>
            <w:r>
              <w:rPr>
                <w:rFonts w:hint="eastAsia"/>
              </w:rPr>
              <w:br w:type="textWrapping"/>
            </w:r>
            <w:r>
              <w:rPr>
                <w:rFonts w:hint="eastAsia"/>
              </w:rPr>
              <w:t>3.16  启盖工具1个</w:t>
            </w:r>
            <w:r>
              <w:rPr>
                <w:rFonts w:hint="eastAsia"/>
              </w:rPr>
              <w:br w:type="textWrapping"/>
            </w:r>
            <w:r>
              <w:rPr>
                <w:rFonts w:hint="eastAsia"/>
              </w:rPr>
              <w:t xml:space="preserve">3.17水中二氧化碳去除装置一套 </w:t>
            </w:r>
            <w:r>
              <w:rPr>
                <w:rFonts w:hint="eastAsia"/>
              </w:rPr>
              <w:br w:type="textWrapping"/>
            </w:r>
            <w:r>
              <w:rPr>
                <w:rFonts w:hint="eastAsia"/>
              </w:rPr>
              <w:t>4供货验收</w:t>
            </w:r>
            <w:r>
              <w:rPr>
                <w:rFonts w:hint="eastAsia"/>
              </w:rPr>
              <w:br w:type="textWrapping"/>
            </w:r>
            <w:r>
              <w:rPr>
                <w:rFonts w:hint="eastAsia"/>
              </w:rPr>
              <w:t>4.1 合同签订后60个日内到货；</w:t>
            </w:r>
            <w:r>
              <w:rPr>
                <w:rFonts w:hint="eastAsia"/>
              </w:rPr>
              <w:br w:type="textWrapping"/>
            </w:r>
            <w:r>
              <w:rPr>
                <w:rFonts w:hint="eastAsia"/>
              </w:rPr>
              <w:t>4.2仪器到达用户后15日之内指派生产厂家技术工程师前往现场完成仪器的安装调试工作（含实验室电路的安装调试前的验收，若现场电路安装或接地条件不满足，免费提供改造服务）；</w:t>
            </w:r>
            <w:r>
              <w:rPr>
                <w:rFonts w:hint="eastAsia"/>
              </w:rPr>
              <w:br w:type="textWrapping"/>
            </w:r>
            <w:r>
              <w:rPr>
                <w:rFonts w:hint="eastAsia"/>
              </w:rPr>
              <w:t>4.3按照生产厂家提供的技术指标和标书要求验收设备。</w:t>
            </w:r>
          </w:p>
          <w:p w14:paraId="221BC769">
            <w:pPr>
              <w:spacing w:after="160"/>
            </w:pPr>
            <w:r>
              <w:rPr>
                <w:rFonts w:hint="eastAsia"/>
              </w:rPr>
              <w:t>5售后服务与技术支持</w:t>
            </w:r>
            <w:r>
              <w:rPr>
                <w:rFonts w:hint="eastAsia"/>
              </w:rPr>
              <w:br w:type="textWrapping"/>
            </w:r>
            <w:r>
              <w:rPr>
                <w:rFonts w:hint="eastAsia"/>
              </w:rPr>
              <w:t>5.1、生产厂家应到买方提供的现场免费安装、调试设备。</w:t>
            </w:r>
            <w:r>
              <w:rPr>
                <w:rFonts w:hint="eastAsia"/>
              </w:rPr>
              <w:br w:type="textWrapping"/>
            </w:r>
            <w:r>
              <w:rPr>
                <w:rFonts w:hint="eastAsia"/>
              </w:rPr>
              <w:t xml:space="preserve">5.2、生产厂家免费提供现场培训，人数不限。内容包括仪器的基本原理、操作应用及仪器的维护保养知识，直到用户能正常使用和维护仪器; </w:t>
            </w:r>
            <w:r>
              <w:rPr>
                <w:rFonts w:hint="eastAsia"/>
              </w:rPr>
              <w:br w:type="textWrapping"/>
            </w:r>
            <w:r>
              <w:rPr>
                <w:rFonts w:hint="eastAsia"/>
              </w:rPr>
              <w:t>5.3、生产厂家提供仪器一年的免费保修服务，在保修期内，所有服务及配件全部免费。生产厂家在国内应设有专业的维修站，有专职的维修工程师及应用工程师有效保证售后维修的及时、快捷，并负责提供技术支持，保证仪器的正常操作，并协助用户进行方法开发。</w:t>
            </w:r>
            <w:r>
              <w:rPr>
                <w:rFonts w:hint="eastAsia"/>
              </w:rPr>
              <w:br w:type="textWrapping"/>
            </w:r>
            <w:r>
              <w:rPr>
                <w:rFonts w:hint="eastAsia"/>
              </w:rPr>
              <w:t>5.4、生产厂家长期提供技术支持，并免费提仪器使用手册、培训教材、应用文章和所有公开发表的应用文献和最新仪器有关资料、通讯和用户论文集等。</w:t>
            </w:r>
          </w:p>
        </w:tc>
      </w:tr>
      <w:tr w14:paraId="6D23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754" w:type="dxa"/>
            <w:noWrap/>
            <w:vAlign w:val="center"/>
          </w:tcPr>
          <w:p w14:paraId="14E4E9E5">
            <w:pPr>
              <w:jc w:val="center"/>
            </w:pPr>
            <w:r>
              <w:rPr>
                <w:rFonts w:hint="eastAsia"/>
              </w:rPr>
              <w:t>12</w:t>
            </w:r>
          </w:p>
        </w:tc>
        <w:tc>
          <w:tcPr>
            <w:tcW w:w="1146" w:type="dxa"/>
            <w:noWrap/>
            <w:vAlign w:val="center"/>
          </w:tcPr>
          <w:p w14:paraId="37FCBD87">
            <w:pPr>
              <w:jc w:val="center"/>
            </w:pPr>
            <w:r>
              <w:rPr>
                <w:rFonts w:hint="eastAsia"/>
              </w:rPr>
              <w:t>（游离二氧化硅）消解仪</w:t>
            </w:r>
          </w:p>
        </w:tc>
        <w:tc>
          <w:tcPr>
            <w:tcW w:w="634" w:type="dxa"/>
            <w:noWrap/>
            <w:vAlign w:val="center"/>
          </w:tcPr>
          <w:p w14:paraId="5FD90B9E">
            <w:pPr>
              <w:jc w:val="center"/>
            </w:pPr>
            <w:r>
              <w:rPr>
                <w:rFonts w:hint="eastAsia"/>
              </w:rPr>
              <w:t>套</w:t>
            </w:r>
          </w:p>
        </w:tc>
        <w:tc>
          <w:tcPr>
            <w:tcW w:w="593" w:type="dxa"/>
            <w:noWrap/>
            <w:vAlign w:val="center"/>
          </w:tcPr>
          <w:p w14:paraId="32D23493">
            <w:pPr>
              <w:jc w:val="center"/>
            </w:pPr>
            <w:r>
              <w:rPr>
                <w:rFonts w:hint="eastAsia"/>
              </w:rPr>
              <w:t>1</w:t>
            </w:r>
          </w:p>
        </w:tc>
        <w:tc>
          <w:tcPr>
            <w:tcW w:w="7517" w:type="dxa"/>
          </w:tcPr>
          <w:p w14:paraId="3DDC7006">
            <w:pPr>
              <w:spacing w:after="160"/>
            </w:pPr>
            <w:r>
              <w:rPr>
                <w:rFonts w:hint="eastAsia"/>
              </w:rPr>
              <w:t>消解仪技术参数</w:t>
            </w:r>
            <w:r>
              <w:rPr>
                <w:rFonts w:hint="eastAsia"/>
              </w:rPr>
              <w:br w:type="textWrapping"/>
            </w:r>
            <w:r>
              <w:rPr>
                <w:rFonts w:hint="eastAsia"/>
              </w:rPr>
              <w:br w:type="textWrapping"/>
            </w:r>
            <w:r>
              <w:rPr>
                <w:rFonts w:hint="eastAsia"/>
              </w:rPr>
              <w:t>1)加热方式：电加热孔式环绕一体加热</w:t>
            </w:r>
            <w:r>
              <w:rPr>
                <w:rFonts w:hint="eastAsia"/>
              </w:rPr>
              <w:br w:type="textWrapping"/>
            </w:r>
            <w:r>
              <w:rPr>
                <w:rFonts w:hint="eastAsia"/>
              </w:rPr>
              <w:t xml:space="preserve">2)传热材质：高纯石墨及特殊防腐材料，具有卓越的耐腐蚀性 </w:t>
            </w:r>
            <w:r>
              <w:rPr>
                <w:rFonts w:hint="eastAsia"/>
              </w:rPr>
              <w:br w:type="textWrapping"/>
            </w:r>
            <w:r>
              <w:rPr>
                <w:rFonts w:hint="eastAsia"/>
              </w:rPr>
              <w:t>3)控温范围：室温-420℃；控温精度：±1℃</w:t>
            </w:r>
            <w:r>
              <w:rPr>
                <w:rFonts w:hint="eastAsia"/>
              </w:rPr>
              <w:br w:type="textWrapping"/>
            </w:r>
            <w:r>
              <w:rPr>
                <w:rFonts w:hint="eastAsia"/>
              </w:rPr>
              <w:t>4)加热功率：3000W</w:t>
            </w:r>
            <w:r>
              <w:rPr>
                <w:rFonts w:hint="eastAsia"/>
              </w:rPr>
              <w:br w:type="textWrapping"/>
            </w:r>
            <w:r>
              <w:rPr>
                <w:rFonts w:hint="eastAsia"/>
              </w:rPr>
              <w:t>5)控温方式： 智能PID微芯片控制，LED数字显示控温，温度控制器为原装进口</w:t>
            </w:r>
            <w:r>
              <w:rPr>
                <w:rFonts w:hint="eastAsia"/>
              </w:rPr>
              <w:br w:type="textWrapping"/>
            </w:r>
            <w:r>
              <w:rPr>
                <w:rFonts w:hint="eastAsia"/>
              </w:rPr>
              <w:t>6)孔间温差：≦±1℃@100℃，加热块周围多重保温设计有效减少热量损失，提高板面温度均匀性</w:t>
            </w:r>
            <w:r>
              <w:rPr>
                <w:rFonts w:hint="eastAsia"/>
              </w:rPr>
              <w:br w:type="textWrapping"/>
            </w:r>
            <w:r>
              <w:rPr>
                <w:rFonts w:hint="eastAsia"/>
              </w:rPr>
              <w:t>7)消解孔数：36；消解孔规格：R×D：31×60mm</w:t>
            </w:r>
            <w:r>
              <w:rPr>
                <w:rFonts w:hint="eastAsia"/>
              </w:rPr>
              <w:br w:type="textWrapping"/>
            </w:r>
            <w:r>
              <w:rPr>
                <w:rFonts w:hint="eastAsia"/>
              </w:rPr>
              <w:t>8)整机全防腐设计，主体直接采用耐腐蚀材料，操作台面材质为石墨，具有超强的耐腐蚀性，整机无金属部件裸露</w:t>
            </w:r>
            <w:r>
              <w:rPr>
                <w:rFonts w:hint="eastAsia"/>
              </w:rPr>
              <w:br w:type="textWrapping"/>
            </w:r>
            <w:r>
              <w:rPr>
                <w:rFonts w:hint="eastAsia"/>
              </w:rPr>
              <w:t>9)主体采用多层隔热结构，有效隔热，即保护加热模块温度均匀，又能降低主体表面温度，避免烫伤</w:t>
            </w:r>
            <w:r>
              <w:rPr>
                <w:rFonts w:hint="eastAsia"/>
              </w:rPr>
              <w:br w:type="textWrapping"/>
            </w:r>
            <w:r>
              <w:rPr>
                <w:rFonts w:hint="eastAsia"/>
              </w:rPr>
              <w:t>10)石墨加热块和石墨操作台面表面均进行了特殊防腐材料喷涂，材料成分为特种合成树脂和高密度纤维等，耐各种强酸具有卓越的抗腐蚀性，材料耐高温可在-100℃～650℃环境条件下使用。同时有效避免裸露石墨粉末对样品的污染</w:t>
            </w:r>
            <w:r>
              <w:rPr>
                <w:rFonts w:hint="eastAsia"/>
              </w:rPr>
              <w:br w:type="textWrapping"/>
            </w:r>
            <w:r>
              <w:rPr>
                <w:rFonts w:hint="eastAsia"/>
              </w:rPr>
              <w:t>11)消解管具有10ml、25ml、50ml定容刻度，消解-赶酸-定容可在同一消解管内完成，无需转移</w:t>
            </w:r>
            <w:r>
              <w:rPr>
                <w:rFonts w:hint="eastAsia"/>
              </w:rPr>
              <w:br w:type="textWrapping"/>
            </w:r>
            <w:r>
              <w:rPr>
                <w:rFonts w:hint="eastAsia"/>
              </w:rPr>
              <w:br w:type="textWrapping"/>
            </w:r>
            <w:r>
              <w:rPr>
                <w:rFonts w:hint="eastAsia"/>
              </w:rPr>
              <w:t>配置清单：</w:t>
            </w:r>
            <w:r>
              <w:rPr>
                <w:rFonts w:hint="eastAsia"/>
              </w:rPr>
              <w:br w:type="textWrapping"/>
            </w:r>
            <w:r>
              <w:rPr>
                <w:rFonts w:hint="eastAsia"/>
              </w:rPr>
              <w:t>石墨电热消解主机一台，18孔消解管支架2个，高硼硅玻璃消解管一套36根(带回流盖)</w:t>
            </w:r>
          </w:p>
        </w:tc>
      </w:tr>
      <w:tr w14:paraId="638A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754" w:type="dxa"/>
            <w:noWrap/>
            <w:vAlign w:val="center"/>
          </w:tcPr>
          <w:p w14:paraId="1B7BCC45">
            <w:pPr>
              <w:spacing w:after="160"/>
              <w:jc w:val="center"/>
            </w:pPr>
            <w:r>
              <w:rPr>
                <w:rFonts w:hint="eastAsia"/>
              </w:rPr>
              <w:t>13</w:t>
            </w:r>
          </w:p>
        </w:tc>
        <w:tc>
          <w:tcPr>
            <w:tcW w:w="1146" w:type="dxa"/>
            <w:noWrap/>
            <w:vAlign w:val="center"/>
          </w:tcPr>
          <w:p w14:paraId="5FA1B8AE">
            <w:pPr>
              <w:jc w:val="center"/>
            </w:pPr>
            <w:r>
              <w:rPr>
                <w:rFonts w:hint="eastAsia"/>
              </w:rPr>
              <w:t>一体式陶瓷纤维马弗炉—液晶显示</w:t>
            </w:r>
          </w:p>
        </w:tc>
        <w:tc>
          <w:tcPr>
            <w:tcW w:w="634" w:type="dxa"/>
            <w:noWrap/>
            <w:vAlign w:val="center"/>
          </w:tcPr>
          <w:p w14:paraId="493B6AAD">
            <w:pPr>
              <w:jc w:val="center"/>
            </w:pPr>
            <w:r>
              <w:rPr>
                <w:rFonts w:hint="eastAsia"/>
              </w:rPr>
              <w:t>台</w:t>
            </w:r>
          </w:p>
        </w:tc>
        <w:tc>
          <w:tcPr>
            <w:tcW w:w="593" w:type="dxa"/>
            <w:noWrap/>
            <w:vAlign w:val="center"/>
          </w:tcPr>
          <w:p w14:paraId="7250F506">
            <w:pPr>
              <w:jc w:val="center"/>
            </w:pPr>
            <w:r>
              <w:rPr>
                <w:rFonts w:hint="eastAsia"/>
              </w:rPr>
              <w:t>1</w:t>
            </w:r>
          </w:p>
        </w:tc>
        <w:tc>
          <w:tcPr>
            <w:tcW w:w="7517" w:type="dxa"/>
          </w:tcPr>
          <w:p w14:paraId="531E8A3F">
            <w:r>
              <w:rPr>
                <w:rFonts w:hint="eastAsia"/>
              </w:rPr>
              <w:t>一体式陶瓷纤维马弗炉—液晶显示</w:t>
            </w:r>
            <w:r>
              <w:rPr>
                <w:rFonts w:hint="eastAsia"/>
              </w:rPr>
              <w:br w:type="textWrapping"/>
            </w:r>
            <w:r>
              <w:rPr>
                <w:rFonts w:hint="eastAsia"/>
              </w:rPr>
              <w:t>适用范围：</w:t>
            </w:r>
            <w:r>
              <w:rPr>
                <w:rFonts w:hint="eastAsia"/>
              </w:rPr>
              <w:br w:type="textWrapping"/>
            </w:r>
            <w:r>
              <w:rPr>
                <w:rFonts w:hint="eastAsia"/>
              </w:rPr>
              <w:t>供企业实验室、科研单位作样品分析测定、玻璃、晶体的精密退火、陶瓷釉料制备、粉末冶金、纳米材料的烧结、金属零件淬火、退火、回火等需快速升温工艺要求的热处理。</w:t>
            </w:r>
            <w:r>
              <w:rPr>
                <w:rFonts w:hint="eastAsia"/>
              </w:rPr>
              <w:br w:type="textWrapping"/>
            </w:r>
            <w:r>
              <w:rPr>
                <w:rFonts w:hint="eastAsia"/>
              </w:rPr>
              <w:t>产品特点:</w:t>
            </w:r>
            <w:r>
              <w:rPr>
                <w:rFonts w:hint="eastAsia"/>
              </w:rPr>
              <w:br w:type="textWrapping"/>
            </w:r>
            <w:r>
              <w:rPr>
                <w:rFonts w:hint="eastAsia"/>
              </w:rPr>
              <w:t>●液晶微电脑智能PID温度控制器多组数据显示，菜单式操作界面，简单易用，控温精准波动小。</w:t>
            </w:r>
            <w:r>
              <w:rPr>
                <w:rFonts w:hint="eastAsia"/>
              </w:rPr>
              <w:br w:type="textWrapping"/>
            </w:r>
            <w:r>
              <w:rPr>
                <w:rFonts w:hint="eastAsia"/>
              </w:rPr>
              <w:t>●具有温度校正，超温报警，定时设定，来电恢复，参数记忆等功能。</w:t>
            </w:r>
            <w:r>
              <w:rPr>
                <w:rFonts w:hint="eastAsia"/>
              </w:rPr>
              <w:br w:type="textWrapping"/>
            </w:r>
            <w:r>
              <w:rPr>
                <w:rFonts w:hint="eastAsia"/>
              </w:rPr>
              <w:t>●外壳冷轧钢板制造，表面采用先进喷涂工艺，箱体设计*采用双层一体设计，外形美观、结构合理、温场均衡、环保节能，炉门采用侧开门设计，箱门内侧与炉门采用加厚不锈钢板制成避免产生烤糊现象。</w:t>
            </w:r>
            <w:r>
              <w:rPr>
                <w:rFonts w:hint="eastAsia"/>
              </w:rPr>
              <w:br w:type="textWrapping"/>
            </w:r>
            <w:r>
              <w:rPr>
                <w:rFonts w:hint="eastAsia"/>
              </w:rPr>
              <w:t>●陶瓷马弗炉改变了普通马弗炉笨重，电炉丝易损坏，升温速度慢等缺点，其性能达到进口同类产品水平。</w:t>
            </w:r>
            <w:r>
              <w:rPr>
                <w:rFonts w:hint="eastAsia"/>
              </w:rPr>
              <w:br w:type="textWrapping"/>
            </w:r>
            <w:r>
              <w:rPr>
                <w:rFonts w:hint="eastAsia"/>
              </w:rPr>
              <w:t>●与传统的马弗炉相比重量显著减轻，比普通马弗炉寿命提高明显，升温速度快，保温性能优越能耗低。</w:t>
            </w:r>
            <w:r>
              <w:rPr>
                <w:rFonts w:hint="eastAsia"/>
              </w:rPr>
              <w:br w:type="textWrapping"/>
            </w:r>
            <w:r>
              <w:rPr>
                <w:rFonts w:hint="eastAsia"/>
              </w:rPr>
              <w:t>●马弗炉炉体采用全陶瓷纤维材料，此材料具有节能保温性能好，重量轻的特点，保温层采用陶瓷纤维棉绝热，减少了热能消耗，保温效果好，外壳温度低。发热元件采用含钼镍鉻合金材料，温度均匀、升温快。</w:t>
            </w:r>
            <w:r>
              <w:rPr>
                <w:rFonts w:hint="eastAsia"/>
              </w:rPr>
              <w:br w:type="textWrapping"/>
            </w:r>
            <w:r>
              <w:rPr>
                <w:rFonts w:hint="eastAsia"/>
              </w:rPr>
              <w:t>技术参数:</w:t>
            </w:r>
            <w:r>
              <w:rPr>
                <w:rFonts w:hint="eastAsia"/>
              </w:rPr>
              <w:br w:type="textWrapping"/>
            </w:r>
            <w:r>
              <w:rPr>
                <w:rFonts w:hint="eastAsia"/>
              </w:rPr>
              <w:t>电源电压       AC220V  50Hz</w:t>
            </w:r>
            <w:r>
              <w:rPr>
                <w:rFonts w:hint="eastAsia"/>
              </w:rPr>
              <w:br w:type="textWrapping"/>
            </w:r>
            <w:r>
              <w:rPr>
                <w:rFonts w:hint="eastAsia"/>
              </w:rPr>
              <w:t>加热元件       镍铬合金丝</w:t>
            </w:r>
            <w:r>
              <w:rPr>
                <w:rFonts w:hint="eastAsia"/>
              </w:rPr>
              <w:br w:type="textWrapping"/>
            </w:r>
            <w:r>
              <w:rPr>
                <w:rFonts w:hint="eastAsia"/>
              </w:rPr>
              <w:t>zui高温度       1000℃</w:t>
            </w:r>
            <w:r>
              <w:rPr>
                <w:rFonts w:hint="eastAsia"/>
              </w:rPr>
              <w:br w:type="textWrapping"/>
            </w:r>
            <w:r>
              <w:rPr>
                <w:rFonts w:hint="eastAsia"/>
              </w:rPr>
              <w:t>使用温度       RT+50~950℃</w:t>
            </w:r>
            <w:r>
              <w:rPr>
                <w:rFonts w:hint="eastAsia"/>
              </w:rPr>
              <w:br w:type="textWrapping"/>
            </w:r>
            <w:r>
              <w:rPr>
                <w:rFonts w:hint="eastAsia"/>
              </w:rPr>
              <w:t>输入功率       4KW</w:t>
            </w:r>
            <w:r>
              <w:rPr>
                <w:rFonts w:hint="eastAsia"/>
              </w:rPr>
              <w:br w:type="textWrapping"/>
            </w:r>
            <w:r>
              <w:rPr>
                <w:rFonts w:hint="eastAsia"/>
              </w:rPr>
              <w:t>工作室尺寸     200*300*120（mm）</w:t>
            </w:r>
            <w:r>
              <w:rPr>
                <w:rFonts w:hint="eastAsia"/>
              </w:rPr>
              <w:br w:type="textWrapping"/>
            </w:r>
            <w:r>
              <w:rPr>
                <w:rFonts w:hint="eastAsia"/>
              </w:rPr>
              <w:t>容积           7L</w:t>
            </w:r>
            <w:r>
              <w:rPr>
                <w:rFonts w:hint="eastAsia"/>
              </w:rPr>
              <w:br w:type="textWrapping"/>
            </w:r>
            <w:r>
              <w:rPr>
                <w:rFonts w:hint="eastAsia"/>
              </w:rPr>
              <w:t>▲性能参数测试在空载条件下，无强磁、无震动下为：环境温度20℃，环境湿度50%RH。&lt;T&gt;表示陶瓷纤维炉膛。</w:t>
            </w:r>
          </w:p>
        </w:tc>
      </w:tr>
    </w:tbl>
    <w:p w14:paraId="7AA1F128">
      <w:pPr>
        <w:rPr>
          <w:lang w:val="zh-CN"/>
        </w:rPr>
        <w:sectPr>
          <w:pgSz w:w="11906" w:h="16838"/>
          <w:pgMar w:top="1440" w:right="1080" w:bottom="1440" w:left="1080" w:header="851" w:footer="992" w:gutter="0"/>
          <w:cols w:space="425" w:num="1"/>
          <w:docGrid w:type="lines" w:linePitch="312" w:charSpace="0"/>
        </w:sectPr>
      </w:pPr>
    </w:p>
    <w:p w14:paraId="7D9BBC27">
      <w:pPr>
        <w:pStyle w:val="2"/>
        <w:rPr>
          <w:lang w:val="zh-CN"/>
        </w:rPr>
      </w:pPr>
      <w:r>
        <w:rPr>
          <w:rFonts w:hint="eastAsia"/>
          <w:lang w:val="zh-CN"/>
        </w:rPr>
        <w:t>第六章 投标文件构成、要求及格式</w:t>
      </w:r>
      <w:bookmarkEnd w:id="66"/>
      <w:bookmarkEnd w:id="67"/>
    </w:p>
    <w:p w14:paraId="1F5D1BD2">
      <w:pPr>
        <w:autoSpaceDE w:val="0"/>
        <w:autoSpaceDN w:val="0"/>
        <w:adjustRightInd w:val="0"/>
        <w:jc w:val="left"/>
        <w:rPr>
          <w:rFonts w:ascii="宋体" w:hAnsi="宋体" w:eastAsia="宋体" w:cs="宋体"/>
          <w:bCs/>
          <w:sz w:val="24"/>
          <w:szCs w:val="21"/>
          <w:lang w:val="zh-CN"/>
        </w:rPr>
      </w:pPr>
      <w:r>
        <w:rPr>
          <w:rFonts w:hint="eastAsia" w:ascii="宋体" w:hAnsi="宋体" w:eastAsia="宋体" w:cs="宋体"/>
          <w:bCs/>
          <w:sz w:val="24"/>
          <w:szCs w:val="21"/>
          <w:lang w:val="zh-CN"/>
        </w:rPr>
        <w:t>（注：1.请投标人按照以下要求的格式、内容、顺序及要求制作投标文件，并编制目录及页码，否则可能影响评审专家对投标文件的评价。2. 投标文件提供格式的，按格式填写；未提供格式的，投标人自拟格式。）</w:t>
      </w:r>
    </w:p>
    <w:p w14:paraId="20DC7320">
      <w:pPr>
        <w:autoSpaceDE w:val="0"/>
        <w:autoSpaceDN w:val="0"/>
        <w:adjustRightInd w:val="0"/>
        <w:jc w:val="center"/>
        <w:rPr>
          <w:rFonts w:ascii="宋体" w:hAnsi="宋体" w:eastAsia="宋体" w:cs="宋体"/>
          <w:bCs/>
          <w:sz w:val="24"/>
          <w:szCs w:val="21"/>
          <w:lang w:val="zh-CN"/>
        </w:rPr>
      </w:pPr>
    </w:p>
    <w:p w14:paraId="7BA7281D">
      <w:pPr>
        <w:autoSpaceDE w:val="0"/>
        <w:autoSpaceDN w:val="0"/>
        <w:adjustRightInd w:val="0"/>
        <w:jc w:val="center"/>
        <w:rPr>
          <w:rFonts w:ascii="宋体" w:hAnsi="宋体" w:eastAsia="宋体" w:cs="宋体"/>
          <w:bCs/>
          <w:sz w:val="24"/>
          <w:szCs w:val="21"/>
          <w:lang w:val="zh-CN"/>
        </w:rPr>
      </w:pPr>
    </w:p>
    <w:p w14:paraId="2601AFF9">
      <w:pPr>
        <w:autoSpaceDE w:val="0"/>
        <w:autoSpaceDN w:val="0"/>
        <w:adjustRightInd w:val="0"/>
        <w:jc w:val="center"/>
        <w:rPr>
          <w:rFonts w:ascii="宋体" w:hAnsi="宋体" w:eastAsia="宋体" w:cs="宋体"/>
          <w:bCs/>
          <w:sz w:val="24"/>
          <w:szCs w:val="21"/>
          <w:lang w:val="zh-CN"/>
        </w:rPr>
      </w:pPr>
    </w:p>
    <w:p w14:paraId="652A6752">
      <w:pPr>
        <w:autoSpaceDE w:val="0"/>
        <w:autoSpaceDN w:val="0"/>
        <w:adjustRightInd w:val="0"/>
        <w:jc w:val="center"/>
        <w:rPr>
          <w:rFonts w:ascii="宋体" w:hAnsi="宋体" w:eastAsia="宋体" w:cs="宋体"/>
          <w:bCs/>
          <w:sz w:val="24"/>
          <w:szCs w:val="21"/>
          <w:lang w:val="zh-CN"/>
        </w:rPr>
      </w:pPr>
    </w:p>
    <w:p w14:paraId="475639A0">
      <w:pPr>
        <w:autoSpaceDE w:val="0"/>
        <w:autoSpaceDN w:val="0"/>
        <w:adjustRightInd w:val="0"/>
        <w:jc w:val="center"/>
        <w:rPr>
          <w:rFonts w:ascii="宋体" w:hAnsi="宋体" w:eastAsia="宋体" w:cs="宋体"/>
          <w:bCs/>
          <w:sz w:val="24"/>
          <w:szCs w:val="21"/>
          <w:lang w:val="zh-CN"/>
        </w:rPr>
      </w:pPr>
    </w:p>
    <w:p w14:paraId="6DE58184">
      <w:pPr>
        <w:autoSpaceDE w:val="0"/>
        <w:autoSpaceDN w:val="0"/>
        <w:adjustRightInd w:val="0"/>
        <w:jc w:val="center"/>
        <w:rPr>
          <w:rFonts w:ascii="宋体" w:hAnsi="宋体" w:eastAsia="宋体" w:cs="宋体"/>
          <w:bCs/>
          <w:sz w:val="24"/>
          <w:szCs w:val="21"/>
          <w:lang w:val="zh-CN"/>
        </w:rPr>
      </w:pPr>
    </w:p>
    <w:p w14:paraId="2876FF67">
      <w:pPr>
        <w:widowControl/>
        <w:jc w:val="left"/>
        <w:rPr>
          <w:rFonts w:ascii="Times New Roman" w:hAnsi="Times New Roman" w:eastAsia="宋体" w:cs="Times New Roman"/>
          <w:b/>
          <w:kern w:val="44"/>
          <w:sz w:val="28"/>
          <w:szCs w:val="20"/>
        </w:rPr>
      </w:pPr>
      <w:r>
        <w:rPr>
          <w:rFonts w:ascii="Times New Roman" w:hAnsi="Times New Roman" w:eastAsia="宋体" w:cs="Times New Roman"/>
          <w:b/>
          <w:kern w:val="44"/>
          <w:sz w:val="28"/>
          <w:szCs w:val="20"/>
        </w:rPr>
        <w:br w:type="page"/>
      </w:r>
    </w:p>
    <w:p w14:paraId="0BEF6242">
      <w:pPr>
        <w:jc w:val="right"/>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正本/副本</w:t>
      </w:r>
    </w:p>
    <w:p w14:paraId="6E7E4570">
      <w:pPr>
        <w:jc w:val="right"/>
        <w:rPr>
          <w:rFonts w:ascii="Times New Roman" w:hAnsi="Times New Roman" w:eastAsia="宋体" w:cs="Times New Roman"/>
          <w:sz w:val="32"/>
          <w:szCs w:val="32"/>
          <w:u w:val="single"/>
        </w:rPr>
      </w:pPr>
    </w:p>
    <w:p w14:paraId="366EC48D">
      <w:pPr>
        <w:jc w:val="center"/>
        <w:rPr>
          <w:rFonts w:ascii="Times New Roman" w:hAnsi="Times New Roman" w:eastAsia="宋体" w:cs="Times New Roman"/>
          <w:sz w:val="32"/>
          <w:szCs w:val="32"/>
          <w:u w:val="single"/>
        </w:rPr>
      </w:pPr>
      <w:r>
        <w:rPr>
          <w:rFonts w:ascii="Times New Roman" w:hAnsi="Times New Roman" w:eastAsia="宋体" w:cs="Times New Roman"/>
          <w:sz w:val="32"/>
          <w:szCs w:val="32"/>
          <w:u w:val="single"/>
        </w:rPr>
        <w:t>（项目名称）</w:t>
      </w:r>
    </w:p>
    <w:p w14:paraId="2079B391">
      <w:pPr>
        <w:autoSpaceDE w:val="0"/>
        <w:autoSpaceDN w:val="0"/>
        <w:adjustRightInd w:val="0"/>
        <w:spacing w:line="600" w:lineRule="exact"/>
        <w:jc w:val="center"/>
        <w:rPr>
          <w:rFonts w:ascii="宋体" w:hAnsi="宋体" w:eastAsia="宋体" w:cs="宋体"/>
          <w:sz w:val="36"/>
          <w:szCs w:val="18"/>
          <w:lang w:val="zh-CN"/>
        </w:rPr>
      </w:pPr>
    </w:p>
    <w:p w14:paraId="773C85D3">
      <w:pPr>
        <w:rPr>
          <w:rFonts w:ascii="Times New Roman" w:hAnsi="Times New Roman" w:eastAsia="宋体" w:cs="Times New Roman"/>
          <w:lang w:val="zh-CN"/>
        </w:rPr>
      </w:pPr>
    </w:p>
    <w:p w14:paraId="05E1EDB8">
      <w:pPr>
        <w:autoSpaceDE w:val="0"/>
        <w:autoSpaceDN w:val="0"/>
        <w:adjustRightInd w:val="0"/>
        <w:spacing w:line="600" w:lineRule="exact"/>
        <w:rPr>
          <w:rFonts w:ascii="宋体" w:hAnsi="宋体" w:eastAsia="宋体" w:cs="宋体"/>
          <w:sz w:val="24"/>
          <w:szCs w:val="18"/>
          <w:lang w:val="zh-CN"/>
        </w:rPr>
      </w:pPr>
    </w:p>
    <w:p w14:paraId="486B6B86">
      <w:pPr>
        <w:autoSpaceDE w:val="0"/>
        <w:autoSpaceDN w:val="0"/>
        <w:adjustRightInd w:val="0"/>
        <w:spacing w:line="600" w:lineRule="exact"/>
        <w:jc w:val="left"/>
        <w:rPr>
          <w:rFonts w:ascii="宋体" w:hAnsi="宋体" w:eastAsia="宋体" w:cs="宋体"/>
          <w:sz w:val="24"/>
          <w:szCs w:val="18"/>
          <w:lang w:val="zh-CN"/>
        </w:rPr>
      </w:pPr>
    </w:p>
    <w:p w14:paraId="3DBAB268">
      <w:pPr>
        <w:autoSpaceDE w:val="0"/>
        <w:autoSpaceDN w:val="0"/>
        <w:adjustRightInd w:val="0"/>
        <w:spacing w:line="400" w:lineRule="exact"/>
        <w:jc w:val="left"/>
        <w:rPr>
          <w:rFonts w:ascii="宋体" w:hAnsi="宋体" w:eastAsia="宋体" w:cs="宋体"/>
          <w:sz w:val="24"/>
          <w:szCs w:val="18"/>
          <w:lang w:val="zh-CN"/>
        </w:rPr>
      </w:pPr>
    </w:p>
    <w:p w14:paraId="4AA5E1A6">
      <w:pPr>
        <w:autoSpaceDE w:val="0"/>
        <w:autoSpaceDN w:val="0"/>
        <w:adjustRightInd w:val="0"/>
        <w:jc w:val="center"/>
        <w:rPr>
          <w:rFonts w:ascii="宋体" w:hAnsi="宋体" w:eastAsia="宋体" w:cs="宋体"/>
          <w:b/>
          <w:bCs/>
          <w:sz w:val="52"/>
          <w:szCs w:val="52"/>
          <w:lang w:val="zh-CN"/>
        </w:rPr>
      </w:pPr>
      <w:r>
        <w:rPr>
          <w:rFonts w:hint="eastAsia" w:ascii="宋体" w:hAnsi="宋体" w:eastAsia="宋体" w:cs="宋体"/>
          <w:b/>
          <w:bCs/>
          <w:sz w:val="72"/>
          <w:szCs w:val="72"/>
          <w:lang w:val="zh-CN"/>
        </w:rPr>
        <w:t>投标文件</w:t>
      </w:r>
    </w:p>
    <w:p w14:paraId="4086676A">
      <w:pPr>
        <w:autoSpaceDE w:val="0"/>
        <w:autoSpaceDN w:val="0"/>
        <w:adjustRightInd w:val="0"/>
        <w:spacing w:line="400" w:lineRule="exact"/>
        <w:jc w:val="left"/>
        <w:rPr>
          <w:rFonts w:ascii="宋体" w:hAnsi="宋体" w:eastAsia="宋体" w:cs="宋体"/>
          <w:sz w:val="24"/>
          <w:szCs w:val="18"/>
          <w:lang w:val="zh-CN"/>
        </w:rPr>
      </w:pPr>
    </w:p>
    <w:p w14:paraId="40E83935">
      <w:pPr>
        <w:autoSpaceDE w:val="0"/>
        <w:autoSpaceDN w:val="0"/>
        <w:adjustRightInd w:val="0"/>
        <w:spacing w:line="400" w:lineRule="exact"/>
        <w:jc w:val="center"/>
        <w:rPr>
          <w:rFonts w:ascii="宋体" w:hAnsi="宋体" w:eastAsia="宋体" w:cs="宋体"/>
          <w:sz w:val="24"/>
          <w:szCs w:val="18"/>
          <w:u w:val="single"/>
        </w:rPr>
      </w:pPr>
      <w:r>
        <w:rPr>
          <w:rFonts w:hint="eastAsia" w:ascii="Times New Roman" w:hAnsi="Times New Roman" w:eastAsia="宋体" w:cs="Times New Roman"/>
          <w:sz w:val="32"/>
          <w:szCs w:val="32"/>
        </w:rPr>
        <w:t>项目编号：</w:t>
      </w:r>
    </w:p>
    <w:p w14:paraId="48BFD427">
      <w:pPr>
        <w:autoSpaceDE w:val="0"/>
        <w:autoSpaceDN w:val="0"/>
        <w:adjustRightInd w:val="0"/>
        <w:spacing w:line="400" w:lineRule="exact"/>
        <w:jc w:val="left"/>
        <w:rPr>
          <w:rFonts w:ascii="宋体" w:hAnsi="宋体" w:eastAsia="宋体" w:cs="宋体"/>
          <w:sz w:val="24"/>
          <w:szCs w:val="18"/>
          <w:lang w:val="zh-CN"/>
        </w:rPr>
      </w:pPr>
    </w:p>
    <w:p w14:paraId="7BC7CA09">
      <w:pPr>
        <w:rPr>
          <w:rFonts w:ascii="宋体" w:hAnsi="宋体" w:eastAsia="宋体" w:cs="宋体"/>
          <w:sz w:val="30"/>
          <w:szCs w:val="20"/>
        </w:rPr>
      </w:pPr>
    </w:p>
    <w:p w14:paraId="67048BB3">
      <w:pPr>
        <w:autoSpaceDE w:val="0"/>
        <w:autoSpaceDN w:val="0"/>
        <w:adjustRightInd w:val="0"/>
        <w:spacing w:line="400" w:lineRule="exact"/>
        <w:jc w:val="left"/>
        <w:rPr>
          <w:rFonts w:ascii="宋体" w:hAnsi="宋体" w:eastAsia="宋体" w:cs="宋体"/>
          <w:sz w:val="24"/>
          <w:szCs w:val="18"/>
          <w:lang w:val="zh-CN"/>
        </w:rPr>
      </w:pPr>
    </w:p>
    <w:p w14:paraId="09662E99">
      <w:pPr>
        <w:autoSpaceDE w:val="0"/>
        <w:autoSpaceDN w:val="0"/>
        <w:adjustRightInd w:val="0"/>
        <w:spacing w:line="400" w:lineRule="exact"/>
        <w:jc w:val="left"/>
        <w:rPr>
          <w:rFonts w:ascii="宋体" w:hAnsi="宋体" w:eastAsia="宋体" w:cs="宋体"/>
          <w:sz w:val="24"/>
          <w:szCs w:val="18"/>
          <w:lang w:val="zh-CN"/>
        </w:rPr>
      </w:pPr>
    </w:p>
    <w:p w14:paraId="18512585">
      <w:pPr>
        <w:autoSpaceDE w:val="0"/>
        <w:autoSpaceDN w:val="0"/>
        <w:adjustRightInd w:val="0"/>
        <w:spacing w:line="400" w:lineRule="exact"/>
        <w:jc w:val="left"/>
        <w:rPr>
          <w:rFonts w:ascii="宋体" w:hAnsi="宋体" w:eastAsia="宋体" w:cs="宋体"/>
          <w:sz w:val="24"/>
          <w:szCs w:val="18"/>
          <w:lang w:val="zh-CN"/>
        </w:rPr>
      </w:pPr>
    </w:p>
    <w:p w14:paraId="5359DBC9">
      <w:pPr>
        <w:autoSpaceDE w:val="0"/>
        <w:autoSpaceDN w:val="0"/>
        <w:adjustRightInd w:val="0"/>
        <w:spacing w:line="400" w:lineRule="exact"/>
        <w:jc w:val="left"/>
        <w:rPr>
          <w:rFonts w:ascii="宋体" w:hAnsi="宋体" w:eastAsia="宋体" w:cs="宋体"/>
          <w:sz w:val="24"/>
          <w:szCs w:val="18"/>
          <w:lang w:val="zh-CN"/>
        </w:rPr>
      </w:pPr>
    </w:p>
    <w:p w14:paraId="746647BB">
      <w:pPr>
        <w:autoSpaceDE w:val="0"/>
        <w:autoSpaceDN w:val="0"/>
        <w:adjustRightInd w:val="0"/>
        <w:spacing w:line="400" w:lineRule="exact"/>
        <w:jc w:val="center"/>
        <w:rPr>
          <w:rFonts w:ascii="宋体" w:hAnsi="宋体" w:eastAsia="宋体" w:cs="宋体"/>
          <w:sz w:val="24"/>
          <w:szCs w:val="18"/>
          <w:lang w:val="zh-CN"/>
        </w:rPr>
      </w:pPr>
    </w:p>
    <w:p w14:paraId="7CDD56D0">
      <w:pPr>
        <w:rPr>
          <w:rFonts w:ascii="宋体" w:hAnsi="宋体" w:eastAsia="宋体" w:cs="宋体"/>
          <w:szCs w:val="18"/>
          <w:lang w:val="zh-CN"/>
        </w:rPr>
      </w:pPr>
    </w:p>
    <w:p w14:paraId="1C5FAF40">
      <w:pPr>
        <w:rPr>
          <w:rFonts w:ascii="宋体" w:hAnsi="宋体" w:eastAsia="宋体" w:cs="宋体"/>
          <w:szCs w:val="18"/>
          <w:lang w:val="zh-CN"/>
        </w:rPr>
      </w:pPr>
    </w:p>
    <w:p w14:paraId="64560E7F">
      <w:pPr>
        <w:autoSpaceDE w:val="0"/>
        <w:autoSpaceDN w:val="0"/>
        <w:adjustRightInd w:val="0"/>
        <w:spacing w:line="400" w:lineRule="exact"/>
        <w:rPr>
          <w:rFonts w:ascii="宋体" w:hAnsi="宋体" w:eastAsia="宋体" w:cs="宋体"/>
          <w:sz w:val="28"/>
          <w:szCs w:val="18"/>
        </w:rPr>
      </w:pPr>
    </w:p>
    <w:p w14:paraId="578F31C2">
      <w:pPr>
        <w:autoSpaceDE w:val="0"/>
        <w:autoSpaceDN w:val="0"/>
        <w:adjustRightInd w:val="0"/>
        <w:spacing w:line="400" w:lineRule="exact"/>
        <w:jc w:val="center"/>
        <w:rPr>
          <w:rFonts w:ascii="宋体" w:hAnsi="宋体" w:eastAsia="宋体" w:cs="宋体"/>
          <w:sz w:val="28"/>
          <w:szCs w:val="18"/>
        </w:rPr>
      </w:pPr>
    </w:p>
    <w:p w14:paraId="7470A3BB">
      <w:pPr>
        <w:autoSpaceDE w:val="0"/>
        <w:autoSpaceDN w:val="0"/>
        <w:adjustRightInd w:val="0"/>
        <w:spacing w:line="400" w:lineRule="exact"/>
        <w:ind w:firstLine="2240" w:firstLineChars="800"/>
        <w:rPr>
          <w:rFonts w:ascii="宋体" w:hAnsi="宋体" w:eastAsia="宋体" w:cs="宋体"/>
          <w:sz w:val="28"/>
          <w:szCs w:val="18"/>
          <w:lang w:val="zh-CN"/>
        </w:rPr>
      </w:pPr>
    </w:p>
    <w:p w14:paraId="02CAC6F2">
      <w:pPr>
        <w:autoSpaceDE w:val="0"/>
        <w:autoSpaceDN w:val="0"/>
        <w:adjustRightInd w:val="0"/>
        <w:spacing w:line="400" w:lineRule="exact"/>
        <w:ind w:firstLine="2240" w:firstLineChars="800"/>
        <w:rPr>
          <w:rFonts w:ascii="宋体" w:hAnsi="宋体" w:eastAsia="宋体" w:cs="宋体"/>
          <w:sz w:val="28"/>
          <w:szCs w:val="18"/>
          <w:lang w:val="zh-CN"/>
        </w:rPr>
      </w:pPr>
    </w:p>
    <w:p w14:paraId="11C6FB4C">
      <w:pPr>
        <w:autoSpaceDE w:val="0"/>
        <w:autoSpaceDN w:val="0"/>
        <w:adjustRightInd w:val="0"/>
        <w:spacing w:line="400" w:lineRule="exact"/>
        <w:ind w:firstLine="2240" w:firstLineChars="800"/>
        <w:rPr>
          <w:rFonts w:ascii="宋体" w:hAnsi="宋体" w:eastAsia="宋体" w:cs="宋体"/>
          <w:sz w:val="28"/>
          <w:szCs w:val="18"/>
          <w:lang w:val="zh-CN"/>
        </w:rPr>
      </w:pPr>
    </w:p>
    <w:p w14:paraId="02E5237F">
      <w:pPr>
        <w:autoSpaceDE w:val="0"/>
        <w:autoSpaceDN w:val="0"/>
        <w:adjustRightInd w:val="0"/>
        <w:spacing w:line="400" w:lineRule="exact"/>
        <w:ind w:firstLine="2240" w:firstLineChars="800"/>
        <w:rPr>
          <w:rFonts w:ascii="宋体" w:hAnsi="宋体" w:eastAsia="宋体" w:cs="宋体"/>
          <w:sz w:val="28"/>
          <w:szCs w:val="18"/>
          <w:lang w:val="zh-CN"/>
        </w:rPr>
      </w:pPr>
      <w:r>
        <w:rPr>
          <w:rFonts w:hint="eastAsia" w:ascii="宋体" w:hAnsi="宋体" w:eastAsia="宋体" w:cs="宋体"/>
          <w:sz w:val="28"/>
          <w:szCs w:val="18"/>
          <w:lang w:val="zh-CN"/>
        </w:rPr>
        <w:t>投标人：(盖单位章)</w:t>
      </w:r>
    </w:p>
    <w:p w14:paraId="4AAFD33C">
      <w:pPr>
        <w:autoSpaceDE w:val="0"/>
        <w:autoSpaceDN w:val="0"/>
        <w:adjustRightInd w:val="0"/>
        <w:spacing w:line="400" w:lineRule="exact"/>
        <w:jc w:val="center"/>
        <w:rPr>
          <w:rFonts w:ascii="宋体" w:hAnsi="宋体" w:eastAsia="宋体" w:cs="宋体"/>
          <w:sz w:val="28"/>
          <w:szCs w:val="18"/>
          <w:lang w:val="zh-CN"/>
        </w:rPr>
      </w:pPr>
    </w:p>
    <w:p w14:paraId="02B76B30">
      <w:pPr>
        <w:autoSpaceDE w:val="0"/>
        <w:autoSpaceDN w:val="0"/>
        <w:adjustRightInd w:val="0"/>
        <w:spacing w:line="400" w:lineRule="exact"/>
        <w:jc w:val="center"/>
        <w:rPr>
          <w:rFonts w:ascii="宋体" w:hAnsi="宋体" w:eastAsia="宋体" w:cs="宋体"/>
          <w:sz w:val="28"/>
          <w:szCs w:val="18"/>
          <w:lang w:val="zh-CN"/>
        </w:rPr>
      </w:pPr>
      <w:r>
        <w:rPr>
          <w:rFonts w:hint="eastAsia" w:ascii="宋体" w:hAnsi="宋体" w:eastAsia="宋体" w:cs="宋体"/>
          <w:sz w:val="28"/>
          <w:szCs w:val="18"/>
          <w:lang w:val="zh-CN"/>
        </w:rPr>
        <w:t>法定代表人或其委托代理人：(签字</w:t>
      </w:r>
      <w:r>
        <w:rPr>
          <w:rFonts w:hint="eastAsia" w:ascii="宋体" w:hAnsi="宋体" w:eastAsia="宋体" w:cs="宋体"/>
          <w:sz w:val="28"/>
          <w:szCs w:val="18"/>
        </w:rPr>
        <w:t>或盖章</w:t>
      </w:r>
      <w:r>
        <w:rPr>
          <w:rFonts w:hint="eastAsia" w:ascii="宋体" w:hAnsi="宋体" w:eastAsia="宋体" w:cs="宋体"/>
          <w:sz w:val="28"/>
          <w:szCs w:val="18"/>
          <w:lang w:val="zh-CN"/>
        </w:rPr>
        <w:t>)</w:t>
      </w:r>
    </w:p>
    <w:p w14:paraId="73138A9F">
      <w:pPr>
        <w:autoSpaceDE w:val="0"/>
        <w:autoSpaceDN w:val="0"/>
        <w:adjustRightInd w:val="0"/>
        <w:spacing w:line="400" w:lineRule="exact"/>
        <w:ind w:firstLine="280" w:firstLineChars="100"/>
        <w:jc w:val="center"/>
        <w:rPr>
          <w:rFonts w:ascii="宋体" w:hAnsi="宋体" w:eastAsia="宋体" w:cs="宋体"/>
          <w:sz w:val="28"/>
          <w:szCs w:val="18"/>
          <w:u w:val="single"/>
        </w:rPr>
      </w:pPr>
    </w:p>
    <w:p w14:paraId="42D17DC8">
      <w:pPr>
        <w:autoSpaceDE w:val="0"/>
        <w:autoSpaceDN w:val="0"/>
        <w:adjustRightInd w:val="0"/>
        <w:jc w:val="center"/>
        <w:rPr>
          <w:rFonts w:ascii="宋体" w:hAnsi="宋体" w:eastAsia="宋体" w:cs="宋体"/>
          <w:b/>
          <w:bCs/>
          <w:sz w:val="24"/>
          <w:szCs w:val="21"/>
          <w:lang w:val="zh-CN"/>
        </w:rPr>
      </w:pPr>
      <w:r>
        <w:rPr>
          <w:rFonts w:hint="eastAsia" w:ascii="宋体" w:hAnsi="宋体" w:eastAsia="宋体" w:cs="宋体"/>
          <w:sz w:val="28"/>
          <w:szCs w:val="28"/>
          <w:lang w:val="zh-CN"/>
        </w:rPr>
        <w:t>年</w:t>
      </w:r>
      <w:r>
        <w:rPr>
          <w:rFonts w:hint="eastAsia" w:ascii="宋体" w:hAnsi="宋体" w:eastAsia="宋体" w:cs="宋体"/>
          <w:sz w:val="28"/>
          <w:szCs w:val="28"/>
        </w:rPr>
        <w:t xml:space="preserve"> </w:t>
      </w:r>
      <w:r>
        <w:rPr>
          <w:rFonts w:hint="eastAsia" w:ascii="宋体" w:hAnsi="宋体" w:eastAsia="宋体" w:cs="宋体"/>
          <w:sz w:val="28"/>
          <w:szCs w:val="28"/>
          <w:lang w:val="zh-CN"/>
        </w:rPr>
        <w:t>月</w:t>
      </w:r>
      <w:r>
        <w:rPr>
          <w:rFonts w:hint="eastAsia" w:ascii="宋体" w:hAnsi="宋体" w:eastAsia="宋体" w:cs="宋体"/>
          <w:sz w:val="28"/>
          <w:szCs w:val="28"/>
        </w:rPr>
        <w:t xml:space="preserve"> </w:t>
      </w:r>
      <w:r>
        <w:rPr>
          <w:rFonts w:hint="eastAsia" w:ascii="宋体" w:hAnsi="宋体" w:eastAsia="宋体" w:cs="宋体"/>
          <w:sz w:val="28"/>
          <w:szCs w:val="28"/>
          <w:lang w:val="zh-CN"/>
        </w:rPr>
        <w:t>日</w:t>
      </w:r>
      <w:r>
        <w:rPr>
          <w:rFonts w:hint="eastAsia" w:ascii="宋体" w:hAnsi="宋体" w:eastAsia="宋体" w:cs="宋体"/>
          <w:b/>
          <w:bCs/>
          <w:sz w:val="24"/>
          <w:szCs w:val="21"/>
          <w:lang w:val="zh-CN"/>
        </w:rPr>
        <w:br w:type="page"/>
      </w:r>
    </w:p>
    <w:p w14:paraId="5A04EEEA">
      <w:pPr>
        <w:rPr>
          <w:rFonts w:ascii="宋体" w:hAnsi="宋体" w:eastAsia="宋体" w:cs="宋体"/>
          <w:kern w:val="0"/>
          <w:sz w:val="24"/>
          <w:szCs w:val="24"/>
        </w:rPr>
      </w:pPr>
      <w:r>
        <w:rPr>
          <w:rFonts w:hint="eastAsia" w:ascii="宋体" w:hAnsi="宋体" w:eastAsia="宋体" w:cs="宋体"/>
          <w:b/>
          <w:kern w:val="0"/>
          <w:sz w:val="24"/>
          <w:szCs w:val="24"/>
        </w:rPr>
        <w:t>评审因素索引表</w:t>
      </w:r>
    </w:p>
    <w:tbl>
      <w:tblPr>
        <w:tblStyle w:val="21"/>
        <w:tblW w:w="99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93"/>
        <w:gridCol w:w="4388"/>
        <w:gridCol w:w="2366"/>
      </w:tblGrid>
      <w:tr w14:paraId="5D0A3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0499174E">
            <w:pPr>
              <w:autoSpaceDE w:val="0"/>
              <w:autoSpaceDN w:val="0"/>
              <w:adjustRightInd w:val="0"/>
              <w:spacing w:line="288" w:lineRule="auto"/>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2193" w:type="dxa"/>
            <w:vAlign w:val="center"/>
          </w:tcPr>
          <w:p w14:paraId="5A62C7BF">
            <w:pPr>
              <w:autoSpaceDE w:val="0"/>
              <w:autoSpaceDN w:val="0"/>
              <w:adjustRightInd w:val="0"/>
              <w:spacing w:line="288" w:lineRule="auto"/>
              <w:jc w:val="center"/>
              <w:rPr>
                <w:rFonts w:ascii="宋体" w:hAnsi="宋体" w:eastAsia="宋体" w:cs="宋体"/>
                <w:sz w:val="24"/>
                <w:szCs w:val="24"/>
                <w:lang w:val="zh-CN"/>
              </w:rPr>
            </w:pPr>
            <w:r>
              <w:rPr>
                <w:rFonts w:hint="eastAsia" w:ascii="宋体" w:hAnsi="宋体" w:eastAsia="宋体" w:cs="宋体"/>
                <w:sz w:val="24"/>
                <w:szCs w:val="24"/>
                <w:lang w:val="zh-CN"/>
              </w:rPr>
              <w:t>评审因素</w:t>
            </w:r>
          </w:p>
        </w:tc>
        <w:tc>
          <w:tcPr>
            <w:tcW w:w="4388" w:type="dxa"/>
            <w:vAlign w:val="center"/>
          </w:tcPr>
          <w:p w14:paraId="3F8E85DC">
            <w:pPr>
              <w:autoSpaceDE w:val="0"/>
              <w:autoSpaceDN w:val="0"/>
              <w:adjustRightInd w:val="0"/>
              <w:spacing w:line="288" w:lineRule="auto"/>
              <w:jc w:val="center"/>
              <w:rPr>
                <w:rFonts w:ascii="宋体" w:hAnsi="宋体" w:eastAsia="宋体" w:cs="宋体"/>
                <w:sz w:val="24"/>
                <w:szCs w:val="24"/>
                <w:lang w:val="zh-CN"/>
              </w:rPr>
            </w:pPr>
            <w:r>
              <w:rPr>
                <w:rFonts w:hint="eastAsia" w:ascii="宋体" w:hAnsi="宋体" w:eastAsia="宋体" w:cs="宋体"/>
                <w:sz w:val="24"/>
                <w:szCs w:val="24"/>
                <w:lang w:val="zh-CN"/>
              </w:rPr>
              <w:t>评审因素对应的内容</w:t>
            </w:r>
          </w:p>
        </w:tc>
        <w:tc>
          <w:tcPr>
            <w:tcW w:w="2366" w:type="dxa"/>
            <w:vAlign w:val="center"/>
          </w:tcPr>
          <w:p w14:paraId="3F426555">
            <w:pPr>
              <w:autoSpaceDE w:val="0"/>
              <w:autoSpaceDN w:val="0"/>
              <w:adjustRightInd w:val="0"/>
              <w:spacing w:line="288" w:lineRule="auto"/>
              <w:jc w:val="center"/>
              <w:rPr>
                <w:rFonts w:ascii="宋体" w:hAnsi="宋体" w:eastAsia="宋体" w:cs="宋体"/>
                <w:sz w:val="24"/>
                <w:szCs w:val="24"/>
                <w:lang w:val="zh-CN"/>
              </w:rPr>
            </w:pPr>
            <w:r>
              <w:rPr>
                <w:rFonts w:hint="eastAsia" w:ascii="宋体" w:hAnsi="宋体" w:eastAsia="宋体" w:cs="宋体"/>
                <w:sz w:val="24"/>
                <w:szCs w:val="24"/>
                <w:lang w:val="zh-CN"/>
              </w:rPr>
              <w:t>评审因素对应内容所在页码</w:t>
            </w:r>
          </w:p>
        </w:tc>
      </w:tr>
      <w:tr w14:paraId="480BB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9" w:type="dxa"/>
            <w:gridSpan w:val="4"/>
            <w:vAlign w:val="center"/>
          </w:tcPr>
          <w:p w14:paraId="34F6AD6C">
            <w:pPr>
              <w:autoSpaceDE w:val="0"/>
              <w:autoSpaceDN w:val="0"/>
              <w:adjustRightInd w:val="0"/>
              <w:spacing w:line="288" w:lineRule="auto"/>
              <w:rPr>
                <w:rFonts w:ascii="宋体" w:hAnsi="宋体" w:eastAsia="宋体" w:cs="宋体"/>
                <w:sz w:val="24"/>
                <w:szCs w:val="24"/>
              </w:rPr>
            </w:pPr>
            <w:r>
              <w:rPr>
                <w:rFonts w:hint="eastAsia" w:ascii="宋体" w:hAnsi="宋体" w:eastAsia="宋体" w:cs="宋体"/>
                <w:b/>
                <w:bCs/>
                <w:sz w:val="24"/>
                <w:szCs w:val="24"/>
                <w:lang w:val="zh-CN"/>
              </w:rPr>
              <w:t>（一）价格因素</w:t>
            </w:r>
          </w:p>
        </w:tc>
      </w:tr>
      <w:tr w14:paraId="193F50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5192BCAE">
            <w:pPr>
              <w:spacing w:line="288" w:lineRule="auto"/>
              <w:jc w:val="center"/>
              <w:rPr>
                <w:rFonts w:ascii="宋体" w:hAnsi="宋体" w:eastAsia="宋体" w:cs="宋体"/>
                <w:sz w:val="24"/>
                <w:szCs w:val="24"/>
              </w:rPr>
            </w:pPr>
            <w:r>
              <w:rPr>
                <w:rFonts w:hint="eastAsia" w:ascii="宋体" w:hAnsi="宋体" w:eastAsia="宋体" w:cs="宋体"/>
                <w:sz w:val="24"/>
                <w:szCs w:val="24"/>
              </w:rPr>
              <w:t>1</w:t>
            </w:r>
          </w:p>
        </w:tc>
        <w:tc>
          <w:tcPr>
            <w:tcW w:w="2193" w:type="dxa"/>
            <w:vAlign w:val="center"/>
          </w:tcPr>
          <w:p w14:paraId="6EE65714">
            <w:pPr>
              <w:spacing w:line="288" w:lineRule="auto"/>
              <w:jc w:val="center"/>
              <w:rPr>
                <w:rFonts w:ascii="宋体" w:hAnsi="宋体" w:eastAsia="宋体" w:cs="宋体"/>
                <w:sz w:val="24"/>
                <w:szCs w:val="24"/>
              </w:rPr>
            </w:pPr>
          </w:p>
        </w:tc>
        <w:tc>
          <w:tcPr>
            <w:tcW w:w="4388" w:type="dxa"/>
            <w:vAlign w:val="center"/>
          </w:tcPr>
          <w:p w14:paraId="4143B55F">
            <w:pPr>
              <w:spacing w:line="288" w:lineRule="auto"/>
              <w:jc w:val="center"/>
              <w:rPr>
                <w:rFonts w:ascii="宋体" w:hAnsi="宋体" w:eastAsia="宋体" w:cs="宋体"/>
                <w:sz w:val="24"/>
                <w:szCs w:val="24"/>
              </w:rPr>
            </w:pPr>
          </w:p>
        </w:tc>
        <w:tc>
          <w:tcPr>
            <w:tcW w:w="2366" w:type="dxa"/>
          </w:tcPr>
          <w:p w14:paraId="40B01CC9">
            <w:pPr>
              <w:spacing w:line="288" w:lineRule="auto"/>
              <w:jc w:val="center"/>
              <w:rPr>
                <w:rFonts w:ascii="宋体" w:hAnsi="宋体" w:eastAsia="宋体" w:cs="宋体"/>
                <w:sz w:val="24"/>
                <w:szCs w:val="24"/>
              </w:rPr>
            </w:pPr>
          </w:p>
        </w:tc>
      </w:tr>
      <w:tr w14:paraId="43570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9" w:type="dxa"/>
            <w:gridSpan w:val="4"/>
            <w:vAlign w:val="center"/>
          </w:tcPr>
          <w:p w14:paraId="3591AE8F">
            <w:pPr>
              <w:autoSpaceDE w:val="0"/>
              <w:autoSpaceDN w:val="0"/>
              <w:adjustRightInd w:val="0"/>
              <w:spacing w:line="288" w:lineRule="auto"/>
              <w:rPr>
                <w:rFonts w:ascii="宋体" w:hAnsi="宋体" w:eastAsia="宋体" w:cs="宋体"/>
                <w:sz w:val="24"/>
                <w:szCs w:val="24"/>
              </w:rPr>
            </w:pPr>
            <w:r>
              <w:rPr>
                <w:rFonts w:hint="eastAsia" w:ascii="宋体" w:hAnsi="宋体" w:eastAsia="宋体" w:cs="宋体"/>
                <w:b/>
                <w:bCs/>
                <w:sz w:val="24"/>
                <w:szCs w:val="24"/>
                <w:lang w:val="zh-CN"/>
              </w:rPr>
              <w:t>（二）商务因素</w:t>
            </w:r>
          </w:p>
        </w:tc>
      </w:tr>
      <w:tr w14:paraId="69B6A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658D4FCC">
            <w:pPr>
              <w:spacing w:line="288" w:lineRule="auto"/>
              <w:jc w:val="center"/>
              <w:rPr>
                <w:rFonts w:ascii="宋体" w:hAnsi="宋体" w:eastAsia="宋体" w:cs="宋体"/>
                <w:sz w:val="24"/>
                <w:szCs w:val="24"/>
              </w:rPr>
            </w:pPr>
            <w:r>
              <w:rPr>
                <w:rFonts w:hint="eastAsia" w:ascii="宋体" w:hAnsi="宋体" w:eastAsia="宋体" w:cs="宋体"/>
                <w:sz w:val="24"/>
                <w:szCs w:val="24"/>
              </w:rPr>
              <w:t>1</w:t>
            </w:r>
          </w:p>
        </w:tc>
        <w:tc>
          <w:tcPr>
            <w:tcW w:w="2193" w:type="dxa"/>
            <w:vAlign w:val="center"/>
          </w:tcPr>
          <w:p w14:paraId="3F1C0E84">
            <w:pPr>
              <w:spacing w:line="288" w:lineRule="auto"/>
              <w:jc w:val="center"/>
              <w:rPr>
                <w:rFonts w:ascii="宋体" w:hAnsi="宋体" w:eastAsia="宋体" w:cs="宋体"/>
                <w:sz w:val="24"/>
                <w:szCs w:val="24"/>
              </w:rPr>
            </w:pPr>
          </w:p>
        </w:tc>
        <w:tc>
          <w:tcPr>
            <w:tcW w:w="4388" w:type="dxa"/>
            <w:vAlign w:val="center"/>
          </w:tcPr>
          <w:p w14:paraId="01A9BFFA">
            <w:pPr>
              <w:spacing w:line="288" w:lineRule="auto"/>
              <w:jc w:val="center"/>
              <w:rPr>
                <w:rFonts w:ascii="宋体" w:hAnsi="宋体" w:eastAsia="宋体" w:cs="宋体"/>
                <w:sz w:val="24"/>
                <w:szCs w:val="24"/>
              </w:rPr>
            </w:pPr>
          </w:p>
        </w:tc>
        <w:tc>
          <w:tcPr>
            <w:tcW w:w="2366" w:type="dxa"/>
          </w:tcPr>
          <w:p w14:paraId="540FA14A">
            <w:pPr>
              <w:spacing w:line="288" w:lineRule="auto"/>
              <w:jc w:val="center"/>
              <w:rPr>
                <w:rFonts w:ascii="宋体" w:hAnsi="宋体" w:eastAsia="宋体" w:cs="宋体"/>
                <w:sz w:val="24"/>
                <w:szCs w:val="24"/>
              </w:rPr>
            </w:pPr>
          </w:p>
        </w:tc>
      </w:tr>
      <w:tr w14:paraId="3C42D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19266ECD">
            <w:pPr>
              <w:spacing w:line="288" w:lineRule="auto"/>
              <w:jc w:val="center"/>
              <w:rPr>
                <w:rFonts w:ascii="宋体" w:hAnsi="宋体" w:eastAsia="宋体" w:cs="宋体"/>
                <w:sz w:val="24"/>
                <w:szCs w:val="24"/>
              </w:rPr>
            </w:pPr>
            <w:r>
              <w:rPr>
                <w:rFonts w:hint="eastAsia" w:ascii="宋体" w:hAnsi="宋体" w:eastAsia="宋体" w:cs="宋体"/>
                <w:sz w:val="24"/>
                <w:szCs w:val="24"/>
              </w:rPr>
              <w:t>2</w:t>
            </w:r>
          </w:p>
        </w:tc>
        <w:tc>
          <w:tcPr>
            <w:tcW w:w="2193" w:type="dxa"/>
            <w:vAlign w:val="center"/>
          </w:tcPr>
          <w:p w14:paraId="5D3E0522">
            <w:pPr>
              <w:spacing w:line="288" w:lineRule="auto"/>
              <w:jc w:val="center"/>
              <w:rPr>
                <w:rFonts w:ascii="宋体" w:hAnsi="宋体" w:eastAsia="宋体" w:cs="宋体"/>
                <w:sz w:val="24"/>
                <w:szCs w:val="24"/>
              </w:rPr>
            </w:pPr>
          </w:p>
        </w:tc>
        <w:tc>
          <w:tcPr>
            <w:tcW w:w="4388" w:type="dxa"/>
            <w:vAlign w:val="center"/>
          </w:tcPr>
          <w:p w14:paraId="38A0D7D5">
            <w:pPr>
              <w:spacing w:line="288" w:lineRule="auto"/>
              <w:jc w:val="center"/>
              <w:rPr>
                <w:rFonts w:ascii="宋体" w:hAnsi="宋体" w:eastAsia="宋体" w:cs="宋体"/>
                <w:sz w:val="24"/>
                <w:szCs w:val="24"/>
              </w:rPr>
            </w:pPr>
          </w:p>
        </w:tc>
        <w:tc>
          <w:tcPr>
            <w:tcW w:w="2366" w:type="dxa"/>
          </w:tcPr>
          <w:p w14:paraId="7C77D5B2">
            <w:pPr>
              <w:spacing w:line="288" w:lineRule="auto"/>
              <w:jc w:val="center"/>
              <w:rPr>
                <w:rFonts w:ascii="宋体" w:hAnsi="宋体" w:eastAsia="宋体" w:cs="宋体"/>
                <w:sz w:val="24"/>
                <w:szCs w:val="24"/>
              </w:rPr>
            </w:pPr>
          </w:p>
        </w:tc>
      </w:tr>
      <w:tr w14:paraId="06B153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1B3F5361">
            <w:pPr>
              <w:spacing w:line="288" w:lineRule="auto"/>
              <w:jc w:val="center"/>
              <w:rPr>
                <w:rFonts w:ascii="宋体" w:hAnsi="宋体" w:eastAsia="宋体" w:cs="宋体"/>
                <w:sz w:val="24"/>
                <w:szCs w:val="24"/>
              </w:rPr>
            </w:pPr>
            <w:r>
              <w:rPr>
                <w:rFonts w:hint="eastAsia" w:ascii="宋体" w:hAnsi="宋体" w:eastAsia="宋体" w:cs="宋体"/>
                <w:sz w:val="24"/>
                <w:szCs w:val="24"/>
              </w:rPr>
              <w:t>3</w:t>
            </w:r>
          </w:p>
        </w:tc>
        <w:tc>
          <w:tcPr>
            <w:tcW w:w="2193" w:type="dxa"/>
            <w:vAlign w:val="center"/>
          </w:tcPr>
          <w:p w14:paraId="3496AD22">
            <w:pPr>
              <w:spacing w:line="288" w:lineRule="auto"/>
              <w:jc w:val="center"/>
              <w:rPr>
                <w:rFonts w:ascii="宋体" w:hAnsi="宋体" w:eastAsia="宋体" w:cs="宋体"/>
                <w:sz w:val="24"/>
                <w:szCs w:val="24"/>
              </w:rPr>
            </w:pPr>
          </w:p>
        </w:tc>
        <w:tc>
          <w:tcPr>
            <w:tcW w:w="4388" w:type="dxa"/>
            <w:vAlign w:val="center"/>
          </w:tcPr>
          <w:p w14:paraId="5BA06FAE">
            <w:pPr>
              <w:spacing w:line="288" w:lineRule="auto"/>
              <w:jc w:val="center"/>
              <w:rPr>
                <w:rFonts w:ascii="宋体" w:hAnsi="宋体" w:eastAsia="宋体" w:cs="宋体"/>
                <w:sz w:val="24"/>
                <w:szCs w:val="24"/>
              </w:rPr>
            </w:pPr>
          </w:p>
        </w:tc>
        <w:tc>
          <w:tcPr>
            <w:tcW w:w="2366" w:type="dxa"/>
          </w:tcPr>
          <w:p w14:paraId="2D46D711">
            <w:pPr>
              <w:spacing w:line="288" w:lineRule="auto"/>
              <w:jc w:val="center"/>
              <w:rPr>
                <w:rFonts w:ascii="宋体" w:hAnsi="宋体" w:eastAsia="宋体" w:cs="宋体"/>
                <w:sz w:val="24"/>
                <w:szCs w:val="24"/>
              </w:rPr>
            </w:pPr>
          </w:p>
        </w:tc>
      </w:tr>
      <w:tr w14:paraId="392A2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4E27A354">
            <w:pPr>
              <w:spacing w:line="288" w:lineRule="auto"/>
              <w:jc w:val="center"/>
              <w:rPr>
                <w:rFonts w:ascii="宋体" w:hAnsi="宋体" w:eastAsia="宋体" w:cs="宋体"/>
                <w:sz w:val="24"/>
                <w:szCs w:val="24"/>
              </w:rPr>
            </w:pPr>
            <w:r>
              <w:rPr>
                <w:rFonts w:hint="eastAsia" w:ascii="宋体" w:hAnsi="宋体" w:eastAsia="宋体" w:cs="宋体"/>
                <w:sz w:val="24"/>
                <w:szCs w:val="24"/>
              </w:rPr>
              <w:t>……</w:t>
            </w:r>
          </w:p>
        </w:tc>
        <w:tc>
          <w:tcPr>
            <w:tcW w:w="2193" w:type="dxa"/>
            <w:vAlign w:val="center"/>
          </w:tcPr>
          <w:p w14:paraId="51AAD4DE">
            <w:pPr>
              <w:spacing w:line="288" w:lineRule="auto"/>
              <w:jc w:val="center"/>
              <w:rPr>
                <w:rFonts w:ascii="宋体" w:hAnsi="宋体" w:eastAsia="宋体" w:cs="宋体"/>
                <w:sz w:val="24"/>
                <w:szCs w:val="24"/>
              </w:rPr>
            </w:pPr>
          </w:p>
        </w:tc>
        <w:tc>
          <w:tcPr>
            <w:tcW w:w="4388" w:type="dxa"/>
            <w:vAlign w:val="center"/>
          </w:tcPr>
          <w:p w14:paraId="6408CC11">
            <w:pPr>
              <w:spacing w:line="288" w:lineRule="auto"/>
              <w:jc w:val="center"/>
              <w:rPr>
                <w:rFonts w:ascii="宋体" w:hAnsi="宋体" w:eastAsia="宋体" w:cs="宋体"/>
                <w:sz w:val="24"/>
                <w:szCs w:val="24"/>
              </w:rPr>
            </w:pPr>
          </w:p>
        </w:tc>
        <w:tc>
          <w:tcPr>
            <w:tcW w:w="2366" w:type="dxa"/>
          </w:tcPr>
          <w:p w14:paraId="62FDA2B3">
            <w:pPr>
              <w:spacing w:line="288" w:lineRule="auto"/>
              <w:jc w:val="center"/>
              <w:rPr>
                <w:rFonts w:ascii="宋体" w:hAnsi="宋体" w:eastAsia="宋体" w:cs="宋体"/>
                <w:sz w:val="24"/>
                <w:szCs w:val="24"/>
              </w:rPr>
            </w:pPr>
          </w:p>
        </w:tc>
      </w:tr>
      <w:tr w14:paraId="67AB6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9" w:type="dxa"/>
            <w:gridSpan w:val="4"/>
            <w:vAlign w:val="center"/>
          </w:tcPr>
          <w:p w14:paraId="68ABEC91">
            <w:pPr>
              <w:autoSpaceDE w:val="0"/>
              <w:autoSpaceDN w:val="0"/>
              <w:adjustRightInd w:val="0"/>
              <w:spacing w:line="288" w:lineRule="auto"/>
              <w:rPr>
                <w:rFonts w:ascii="宋体" w:hAnsi="宋体" w:eastAsia="宋体" w:cs="宋体"/>
                <w:sz w:val="24"/>
                <w:szCs w:val="24"/>
              </w:rPr>
            </w:pPr>
            <w:r>
              <w:rPr>
                <w:rFonts w:hint="eastAsia" w:ascii="宋体" w:hAnsi="宋体" w:eastAsia="宋体" w:cs="宋体"/>
                <w:b/>
                <w:bCs/>
                <w:sz w:val="24"/>
                <w:szCs w:val="24"/>
                <w:lang w:val="zh-CN"/>
              </w:rPr>
              <w:t>（三）技术因素</w:t>
            </w:r>
          </w:p>
        </w:tc>
      </w:tr>
      <w:tr w14:paraId="2A4D4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3CDAD2C8">
            <w:pPr>
              <w:spacing w:line="288" w:lineRule="auto"/>
              <w:jc w:val="center"/>
              <w:rPr>
                <w:rFonts w:ascii="宋体" w:hAnsi="宋体" w:eastAsia="宋体" w:cs="宋体"/>
                <w:sz w:val="24"/>
                <w:szCs w:val="24"/>
              </w:rPr>
            </w:pPr>
            <w:r>
              <w:rPr>
                <w:rFonts w:hint="eastAsia" w:ascii="宋体" w:hAnsi="宋体" w:eastAsia="宋体" w:cs="宋体"/>
                <w:sz w:val="24"/>
                <w:szCs w:val="24"/>
              </w:rPr>
              <w:t>1</w:t>
            </w:r>
          </w:p>
        </w:tc>
        <w:tc>
          <w:tcPr>
            <w:tcW w:w="2193" w:type="dxa"/>
            <w:vAlign w:val="center"/>
          </w:tcPr>
          <w:p w14:paraId="12CC74D6">
            <w:pPr>
              <w:spacing w:line="288" w:lineRule="auto"/>
              <w:jc w:val="center"/>
              <w:rPr>
                <w:rFonts w:ascii="宋体" w:hAnsi="宋体" w:eastAsia="宋体" w:cs="宋体"/>
                <w:sz w:val="24"/>
                <w:szCs w:val="24"/>
              </w:rPr>
            </w:pPr>
          </w:p>
        </w:tc>
        <w:tc>
          <w:tcPr>
            <w:tcW w:w="4388" w:type="dxa"/>
            <w:vAlign w:val="center"/>
          </w:tcPr>
          <w:p w14:paraId="58AC6DCD">
            <w:pPr>
              <w:spacing w:line="288" w:lineRule="auto"/>
              <w:jc w:val="center"/>
              <w:rPr>
                <w:rFonts w:ascii="宋体" w:hAnsi="宋体" w:eastAsia="宋体" w:cs="宋体"/>
                <w:sz w:val="24"/>
                <w:szCs w:val="24"/>
              </w:rPr>
            </w:pPr>
          </w:p>
        </w:tc>
        <w:tc>
          <w:tcPr>
            <w:tcW w:w="2366" w:type="dxa"/>
          </w:tcPr>
          <w:p w14:paraId="0D6C7EC2">
            <w:pPr>
              <w:spacing w:line="288" w:lineRule="auto"/>
              <w:jc w:val="center"/>
              <w:rPr>
                <w:rFonts w:ascii="宋体" w:hAnsi="宋体" w:eastAsia="宋体" w:cs="宋体"/>
                <w:sz w:val="24"/>
                <w:szCs w:val="24"/>
              </w:rPr>
            </w:pPr>
          </w:p>
        </w:tc>
      </w:tr>
      <w:tr w14:paraId="2F661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50F4B319">
            <w:pPr>
              <w:spacing w:line="288" w:lineRule="auto"/>
              <w:jc w:val="center"/>
              <w:rPr>
                <w:rFonts w:ascii="宋体" w:hAnsi="宋体" w:eastAsia="宋体" w:cs="宋体"/>
                <w:sz w:val="24"/>
                <w:szCs w:val="24"/>
              </w:rPr>
            </w:pPr>
            <w:r>
              <w:rPr>
                <w:rFonts w:hint="eastAsia" w:ascii="宋体" w:hAnsi="宋体" w:eastAsia="宋体" w:cs="宋体"/>
                <w:sz w:val="24"/>
                <w:szCs w:val="24"/>
              </w:rPr>
              <w:t>2</w:t>
            </w:r>
          </w:p>
        </w:tc>
        <w:tc>
          <w:tcPr>
            <w:tcW w:w="2193" w:type="dxa"/>
            <w:vAlign w:val="center"/>
          </w:tcPr>
          <w:p w14:paraId="0C5E4665">
            <w:pPr>
              <w:spacing w:line="288" w:lineRule="auto"/>
              <w:jc w:val="center"/>
              <w:rPr>
                <w:rFonts w:ascii="宋体" w:hAnsi="宋体" w:eastAsia="宋体" w:cs="宋体"/>
                <w:sz w:val="24"/>
                <w:szCs w:val="24"/>
              </w:rPr>
            </w:pPr>
          </w:p>
        </w:tc>
        <w:tc>
          <w:tcPr>
            <w:tcW w:w="4388" w:type="dxa"/>
            <w:vAlign w:val="center"/>
          </w:tcPr>
          <w:p w14:paraId="4443ED73">
            <w:pPr>
              <w:spacing w:line="288" w:lineRule="auto"/>
              <w:jc w:val="center"/>
              <w:rPr>
                <w:rFonts w:ascii="宋体" w:hAnsi="宋体" w:eastAsia="宋体" w:cs="宋体"/>
                <w:sz w:val="24"/>
                <w:szCs w:val="24"/>
              </w:rPr>
            </w:pPr>
          </w:p>
        </w:tc>
        <w:tc>
          <w:tcPr>
            <w:tcW w:w="2366" w:type="dxa"/>
          </w:tcPr>
          <w:p w14:paraId="7269460A">
            <w:pPr>
              <w:spacing w:line="288" w:lineRule="auto"/>
              <w:jc w:val="center"/>
              <w:rPr>
                <w:rFonts w:ascii="宋体" w:hAnsi="宋体" w:eastAsia="宋体" w:cs="宋体"/>
                <w:sz w:val="24"/>
                <w:szCs w:val="24"/>
              </w:rPr>
            </w:pPr>
          </w:p>
        </w:tc>
      </w:tr>
      <w:tr w14:paraId="20925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562B91D0">
            <w:pPr>
              <w:spacing w:line="288" w:lineRule="auto"/>
              <w:jc w:val="center"/>
              <w:rPr>
                <w:rFonts w:ascii="宋体" w:hAnsi="宋体" w:eastAsia="宋体" w:cs="宋体"/>
                <w:sz w:val="24"/>
                <w:szCs w:val="24"/>
              </w:rPr>
            </w:pPr>
            <w:r>
              <w:rPr>
                <w:rFonts w:hint="eastAsia" w:ascii="宋体" w:hAnsi="宋体" w:eastAsia="宋体" w:cs="宋体"/>
                <w:sz w:val="24"/>
                <w:szCs w:val="24"/>
              </w:rPr>
              <w:t>3</w:t>
            </w:r>
          </w:p>
        </w:tc>
        <w:tc>
          <w:tcPr>
            <w:tcW w:w="2193" w:type="dxa"/>
            <w:vAlign w:val="center"/>
          </w:tcPr>
          <w:p w14:paraId="102DB164">
            <w:pPr>
              <w:spacing w:line="288" w:lineRule="auto"/>
              <w:jc w:val="center"/>
              <w:rPr>
                <w:rFonts w:ascii="宋体" w:hAnsi="宋体" w:eastAsia="宋体" w:cs="宋体"/>
                <w:sz w:val="24"/>
                <w:szCs w:val="24"/>
              </w:rPr>
            </w:pPr>
          </w:p>
        </w:tc>
        <w:tc>
          <w:tcPr>
            <w:tcW w:w="4388" w:type="dxa"/>
            <w:vAlign w:val="center"/>
          </w:tcPr>
          <w:p w14:paraId="2129ED7C">
            <w:pPr>
              <w:spacing w:line="288" w:lineRule="auto"/>
              <w:jc w:val="center"/>
              <w:rPr>
                <w:rFonts w:ascii="宋体" w:hAnsi="宋体" w:eastAsia="宋体" w:cs="宋体"/>
                <w:sz w:val="24"/>
                <w:szCs w:val="24"/>
              </w:rPr>
            </w:pPr>
          </w:p>
        </w:tc>
        <w:tc>
          <w:tcPr>
            <w:tcW w:w="2366" w:type="dxa"/>
          </w:tcPr>
          <w:p w14:paraId="153C57C2">
            <w:pPr>
              <w:spacing w:line="288" w:lineRule="auto"/>
              <w:jc w:val="center"/>
              <w:rPr>
                <w:rFonts w:ascii="宋体" w:hAnsi="宋体" w:eastAsia="宋体" w:cs="宋体"/>
                <w:sz w:val="24"/>
                <w:szCs w:val="24"/>
              </w:rPr>
            </w:pPr>
          </w:p>
        </w:tc>
      </w:tr>
      <w:tr w14:paraId="44F6F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7C27B55E">
            <w:pPr>
              <w:spacing w:line="288" w:lineRule="auto"/>
              <w:jc w:val="center"/>
              <w:rPr>
                <w:rFonts w:ascii="宋体" w:hAnsi="宋体" w:eastAsia="宋体" w:cs="宋体"/>
                <w:sz w:val="24"/>
                <w:szCs w:val="24"/>
              </w:rPr>
            </w:pPr>
            <w:r>
              <w:rPr>
                <w:rFonts w:hint="eastAsia" w:ascii="宋体" w:hAnsi="宋体" w:eastAsia="宋体" w:cs="宋体"/>
                <w:sz w:val="24"/>
                <w:szCs w:val="24"/>
              </w:rPr>
              <w:t>……</w:t>
            </w:r>
          </w:p>
        </w:tc>
        <w:tc>
          <w:tcPr>
            <w:tcW w:w="2193" w:type="dxa"/>
            <w:vAlign w:val="center"/>
          </w:tcPr>
          <w:p w14:paraId="273D2900">
            <w:pPr>
              <w:spacing w:line="288" w:lineRule="auto"/>
              <w:jc w:val="center"/>
              <w:rPr>
                <w:rFonts w:ascii="宋体" w:hAnsi="宋体" w:eastAsia="宋体" w:cs="宋体"/>
                <w:sz w:val="24"/>
                <w:szCs w:val="24"/>
              </w:rPr>
            </w:pPr>
          </w:p>
        </w:tc>
        <w:tc>
          <w:tcPr>
            <w:tcW w:w="4388" w:type="dxa"/>
            <w:vAlign w:val="center"/>
          </w:tcPr>
          <w:p w14:paraId="20BED36A">
            <w:pPr>
              <w:spacing w:line="288" w:lineRule="auto"/>
              <w:jc w:val="center"/>
              <w:rPr>
                <w:rFonts w:ascii="宋体" w:hAnsi="宋体" w:eastAsia="宋体" w:cs="宋体"/>
                <w:sz w:val="24"/>
                <w:szCs w:val="24"/>
              </w:rPr>
            </w:pPr>
          </w:p>
        </w:tc>
        <w:tc>
          <w:tcPr>
            <w:tcW w:w="2366" w:type="dxa"/>
          </w:tcPr>
          <w:p w14:paraId="7BBCDC6A">
            <w:pPr>
              <w:spacing w:line="288" w:lineRule="auto"/>
              <w:jc w:val="center"/>
              <w:rPr>
                <w:rFonts w:ascii="宋体" w:hAnsi="宋体" w:eastAsia="宋体" w:cs="宋体"/>
                <w:sz w:val="24"/>
                <w:szCs w:val="24"/>
              </w:rPr>
            </w:pPr>
          </w:p>
        </w:tc>
      </w:tr>
    </w:tbl>
    <w:p w14:paraId="6553758A">
      <w:pPr>
        <w:adjustRightInd w:val="0"/>
        <w:snapToGrid w:val="0"/>
        <w:spacing w:line="288" w:lineRule="auto"/>
        <w:rPr>
          <w:rFonts w:ascii="宋体" w:hAnsi="宋体" w:eastAsia="宋体" w:cs="宋体"/>
          <w:b/>
          <w:snapToGrid w:val="0"/>
          <w:sz w:val="24"/>
          <w:szCs w:val="24"/>
        </w:rPr>
      </w:pPr>
      <w:r>
        <w:rPr>
          <w:rFonts w:hint="eastAsia" w:ascii="宋体" w:hAnsi="宋体" w:eastAsia="宋体" w:cs="宋体"/>
          <w:b/>
          <w:snapToGrid w:val="0"/>
          <w:sz w:val="24"/>
          <w:szCs w:val="24"/>
        </w:rPr>
        <w:t>说明：</w:t>
      </w:r>
    </w:p>
    <w:p w14:paraId="1660AE85">
      <w:pPr>
        <w:adjustRightInd w:val="0"/>
        <w:snapToGrid w:val="0"/>
        <w:spacing w:line="288" w:lineRule="auto"/>
        <w:ind w:firstLine="241" w:firstLineChars="100"/>
        <w:rPr>
          <w:rFonts w:ascii="宋体" w:hAnsi="宋体" w:eastAsia="宋体" w:cs="宋体"/>
          <w:b/>
          <w:snapToGrid w:val="0"/>
          <w:sz w:val="24"/>
          <w:szCs w:val="24"/>
        </w:rPr>
      </w:pPr>
      <w:r>
        <w:rPr>
          <w:rFonts w:hint="eastAsia" w:ascii="宋体" w:hAnsi="宋体" w:eastAsia="宋体" w:cs="宋体"/>
          <w:b/>
          <w:snapToGrid w:val="0"/>
          <w:sz w:val="24"/>
          <w:szCs w:val="24"/>
        </w:rPr>
        <w:t>1.本表是为便于评标委员会评审打分所设的索引表，请投标人完整、明确地填写相关内容。如投标人未按要求填写，导致评标委员会对投标方案做出不利的评审结果，是投标人的风险。</w:t>
      </w:r>
    </w:p>
    <w:p w14:paraId="697BFC06">
      <w:pPr>
        <w:adjustRightInd w:val="0"/>
        <w:snapToGrid w:val="0"/>
        <w:spacing w:line="288" w:lineRule="auto"/>
        <w:ind w:firstLine="241" w:firstLineChars="100"/>
        <w:rPr>
          <w:rFonts w:ascii="宋体" w:hAnsi="宋体" w:eastAsia="宋体" w:cs="宋体"/>
          <w:b/>
          <w:snapToGrid w:val="0"/>
          <w:sz w:val="24"/>
          <w:szCs w:val="24"/>
        </w:rPr>
      </w:pPr>
      <w:r>
        <w:rPr>
          <w:rFonts w:hint="eastAsia" w:ascii="宋体" w:hAnsi="宋体" w:eastAsia="宋体" w:cs="宋体"/>
          <w:b/>
          <w:snapToGrid w:val="0"/>
          <w:sz w:val="24"/>
          <w:szCs w:val="24"/>
        </w:rPr>
        <w:t>2.本表中，“评审因素”请按照第三章《评分细则》所列内容逐项填写。</w:t>
      </w:r>
    </w:p>
    <w:p w14:paraId="2E3022EC">
      <w:pPr>
        <w:adjustRightInd w:val="0"/>
        <w:snapToGrid w:val="0"/>
        <w:spacing w:line="288" w:lineRule="auto"/>
        <w:ind w:firstLine="241" w:firstLineChars="100"/>
        <w:rPr>
          <w:rFonts w:ascii="宋体" w:hAnsi="宋体" w:eastAsia="宋体" w:cs="宋体"/>
          <w:kern w:val="0"/>
          <w:sz w:val="30"/>
          <w:szCs w:val="30"/>
        </w:rPr>
      </w:pPr>
      <w:r>
        <w:rPr>
          <w:rFonts w:hint="eastAsia" w:ascii="宋体" w:hAnsi="宋体" w:eastAsia="宋体" w:cs="宋体"/>
          <w:b/>
          <w:snapToGrid w:val="0"/>
          <w:sz w:val="24"/>
          <w:szCs w:val="24"/>
        </w:rPr>
        <w:t>3.本表中，“评审因素对应的内容”请按照第三章《评分细则》中评分标准的要求填写投标人所提供材料名称，并在“评审因素对应内容所在页码”栏内填写所提供材料在投标文件中的对应页码。</w:t>
      </w:r>
    </w:p>
    <w:p w14:paraId="061BA9A3">
      <w:pPr>
        <w:autoSpaceDE w:val="0"/>
        <w:autoSpaceDN w:val="0"/>
        <w:adjustRightInd w:val="0"/>
        <w:jc w:val="center"/>
        <w:rPr>
          <w:rFonts w:ascii="宋体" w:hAnsi="宋体" w:eastAsia="宋体" w:cs="宋体"/>
          <w:b/>
          <w:bCs/>
          <w:sz w:val="24"/>
          <w:szCs w:val="24"/>
          <w:lang w:val="zh-CN"/>
        </w:rPr>
      </w:pPr>
    </w:p>
    <w:p w14:paraId="4609B0A8">
      <w:pPr>
        <w:autoSpaceDE w:val="0"/>
        <w:autoSpaceDN w:val="0"/>
        <w:adjustRightInd w:val="0"/>
        <w:jc w:val="center"/>
        <w:rPr>
          <w:rFonts w:ascii="宋体" w:hAnsi="宋体" w:eastAsia="宋体" w:cs="宋体"/>
          <w:b/>
          <w:bCs/>
          <w:sz w:val="24"/>
          <w:szCs w:val="24"/>
          <w:lang w:val="zh-CN"/>
        </w:rPr>
      </w:pPr>
    </w:p>
    <w:p w14:paraId="2B7E063C">
      <w:pPr>
        <w:autoSpaceDE w:val="0"/>
        <w:autoSpaceDN w:val="0"/>
        <w:adjustRightInd w:val="0"/>
        <w:jc w:val="center"/>
        <w:rPr>
          <w:rFonts w:ascii="宋体" w:hAnsi="宋体" w:eastAsia="宋体" w:cs="宋体"/>
          <w:b/>
          <w:bCs/>
          <w:sz w:val="24"/>
          <w:szCs w:val="24"/>
          <w:lang w:val="zh-CN"/>
        </w:rPr>
      </w:pPr>
    </w:p>
    <w:p w14:paraId="28FC53D7">
      <w:pPr>
        <w:autoSpaceDE w:val="0"/>
        <w:autoSpaceDN w:val="0"/>
        <w:adjustRightInd w:val="0"/>
        <w:jc w:val="center"/>
        <w:rPr>
          <w:rFonts w:ascii="宋体" w:hAnsi="宋体" w:eastAsia="宋体" w:cs="宋体"/>
          <w:b/>
          <w:bCs/>
          <w:sz w:val="24"/>
          <w:szCs w:val="24"/>
          <w:lang w:val="zh-CN"/>
        </w:rPr>
      </w:pPr>
    </w:p>
    <w:p w14:paraId="10064758">
      <w:pPr>
        <w:autoSpaceDE w:val="0"/>
        <w:autoSpaceDN w:val="0"/>
        <w:adjustRightInd w:val="0"/>
        <w:jc w:val="center"/>
        <w:rPr>
          <w:rFonts w:ascii="宋体" w:hAnsi="宋体" w:eastAsia="宋体" w:cs="宋体"/>
          <w:b/>
          <w:bCs/>
          <w:sz w:val="24"/>
          <w:szCs w:val="24"/>
          <w:lang w:val="zh-CN"/>
        </w:rPr>
      </w:pPr>
    </w:p>
    <w:p w14:paraId="388315E0">
      <w:pPr>
        <w:rPr>
          <w:rFonts w:ascii="宋体" w:hAnsi="宋体" w:eastAsia="宋体" w:cs="宋体"/>
          <w:b/>
          <w:bCs/>
          <w:kern w:val="0"/>
          <w:sz w:val="36"/>
          <w:szCs w:val="36"/>
        </w:rPr>
      </w:pPr>
      <w:r>
        <w:rPr>
          <w:rFonts w:hint="eastAsia" w:ascii="宋体" w:hAnsi="宋体" w:eastAsia="宋体" w:cs="宋体"/>
          <w:b/>
          <w:bCs/>
          <w:kern w:val="0"/>
          <w:sz w:val="36"/>
          <w:szCs w:val="36"/>
        </w:rPr>
        <w:br w:type="page"/>
      </w:r>
    </w:p>
    <w:p w14:paraId="29421FB6">
      <w:pPr>
        <w:pStyle w:val="3"/>
        <w:rPr>
          <w:sz w:val="24"/>
          <w:szCs w:val="24"/>
          <w:lang w:val="zh-CN"/>
        </w:rPr>
      </w:pPr>
      <w:r>
        <w:rPr>
          <w:rFonts w:hint="eastAsia"/>
        </w:rPr>
        <w:t>第一部分  资格证明文件</w:t>
      </w:r>
    </w:p>
    <w:p w14:paraId="61C942EF">
      <w:pPr>
        <w:autoSpaceDE w:val="0"/>
        <w:autoSpaceDN w:val="0"/>
        <w:adjustRightInd w:val="0"/>
        <w:jc w:val="center"/>
        <w:rPr>
          <w:rFonts w:ascii="宋体" w:hAnsi="宋体" w:eastAsia="宋体" w:cs="宋体"/>
          <w:b/>
          <w:bCs/>
          <w:sz w:val="24"/>
          <w:szCs w:val="24"/>
          <w:lang w:val="zh-CN"/>
        </w:rPr>
      </w:pPr>
    </w:p>
    <w:p w14:paraId="20E8AC26">
      <w:pPr>
        <w:widowControl/>
        <w:jc w:val="left"/>
        <w:rPr>
          <w:sz w:val="24"/>
        </w:rPr>
      </w:pPr>
      <w:r>
        <w:rPr>
          <w:sz w:val="24"/>
        </w:rPr>
        <w:br w:type="page"/>
      </w:r>
    </w:p>
    <w:p w14:paraId="486094B4">
      <w:pPr>
        <w:spacing w:line="360" w:lineRule="auto"/>
        <w:jc w:val="center"/>
        <w:rPr>
          <w:rFonts w:ascii="宋体" w:hAnsi="宋体" w:eastAsia="宋体" w:cs="宋体"/>
          <w:b/>
          <w:bCs/>
          <w:sz w:val="30"/>
          <w:szCs w:val="30"/>
          <w:lang w:val="zh-CN" w:bidi="zh-CN"/>
        </w:rPr>
      </w:pPr>
      <w:r>
        <w:rPr>
          <w:rFonts w:hint="eastAsia" w:ascii="Times New Roman" w:hAnsi="Times New Roman" w:eastAsia="宋体" w:cs="Times New Roman"/>
          <w:sz w:val="30"/>
          <w:szCs w:val="30"/>
          <w:lang w:val="zh-CN"/>
        </w:rPr>
        <w:t>中小企业声明函（</w:t>
      </w:r>
      <w:r>
        <w:rPr>
          <w:rFonts w:hint="eastAsia" w:ascii="Times New Roman" w:hAnsi="Times New Roman" w:eastAsia="宋体" w:cs="Times New Roman"/>
          <w:sz w:val="30"/>
          <w:szCs w:val="30"/>
        </w:rPr>
        <w:t>货物</w:t>
      </w:r>
      <w:r>
        <w:rPr>
          <w:rFonts w:hint="eastAsia" w:ascii="Times New Roman" w:hAnsi="Times New Roman" w:eastAsia="宋体" w:cs="Times New Roman"/>
          <w:sz w:val="30"/>
          <w:szCs w:val="30"/>
          <w:lang w:val="zh-CN"/>
        </w:rPr>
        <w:t>）</w:t>
      </w:r>
    </w:p>
    <w:p w14:paraId="12C76895">
      <w:pPr>
        <w:autoSpaceDE w:val="0"/>
        <w:autoSpaceDN w:val="0"/>
        <w:adjustRightInd w:val="0"/>
        <w:spacing w:line="360" w:lineRule="auto"/>
        <w:ind w:right="157" w:firstLine="642"/>
        <w:jc w:val="left"/>
        <w:rPr>
          <w:rFonts w:ascii="宋体" w:hAnsi="宋体" w:eastAsia="宋体" w:cs="宋体"/>
          <w:kern w:val="0"/>
          <w:sz w:val="24"/>
          <w:szCs w:val="24"/>
        </w:rPr>
      </w:pPr>
    </w:p>
    <w:p w14:paraId="5EB42C9F">
      <w:pPr>
        <w:autoSpaceDE w:val="0"/>
        <w:autoSpaceDN w:val="0"/>
        <w:adjustRightInd w:val="0"/>
        <w:spacing w:line="360" w:lineRule="auto"/>
        <w:ind w:right="157" w:firstLine="642"/>
        <w:jc w:val="left"/>
        <w:rPr>
          <w:rFonts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 ﹝2020﹞46号）的规定，本公司（联合体）参加</w:t>
      </w:r>
      <w:r>
        <w:rPr>
          <w:rFonts w:hint="eastAsia" w:ascii="宋体" w:hAnsi="宋体" w:eastAsia="宋体" w:cs="宋体"/>
          <w:kern w:val="0"/>
          <w:sz w:val="24"/>
          <w:szCs w:val="24"/>
          <w:u w:val="single"/>
        </w:rPr>
        <w:t>（单位名称）</w:t>
      </w:r>
      <w:r>
        <w:rPr>
          <w:rFonts w:hint="eastAsia" w:ascii="宋体" w:hAnsi="宋体" w:eastAsia="宋体" w:cs="宋体"/>
          <w:kern w:val="0"/>
          <w:sz w:val="24"/>
          <w:szCs w:val="24"/>
        </w:rPr>
        <w:t>的</w:t>
      </w:r>
      <w:r>
        <w:rPr>
          <w:rFonts w:hint="eastAsia" w:ascii="宋体" w:hAnsi="宋体" w:eastAsia="宋体" w:cs="宋体"/>
          <w:kern w:val="0"/>
          <w:sz w:val="24"/>
          <w:szCs w:val="24"/>
          <w:u w:val="single"/>
        </w:rPr>
        <w:t>（项目名称）</w:t>
      </w:r>
      <w:r>
        <w:rPr>
          <w:rFonts w:hint="eastAsia" w:ascii="宋体" w:hAnsi="宋体" w:eastAsia="宋体" w:cs="宋体"/>
          <w:kern w:val="0"/>
          <w:sz w:val="24"/>
          <w:szCs w:val="24"/>
        </w:rPr>
        <w:t xml:space="preserve">采购活动，提供的货物全部由符合政策要求的中小企业制造。相关企业（含联合体中的中小企业、签订分包意向协议的中小企业）的具体情况如下： </w:t>
      </w:r>
    </w:p>
    <w:p w14:paraId="2D80CCAE">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（采购文件中明确的所属行业）行业</w:t>
      </w:r>
      <w:r>
        <w:rPr>
          <w:rFonts w:hint="eastAsia" w:ascii="宋体" w:hAnsi="宋体" w:eastAsia="宋体" w:cs="宋体"/>
          <w:sz w:val="24"/>
          <w:szCs w:val="24"/>
        </w:rPr>
        <w:t>；制造商为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w:t>
      </w:r>
      <w:r>
        <w:rPr>
          <w:rFonts w:hint="eastAsia" w:ascii="宋体" w:hAnsi="宋体" w:eastAsia="宋体" w:cs="宋体"/>
          <w:position w:val="16"/>
          <w:sz w:val="24"/>
          <w:szCs w:val="24"/>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2A8AF921">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（采购文件中明确的所属行业）行业</w:t>
      </w:r>
      <w:r>
        <w:rPr>
          <w:rFonts w:hint="eastAsia" w:ascii="宋体" w:hAnsi="宋体" w:eastAsia="宋体" w:cs="宋体"/>
          <w:sz w:val="24"/>
          <w:szCs w:val="24"/>
        </w:rPr>
        <w:t>；制造商为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66E974A7">
      <w:pPr>
        <w:autoSpaceDE w:val="0"/>
        <w:autoSpaceDN w:val="0"/>
        <w:adjustRightInd w:val="0"/>
        <w:spacing w:line="360" w:lineRule="auto"/>
        <w:ind w:left="642"/>
        <w:jc w:val="left"/>
        <w:rPr>
          <w:rFonts w:ascii="宋体" w:hAnsi="宋体" w:eastAsia="宋体" w:cs="宋体"/>
          <w:kern w:val="0"/>
          <w:sz w:val="24"/>
          <w:szCs w:val="24"/>
        </w:rPr>
      </w:pPr>
      <w:r>
        <w:rPr>
          <w:rFonts w:hint="eastAsia" w:ascii="宋体" w:hAnsi="宋体" w:eastAsia="宋体" w:cs="宋体"/>
          <w:kern w:val="0"/>
          <w:sz w:val="24"/>
          <w:szCs w:val="24"/>
        </w:rPr>
        <w:t>……</w:t>
      </w:r>
    </w:p>
    <w:p w14:paraId="46D5D8A9">
      <w:pPr>
        <w:autoSpaceDE w:val="0"/>
        <w:autoSpaceDN w:val="0"/>
        <w:adjustRightInd w:val="0"/>
        <w:spacing w:line="360" w:lineRule="auto"/>
        <w:ind w:right="157" w:firstLine="642"/>
        <w:jc w:val="left"/>
        <w:rPr>
          <w:rFonts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14:paraId="64564682">
      <w:pPr>
        <w:autoSpaceDE w:val="0"/>
        <w:autoSpaceDN w:val="0"/>
        <w:adjustRightInd w:val="0"/>
        <w:spacing w:line="360" w:lineRule="auto"/>
        <w:ind w:left="642"/>
        <w:jc w:val="left"/>
        <w:rPr>
          <w:rFonts w:ascii="宋体" w:hAnsi="宋体" w:eastAsia="宋体" w:cs="宋体"/>
          <w:kern w:val="0"/>
          <w:sz w:val="24"/>
          <w:szCs w:val="24"/>
        </w:rPr>
      </w:pPr>
      <w:r>
        <w:rPr>
          <w:rFonts w:hint="eastAsia" w:ascii="宋体" w:hAnsi="宋体" w:eastAsia="宋体" w:cs="宋体"/>
          <w:kern w:val="0"/>
          <w:sz w:val="24"/>
          <w:szCs w:val="24"/>
        </w:rPr>
        <w:t>本企业对上述声明内容的真实性负责。如有虚假，将依法承担相应责任。</w:t>
      </w:r>
    </w:p>
    <w:p w14:paraId="63FED50F">
      <w:pPr>
        <w:autoSpaceDE w:val="0"/>
        <w:autoSpaceDN w:val="0"/>
        <w:adjustRightInd w:val="0"/>
        <w:ind w:left="4416" w:leftChars="1960" w:hanging="300" w:hangingChars="125"/>
        <w:jc w:val="left"/>
        <w:rPr>
          <w:rFonts w:ascii="宋体" w:hAnsi="宋体" w:eastAsia="宋体" w:cs="宋体"/>
          <w:kern w:val="0"/>
          <w:sz w:val="24"/>
          <w:szCs w:val="24"/>
        </w:rPr>
      </w:pPr>
    </w:p>
    <w:p w14:paraId="6F8FA7C7">
      <w:pPr>
        <w:autoSpaceDE w:val="0"/>
        <w:autoSpaceDN w:val="0"/>
        <w:adjustRightInd w:val="0"/>
        <w:jc w:val="left"/>
        <w:rPr>
          <w:rFonts w:ascii="宋体" w:hAnsi="宋体" w:eastAsia="宋体" w:cs="宋体"/>
          <w:kern w:val="0"/>
          <w:sz w:val="24"/>
          <w:szCs w:val="24"/>
        </w:rPr>
      </w:pPr>
    </w:p>
    <w:p w14:paraId="51A0CB95">
      <w:pPr>
        <w:autoSpaceDE w:val="0"/>
        <w:autoSpaceDN w:val="0"/>
        <w:adjustRightInd w:val="0"/>
        <w:jc w:val="left"/>
        <w:rPr>
          <w:rFonts w:ascii="宋体" w:hAnsi="宋体" w:eastAsia="宋体" w:cs="宋体"/>
          <w:kern w:val="0"/>
          <w:sz w:val="24"/>
          <w:szCs w:val="24"/>
        </w:rPr>
      </w:pPr>
    </w:p>
    <w:p w14:paraId="280B982C">
      <w:pPr>
        <w:autoSpaceDE w:val="0"/>
        <w:autoSpaceDN w:val="0"/>
        <w:adjustRightInd w:val="0"/>
        <w:jc w:val="left"/>
        <w:rPr>
          <w:rFonts w:ascii="宋体" w:hAnsi="宋体" w:eastAsia="宋体" w:cs="宋体"/>
          <w:kern w:val="0"/>
          <w:sz w:val="24"/>
          <w:szCs w:val="24"/>
        </w:rPr>
      </w:pPr>
    </w:p>
    <w:p w14:paraId="2BECE5FC">
      <w:pPr>
        <w:autoSpaceDE w:val="0"/>
        <w:autoSpaceDN w:val="0"/>
        <w:adjustRightInd w:val="0"/>
        <w:jc w:val="left"/>
        <w:rPr>
          <w:rFonts w:ascii="宋体" w:hAnsi="宋体" w:eastAsia="宋体" w:cs="宋体"/>
          <w:kern w:val="0"/>
          <w:sz w:val="24"/>
          <w:szCs w:val="24"/>
        </w:rPr>
      </w:pPr>
    </w:p>
    <w:p w14:paraId="53FACA93">
      <w:pPr>
        <w:autoSpaceDE w:val="0"/>
        <w:autoSpaceDN w:val="0"/>
        <w:adjustRightInd w:val="0"/>
        <w:ind w:left="4416" w:leftChars="1960" w:hanging="300" w:hangingChars="125"/>
        <w:jc w:val="left"/>
        <w:rPr>
          <w:rFonts w:ascii="宋体" w:hAnsi="宋体" w:eastAsia="宋体" w:cs="宋体"/>
          <w:kern w:val="0"/>
          <w:sz w:val="24"/>
          <w:szCs w:val="24"/>
        </w:rPr>
      </w:pPr>
    </w:p>
    <w:p w14:paraId="0270F7F2">
      <w:pPr>
        <w:autoSpaceDE w:val="0"/>
        <w:autoSpaceDN w:val="0"/>
        <w:adjustRightInd w:val="0"/>
        <w:jc w:val="left"/>
        <w:rPr>
          <w:rFonts w:ascii="宋体" w:hAnsi="宋体" w:eastAsia="宋体" w:cs="宋体"/>
          <w:kern w:val="0"/>
          <w:sz w:val="24"/>
          <w:szCs w:val="24"/>
        </w:rPr>
      </w:pPr>
      <w:r>
        <w:rPr>
          <w:rFonts w:hint="eastAsia" w:ascii="宋体" w:hAnsi="宋体" w:eastAsia="宋体" w:cs="宋体"/>
          <w:kern w:val="0"/>
          <w:sz w:val="24"/>
          <w:szCs w:val="24"/>
        </w:rPr>
        <w:t>企业名称（盖章）：</w:t>
      </w:r>
    </w:p>
    <w:p w14:paraId="00FE081F">
      <w:pPr>
        <w:autoSpaceDE w:val="0"/>
        <w:autoSpaceDN w:val="0"/>
        <w:adjustRightInd w:val="0"/>
        <w:jc w:val="left"/>
        <w:rPr>
          <w:rFonts w:ascii="宋体" w:hAnsi="宋体" w:eastAsia="宋体" w:cs="宋体"/>
          <w:kern w:val="0"/>
          <w:sz w:val="24"/>
          <w:szCs w:val="24"/>
        </w:rPr>
      </w:pPr>
    </w:p>
    <w:p w14:paraId="6F5E4582">
      <w:pPr>
        <w:autoSpaceDE w:val="0"/>
        <w:autoSpaceDN w:val="0"/>
        <w:adjustRightInd w:val="0"/>
        <w:jc w:val="left"/>
        <w:rPr>
          <w:rFonts w:ascii="宋体" w:hAnsi="宋体" w:eastAsia="宋体" w:cs="宋体"/>
          <w:kern w:val="0"/>
          <w:sz w:val="24"/>
          <w:szCs w:val="24"/>
        </w:rPr>
      </w:pPr>
      <w:r>
        <w:rPr>
          <w:rFonts w:hint="eastAsia" w:ascii="宋体" w:hAnsi="宋体" w:eastAsia="宋体" w:cs="宋体"/>
          <w:kern w:val="0"/>
          <w:sz w:val="24"/>
          <w:szCs w:val="24"/>
        </w:rPr>
        <w:t xml:space="preserve">日期： </w:t>
      </w:r>
    </w:p>
    <w:p w14:paraId="3C3910F6">
      <w:pPr>
        <w:autoSpaceDE w:val="0"/>
        <w:autoSpaceDN w:val="0"/>
        <w:adjustRightInd w:val="0"/>
        <w:jc w:val="left"/>
        <w:rPr>
          <w:rFonts w:ascii="宋体" w:hAnsi="宋体" w:eastAsia="宋体" w:cs="宋体"/>
          <w:kern w:val="0"/>
          <w:sz w:val="24"/>
          <w:szCs w:val="24"/>
        </w:rPr>
      </w:pPr>
    </w:p>
    <w:p w14:paraId="169A5829">
      <w:pPr>
        <w:autoSpaceDE w:val="0"/>
        <w:autoSpaceDN w:val="0"/>
        <w:adjustRightInd w:val="0"/>
        <w:jc w:val="left"/>
        <w:rPr>
          <w:rFonts w:ascii="宋体" w:hAnsi="宋体" w:eastAsia="宋体" w:cs="宋体"/>
          <w:kern w:val="0"/>
          <w:sz w:val="24"/>
          <w:szCs w:val="24"/>
        </w:rPr>
      </w:pPr>
    </w:p>
    <w:p w14:paraId="75C3EE6D">
      <w:pPr>
        <w:autoSpaceDE w:val="0"/>
        <w:autoSpaceDN w:val="0"/>
        <w:adjustRightInd w:val="0"/>
        <w:jc w:val="left"/>
        <w:rPr>
          <w:rFonts w:ascii="宋体" w:hAnsi="宋体" w:eastAsia="宋体" w:cs="宋体"/>
          <w:kern w:val="0"/>
          <w:sz w:val="24"/>
          <w:szCs w:val="24"/>
        </w:rPr>
      </w:pPr>
    </w:p>
    <w:p w14:paraId="013ECB66">
      <w:pPr>
        <w:autoSpaceDE w:val="0"/>
        <w:autoSpaceDN w:val="0"/>
        <w:adjustRightInd w:val="0"/>
        <w:jc w:val="left"/>
        <w:rPr>
          <w:rFonts w:ascii="宋体" w:hAnsi="宋体" w:eastAsia="宋体" w:cs="宋体"/>
          <w:kern w:val="0"/>
          <w:sz w:val="24"/>
          <w:szCs w:val="24"/>
        </w:rPr>
      </w:pPr>
    </w:p>
    <w:p w14:paraId="31E40910">
      <w:pPr>
        <w:pBdr>
          <w:top w:val="single" w:color="auto" w:sz="4" w:space="1"/>
          <w:left w:val="none" w:color="auto" w:sz="0" w:space="4"/>
          <w:bottom w:val="none" w:color="auto" w:sz="0" w:space="1"/>
          <w:right w:val="none" w:color="auto" w:sz="0" w:space="4"/>
        </w:pBdr>
        <w:autoSpaceDE w:val="0"/>
        <w:autoSpaceDN w:val="0"/>
        <w:adjustRightInd w:val="0"/>
        <w:jc w:val="left"/>
        <w:rPr>
          <w:rFonts w:ascii="宋体" w:hAnsi="宋体" w:eastAsia="宋体" w:cs="宋体"/>
          <w:kern w:val="0"/>
          <w:sz w:val="24"/>
          <w:szCs w:val="24"/>
        </w:rPr>
      </w:pPr>
      <w:r>
        <w:rPr>
          <w:rFonts w:hint="eastAsia" w:ascii="宋体" w:hAnsi="宋体" w:eastAsia="宋体" w:cs="宋体"/>
          <w:kern w:val="0"/>
          <w:sz w:val="24"/>
          <w:szCs w:val="24"/>
          <w:vertAlign w:val="superscript"/>
        </w:rPr>
        <w:t>1</w:t>
      </w:r>
      <w:r>
        <w:rPr>
          <w:rFonts w:hint="eastAsia" w:ascii="宋体" w:hAnsi="宋体" w:eastAsia="宋体" w:cs="宋体"/>
          <w:kern w:val="0"/>
          <w:sz w:val="24"/>
          <w:szCs w:val="24"/>
        </w:rPr>
        <w:t>从业人员、营业收入、资产总额填报上一年度数据，无上一年度数据的新成立企业可不填报。</w:t>
      </w:r>
    </w:p>
    <w:p w14:paraId="347BE66D">
      <w:pPr>
        <w:rPr>
          <w:rFonts w:ascii="Segoe UI" w:hAnsi="宋体" w:eastAsia="宋体" w:cs="Segoe UI"/>
          <w:kern w:val="0"/>
          <w:sz w:val="30"/>
          <w:szCs w:val="30"/>
        </w:rPr>
      </w:pPr>
      <w:r>
        <w:rPr>
          <w:rFonts w:hint="eastAsia" w:ascii="Segoe UI" w:hAnsi="宋体" w:eastAsia="宋体" w:cs="Segoe UI"/>
          <w:kern w:val="0"/>
          <w:sz w:val="30"/>
          <w:szCs w:val="30"/>
        </w:rPr>
        <w:br w:type="page"/>
      </w:r>
    </w:p>
    <w:p w14:paraId="279093E3">
      <w:pPr>
        <w:jc w:val="center"/>
        <w:rPr>
          <w:sz w:val="28"/>
        </w:rPr>
      </w:pPr>
      <w:r>
        <w:rPr>
          <w:rFonts w:hint="eastAsia"/>
          <w:sz w:val="28"/>
        </w:rPr>
        <w:t>残疾人福利性单位声明函</w:t>
      </w:r>
    </w:p>
    <w:p w14:paraId="7572B6DF">
      <w:pPr>
        <w:autoSpaceDE w:val="0"/>
        <w:autoSpaceDN w:val="0"/>
        <w:adjustRightInd w:val="0"/>
        <w:spacing w:before="156" w:beforeLines="50" w:after="156" w:afterLines="50" w:line="288" w:lineRule="auto"/>
        <w:jc w:val="center"/>
        <w:rPr>
          <w:rFonts w:ascii="宋体" w:hAnsi="宋体" w:eastAsia="宋体" w:cs="宋体"/>
          <w:snapToGrid w:val="0"/>
          <w:kern w:val="0"/>
          <w:sz w:val="24"/>
          <w:szCs w:val="20"/>
        </w:rPr>
      </w:pPr>
    </w:p>
    <w:p w14:paraId="1261A1D5">
      <w:pPr>
        <w:autoSpaceDE w:val="0"/>
        <w:autoSpaceDN w:val="0"/>
        <w:adjustRightInd w:val="0"/>
        <w:spacing w:before="156" w:beforeLines="50" w:after="156" w:afterLines="50" w:line="288" w:lineRule="auto"/>
        <w:ind w:firstLine="480" w:firstLineChars="200"/>
        <w:rPr>
          <w:rFonts w:ascii="宋体" w:hAnsi="宋体" w:eastAsia="宋体" w:cs="宋体"/>
          <w:snapToGrid w:val="0"/>
          <w:kern w:val="0"/>
          <w:sz w:val="24"/>
          <w:szCs w:val="20"/>
        </w:rPr>
      </w:pPr>
      <w:r>
        <w:rPr>
          <w:rFonts w:hint="eastAsia" w:ascii="宋体" w:hAnsi="宋体" w:eastAsia="宋体" w:cs="宋体"/>
          <w:snapToGrid w:val="0"/>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1D9081">
      <w:pPr>
        <w:autoSpaceDE w:val="0"/>
        <w:autoSpaceDN w:val="0"/>
        <w:adjustRightInd w:val="0"/>
        <w:spacing w:before="156" w:beforeLines="50" w:after="156" w:afterLines="50" w:line="288" w:lineRule="auto"/>
        <w:ind w:firstLine="480" w:firstLineChars="200"/>
        <w:rPr>
          <w:rFonts w:ascii="宋体" w:hAnsi="宋体" w:eastAsia="宋体" w:cs="宋体"/>
          <w:snapToGrid w:val="0"/>
          <w:kern w:val="0"/>
          <w:sz w:val="24"/>
          <w:szCs w:val="20"/>
        </w:rPr>
      </w:pPr>
      <w:r>
        <w:rPr>
          <w:rFonts w:hint="eastAsia" w:ascii="宋体" w:hAnsi="宋体" w:eastAsia="宋体" w:cs="宋体"/>
          <w:snapToGrid w:val="0"/>
          <w:kern w:val="0"/>
          <w:sz w:val="24"/>
          <w:szCs w:val="20"/>
        </w:rPr>
        <w:t>本单位对上述声明的真实性负责。如有虚假，将依法承担相应责任。</w:t>
      </w:r>
    </w:p>
    <w:p w14:paraId="1FCCDADA">
      <w:pPr>
        <w:adjustRightInd w:val="0"/>
        <w:snapToGrid w:val="0"/>
        <w:spacing w:line="288" w:lineRule="auto"/>
        <w:ind w:firstLine="480" w:firstLineChars="200"/>
        <w:rPr>
          <w:rFonts w:ascii="宋体" w:hAnsi="宋体" w:eastAsia="宋体" w:cs="宋体"/>
          <w:snapToGrid w:val="0"/>
          <w:kern w:val="0"/>
          <w:sz w:val="24"/>
          <w:szCs w:val="20"/>
        </w:rPr>
      </w:pPr>
    </w:p>
    <w:p w14:paraId="782A7CA1">
      <w:pPr>
        <w:adjustRightInd w:val="0"/>
        <w:snapToGrid w:val="0"/>
        <w:spacing w:line="288" w:lineRule="auto"/>
        <w:ind w:firstLine="480" w:firstLineChars="200"/>
        <w:rPr>
          <w:rFonts w:ascii="宋体" w:hAnsi="宋体" w:eastAsia="宋体" w:cs="宋体"/>
          <w:snapToGrid w:val="0"/>
          <w:kern w:val="0"/>
          <w:sz w:val="24"/>
          <w:szCs w:val="20"/>
        </w:rPr>
      </w:pPr>
    </w:p>
    <w:p w14:paraId="7EC27888">
      <w:pPr>
        <w:adjustRightInd w:val="0"/>
        <w:snapToGrid w:val="0"/>
        <w:spacing w:line="288" w:lineRule="auto"/>
        <w:ind w:firstLine="480" w:firstLineChars="200"/>
        <w:rPr>
          <w:rFonts w:ascii="宋体" w:hAnsi="宋体" w:eastAsia="宋体" w:cs="宋体"/>
          <w:snapToGrid w:val="0"/>
          <w:kern w:val="0"/>
          <w:sz w:val="24"/>
          <w:szCs w:val="20"/>
        </w:rPr>
      </w:pPr>
      <w:r>
        <w:rPr>
          <w:rFonts w:hint="eastAsia" w:ascii="宋体" w:hAnsi="宋体" w:eastAsia="宋体" w:cs="宋体"/>
          <w:snapToGrid w:val="0"/>
          <w:kern w:val="0"/>
          <w:sz w:val="24"/>
          <w:szCs w:val="20"/>
        </w:rPr>
        <w:t xml:space="preserve">                                         </w:t>
      </w:r>
    </w:p>
    <w:p w14:paraId="79D210CA">
      <w:pPr>
        <w:tabs>
          <w:tab w:val="left" w:pos="1573"/>
        </w:tabs>
        <w:spacing w:line="288" w:lineRule="auto"/>
        <w:ind w:left="941" w:leftChars="448"/>
        <w:rPr>
          <w:rFonts w:ascii="宋体" w:hAnsi="宋体" w:eastAsia="宋体" w:cs="宋体"/>
          <w:bCs/>
          <w:sz w:val="24"/>
          <w:szCs w:val="20"/>
        </w:rPr>
      </w:pPr>
      <w:r>
        <w:rPr>
          <w:rFonts w:hint="eastAsia" w:ascii="宋体" w:hAnsi="宋体" w:eastAsia="宋体" w:cs="宋体"/>
          <w:bCs/>
          <w:sz w:val="24"/>
          <w:szCs w:val="20"/>
        </w:rPr>
        <w:t xml:space="preserve">    </w:t>
      </w:r>
    </w:p>
    <w:p w14:paraId="39AF3C92">
      <w:pPr>
        <w:adjustRightInd w:val="0"/>
        <w:snapToGrid w:val="0"/>
        <w:spacing w:line="288" w:lineRule="auto"/>
        <w:rPr>
          <w:rFonts w:ascii="宋体" w:hAnsi="宋体" w:eastAsia="宋体" w:cs="宋体"/>
          <w:sz w:val="24"/>
          <w:szCs w:val="20"/>
          <w:u w:val="single"/>
        </w:rPr>
      </w:pPr>
      <w:r>
        <w:rPr>
          <w:rFonts w:hint="eastAsia" w:ascii="Times New Roman" w:hAnsi="Times New Roman" w:eastAsia="宋体" w:cs="Times New Roman"/>
          <w:sz w:val="24"/>
          <w:szCs w:val="20"/>
          <w:lang w:val="zh-CN"/>
        </w:rPr>
        <w:t>投标人</w:t>
      </w:r>
      <w:r>
        <w:rPr>
          <w:rFonts w:hint="eastAsia" w:ascii="宋体" w:hAnsi="宋体" w:eastAsia="宋体" w:cs="宋体"/>
          <w:sz w:val="24"/>
          <w:szCs w:val="20"/>
        </w:rPr>
        <w:t>名称（盖章）：</w:t>
      </w:r>
      <w:r>
        <w:rPr>
          <w:rFonts w:hint="eastAsia" w:ascii="宋体" w:hAnsi="宋体" w:eastAsia="宋体" w:cs="宋体"/>
          <w:sz w:val="24"/>
          <w:szCs w:val="20"/>
          <w:u w:val="single"/>
        </w:rPr>
        <w:t xml:space="preserve">                                    </w:t>
      </w:r>
    </w:p>
    <w:p w14:paraId="1F9D0347">
      <w:pPr>
        <w:adjustRightInd w:val="0"/>
        <w:snapToGrid w:val="0"/>
        <w:spacing w:line="288" w:lineRule="auto"/>
        <w:rPr>
          <w:rFonts w:ascii="宋体" w:hAnsi="宋体" w:eastAsia="宋体" w:cs="宋体"/>
          <w:snapToGrid w:val="0"/>
          <w:kern w:val="0"/>
          <w:sz w:val="24"/>
          <w:szCs w:val="20"/>
        </w:rPr>
      </w:pPr>
      <w:r>
        <w:rPr>
          <w:rFonts w:hint="eastAsia" w:ascii="宋体" w:hAnsi="宋体" w:eastAsia="宋体" w:cs="宋体"/>
          <w:snapToGrid w:val="0"/>
          <w:kern w:val="0"/>
          <w:sz w:val="24"/>
          <w:szCs w:val="20"/>
        </w:rPr>
        <w:t>法定代表人（单位负责人）</w:t>
      </w:r>
    </w:p>
    <w:p w14:paraId="4D44A247">
      <w:pPr>
        <w:adjustRightInd w:val="0"/>
        <w:snapToGrid w:val="0"/>
        <w:spacing w:line="288" w:lineRule="auto"/>
        <w:rPr>
          <w:rFonts w:ascii="宋体" w:hAnsi="宋体" w:eastAsia="宋体" w:cs="宋体"/>
          <w:snapToGrid w:val="0"/>
          <w:kern w:val="0"/>
          <w:sz w:val="24"/>
          <w:szCs w:val="20"/>
        </w:rPr>
      </w:pPr>
      <w:r>
        <w:rPr>
          <w:rFonts w:hint="eastAsia" w:ascii="宋体" w:hAnsi="宋体" w:eastAsia="宋体" w:cs="宋体"/>
          <w:snapToGrid w:val="0"/>
          <w:kern w:val="0"/>
          <w:sz w:val="24"/>
          <w:szCs w:val="20"/>
        </w:rPr>
        <w:t>或授权代表（签字或盖章）</w:t>
      </w:r>
      <w:r>
        <w:rPr>
          <w:rFonts w:hint="eastAsia" w:ascii="宋体" w:hAnsi="宋体" w:eastAsia="宋体" w:cs="宋体"/>
          <w:sz w:val="24"/>
          <w:szCs w:val="20"/>
        </w:rPr>
        <w:t>：</w:t>
      </w:r>
      <w:r>
        <w:rPr>
          <w:rFonts w:hint="eastAsia" w:ascii="宋体" w:hAnsi="宋体" w:eastAsia="宋体" w:cs="宋体"/>
          <w:sz w:val="24"/>
          <w:szCs w:val="20"/>
          <w:u w:val="single"/>
        </w:rPr>
        <w:t xml:space="preserve">                            </w:t>
      </w:r>
    </w:p>
    <w:p w14:paraId="1D1DDE36">
      <w:pPr>
        <w:tabs>
          <w:tab w:val="left" w:pos="1573"/>
        </w:tabs>
        <w:spacing w:line="288" w:lineRule="auto"/>
        <w:rPr>
          <w:rFonts w:ascii="宋体" w:hAnsi="宋体" w:eastAsia="宋体" w:cs="宋体"/>
          <w:sz w:val="24"/>
          <w:szCs w:val="20"/>
        </w:rPr>
      </w:pPr>
    </w:p>
    <w:p w14:paraId="2CDF846F">
      <w:pPr>
        <w:adjustRightInd w:val="0"/>
        <w:snapToGrid w:val="0"/>
        <w:spacing w:after="120" w:line="288" w:lineRule="auto"/>
        <w:ind w:left="420" w:left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                    </w:t>
      </w:r>
    </w:p>
    <w:p w14:paraId="018F5B48">
      <w:pPr>
        <w:adjustRightInd w:val="0"/>
        <w:snapToGrid w:val="0"/>
        <w:spacing w:after="120" w:line="288" w:lineRule="auto"/>
        <w:rPr>
          <w:rFonts w:ascii="宋体" w:hAnsi="宋体" w:eastAsia="宋体" w:cs="宋体"/>
          <w:snapToGrid w:val="0"/>
          <w:kern w:val="0"/>
          <w:sz w:val="24"/>
          <w:szCs w:val="24"/>
        </w:rPr>
      </w:pPr>
      <w:r>
        <w:rPr>
          <w:rFonts w:hint="eastAsia" w:ascii="宋体" w:hAnsi="宋体" w:eastAsia="宋体" w:cs="宋体"/>
          <w:bCs/>
          <w:snapToGrid w:val="0"/>
          <w:kern w:val="0"/>
          <w:sz w:val="24"/>
          <w:szCs w:val="24"/>
        </w:rPr>
        <w:t>日期:</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年</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月</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日</w:t>
      </w:r>
    </w:p>
    <w:p w14:paraId="1404C621">
      <w:pPr>
        <w:adjustRightInd w:val="0"/>
        <w:snapToGrid w:val="0"/>
        <w:spacing w:line="288" w:lineRule="auto"/>
        <w:ind w:firstLine="480" w:firstLineChars="200"/>
        <w:rPr>
          <w:rFonts w:ascii="宋体" w:hAnsi="宋体" w:eastAsia="宋体" w:cs="宋体"/>
          <w:snapToGrid w:val="0"/>
          <w:kern w:val="0"/>
          <w:sz w:val="24"/>
          <w:szCs w:val="20"/>
        </w:rPr>
      </w:pPr>
    </w:p>
    <w:p w14:paraId="22540AEF">
      <w:pPr>
        <w:rPr>
          <w:rFonts w:ascii="宋体" w:hAnsi="宋体" w:eastAsia="宋体" w:cs="宋体"/>
          <w:sz w:val="24"/>
          <w:szCs w:val="20"/>
        </w:rPr>
      </w:pPr>
    </w:p>
    <w:p w14:paraId="7F8E07A4">
      <w:pPr>
        <w:rPr>
          <w:rFonts w:ascii="宋体" w:hAnsi="宋体" w:eastAsia="宋体" w:cs="宋体"/>
          <w:b/>
          <w:bCs/>
          <w:sz w:val="30"/>
          <w:szCs w:val="30"/>
        </w:rPr>
      </w:pPr>
    </w:p>
    <w:p w14:paraId="523A03C1">
      <w:pPr>
        <w:jc w:val="center"/>
        <w:rPr>
          <w:sz w:val="28"/>
        </w:rPr>
      </w:pPr>
      <w:r>
        <w:rPr>
          <w:rFonts w:hint="eastAsia" w:eastAsia="黑体"/>
          <w:b/>
          <w:bCs/>
        </w:rPr>
        <w:br w:type="page"/>
      </w:r>
      <w:r>
        <w:rPr>
          <w:rFonts w:hint="eastAsia"/>
          <w:sz w:val="28"/>
        </w:rPr>
        <w:t>省级以上监狱管理局、戒毒管理局（含新疆生产建设兵团）出具的属于监狱企业的证明文件</w:t>
      </w:r>
    </w:p>
    <w:p w14:paraId="4489FF8B">
      <w:pPr>
        <w:numPr>
          <w:ilvl w:val="0"/>
          <w:numId w:val="3"/>
        </w:num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br w:type="page"/>
      </w:r>
    </w:p>
    <w:p w14:paraId="01726D18">
      <w:pPr>
        <w:pStyle w:val="3"/>
      </w:pPr>
      <w:r>
        <w:rPr>
          <w:rFonts w:hint="eastAsia"/>
        </w:rPr>
        <w:t>第二部分  商务文件</w:t>
      </w:r>
    </w:p>
    <w:p w14:paraId="39628B59">
      <w:pPr>
        <w:rPr>
          <w:rFonts w:ascii="宋体" w:hAnsi="宋体" w:cs="宋体"/>
          <w:b/>
          <w:bCs/>
          <w:kern w:val="0"/>
          <w:sz w:val="36"/>
          <w:szCs w:val="36"/>
        </w:rPr>
      </w:pPr>
      <w:r>
        <w:rPr>
          <w:rFonts w:hint="eastAsia" w:ascii="宋体" w:hAnsi="宋体" w:cs="宋体"/>
          <w:b/>
          <w:bCs/>
          <w:kern w:val="0"/>
          <w:sz w:val="36"/>
          <w:szCs w:val="36"/>
        </w:rPr>
        <w:br w:type="page"/>
      </w:r>
    </w:p>
    <w:p w14:paraId="13D10A69">
      <w:pPr>
        <w:pStyle w:val="4"/>
      </w:pPr>
      <w:r>
        <w:rPr>
          <w:rFonts w:hint="eastAsia"/>
          <w:sz w:val="28"/>
          <w:szCs w:val="28"/>
        </w:rPr>
        <w:t>（一）</w:t>
      </w:r>
      <w:r>
        <w:rPr>
          <w:rFonts w:hint="eastAsia"/>
        </w:rPr>
        <w:t>投标函</w:t>
      </w:r>
    </w:p>
    <w:p w14:paraId="1BF85931">
      <w:pPr>
        <w:spacing w:line="360" w:lineRule="auto"/>
        <w:rPr>
          <w:rFonts w:ascii="宋体" w:hAnsi="宋体" w:cs="宋体"/>
          <w:sz w:val="24"/>
          <w:szCs w:val="32"/>
        </w:rPr>
      </w:pPr>
      <w:r>
        <w:rPr>
          <w:rFonts w:hint="eastAsia" w:ascii="宋体" w:hAnsi="宋体" w:cs="宋体"/>
          <w:sz w:val="24"/>
          <w:szCs w:val="32"/>
          <w:u w:val="single"/>
        </w:rPr>
        <w:t>（采购代理机构名称）</w:t>
      </w:r>
      <w:r>
        <w:rPr>
          <w:rFonts w:hint="eastAsia" w:ascii="宋体" w:hAnsi="宋体" w:cs="宋体"/>
          <w:sz w:val="24"/>
          <w:szCs w:val="32"/>
        </w:rPr>
        <w:t xml:space="preserve">： </w:t>
      </w:r>
    </w:p>
    <w:p w14:paraId="54FDEDB6">
      <w:pPr>
        <w:spacing w:line="360" w:lineRule="auto"/>
        <w:ind w:firstLine="240" w:firstLineChars="100"/>
        <w:rPr>
          <w:rFonts w:ascii="宋体" w:hAnsi="宋体" w:cs="宋体"/>
          <w:sz w:val="24"/>
          <w:szCs w:val="32"/>
        </w:rPr>
      </w:pPr>
      <w:r>
        <w:rPr>
          <w:rFonts w:hint="eastAsia" w:ascii="宋体" w:hAnsi="宋体" w:cs="宋体"/>
          <w:sz w:val="24"/>
          <w:szCs w:val="32"/>
        </w:rPr>
        <w:t>我方确认收到贵方</w:t>
      </w:r>
      <w:r>
        <w:rPr>
          <w:rFonts w:hint="eastAsia" w:ascii="宋体" w:hAnsi="宋体" w:cs="宋体"/>
          <w:sz w:val="24"/>
          <w:szCs w:val="32"/>
          <w:u w:val="single"/>
        </w:rPr>
        <w:t>（项目名称）</w:t>
      </w:r>
      <w:r>
        <w:rPr>
          <w:rFonts w:hint="eastAsia" w:ascii="宋体" w:hAnsi="宋体" w:cs="宋体"/>
          <w:sz w:val="24"/>
          <w:szCs w:val="32"/>
        </w:rPr>
        <w:t>采购货物及相关服务的招标文件（项目编号：</w:t>
      </w:r>
      <w:r>
        <w:rPr>
          <w:rFonts w:hint="eastAsia" w:ascii="宋体" w:hAnsi="宋体" w:cs="宋体"/>
          <w:sz w:val="24"/>
          <w:szCs w:val="32"/>
          <w:u w:val="single"/>
        </w:rPr>
        <w:t xml:space="preserve">          </w:t>
      </w:r>
      <w:r>
        <w:rPr>
          <w:rFonts w:hint="eastAsia" w:ascii="宋体" w:hAnsi="宋体" w:cs="宋体"/>
          <w:sz w:val="24"/>
          <w:szCs w:val="32"/>
        </w:rPr>
        <w:t>）， (</w:t>
      </w:r>
      <w:r>
        <w:rPr>
          <w:rFonts w:hint="eastAsia" w:ascii="宋体" w:hAnsi="宋体" w:cs="宋体"/>
          <w:sz w:val="24"/>
          <w:szCs w:val="32"/>
          <w:u w:val="single"/>
        </w:rPr>
        <w:t xml:space="preserve">   投标人名称、地址   </w:t>
      </w:r>
      <w:r>
        <w:rPr>
          <w:rFonts w:hint="eastAsia" w:ascii="宋体" w:hAnsi="宋体" w:cs="宋体"/>
          <w:sz w:val="24"/>
          <w:szCs w:val="32"/>
        </w:rPr>
        <w:t xml:space="preserve">)。 </w:t>
      </w:r>
    </w:p>
    <w:p w14:paraId="5ABAEFA5">
      <w:pPr>
        <w:spacing w:line="360" w:lineRule="auto"/>
        <w:ind w:firstLine="240" w:firstLineChars="100"/>
        <w:rPr>
          <w:rFonts w:ascii="宋体" w:hAnsi="宋体" w:cs="宋体"/>
          <w:sz w:val="24"/>
          <w:szCs w:val="32"/>
        </w:rPr>
      </w:pPr>
      <w:r>
        <w:rPr>
          <w:rFonts w:hint="eastAsia" w:ascii="宋体" w:hAnsi="宋体" w:cs="宋体"/>
          <w:sz w:val="24"/>
          <w:szCs w:val="32"/>
        </w:rPr>
        <w:t xml:space="preserve">作为投标人已正式授权《法定代表人授权委托书》中的授权代表或法定代表人为我方签名代 </w:t>
      </w:r>
    </w:p>
    <w:p w14:paraId="04EEED3C">
      <w:pPr>
        <w:spacing w:line="360" w:lineRule="auto"/>
        <w:rPr>
          <w:rFonts w:ascii="宋体" w:hAnsi="宋体" w:cs="宋体"/>
          <w:sz w:val="24"/>
          <w:szCs w:val="32"/>
        </w:rPr>
      </w:pPr>
      <w:r>
        <w:rPr>
          <w:rFonts w:hint="eastAsia" w:ascii="宋体" w:hAnsi="宋体" w:cs="宋体"/>
          <w:sz w:val="24"/>
          <w:szCs w:val="32"/>
        </w:rPr>
        <w:t xml:space="preserve">表，签名代表在此声明并同意： </w:t>
      </w:r>
    </w:p>
    <w:p w14:paraId="7F59086D">
      <w:pPr>
        <w:spacing w:line="360" w:lineRule="auto"/>
        <w:ind w:firstLine="240" w:firstLineChars="100"/>
        <w:rPr>
          <w:rFonts w:ascii="宋体" w:hAnsi="宋体" w:cs="宋体"/>
          <w:sz w:val="24"/>
          <w:szCs w:val="32"/>
        </w:rPr>
      </w:pPr>
      <w:r>
        <w:rPr>
          <w:rFonts w:hint="eastAsia" w:ascii="宋体" w:hAnsi="宋体" w:cs="宋体"/>
          <w:sz w:val="24"/>
          <w:szCs w:val="32"/>
        </w:rPr>
        <w:t xml:space="preserve">1.我们愿意遵守采购代理机构招标文件的各项规定，自愿参加投标，并已清楚招标文件的要 </w:t>
      </w:r>
    </w:p>
    <w:p w14:paraId="1A18A9E6">
      <w:pPr>
        <w:spacing w:line="360" w:lineRule="auto"/>
        <w:rPr>
          <w:rFonts w:ascii="宋体" w:hAnsi="宋体" w:cs="宋体"/>
          <w:sz w:val="24"/>
          <w:szCs w:val="32"/>
        </w:rPr>
      </w:pPr>
      <w:r>
        <w:rPr>
          <w:rFonts w:hint="eastAsia" w:ascii="宋体" w:hAnsi="宋体" w:cs="宋体"/>
          <w:sz w:val="24"/>
          <w:szCs w:val="32"/>
        </w:rPr>
        <w:t xml:space="preserve">求及有关文件规定，并严格按照招标文件的规定履行全部责任和义务。 </w:t>
      </w:r>
    </w:p>
    <w:p w14:paraId="655D585F">
      <w:pPr>
        <w:spacing w:line="360" w:lineRule="auto"/>
        <w:ind w:firstLine="240" w:firstLineChars="100"/>
        <w:rPr>
          <w:rFonts w:ascii="宋体" w:hAnsi="宋体" w:cs="宋体"/>
          <w:sz w:val="24"/>
          <w:szCs w:val="32"/>
        </w:rPr>
      </w:pPr>
      <w:r>
        <w:rPr>
          <w:rFonts w:hint="eastAsia" w:ascii="宋体" w:hAnsi="宋体" w:cs="宋体"/>
          <w:sz w:val="24"/>
          <w:szCs w:val="32"/>
        </w:rPr>
        <w:t xml:space="preserve">2.我们同意本投标文件的投标有效期从提交投标文件的截止之日起90日历日内有效。 </w:t>
      </w:r>
    </w:p>
    <w:p w14:paraId="3108E8E9">
      <w:pPr>
        <w:spacing w:line="360" w:lineRule="auto"/>
        <w:ind w:firstLine="240" w:firstLineChars="100"/>
        <w:rPr>
          <w:rFonts w:ascii="宋体" w:hAnsi="宋体" w:cs="宋体"/>
          <w:sz w:val="24"/>
          <w:szCs w:val="32"/>
        </w:rPr>
      </w:pPr>
      <w:r>
        <w:rPr>
          <w:rFonts w:hint="eastAsia" w:ascii="宋体" w:hAnsi="宋体" w:cs="宋体"/>
          <w:sz w:val="24"/>
          <w:szCs w:val="32"/>
        </w:rPr>
        <w:t xml:space="preserve">3.我们承诺从本项目投标截止时间起，本投标始终有效且不予撤销已递交的投标文件。 </w:t>
      </w:r>
    </w:p>
    <w:p w14:paraId="7999B580">
      <w:pPr>
        <w:spacing w:line="360" w:lineRule="auto"/>
        <w:ind w:firstLine="240" w:firstLineChars="100"/>
        <w:rPr>
          <w:rFonts w:ascii="宋体" w:hAnsi="宋体" w:cs="宋体"/>
          <w:sz w:val="24"/>
          <w:szCs w:val="32"/>
        </w:rPr>
      </w:pPr>
      <w:r>
        <w:rPr>
          <w:rFonts w:hint="eastAsia" w:ascii="宋体" w:hAnsi="宋体" w:cs="宋体"/>
          <w:sz w:val="24"/>
          <w:szCs w:val="32"/>
        </w:rPr>
        <w:t xml:space="preserve">4.我们已经详细地阅读并完全明白了全部招标文件及附件，包括澄清（如有）及参考文件， </w:t>
      </w:r>
    </w:p>
    <w:p w14:paraId="38E315FC">
      <w:pPr>
        <w:spacing w:line="360" w:lineRule="auto"/>
        <w:rPr>
          <w:rFonts w:ascii="宋体" w:hAnsi="宋体" w:cs="宋体"/>
          <w:sz w:val="24"/>
          <w:szCs w:val="32"/>
        </w:rPr>
      </w:pPr>
      <w:r>
        <w:rPr>
          <w:rFonts w:hint="eastAsia" w:ascii="宋体" w:hAnsi="宋体" w:cs="宋体"/>
          <w:sz w:val="24"/>
          <w:szCs w:val="32"/>
        </w:rPr>
        <w:t xml:space="preserve">我们完全理解本招标文件的要求，我们同意放弃对招标文件提出不明或误解的一切权力。 </w:t>
      </w:r>
    </w:p>
    <w:p w14:paraId="3E4D755F">
      <w:pPr>
        <w:spacing w:line="360" w:lineRule="auto"/>
        <w:ind w:firstLine="240" w:firstLineChars="100"/>
        <w:rPr>
          <w:rFonts w:ascii="宋体" w:hAnsi="宋体" w:cs="宋体"/>
          <w:sz w:val="24"/>
          <w:szCs w:val="32"/>
        </w:rPr>
      </w:pPr>
      <w:r>
        <w:rPr>
          <w:rFonts w:hint="eastAsia" w:ascii="宋体" w:hAnsi="宋体" w:cs="宋体"/>
          <w:sz w:val="24"/>
          <w:szCs w:val="32"/>
        </w:rPr>
        <w:t xml:space="preserve">5.我们同意提供采购人或者采购代理机构与评标委员会要求的有关投标的一切数据或资料。 </w:t>
      </w:r>
    </w:p>
    <w:p w14:paraId="0FE8E4F9">
      <w:pPr>
        <w:spacing w:line="360" w:lineRule="auto"/>
        <w:ind w:firstLine="240" w:firstLineChars="100"/>
        <w:rPr>
          <w:rFonts w:ascii="宋体" w:hAnsi="宋体" w:cs="宋体"/>
          <w:sz w:val="24"/>
          <w:szCs w:val="32"/>
        </w:rPr>
      </w:pPr>
      <w:r>
        <w:rPr>
          <w:rFonts w:hint="eastAsia" w:ascii="宋体" w:hAnsi="宋体" w:cs="宋体"/>
          <w:sz w:val="24"/>
          <w:szCs w:val="32"/>
        </w:rPr>
        <w:t xml:space="preserve">6.我们理解采购人或者采购代理机构与评标委员会并无义务必须接受最低报价的投标或其它任何投标，完全理解采购代理机构拒绝迟到的任何投标和最低投标报价不是被授予中标的唯一条件。 </w:t>
      </w:r>
    </w:p>
    <w:p w14:paraId="0542DC07">
      <w:pPr>
        <w:spacing w:line="360" w:lineRule="auto"/>
        <w:ind w:firstLine="240" w:firstLineChars="100"/>
        <w:rPr>
          <w:rFonts w:ascii="宋体" w:hAnsi="宋体" w:cs="宋体"/>
          <w:sz w:val="24"/>
          <w:szCs w:val="32"/>
        </w:rPr>
      </w:pPr>
      <w:r>
        <w:rPr>
          <w:rFonts w:hint="eastAsia" w:ascii="宋体" w:hAnsi="宋体" w:cs="宋体"/>
          <w:sz w:val="24"/>
          <w:szCs w:val="32"/>
        </w:rPr>
        <w:t xml:space="preserve">7.如果我们未对招标文件全部要求作出实质性响应，则完全同意并接受按无效投标处理。 </w:t>
      </w:r>
    </w:p>
    <w:p w14:paraId="05341E25">
      <w:pPr>
        <w:spacing w:line="360" w:lineRule="auto"/>
        <w:ind w:firstLine="240" w:firstLineChars="100"/>
        <w:rPr>
          <w:rFonts w:ascii="宋体" w:hAnsi="宋体" w:cs="宋体"/>
          <w:sz w:val="24"/>
          <w:szCs w:val="32"/>
        </w:rPr>
      </w:pPr>
      <w:r>
        <w:rPr>
          <w:rFonts w:hint="eastAsia" w:ascii="宋体" w:hAnsi="宋体" w:cs="宋体"/>
          <w:sz w:val="24"/>
          <w:szCs w:val="32"/>
        </w:rPr>
        <w:t xml:space="preserve">8.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 </w:t>
      </w:r>
    </w:p>
    <w:p w14:paraId="0460B702">
      <w:pPr>
        <w:spacing w:line="360" w:lineRule="auto"/>
        <w:ind w:firstLine="240" w:firstLineChars="100"/>
        <w:rPr>
          <w:rFonts w:ascii="宋体" w:hAnsi="宋体" w:cs="宋体"/>
          <w:sz w:val="24"/>
          <w:szCs w:val="32"/>
        </w:rPr>
      </w:pPr>
      <w:r>
        <w:rPr>
          <w:rFonts w:hint="eastAsia" w:ascii="宋体" w:hAnsi="宋体" w:cs="宋体"/>
          <w:sz w:val="24"/>
          <w:szCs w:val="32"/>
        </w:rPr>
        <w:t xml:space="preserve">9.如果我们提供的声明或承诺不真实，则完全同意认定为我司提供虚假材料，并同意作相应处理。 </w:t>
      </w:r>
    </w:p>
    <w:p w14:paraId="2194FACD">
      <w:pPr>
        <w:spacing w:line="360" w:lineRule="auto"/>
        <w:ind w:firstLine="240" w:firstLineChars="100"/>
        <w:rPr>
          <w:rFonts w:ascii="宋体" w:hAnsi="宋体" w:cs="宋体"/>
          <w:sz w:val="24"/>
          <w:szCs w:val="32"/>
        </w:rPr>
      </w:pPr>
      <w:r>
        <w:rPr>
          <w:rFonts w:hint="eastAsia" w:ascii="宋体" w:hAnsi="宋体" w:cs="宋体"/>
          <w:sz w:val="24"/>
          <w:szCs w:val="32"/>
        </w:rPr>
        <w:t xml:space="preserve">10.我们是依法注册的法人，在法律、财务及运作上完全独立于本项目采购人、用户单位（如 </w:t>
      </w:r>
    </w:p>
    <w:p w14:paraId="0CE01C53">
      <w:pPr>
        <w:spacing w:line="360" w:lineRule="auto"/>
        <w:rPr>
          <w:rFonts w:ascii="宋体" w:hAnsi="宋体" w:cs="宋体"/>
          <w:sz w:val="24"/>
          <w:szCs w:val="32"/>
        </w:rPr>
      </w:pPr>
      <w:r>
        <w:rPr>
          <w:rFonts w:hint="eastAsia" w:ascii="宋体" w:hAnsi="宋体" w:cs="宋体"/>
          <w:sz w:val="24"/>
          <w:szCs w:val="32"/>
        </w:rPr>
        <w:t xml:space="preserve">有）和采购代理机构。 </w:t>
      </w:r>
    </w:p>
    <w:p w14:paraId="08A426F6">
      <w:pPr>
        <w:spacing w:line="360" w:lineRule="auto"/>
        <w:ind w:firstLine="240" w:firstLineChars="100"/>
        <w:rPr>
          <w:rFonts w:ascii="宋体" w:hAnsi="宋体" w:cs="宋体"/>
          <w:sz w:val="24"/>
          <w:szCs w:val="32"/>
          <w:u w:val="single"/>
        </w:rPr>
      </w:pPr>
      <w:r>
        <w:rPr>
          <w:rFonts w:hint="eastAsia" w:ascii="宋体" w:hAnsi="宋体" w:cs="宋体"/>
          <w:sz w:val="24"/>
          <w:szCs w:val="32"/>
        </w:rPr>
        <w:t>11.与本投标有关的一切正式信函请寄：地址。</w:t>
      </w:r>
    </w:p>
    <w:p w14:paraId="578E444A">
      <w:pPr>
        <w:spacing w:line="360" w:lineRule="auto"/>
        <w:rPr>
          <w:rFonts w:ascii="宋体" w:hAnsi="宋体" w:cs="宋体"/>
          <w:sz w:val="24"/>
          <w:szCs w:val="32"/>
          <w:u w:val="single"/>
        </w:rPr>
      </w:pPr>
      <w:r>
        <w:rPr>
          <w:rFonts w:hint="eastAsia" w:ascii="宋体" w:hAnsi="宋体" w:cs="宋体"/>
          <w:sz w:val="24"/>
          <w:szCs w:val="32"/>
        </w:rPr>
        <w:t>投标人名称（盖章）：</w:t>
      </w:r>
      <w:r>
        <w:rPr>
          <w:rFonts w:hint="eastAsia" w:ascii="宋体" w:hAnsi="宋体" w:cs="宋体"/>
          <w:sz w:val="24"/>
          <w:szCs w:val="32"/>
          <w:u w:val="single"/>
        </w:rPr>
        <w:t xml:space="preserve">                                  </w:t>
      </w:r>
    </w:p>
    <w:p w14:paraId="7A1501A0">
      <w:pPr>
        <w:spacing w:line="360" w:lineRule="auto"/>
        <w:rPr>
          <w:rFonts w:ascii="宋体" w:hAnsi="宋体" w:cs="宋体"/>
          <w:sz w:val="24"/>
          <w:szCs w:val="32"/>
          <w:u w:val="single"/>
        </w:rPr>
      </w:pPr>
      <w:r>
        <w:rPr>
          <w:rFonts w:hint="eastAsia" w:ascii="宋体" w:hAnsi="宋体" w:cs="宋体"/>
          <w:sz w:val="24"/>
          <w:szCs w:val="32"/>
        </w:rPr>
        <w:t>法定代表人或投标人授权代表（签字或盖章）：</w:t>
      </w:r>
      <w:r>
        <w:rPr>
          <w:rFonts w:hint="eastAsia" w:ascii="宋体" w:hAnsi="宋体" w:cs="宋体"/>
          <w:sz w:val="24"/>
          <w:szCs w:val="32"/>
          <w:u w:val="single"/>
        </w:rPr>
        <w:t xml:space="preserve">            </w:t>
      </w:r>
    </w:p>
    <w:p w14:paraId="2D359755">
      <w:pPr>
        <w:autoSpaceDE w:val="0"/>
        <w:autoSpaceDN w:val="0"/>
        <w:adjustRightInd w:val="0"/>
        <w:snapToGrid w:val="0"/>
        <w:spacing w:line="360" w:lineRule="auto"/>
        <w:rPr>
          <w:rFonts w:ascii="新宋体" w:hAnsi="新宋体" w:cs="新宋体"/>
          <w:sz w:val="24"/>
          <w:szCs w:val="32"/>
          <w:u w:val="single"/>
        </w:rPr>
      </w:pPr>
      <w:r>
        <w:rPr>
          <w:rFonts w:hint="eastAsia" w:ascii="宋体" w:hAnsi="宋体" w:cs="宋体"/>
          <w:sz w:val="24"/>
          <w:szCs w:val="32"/>
          <w:lang w:val="zh-CN"/>
        </w:rPr>
        <w:t>开户银行：</w:t>
      </w:r>
      <w:r>
        <w:rPr>
          <w:rFonts w:hint="eastAsia" w:ascii="宋体" w:hAnsi="宋体" w:cs="宋体"/>
          <w:sz w:val="24"/>
          <w:szCs w:val="32"/>
          <w:u w:val="single"/>
        </w:rPr>
        <w:t xml:space="preserve">                                            </w:t>
      </w:r>
    </w:p>
    <w:p w14:paraId="7DE2C286">
      <w:pPr>
        <w:autoSpaceDE w:val="0"/>
        <w:autoSpaceDN w:val="0"/>
        <w:adjustRightInd w:val="0"/>
        <w:snapToGrid w:val="0"/>
        <w:spacing w:line="360" w:lineRule="auto"/>
        <w:rPr>
          <w:rFonts w:ascii="宋体" w:hAnsi="宋体" w:eastAsia="新宋体" w:cs="宋体"/>
          <w:sz w:val="24"/>
          <w:szCs w:val="24"/>
          <w:u w:val="single"/>
        </w:rPr>
      </w:pPr>
      <w:r>
        <w:rPr>
          <w:rFonts w:hint="eastAsia" w:ascii="宋体" w:hAnsi="宋体" w:cs="宋体"/>
          <w:sz w:val="24"/>
          <w:szCs w:val="32"/>
          <w:lang w:val="zh-CN"/>
        </w:rPr>
        <w:t>帐号</w:t>
      </w:r>
      <w:r>
        <w:rPr>
          <w:rFonts w:hint="eastAsia" w:ascii="新宋体" w:hAnsi="新宋体" w:eastAsia="新宋体" w:cs="新宋体"/>
          <w:sz w:val="24"/>
          <w:szCs w:val="32"/>
        </w:rPr>
        <w:t>：</w:t>
      </w:r>
      <w:r>
        <w:rPr>
          <w:rFonts w:hint="eastAsia" w:ascii="新宋体" w:hAnsi="新宋体" w:eastAsia="新宋体" w:cs="新宋体"/>
          <w:sz w:val="24"/>
          <w:szCs w:val="32"/>
          <w:u w:val="single"/>
        </w:rPr>
        <w:t xml:space="preserve">                                                </w:t>
      </w:r>
    </w:p>
    <w:p w14:paraId="7912A546">
      <w:pPr>
        <w:spacing w:line="360" w:lineRule="auto"/>
        <w:rPr>
          <w:rFonts w:ascii="宋体" w:hAnsi="宋体" w:cs="宋体"/>
          <w:sz w:val="24"/>
          <w:szCs w:val="32"/>
          <w:u w:val="single"/>
        </w:rPr>
      </w:pPr>
      <w:r>
        <w:rPr>
          <w:rFonts w:hint="eastAsia" w:ascii="宋体" w:hAnsi="宋体" w:cs="宋体"/>
          <w:sz w:val="24"/>
          <w:szCs w:val="32"/>
        </w:rPr>
        <w:t>日期：</w:t>
      </w:r>
      <w:r>
        <w:rPr>
          <w:rFonts w:hint="eastAsia" w:ascii="宋体" w:hAnsi="宋体" w:cs="宋体"/>
          <w:sz w:val="24"/>
          <w:szCs w:val="32"/>
          <w:u w:val="single"/>
        </w:rPr>
        <w:t xml:space="preserve">          </w:t>
      </w:r>
    </w:p>
    <w:p w14:paraId="2C0A3E2B">
      <w:pPr>
        <w:spacing w:line="360" w:lineRule="auto"/>
        <w:rPr>
          <w:rFonts w:ascii="宋体" w:hAnsi="宋体" w:cs="宋体"/>
          <w:sz w:val="24"/>
          <w:szCs w:val="32"/>
        </w:rPr>
      </w:pPr>
      <w:r>
        <w:rPr>
          <w:rFonts w:hint="eastAsia" w:ascii="宋体" w:hAnsi="宋体" w:cs="宋体"/>
          <w:sz w:val="24"/>
          <w:szCs w:val="32"/>
        </w:rPr>
        <w:t>备注：投标函中承诺的投标有效期应当不少于招标文件中载明的投标有效期，其他内容不得擅自删改，否则视为无效投标。</w:t>
      </w:r>
    </w:p>
    <w:p w14:paraId="0DCA3794">
      <w:pPr>
        <w:pStyle w:val="4"/>
        <w:rPr>
          <w:rFonts w:hint="eastAsia"/>
          <w:sz w:val="24"/>
          <w:szCs w:val="24"/>
        </w:rPr>
        <w:sectPr>
          <w:pgSz w:w="11906" w:h="16838"/>
          <w:pgMar w:top="1440" w:right="1080" w:bottom="1440" w:left="1080" w:header="851" w:footer="992" w:gutter="0"/>
          <w:cols w:space="425" w:num="1"/>
          <w:docGrid w:type="lines" w:linePitch="312" w:charSpace="0"/>
        </w:sectPr>
      </w:pPr>
      <w:r>
        <w:rPr>
          <w:rFonts w:hint="eastAsia"/>
          <w:sz w:val="24"/>
          <w:szCs w:val="24"/>
        </w:rPr>
        <w:br w:type="page"/>
      </w:r>
    </w:p>
    <w:p w14:paraId="7626D86D">
      <w:pPr>
        <w:pStyle w:val="4"/>
        <w:keepNext w:val="0"/>
        <w:keepLines w:val="0"/>
        <w:jc w:val="center"/>
        <w:rPr>
          <w:rFonts w:hint="eastAsia" w:ascii="宋体" w:hAnsi="宋体" w:cs="宋体"/>
          <w:color w:val="000000"/>
        </w:rPr>
      </w:pPr>
      <w:r>
        <w:rPr>
          <w:rFonts w:hint="eastAsia" w:ascii="宋体" w:hAnsi="宋体" w:cs="宋体"/>
          <w:color w:val="000000"/>
        </w:rPr>
        <w:t>资格条件承诺函</w:t>
      </w:r>
    </w:p>
    <w:p w14:paraId="42BE6D0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（采购人</w:t>
      </w:r>
      <w:r>
        <w:rPr>
          <w:rFonts w:hint="eastAsia" w:ascii="宋体" w:hAnsi="宋体" w:cs="宋体"/>
          <w:color w:val="000000"/>
          <w:sz w:val="24"/>
          <w:szCs w:val="24"/>
          <w:highlight w:val="none"/>
          <w:u w:val="single"/>
          <w:lang w:eastAsia="zh-CN"/>
        </w:rPr>
        <w:t>、采购代理机构</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 xml:space="preserve"> ：</w:t>
      </w:r>
    </w:p>
    <w:p w14:paraId="0930C05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我单位（公司）参与</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（采购项目名称 项目编号）</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采购项目的政府采购活动，现承诺如下：</w:t>
      </w:r>
    </w:p>
    <w:p w14:paraId="5639B4B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 具有良好的商业信誉和健全的财务会计制度；</w:t>
      </w:r>
    </w:p>
    <w:p w14:paraId="5BC6D59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2. 具有依法缴纳税收的良好记录；</w:t>
      </w:r>
    </w:p>
    <w:p w14:paraId="16C6245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3.具有依法缴纳社会保障金的良好记录。</w:t>
      </w:r>
    </w:p>
    <w:p w14:paraId="26A7B8D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6E3E7A6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我单位（公司）对上述承诺的真实性负责。如有虚假，将依法承担相应责任。</w:t>
      </w:r>
    </w:p>
    <w:p w14:paraId="1198505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特此承诺。</w:t>
      </w:r>
    </w:p>
    <w:p w14:paraId="2903107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cs="宋体"/>
          <w:color w:val="000000"/>
          <w:sz w:val="24"/>
          <w:szCs w:val="24"/>
          <w:highlight w:val="none"/>
        </w:rPr>
      </w:pPr>
    </w:p>
    <w:p w14:paraId="464537B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cs="宋体"/>
          <w:color w:val="000000"/>
          <w:sz w:val="24"/>
          <w:szCs w:val="24"/>
          <w:highlight w:val="none"/>
        </w:rPr>
      </w:pPr>
    </w:p>
    <w:p w14:paraId="6FA37F1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盖章：</w:t>
      </w:r>
    </w:p>
    <w:p w14:paraId="165083B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签字：</w:t>
      </w:r>
    </w:p>
    <w:p w14:paraId="4E0DE5A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日期：</w:t>
      </w:r>
    </w:p>
    <w:p w14:paraId="04FF0085">
      <w:pPr>
        <w:pStyle w:val="4"/>
        <w:keepNext w:val="0"/>
        <w:keepLines w:val="0"/>
        <w:jc w:val="right"/>
        <w:rPr>
          <w:rFonts w:hint="eastAsia" w:ascii="宋体" w:hAnsi="宋体" w:eastAsia="宋体" w:cs="宋体"/>
          <w:b w:val="0"/>
          <w:bCs w:val="0"/>
          <w:color w:val="000000"/>
          <w:kern w:val="2"/>
          <w:sz w:val="24"/>
          <w:szCs w:val="24"/>
          <w:highlight w:val="none"/>
          <w:lang w:val="en-US" w:eastAsia="zh-CN" w:bidi="ar-SA"/>
        </w:rPr>
      </w:pPr>
    </w:p>
    <w:p w14:paraId="5F5F59A4">
      <w:pPr>
        <w:pStyle w:val="4"/>
        <w:keepNext w:val="0"/>
        <w:keepLines w:val="0"/>
        <w:jc w:val="right"/>
        <w:rPr>
          <w:rFonts w:hint="eastAsia" w:ascii="宋体" w:hAnsi="宋体" w:eastAsia="宋体" w:cs="宋体"/>
          <w:b w:val="0"/>
          <w:bCs w:val="0"/>
          <w:color w:val="000000"/>
          <w:kern w:val="2"/>
          <w:sz w:val="24"/>
          <w:szCs w:val="24"/>
          <w:highlight w:val="none"/>
          <w:lang w:val="en-US" w:eastAsia="zh-CN" w:bidi="ar-SA"/>
        </w:rPr>
      </w:pPr>
    </w:p>
    <w:p w14:paraId="5671BE13">
      <w:pPr>
        <w:pStyle w:val="4"/>
        <w:keepNext w:val="0"/>
        <w:keepLines w:val="0"/>
        <w:jc w:val="right"/>
        <w:rPr>
          <w:rFonts w:hint="eastAsia" w:ascii="宋体" w:hAnsi="宋体" w:eastAsia="宋体" w:cs="宋体"/>
          <w:b w:val="0"/>
          <w:bCs w:val="0"/>
          <w:color w:val="000000"/>
          <w:kern w:val="2"/>
          <w:sz w:val="24"/>
          <w:szCs w:val="24"/>
          <w:highlight w:val="none"/>
          <w:lang w:val="en-US" w:eastAsia="zh-CN" w:bidi="ar-SA"/>
        </w:rPr>
      </w:pPr>
    </w:p>
    <w:p w14:paraId="7D18770F">
      <w:pPr>
        <w:pStyle w:val="4"/>
        <w:keepNext w:val="0"/>
        <w:keepLines w:val="0"/>
        <w:jc w:val="right"/>
        <w:rPr>
          <w:rFonts w:hint="eastAsia" w:ascii="宋体" w:hAnsi="宋体" w:eastAsia="宋体" w:cs="宋体"/>
          <w:b w:val="0"/>
          <w:bCs w:val="0"/>
          <w:color w:val="000000"/>
          <w:kern w:val="2"/>
          <w:sz w:val="24"/>
          <w:szCs w:val="24"/>
          <w:highlight w:val="none"/>
          <w:lang w:val="en-US" w:eastAsia="zh-CN" w:bidi="ar-SA"/>
        </w:rPr>
      </w:pPr>
      <w:bookmarkStart w:id="68" w:name="_GoBack"/>
      <w:bookmarkEnd w:id="68"/>
    </w:p>
    <w:p w14:paraId="7D4E94B1">
      <w:pPr>
        <w:pStyle w:val="4"/>
        <w:rPr>
          <w:rFonts w:hint="eastAsia"/>
          <w:sz w:val="28"/>
          <w:szCs w:val="28"/>
        </w:rPr>
        <w:sectPr>
          <w:pgSz w:w="11906" w:h="16838"/>
          <w:pgMar w:top="1440" w:right="1080" w:bottom="1440" w:left="1080" w:header="851" w:footer="992" w:gutter="0"/>
          <w:cols w:space="425" w:num="1"/>
          <w:docGrid w:type="lines" w:linePitch="312" w:charSpace="0"/>
        </w:sectPr>
      </w:pPr>
    </w:p>
    <w:p w14:paraId="3564E002">
      <w:pPr>
        <w:pStyle w:val="4"/>
      </w:pPr>
      <w:r>
        <w:rPr>
          <w:rFonts w:hint="eastAsia"/>
          <w:sz w:val="28"/>
          <w:szCs w:val="28"/>
        </w:rPr>
        <w:t>（二）</w:t>
      </w:r>
      <w:r>
        <w:rPr>
          <w:rFonts w:hint="eastAsia"/>
        </w:rPr>
        <w:t>法定代表人授权书</w:t>
      </w:r>
    </w:p>
    <w:p w14:paraId="4C8BB684">
      <w:pPr>
        <w:spacing w:line="360" w:lineRule="auto"/>
        <w:ind w:firstLine="240" w:firstLineChars="100"/>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（姓名）</w:t>
      </w:r>
      <w:r>
        <w:rPr>
          <w:rFonts w:hint="eastAsia" w:ascii="宋体" w:hAnsi="宋体" w:cs="宋体"/>
          <w:sz w:val="24"/>
          <w:szCs w:val="24"/>
        </w:rPr>
        <w:t>系</w:t>
      </w:r>
      <w:r>
        <w:rPr>
          <w:rFonts w:hint="eastAsia" w:ascii="宋体" w:hAnsi="宋体" w:cs="宋体"/>
          <w:sz w:val="24"/>
          <w:szCs w:val="24"/>
          <w:u w:val="single"/>
        </w:rPr>
        <w:t>（投标人名称）</w:t>
      </w:r>
      <w:r>
        <w:rPr>
          <w:rFonts w:hint="eastAsia" w:ascii="宋体" w:hAnsi="宋体" w:cs="宋体"/>
          <w:sz w:val="24"/>
          <w:szCs w:val="24"/>
        </w:rPr>
        <w:t>的法定代表人</w:t>
      </w:r>
      <w:r>
        <w:rPr>
          <w:rFonts w:hint="eastAsia" w:ascii="宋体" w:hAnsi="宋体" w:cs="宋体"/>
          <w:sz w:val="24"/>
          <w:szCs w:val="24"/>
          <w:u w:val="single"/>
        </w:rPr>
        <w:t>（单位负责人）</w:t>
      </w:r>
      <w:r>
        <w:rPr>
          <w:rFonts w:hint="eastAsia" w:ascii="宋体" w:hAnsi="宋体" w:cs="宋体"/>
          <w:sz w:val="24"/>
          <w:szCs w:val="24"/>
        </w:rPr>
        <w:t>，现委托</w:t>
      </w:r>
      <w:r>
        <w:rPr>
          <w:rFonts w:hint="eastAsia" w:ascii="宋体" w:hAnsi="宋体" w:cs="宋体"/>
          <w:sz w:val="24"/>
          <w:szCs w:val="24"/>
          <w:u w:val="single"/>
        </w:rPr>
        <w:t>（姓名）</w:t>
      </w:r>
      <w:r>
        <w:rPr>
          <w:rFonts w:hint="eastAsia" w:ascii="宋体" w:hAnsi="宋体" w:cs="宋体"/>
          <w:sz w:val="24"/>
          <w:szCs w:val="24"/>
        </w:rPr>
        <w:t>为我方授权代表，全权代表我方处理在</w:t>
      </w:r>
      <w:r>
        <w:rPr>
          <w:rFonts w:hint="eastAsia" w:ascii="宋体" w:hAnsi="宋体" w:cs="宋体"/>
          <w:sz w:val="24"/>
          <w:szCs w:val="24"/>
          <w:u w:val="single"/>
        </w:rPr>
        <w:t>（项目名称）</w:t>
      </w:r>
      <w:r>
        <w:rPr>
          <w:rFonts w:hint="eastAsia" w:ascii="宋体" w:hAnsi="宋体" w:cs="宋体"/>
          <w:sz w:val="24"/>
          <w:szCs w:val="24"/>
        </w:rPr>
        <w:t>项目采购活动中的一切事宜，其法律后果由我方承担。</w:t>
      </w:r>
    </w:p>
    <w:p w14:paraId="6A745DE4">
      <w:pPr>
        <w:spacing w:line="360" w:lineRule="auto"/>
        <w:ind w:firstLine="240" w:firstLineChars="100"/>
        <w:rPr>
          <w:rFonts w:ascii="宋体" w:hAnsi="宋体" w:cs="宋体"/>
          <w:sz w:val="24"/>
          <w:szCs w:val="24"/>
        </w:rPr>
      </w:pPr>
      <w:r>
        <w:rPr>
          <w:rFonts w:hint="eastAsia" w:ascii="宋体" w:hAnsi="宋体" w:cs="宋体"/>
          <w:sz w:val="24"/>
          <w:szCs w:val="24"/>
        </w:rPr>
        <w:t>本授权书有效期与我方投标文件中标注的投标有效期相同，自盖章之日起生效。</w:t>
      </w:r>
    </w:p>
    <w:p w14:paraId="003947D1">
      <w:pPr>
        <w:spacing w:line="360" w:lineRule="auto"/>
        <w:ind w:firstLine="240" w:firstLineChars="100"/>
        <w:rPr>
          <w:rFonts w:ascii="宋体" w:hAnsi="宋体" w:cs="宋体"/>
          <w:sz w:val="24"/>
          <w:szCs w:val="24"/>
        </w:rPr>
      </w:pPr>
      <w:r>
        <w:rPr>
          <w:rFonts w:hint="eastAsia" w:ascii="宋体" w:hAnsi="宋体" w:cs="宋体"/>
          <w:sz w:val="24"/>
          <w:szCs w:val="24"/>
        </w:rPr>
        <w:t>授权代表无转委托权。</w:t>
      </w:r>
    </w:p>
    <w:p w14:paraId="7515B3FB">
      <w:pPr>
        <w:spacing w:line="360" w:lineRule="auto"/>
        <w:ind w:firstLine="240" w:firstLineChars="100"/>
        <w:rPr>
          <w:rFonts w:ascii="宋体" w:hAnsi="宋体" w:cs="宋体"/>
          <w:sz w:val="24"/>
          <w:szCs w:val="24"/>
        </w:rPr>
      </w:pPr>
      <w:r>
        <w:rPr>
          <w:rFonts w:hint="eastAsia" w:ascii="宋体" w:hAnsi="宋体" w:cs="宋体"/>
          <w:sz w:val="24"/>
          <w:szCs w:val="24"/>
        </w:rPr>
        <w:t>附：法定代表人（单位负责人）及授权代表身份证正、反面复印件。</w:t>
      </w:r>
    </w:p>
    <w:p w14:paraId="385A6146">
      <w:pPr>
        <w:spacing w:line="360" w:lineRule="auto"/>
        <w:ind w:firstLine="240" w:firstLineChars="100"/>
        <w:rPr>
          <w:rFonts w:ascii="宋体" w:hAnsi="宋体" w:cs="宋体"/>
          <w:sz w:val="24"/>
          <w:szCs w:val="24"/>
        </w:rPr>
      </w:pPr>
    </w:p>
    <w:p w14:paraId="0A5C257C">
      <w:pPr>
        <w:spacing w:line="360" w:lineRule="auto"/>
        <w:ind w:firstLine="240" w:firstLineChars="100"/>
        <w:rPr>
          <w:rFonts w:ascii="宋体" w:hAnsi="宋体" w:cs="宋体"/>
          <w:sz w:val="24"/>
          <w:szCs w:val="24"/>
        </w:rPr>
      </w:pPr>
    </w:p>
    <w:p w14:paraId="51A348B3">
      <w:pPr>
        <w:spacing w:line="360" w:lineRule="auto"/>
        <w:ind w:firstLine="240" w:firstLineChars="100"/>
        <w:rPr>
          <w:rFonts w:ascii="宋体" w:hAnsi="宋体" w:cs="宋体"/>
          <w:sz w:val="24"/>
          <w:szCs w:val="24"/>
        </w:rPr>
      </w:pPr>
      <w:r>
        <w:rPr>
          <w:rFonts w:hint="eastAsia" w:ascii="宋体" w:hAnsi="宋体" w:cs="宋体"/>
          <w:sz w:val="24"/>
          <w:szCs w:val="24"/>
        </w:rPr>
        <w:t>注：本授权委托书需由投标人加盖单位公章并由其法定代表人（单位负责人）和授权代表签字。</w:t>
      </w:r>
    </w:p>
    <w:p w14:paraId="0350C829">
      <w:pPr>
        <w:spacing w:line="360" w:lineRule="auto"/>
        <w:ind w:firstLine="240" w:firstLineChars="100"/>
        <w:rPr>
          <w:rFonts w:ascii="宋体" w:hAnsi="宋体" w:cs="宋体"/>
          <w:sz w:val="24"/>
          <w:szCs w:val="24"/>
        </w:rPr>
      </w:pPr>
    </w:p>
    <w:p w14:paraId="23D6BBEA">
      <w:pPr>
        <w:spacing w:line="360" w:lineRule="auto"/>
        <w:ind w:firstLine="240" w:firstLineChars="100"/>
        <w:rPr>
          <w:rFonts w:ascii="宋体" w:hAnsi="宋体" w:cs="宋体"/>
          <w:sz w:val="24"/>
          <w:szCs w:val="24"/>
        </w:rPr>
      </w:pPr>
    </w:p>
    <w:p w14:paraId="207C598F">
      <w:pPr>
        <w:spacing w:line="360" w:lineRule="auto"/>
        <w:ind w:firstLine="240" w:firstLineChars="100"/>
        <w:rPr>
          <w:rFonts w:ascii="宋体" w:hAnsi="宋体" w:cs="宋体"/>
          <w:sz w:val="24"/>
          <w:szCs w:val="24"/>
          <w:u w:val="single"/>
        </w:rPr>
      </w:pPr>
      <w:r>
        <w:rPr>
          <w:rFonts w:hint="eastAsia" w:ascii="宋体" w:hAnsi="宋体" w:cs="宋体"/>
          <w:sz w:val="24"/>
          <w:szCs w:val="24"/>
        </w:rPr>
        <w:t>投标人名称（盖章）：</w:t>
      </w:r>
      <w:r>
        <w:rPr>
          <w:rFonts w:hint="eastAsia" w:ascii="宋体" w:hAnsi="宋体" w:cs="宋体"/>
          <w:sz w:val="24"/>
          <w:szCs w:val="24"/>
          <w:u w:val="single"/>
        </w:rPr>
        <w:t xml:space="preserve">                              </w:t>
      </w:r>
    </w:p>
    <w:p w14:paraId="29BE2CD4">
      <w:pPr>
        <w:spacing w:line="360" w:lineRule="auto"/>
        <w:ind w:firstLine="240" w:firstLineChars="100"/>
        <w:rPr>
          <w:rFonts w:ascii="宋体" w:hAnsi="宋体" w:cs="宋体"/>
          <w:sz w:val="24"/>
          <w:szCs w:val="24"/>
          <w:u w:val="single"/>
        </w:rPr>
      </w:pPr>
      <w:r>
        <w:rPr>
          <w:rFonts w:hint="eastAsia" w:ascii="宋体" w:hAnsi="宋体" w:cs="宋体"/>
          <w:sz w:val="24"/>
          <w:szCs w:val="24"/>
        </w:rPr>
        <w:t>法定代表人（单位负责人）（签字）：</w:t>
      </w:r>
      <w:r>
        <w:rPr>
          <w:rFonts w:hint="eastAsia" w:ascii="宋体" w:hAnsi="宋体" w:cs="宋体"/>
          <w:sz w:val="24"/>
          <w:szCs w:val="24"/>
          <w:u w:val="single"/>
        </w:rPr>
        <w:t xml:space="preserve">          </w:t>
      </w:r>
    </w:p>
    <w:p w14:paraId="45313FE9">
      <w:pPr>
        <w:spacing w:line="360" w:lineRule="auto"/>
        <w:ind w:firstLine="240" w:firstLineChars="10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p>
    <w:p w14:paraId="20EB9012">
      <w:pPr>
        <w:spacing w:line="360" w:lineRule="auto"/>
        <w:ind w:firstLine="240" w:firstLineChars="100"/>
        <w:rPr>
          <w:rFonts w:ascii="宋体" w:hAnsi="宋体" w:cs="宋体"/>
          <w:sz w:val="24"/>
          <w:szCs w:val="24"/>
          <w:u w:val="single"/>
        </w:rPr>
      </w:pPr>
      <w:r>
        <w:rPr>
          <w:rFonts w:hint="eastAsia" w:ascii="宋体" w:hAnsi="宋体" w:cs="宋体"/>
          <w:sz w:val="24"/>
          <w:szCs w:val="24"/>
        </w:rPr>
        <w:t>授权代表（签字）：</w:t>
      </w:r>
      <w:r>
        <w:rPr>
          <w:rFonts w:hint="eastAsia" w:ascii="宋体" w:hAnsi="宋体" w:cs="宋体"/>
          <w:sz w:val="24"/>
          <w:szCs w:val="24"/>
          <w:u w:val="single"/>
        </w:rPr>
        <w:t xml:space="preserve">                          </w:t>
      </w:r>
    </w:p>
    <w:p w14:paraId="0BC8C7D8">
      <w:pPr>
        <w:spacing w:line="360" w:lineRule="auto"/>
        <w:ind w:firstLine="240" w:firstLineChars="10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p>
    <w:p w14:paraId="51F9AA05">
      <w:pPr>
        <w:spacing w:line="360" w:lineRule="auto"/>
        <w:ind w:firstLine="240" w:firstLineChars="100"/>
        <w:rPr>
          <w:rFonts w:ascii="宋体" w:hAnsi="宋体" w:cs="宋体"/>
          <w:sz w:val="24"/>
          <w:szCs w:val="24"/>
        </w:rPr>
      </w:pPr>
    </w:p>
    <w:p w14:paraId="2C1B5BA1">
      <w:pPr>
        <w:spacing w:line="360" w:lineRule="auto"/>
        <w:ind w:firstLine="240" w:firstLineChars="1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755CA66">
      <w:pPr>
        <w:pStyle w:val="4"/>
        <w:rPr>
          <w:rFonts w:ascii="宋体" w:hAnsi="宋体" w:cs="宋体"/>
          <w:szCs w:val="24"/>
        </w:rPr>
      </w:pPr>
      <w:r>
        <w:rPr>
          <w:rFonts w:hint="eastAsia"/>
          <w:szCs w:val="24"/>
        </w:rPr>
        <w:br w:type="page"/>
      </w:r>
      <w:r>
        <w:rPr>
          <w:rFonts w:hint="eastAsia"/>
          <w:sz w:val="28"/>
          <w:szCs w:val="28"/>
        </w:rPr>
        <w:t>（三）</w:t>
      </w:r>
      <w:r>
        <w:rPr>
          <w:rFonts w:hint="eastAsia"/>
        </w:rPr>
        <w:t>法定代表人证明书</w:t>
      </w:r>
    </w:p>
    <w:p w14:paraId="52362A92">
      <w:pPr>
        <w:spacing w:line="360" w:lineRule="auto"/>
        <w:ind w:firstLine="720" w:firstLineChars="300"/>
        <w:rPr>
          <w:rFonts w:ascii="宋体" w:hAnsi="宋体" w:cs="宋体"/>
          <w:sz w:val="24"/>
          <w:szCs w:val="24"/>
        </w:rPr>
      </w:pPr>
      <w:r>
        <w:rPr>
          <w:rFonts w:ascii="宋体" w:hAnsi="宋体" w:cs="宋体"/>
          <w:sz w:val="24"/>
          <w:szCs w:val="24"/>
        </w:rPr>
        <w:t>______________同志，现任我单位职务，为法定代表人，特此证明。</w:t>
      </w:r>
    </w:p>
    <w:p w14:paraId="487D5139">
      <w:pPr>
        <w:spacing w:line="360" w:lineRule="auto"/>
        <w:ind w:firstLine="240" w:firstLineChars="100"/>
        <w:rPr>
          <w:rFonts w:ascii="宋体" w:hAnsi="宋体" w:cs="宋体"/>
          <w:sz w:val="24"/>
          <w:szCs w:val="24"/>
        </w:rPr>
      </w:pPr>
      <w:r>
        <w:rPr>
          <w:rFonts w:ascii="宋体" w:hAnsi="宋体" w:cs="宋体"/>
          <w:sz w:val="24"/>
          <w:szCs w:val="24"/>
        </w:rPr>
        <w:t xml:space="preserve">本证明书自签发之日起生效，有效期与本公司投标文件中标注的投标有效期相同。 </w:t>
      </w:r>
    </w:p>
    <w:p w14:paraId="33229047">
      <w:pPr>
        <w:spacing w:line="360" w:lineRule="auto"/>
        <w:ind w:firstLine="240" w:firstLineChars="100"/>
        <w:rPr>
          <w:rFonts w:ascii="宋体" w:hAnsi="宋体" w:cs="宋体"/>
          <w:sz w:val="24"/>
          <w:szCs w:val="24"/>
        </w:rPr>
      </w:pPr>
      <w:r>
        <w:rPr>
          <w:rFonts w:ascii="宋体" w:hAnsi="宋体" w:cs="宋体"/>
          <w:sz w:val="24"/>
          <w:szCs w:val="24"/>
        </w:rPr>
        <w:t xml:space="preserve">附： </w:t>
      </w:r>
    </w:p>
    <w:p w14:paraId="488FD518">
      <w:pPr>
        <w:spacing w:line="360" w:lineRule="auto"/>
        <w:ind w:firstLine="240" w:firstLineChars="100"/>
        <w:rPr>
          <w:rFonts w:ascii="宋体" w:hAnsi="宋体" w:cs="宋体"/>
          <w:sz w:val="24"/>
          <w:szCs w:val="24"/>
          <w:u w:val="single"/>
        </w:rPr>
      </w:pPr>
      <w:r>
        <w:rPr>
          <w:rFonts w:ascii="宋体" w:hAnsi="宋体" w:cs="宋体"/>
          <w:sz w:val="24"/>
          <w:szCs w:val="24"/>
        </w:rPr>
        <w:t>营业执照（注册号）：</w:t>
      </w:r>
      <w:r>
        <w:rPr>
          <w:rFonts w:hint="eastAsia" w:ascii="宋体" w:hAnsi="宋体" w:cs="宋体"/>
          <w:sz w:val="24"/>
          <w:szCs w:val="24"/>
          <w:u w:val="single"/>
        </w:rPr>
        <w:t xml:space="preserve">                           </w:t>
      </w:r>
    </w:p>
    <w:p w14:paraId="27D0E402">
      <w:pPr>
        <w:spacing w:line="360" w:lineRule="auto"/>
        <w:ind w:firstLine="240" w:firstLineChars="100"/>
        <w:rPr>
          <w:rFonts w:ascii="宋体" w:hAnsi="宋体" w:cs="宋体"/>
          <w:sz w:val="24"/>
          <w:szCs w:val="24"/>
          <w:u w:val="single"/>
        </w:rPr>
      </w:pPr>
      <w:r>
        <w:rPr>
          <w:rFonts w:hint="eastAsia" w:ascii="宋体" w:hAnsi="宋体" w:cs="宋体"/>
          <w:sz w:val="24"/>
          <w:szCs w:val="24"/>
        </w:rPr>
        <w:t>类              型</w:t>
      </w:r>
      <w:r>
        <w:rPr>
          <w:rFonts w:ascii="宋体" w:hAnsi="宋体" w:cs="宋体"/>
          <w:sz w:val="24"/>
          <w:szCs w:val="24"/>
        </w:rPr>
        <w:t>：</w:t>
      </w:r>
      <w:r>
        <w:rPr>
          <w:rFonts w:hint="eastAsia" w:ascii="宋体" w:hAnsi="宋体" w:cs="宋体"/>
          <w:sz w:val="24"/>
          <w:szCs w:val="24"/>
          <w:u w:val="single"/>
        </w:rPr>
        <w:t xml:space="preserve">                           </w:t>
      </w:r>
    </w:p>
    <w:p w14:paraId="142A0F7B">
      <w:pPr>
        <w:spacing w:line="360" w:lineRule="auto"/>
        <w:ind w:firstLine="241" w:firstLineChars="100"/>
        <w:rPr>
          <w:rFonts w:ascii="宋体" w:hAnsi="宋体" w:cs="宋体"/>
          <w:sz w:val="24"/>
          <w:szCs w:val="24"/>
        </w:rPr>
      </w:pPr>
      <w:r>
        <w:rPr>
          <w:rFonts w:hint="eastAsia" w:ascii="宋体" w:hAnsi="宋体" w:cs="宋体"/>
          <w:b/>
          <w:bCs/>
          <w:sz w:val="24"/>
          <w:szCs w:val="24"/>
        </w:rPr>
        <w:t>法定代表人身份证正、反面复印件</w:t>
      </w:r>
    </w:p>
    <w:p w14:paraId="5A73DFB4">
      <w:pPr>
        <w:spacing w:line="360" w:lineRule="auto"/>
        <w:ind w:firstLine="240" w:firstLineChars="100"/>
        <w:rPr>
          <w:rFonts w:ascii="宋体" w:hAnsi="宋体" w:cs="宋体"/>
          <w:sz w:val="24"/>
          <w:szCs w:val="24"/>
        </w:rPr>
      </w:pPr>
    </w:p>
    <w:p w14:paraId="7EADC5A7">
      <w:pPr>
        <w:spacing w:line="360" w:lineRule="auto"/>
        <w:ind w:firstLine="240" w:firstLineChars="100"/>
        <w:rPr>
          <w:rFonts w:ascii="宋体" w:hAnsi="宋体" w:cs="宋体"/>
          <w:sz w:val="24"/>
          <w:szCs w:val="24"/>
        </w:rPr>
      </w:pPr>
    </w:p>
    <w:p w14:paraId="469954CF">
      <w:pPr>
        <w:spacing w:line="360" w:lineRule="auto"/>
        <w:ind w:firstLine="240" w:firstLineChars="100"/>
        <w:rPr>
          <w:rFonts w:ascii="宋体" w:hAnsi="宋体" w:cs="宋体"/>
          <w:sz w:val="24"/>
          <w:szCs w:val="24"/>
        </w:rPr>
      </w:pPr>
    </w:p>
    <w:p w14:paraId="1F5DF9D5">
      <w:pPr>
        <w:spacing w:line="360" w:lineRule="auto"/>
        <w:ind w:firstLine="240" w:firstLineChars="100"/>
        <w:rPr>
          <w:rFonts w:ascii="宋体" w:hAnsi="宋体" w:cs="宋体"/>
          <w:sz w:val="24"/>
          <w:szCs w:val="24"/>
        </w:rPr>
      </w:pPr>
    </w:p>
    <w:p w14:paraId="32FF1B42">
      <w:pPr>
        <w:spacing w:line="360" w:lineRule="auto"/>
        <w:ind w:firstLine="240" w:firstLineChars="100"/>
        <w:rPr>
          <w:rFonts w:ascii="宋体" w:hAnsi="宋体" w:cs="宋体"/>
          <w:sz w:val="24"/>
          <w:szCs w:val="24"/>
        </w:rPr>
      </w:pPr>
    </w:p>
    <w:p w14:paraId="45AC64AB">
      <w:pPr>
        <w:spacing w:line="360" w:lineRule="auto"/>
        <w:ind w:firstLine="240" w:firstLineChars="100"/>
        <w:rPr>
          <w:rFonts w:ascii="宋体" w:hAnsi="宋体" w:cs="宋体"/>
          <w:sz w:val="24"/>
          <w:szCs w:val="24"/>
        </w:rPr>
      </w:pPr>
    </w:p>
    <w:p w14:paraId="1445472C">
      <w:pPr>
        <w:spacing w:line="360" w:lineRule="auto"/>
        <w:ind w:firstLine="240" w:firstLineChars="100"/>
        <w:rPr>
          <w:rFonts w:ascii="宋体" w:hAnsi="宋体" w:cs="宋体"/>
          <w:sz w:val="24"/>
          <w:szCs w:val="24"/>
          <w:u w:val="single"/>
        </w:rPr>
      </w:pPr>
      <w:r>
        <w:rPr>
          <w:rFonts w:hint="eastAsia" w:ascii="宋体" w:hAnsi="宋体" w:cs="宋体"/>
          <w:sz w:val="24"/>
          <w:szCs w:val="24"/>
        </w:rPr>
        <w:t>投标人名称（盖章）：</w:t>
      </w:r>
      <w:r>
        <w:rPr>
          <w:rFonts w:hint="eastAsia" w:ascii="宋体" w:hAnsi="宋体" w:cs="宋体"/>
          <w:sz w:val="24"/>
          <w:szCs w:val="24"/>
          <w:u w:val="single"/>
        </w:rPr>
        <w:t xml:space="preserve">                       </w:t>
      </w:r>
    </w:p>
    <w:p w14:paraId="5F4C5E9A">
      <w:pPr>
        <w:spacing w:line="360" w:lineRule="auto"/>
        <w:ind w:firstLine="240" w:firstLineChars="100"/>
        <w:rPr>
          <w:rFonts w:ascii="宋体" w:hAnsi="宋体" w:cs="宋体"/>
          <w:sz w:val="24"/>
          <w:szCs w:val="24"/>
          <w:u w:val="single"/>
        </w:rPr>
      </w:pPr>
      <w:r>
        <w:rPr>
          <w:rFonts w:hint="eastAsia" w:ascii="宋体" w:hAnsi="宋体" w:cs="宋体"/>
          <w:sz w:val="24"/>
          <w:szCs w:val="24"/>
        </w:rPr>
        <w:t>地址：</w:t>
      </w:r>
      <w:r>
        <w:rPr>
          <w:rFonts w:hint="eastAsia" w:ascii="宋体" w:hAnsi="宋体" w:cs="宋体"/>
          <w:sz w:val="24"/>
          <w:szCs w:val="24"/>
          <w:u w:val="single"/>
        </w:rPr>
        <w:t xml:space="preserve">                                     </w:t>
      </w:r>
    </w:p>
    <w:p w14:paraId="72B1E470">
      <w:pPr>
        <w:spacing w:line="360" w:lineRule="auto"/>
        <w:ind w:firstLine="240" w:firstLineChars="1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33E29DB7">
      <w:pPr>
        <w:spacing w:line="360" w:lineRule="auto"/>
        <w:ind w:firstLine="210" w:firstLineChars="100"/>
        <w:rPr>
          <w:rFonts w:ascii="宋体" w:hAnsi="宋体" w:cs="宋体"/>
          <w:szCs w:val="24"/>
          <w:u w:val="single"/>
        </w:rPr>
      </w:pPr>
    </w:p>
    <w:p w14:paraId="093A61D1">
      <w:pPr>
        <w:pStyle w:val="4"/>
        <w:rPr>
          <w:lang w:val="zh-CN"/>
        </w:rPr>
      </w:pPr>
      <w:r>
        <w:rPr>
          <w:rFonts w:hint="eastAsia"/>
        </w:rPr>
        <w:br w:type="page"/>
      </w:r>
      <w:r>
        <w:rPr>
          <w:rFonts w:hint="eastAsia"/>
        </w:rPr>
        <w:t>（四）投标保证金</w:t>
      </w:r>
    </w:p>
    <w:p w14:paraId="136AA4A6">
      <w:pPr>
        <w:spacing w:line="360" w:lineRule="auto"/>
        <w:jc w:val="center"/>
        <w:rPr>
          <w:rFonts w:ascii="宋体" w:hAnsi="宋体" w:cs="宋体"/>
          <w:sz w:val="24"/>
          <w:szCs w:val="24"/>
          <w:lang w:val="zh-CN"/>
        </w:rPr>
      </w:pPr>
      <w:r>
        <w:rPr>
          <w:rFonts w:hint="eastAsia" w:ascii="宋体" w:hAnsi="宋体" w:cs="宋体"/>
          <w:b/>
          <w:bCs/>
          <w:sz w:val="24"/>
          <w:szCs w:val="24"/>
          <w:lang w:val="zh-CN"/>
        </w:rPr>
        <w:t>附：递交投标保证金凭证</w:t>
      </w:r>
      <w:r>
        <w:rPr>
          <w:rFonts w:hint="eastAsia" w:ascii="宋体" w:hAnsi="宋体" w:cs="宋体"/>
          <w:b/>
          <w:bCs/>
          <w:sz w:val="24"/>
          <w:szCs w:val="24"/>
        </w:rPr>
        <w:t>及开户许可证</w:t>
      </w:r>
      <w:r>
        <w:rPr>
          <w:rFonts w:hint="eastAsia" w:ascii="宋体" w:hAnsi="宋体" w:cs="宋体"/>
          <w:b/>
          <w:bCs/>
          <w:sz w:val="24"/>
          <w:szCs w:val="24"/>
          <w:lang w:val="zh-CN"/>
        </w:rPr>
        <w:t>复印件</w:t>
      </w:r>
    </w:p>
    <w:p w14:paraId="3326C8E1">
      <w:pPr>
        <w:spacing w:line="360" w:lineRule="auto"/>
        <w:rPr>
          <w:rFonts w:ascii="宋体" w:hAnsi="宋体" w:cs="宋体"/>
          <w:lang w:val="zh-CN"/>
        </w:rPr>
      </w:pPr>
    </w:p>
    <w:p w14:paraId="53DA0A20">
      <w:pPr>
        <w:spacing w:line="360" w:lineRule="auto"/>
        <w:rPr>
          <w:rFonts w:ascii="宋体" w:hAnsi="宋体" w:cs="宋体"/>
          <w:lang w:val="zh-CN"/>
        </w:rPr>
      </w:pPr>
    </w:p>
    <w:p w14:paraId="6D71B45B">
      <w:pPr>
        <w:spacing w:line="360" w:lineRule="auto"/>
        <w:rPr>
          <w:rFonts w:ascii="宋体" w:hAnsi="宋体" w:cs="宋体"/>
          <w:lang w:val="zh-CN"/>
        </w:rPr>
      </w:pPr>
    </w:p>
    <w:p w14:paraId="05600EE6">
      <w:pPr>
        <w:spacing w:line="360" w:lineRule="auto"/>
        <w:rPr>
          <w:rFonts w:ascii="宋体" w:hAnsi="宋体" w:cs="宋体"/>
          <w:lang w:val="zh-CN"/>
        </w:rPr>
      </w:pPr>
    </w:p>
    <w:p w14:paraId="218458CA">
      <w:pPr>
        <w:spacing w:line="360" w:lineRule="auto"/>
        <w:rPr>
          <w:rFonts w:ascii="宋体" w:hAnsi="宋体" w:cs="宋体"/>
          <w:lang w:val="zh-CN"/>
        </w:rPr>
      </w:pPr>
    </w:p>
    <w:p w14:paraId="410C0A82">
      <w:pPr>
        <w:widowControl/>
        <w:jc w:val="left"/>
        <w:rPr>
          <w:rFonts w:ascii="Times New Roman" w:hAnsi="Times New Roman" w:eastAsia="宋体" w:cs="Times New Roman"/>
          <w:b/>
          <w:kern w:val="44"/>
          <w:sz w:val="28"/>
          <w:szCs w:val="20"/>
        </w:rPr>
      </w:pPr>
      <w:r>
        <w:rPr>
          <w:rFonts w:ascii="Times New Roman" w:hAnsi="Times New Roman" w:eastAsia="宋体" w:cs="Times New Roman"/>
          <w:b/>
          <w:kern w:val="44"/>
          <w:sz w:val="28"/>
          <w:szCs w:val="20"/>
        </w:rPr>
        <w:br w:type="page"/>
      </w:r>
    </w:p>
    <w:p w14:paraId="3CE44596">
      <w:pPr>
        <w:pStyle w:val="4"/>
        <w:rPr>
          <w:sz w:val="24"/>
          <w:szCs w:val="30"/>
        </w:rPr>
      </w:pPr>
      <w:r>
        <w:rPr>
          <w:rFonts w:hint="eastAsia"/>
          <w:szCs w:val="30"/>
        </w:rPr>
        <w:t>（五）</w:t>
      </w:r>
      <w:r>
        <w:rPr>
          <w:rFonts w:hint="eastAsia"/>
        </w:rPr>
        <w:t>商务条款偏离表</w:t>
      </w:r>
    </w:p>
    <w:p w14:paraId="2A851E0D">
      <w:pPr>
        <w:spacing w:line="360" w:lineRule="auto"/>
        <w:rPr>
          <w:rFonts w:ascii="宋体" w:hAnsi="宋体" w:eastAsia="宋体" w:cs="宋体"/>
          <w:sz w:val="24"/>
          <w:szCs w:val="20"/>
        </w:rPr>
      </w:pPr>
      <w:r>
        <w:rPr>
          <w:rFonts w:hint="eastAsia" w:ascii="宋体" w:hAnsi="宋体" w:eastAsia="宋体" w:cs="宋体"/>
          <w:sz w:val="24"/>
          <w:szCs w:val="20"/>
        </w:rPr>
        <w:t xml:space="preserve">项目名称：                             </w:t>
      </w:r>
    </w:p>
    <w:p w14:paraId="3B3D6F9C">
      <w:pPr>
        <w:spacing w:line="360" w:lineRule="auto"/>
        <w:rPr>
          <w:rFonts w:ascii="宋体" w:hAnsi="宋体" w:eastAsia="宋体" w:cs="宋体"/>
          <w:sz w:val="24"/>
          <w:szCs w:val="20"/>
        </w:rPr>
      </w:pPr>
      <w:r>
        <w:rPr>
          <w:rFonts w:hint="eastAsia" w:ascii="宋体" w:hAnsi="宋体" w:eastAsia="宋体" w:cs="宋体"/>
          <w:sz w:val="24"/>
          <w:szCs w:val="20"/>
        </w:rPr>
        <w:t>项目编号：</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333"/>
        <w:gridCol w:w="2961"/>
        <w:gridCol w:w="2584"/>
      </w:tblGrid>
      <w:tr w14:paraId="7580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2" w:type="pct"/>
            <w:noWrap/>
            <w:vAlign w:val="center"/>
          </w:tcPr>
          <w:p w14:paraId="7605913E">
            <w:pPr>
              <w:jc w:val="center"/>
              <w:rPr>
                <w:rFonts w:ascii="宋体" w:hAnsi="宋体" w:eastAsia="宋体" w:cs="宋体"/>
                <w:kern w:val="0"/>
                <w:sz w:val="24"/>
                <w:szCs w:val="24"/>
              </w:rPr>
            </w:pPr>
            <w:r>
              <w:rPr>
                <w:rFonts w:hint="eastAsia" w:ascii="宋体" w:hAnsi="宋体" w:eastAsia="宋体" w:cs="宋体"/>
                <w:kern w:val="0"/>
                <w:sz w:val="24"/>
                <w:szCs w:val="24"/>
                <w:lang w:val="zh-CN"/>
              </w:rPr>
              <w:t>序号</w:t>
            </w:r>
          </w:p>
        </w:tc>
        <w:tc>
          <w:tcPr>
            <w:tcW w:w="1673" w:type="pct"/>
            <w:noWrap/>
            <w:vAlign w:val="center"/>
          </w:tcPr>
          <w:p w14:paraId="5F6C2C2D">
            <w:pPr>
              <w:jc w:val="center"/>
              <w:rPr>
                <w:rFonts w:ascii="宋体" w:hAnsi="宋体" w:eastAsia="宋体" w:cs="宋体"/>
                <w:kern w:val="0"/>
                <w:sz w:val="24"/>
                <w:szCs w:val="24"/>
              </w:rPr>
            </w:pPr>
            <w:r>
              <w:rPr>
                <w:rFonts w:hint="eastAsia" w:ascii="宋体" w:hAnsi="宋体" w:eastAsia="宋体" w:cs="宋体"/>
                <w:kern w:val="0"/>
                <w:sz w:val="24"/>
                <w:szCs w:val="24"/>
              </w:rPr>
              <w:t>招标文件商务条款描述</w:t>
            </w:r>
          </w:p>
        </w:tc>
        <w:tc>
          <w:tcPr>
            <w:tcW w:w="1486" w:type="pct"/>
            <w:noWrap/>
            <w:vAlign w:val="center"/>
          </w:tcPr>
          <w:p w14:paraId="65B87FD8">
            <w:pPr>
              <w:jc w:val="center"/>
              <w:rPr>
                <w:rFonts w:ascii="宋体" w:hAnsi="宋体" w:eastAsia="宋体" w:cs="宋体"/>
                <w:kern w:val="0"/>
                <w:sz w:val="24"/>
                <w:szCs w:val="24"/>
              </w:rPr>
            </w:pPr>
            <w:r>
              <w:rPr>
                <w:rFonts w:hint="eastAsia" w:ascii="宋体" w:hAnsi="宋体" w:eastAsia="宋体" w:cs="宋体"/>
                <w:kern w:val="0"/>
                <w:sz w:val="24"/>
                <w:szCs w:val="24"/>
                <w:lang w:val="zh-CN"/>
              </w:rPr>
              <w:t>投标人响应描述</w:t>
            </w:r>
          </w:p>
        </w:tc>
        <w:tc>
          <w:tcPr>
            <w:tcW w:w="1297" w:type="pct"/>
            <w:noWrap/>
            <w:vAlign w:val="center"/>
          </w:tcPr>
          <w:p w14:paraId="4744AAA4">
            <w:pPr>
              <w:jc w:val="center"/>
              <w:rPr>
                <w:rFonts w:ascii="宋体" w:hAnsi="宋体" w:eastAsia="宋体" w:cs="宋体"/>
                <w:kern w:val="0"/>
                <w:sz w:val="24"/>
                <w:szCs w:val="24"/>
              </w:rPr>
            </w:pPr>
            <w:r>
              <w:rPr>
                <w:rFonts w:hint="eastAsia" w:ascii="宋体" w:hAnsi="宋体" w:eastAsia="宋体" w:cs="宋体"/>
                <w:kern w:val="0"/>
                <w:sz w:val="24"/>
                <w:szCs w:val="24"/>
                <w:lang w:val="zh-CN"/>
              </w:rPr>
              <w:t>偏离情况说明</w:t>
            </w:r>
          </w:p>
        </w:tc>
      </w:tr>
      <w:tr w14:paraId="0656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2" w:type="pct"/>
            <w:noWrap/>
            <w:vAlign w:val="center"/>
          </w:tcPr>
          <w:p w14:paraId="2D18BCA8">
            <w:pPr>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3" w:type="pct"/>
            <w:noWrap/>
            <w:vAlign w:val="center"/>
          </w:tcPr>
          <w:p w14:paraId="18C90615">
            <w:pPr>
              <w:jc w:val="center"/>
              <w:rPr>
                <w:rFonts w:ascii="宋体" w:hAnsi="宋体" w:eastAsia="宋体" w:cs="宋体"/>
                <w:kern w:val="0"/>
                <w:sz w:val="24"/>
                <w:szCs w:val="24"/>
              </w:rPr>
            </w:pPr>
          </w:p>
        </w:tc>
        <w:tc>
          <w:tcPr>
            <w:tcW w:w="1486" w:type="pct"/>
            <w:noWrap/>
            <w:vAlign w:val="center"/>
          </w:tcPr>
          <w:p w14:paraId="513654A6">
            <w:pPr>
              <w:jc w:val="center"/>
              <w:rPr>
                <w:rFonts w:ascii="宋体" w:hAnsi="宋体" w:eastAsia="宋体" w:cs="宋体"/>
                <w:kern w:val="0"/>
                <w:sz w:val="24"/>
                <w:szCs w:val="24"/>
              </w:rPr>
            </w:pPr>
          </w:p>
        </w:tc>
        <w:tc>
          <w:tcPr>
            <w:tcW w:w="1297" w:type="pct"/>
            <w:noWrap/>
            <w:vAlign w:val="center"/>
          </w:tcPr>
          <w:p w14:paraId="67435E08">
            <w:pPr>
              <w:jc w:val="center"/>
              <w:rPr>
                <w:rFonts w:ascii="宋体" w:hAnsi="宋体" w:eastAsia="宋体" w:cs="宋体"/>
                <w:kern w:val="0"/>
                <w:sz w:val="24"/>
                <w:szCs w:val="24"/>
              </w:rPr>
            </w:pPr>
          </w:p>
        </w:tc>
      </w:tr>
      <w:tr w14:paraId="12FF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2" w:type="pct"/>
            <w:noWrap/>
            <w:vAlign w:val="center"/>
          </w:tcPr>
          <w:p w14:paraId="1FBA2514">
            <w:pPr>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3" w:type="pct"/>
            <w:noWrap/>
            <w:vAlign w:val="center"/>
          </w:tcPr>
          <w:p w14:paraId="33FC6223">
            <w:pPr>
              <w:jc w:val="center"/>
              <w:rPr>
                <w:rFonts w:ascii="宋体" w:hAnsi="宋体" w:eastAsia="宋体" w:cs="宋体"/>
                <w:kern w:val="0"/>
                <w:sz w:val="24"/>
                <w:szCs w:val="24"/>
              </w:rPr>
            </w:pPr>
          </w:p>
        </w:tc>
        <w:tc>
          <w:tcPr>
            <w:tcW w:w="1486" w:type="pct"/>
            <w:noWrap/>
            <w:vAlign w:val="center"/>
          </w:tcPr>
          <w:p w14:paraId="03EBF9F9">
            <w:pPr>
              <w:jc w:val="center"/>
              <w:rPr>
                <w:rFonts w:ascii="宋体" w:hAnsi="宋体" w:eastAsia="宋体" w:cs="宋体"/>
                <w:kern w:val="0"/>
                <w:sz w:val="24"/>
                <w:szCs w:val="24"/>
              </w:rPr>
            </w:pPr>
          </w:p>
        </w:tc>
        <w:tc>
          <w:tcPr>
            <w:tcW w:w="1297" w:type="pct"/>
            <w:noWrap/>
            <w:vAlign w:val="center"/>
          </w:tcPr>
          <w:p w14:paraId="67FD4D82">
            <w:pPr>
              <w:jc w:val="center"/>
              <w:rPr>
                <w:rFonts w:ascii="宋体" w:hAnsi="宋体" w:eastAsia="宋体" w:cs="宋体"/>
                <w:kern w:val="0"/>
                <w:sz w:val="24"/>
                <w:szCs w:val="24"/>
              </w:rPr>
            </w:pPr>
          </w:p>
        </w:tc>
      </w:tr>
      <w:tr w14:paraId="2A62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2" w:type="pct"/>
            <w:noWrap/>
            <w:vAlign w:val="center"/>
          </w:tcPr>
          <w:p w14:paraId="4251DBB0">
            <w:pPr>
              <w:jc w:val="center"/>
              <w:rPr>
                <w:rFonts w:ascii="宋体" w:hAnsi="宋体" w:eastAsia="宋体" w:cs="宋体"/>
                <w:kern w:val="0"/>
                <w:sz w:val="24"/>
                <w:szCs w:val="24"/>
              </w:rPr>
            </w:pPr>
            <w:r>
              <w:rPr>
                <w:rFonts w:hint="eastAsia" w:ascii="宋体" w:hAnsi="宋体" w:eastAsia="宋体" w:cs="宋体"/>
                <w:kern w:val="0"/>
                <w:sz w:val="24"/>
                <w:szCs w:val="20"/>
              </w:rPr>
              <w:t>……</w:t>
            </w:r>
          </w:p>
        </w:tc>
        <w:tc>
          <w:tcPr>
            <w:tcW w:w="1673" w:type="pct"/>
            <w:noWrap/>
            <w:vAlign w:val="center"/>
          </w:tcPr>
          <w:p w14:paraId="3E06BC7B">
            <w:pPr>
              <w:jc w:val="center"/>
              <w:rPr>
                <w:rFonts w:ascii="宋体" w:hAnsi="宋体" w:eastAsia="宋体" w:cs="宋体"/>
                <w:kern w:val="0"/>
                <w:sz w:val="24"/>
                <w:szCs w:val="24"/>
              </w:rPr>
            </w:pPr>
          </w:p>
        </w:tc>
        <w:tc>
          <w:tcPr>
            <w:tcW w:w="1486" w:type="pct"/>
            <w:noWrap/>
            <w:vAlign w:val="center"/>
          </w:tcPr>
          <w:p w14:paraId="30DCAB9B">
            <w:pPr>
              <w:jc w:val="center"/>
              <w:rPr>
                <w:rFonts w:ascii="宋体" w:hAnsi="宋体" w:eastAsia="宋体" w:cs="宋体"/>
                <w:kern w:val="0"/>
                <w:sz w:val="24"/>
                <w:szCs w:val="24"/>
              </w:rPr>
            </w:pPr>
          </w:p>
        </w:tc>
        <w:tc>
          <w:tcPr>
            <w:tcW w:w="1297" w:type="pct"/>
            <w:noWrap/>
            <w:vAlign w:val="center"/>
          </w:tcPr>
          <w:p w14:paraId="39B93F8B">
            <w:pPr>
              <w:jc w:val="center"/>
              <w:rPr>
                <w:rFonts w:ascii="宋体" w:hAnsi="宋体" w:eastAsia="宋体" w:cs="宋体"/>
                <w:kern w:val="0"/>
                <w:sz w:val="24"/>
                <w:szCs w:val="24"/>
              </w:rPr>
            </w:pPr>
          </w:p>
        </w:tc>
      </w:tr>
    </w:tbl>
    <w:p w14:paraId="6D7F9687">
      <w:pPr>
        <w:spacing w:line="360" w:lineRule="auto"/>
        <w:rPr>
          <w:rFonts w:ascii="宋体" w:hAnsi="宋体" w:eastAsia="宋体" w:cs="宋体"/>
          <w:sz w:val="24"/>
          <w:szCs w:val="20"/>
        </w:rPr>
      </w:pPr>
      <w:r>
        <w:rPr>
          <w:rFonts w:hint="eastAsia" w:ascii="宋体" w:hAnsi="宋体" w:eastAsia="宋体" w:cs="宋体"/>
          <w:sz w:val="24"/>
          <w:szCs w:val="20"/>
        </w:rPr>
        <w:t xml:space="preserve">说明： </w:t>
      </w:r>
    </w:p>
    <w:p w14:paraId="5EBCD67E">
      <w:pPr>
        <w:spacing w:line="360" w:lineRule="auto"/>
        <w:rPr>
          <w:rFonts w:ascii="宋体" w:hAnsi="宋体" w:eastAsia="宋体" w:cs="宋体"/>
          <w:sz w:val="24"/>
          <w:szCs w:val="20"/>
        </w:rPr>
      </w:pPr>
      <w:r>
        <w:rPr>
          <w:rFonts w:hint="eastAsia" w:ascii="宋体" w:hAnsi="宋体" w:eastAsia="宋体" w:cs="宋体"/>
          <w:sz w:val="24"/>
          <w:szCs w:val="20"/>
        </w:rPr>
        <w:t>1.投标人必须对应招标文件</w:t>
      </w:r>
      <w:r>
        <w:rPr>
          <w:rFonts w:hint="eastAsia" w:ascii="宋体" w:hAnsi="宋体" w:eastAsia="宋体" w:cs="宋体"/>
          <w:sz w:val="24"/>
          <w:szCs w:val="24"/>
        </w:rPr>
        <w:t>商务</w:t>
      </w:r>
      <w:r>
        <w:rPr>
          <w:rFonts w:hint="eastAsia" w:ascii="宋体" w:hAnsi="宋体" w:eastAsia="宋体" w:cs="宋体"/>
          <w:sz w:val="24"/>
          <w:szCs w:val="20"/>
        </w:rPr>
        <w:t xml:space="preserve">条款逐条应答并按要求填写。 </w:t>
      </w:r>
    </w:p>
    <w:p w14:paraId="3FB38F21">
      <w:pPr>
        <w:spacing w:line="360" w:lineRule="auto"/>
        <w:rPr>
          <w:rFonts w:ascii="宋体" w:hAnsi="宋体" w:eastAsia="宋体" w:cs="宋体"/>
          <w:sz w:val="24"/>
          <w:szCs w:val="20"/>
        </w:rPr>
      </w:pPr>
      <w:r>
        <w:rPr>
          <w:rFonts w:hint="eastAsia" w:ascii="宋体" w:hAnsi="宋体" w:eastAsia="宋体" w:cs="宋体"/>
          <w:sz w:val="24"/>
          <w:szCs w:val="20"/>
        </w:rPr>
        <w:t xml:space="preserve">2.投标人响应描述：投标人按响应实际数据填写。 </w:t>
      </w:r>
    </w:p>
    <w:p w14:paraId="02F8E1D5">
      <w:pPr>
        <w:spacing w:line="360" w:lineRule="auto"/>
        <w:rPr>
          <w:rFonts w:ascii="宋体" w:hAnsi="宋体" w:eastAsia="宋体" w:cs="宋体"/>
          <w:sz w:val="24"/>
          <w:szCs w:val="20"/>
        </w:rPr>
      </w:pPr>
      <w:r>
        <w:rPr>
          <w:rFonts w:hint="eastAsia" w:ascii="宋体" w:hAnsi="宋体" w:eastAsia="宋体" w:cs="宋体"/>
          <w:sz w:val="24"/>
          <w:szCs w:val="20"/>
        </w:rPr>
        <w:t>3.投标人应按招标文件</w:t>
      </w:r>
      <w:r>
        <w:rPr>
          <w:rFonts w:hint="eastAsia" w:ascii="宋体" w:hAnsi="宋体" w:eastAsia="宋体" w:cs="宋体"/>
          <w:sz w:val="24"/>
          <w:szCs w:val="24"/>
        </w:rPr>
        <w:t>商务</w:t>
      </w:r>
      <w:r>
        <w:rPr>
          <w:rFonts w:hint="eastAsia" w:ascii="宋体" w:hAnsi="宋体" w:eastAsia="宋体" w:cs="宋体"/>
          <w:sz w:val="24"/>
          <w:szCs w:val="20"/>
        </w:rPr>
        <w:t xml:space="preserve">要求填写，如有任何一项不响应或不满足的视为负偏离。 </w:t>
      </w:r>
    </w:p>
    <w:p w14:paraId="547C2EE1">
      <w:pPr>
        <w:spacing w:line="360" w:lineRule="auto"/>
        <w:rPr>
          <w:rFonts w:ascii="宋体" w:hAnsi="宋体" w:eastAsia="宋体" w:cs="宋体"/>
          <w:sz w:val="24"/>
          <w:szCs w:val="20"/>
        </w:rPr>
      </w:pPr>
      <w:r>
        <w:rPr>
          <w:rFonts w:hint="eastAsia" w:ascii="宋体" w:hAnsi="宋体" w:eastAsia="宋体" w:cs="宋体"/>
          <w:sz w:val="24"/>
          <w:szCs w:val="20"/>
        </w:rPr>
        <w:t>4.偏离情况说明：投标人根据投标人实际情况填写“正偏离”“完全响应”或“负偏离”。</w:t>
      </w:r>
    </w:p>
    <w:p w14:paraId="489BCE59">
      <w:pPr>
        <w:spacing w:line="360" w:lineRule="auto"/>
        <w:rPr>
          <w:rFonts w:ascii="宋体" w:hAnsi="宋体" w:eastAsia="宋体" w:cs="宋体"/>
          <w:sz w:val="24"/>
          <w:szCs w:val="20"/>
        </w:rPr>
      </w:pPr>
    </w:p>
    <w:p w14:paraId="430A892D">
      <w:pPr>
        <w:spacing w:line="360" w:lineRule="auto"/>
        <w:rPr>
          <w:rFonts w:ascii="宋体" w:hAnsi="宋体" w:eastAsia="宋体" w:cs="宋体"/>
          <w:sz w:val="24"/>
          <w:szCs w:val="20"/>
        </w:rPr>
      </w:pPr>
    </w:p>
    <w:p w14:paraId="5E51F3D6">
      <w:pPr>
        <w:spacing w:line="360" w:lineRule="auto"/>
        <w:rPr>
          <w:rFonts w:ascii="宋体" w:hAnsi="宋体" w:eastAsia="宋体" w:cs="宋体"/>
          <w:sz w:val="24"/>
          <w:szCs w:val="20"/>
        </w:rPr>
      </w:pPr>
    </w:p>
    <w:p w14:paraId="24230930">
      <w:pPr>
        <w:spacing w:line="360" w:lineRule="auto"/>
        <w:rPr>
          <w:rFonts w:ascii="宋体" w:hAnsi="宋体" w:eastAsia="宋体" w:cs="宋体"/>
          <w:sz w:val="24"/>
          <w:szCs w:val="20"/>
        </w:rPr>
      </w:pPr>
    </w:p>
    <w:p w14:paraId="61A2DCB5">
      <w:pPr>
        <w:spacing w:line="360" w:lineRule="auto"/>
        <w:rPr>
          <w:rFonts w:ascii="宋体" w:hAnsi="宋体" w:eastAsia="宋体" w:cs="宋体"/>
          <w:sz w:val="24"/>
          <w:szCs w:val="20"/>
        </w:rPr>
      </w:pPr>
    </w:p>
    <w:p w14:paraId="7247FF27">
      <w:pPr>
        <w:spacing w:line="360" w:lineRule="auto"/>
        <w:rPr>
          <w:rFonts w:ascii="宋体" w:hAnsi="宋体" w:eastAsia="宋体" w:cs="宋体"/>
          <w:sz w:val="24"/>
          <w:szCs w:val="20"/>
        </w:rPr>
      </w:pPr>
    </w:p>
    <w:p w14:paraId="30CA1B67">
      <w:pPr>
        <w:spacing w:line="360" w:lineRule="auto"/>
        <w:rPr>
          <w:rFonts w:ascii="宋体" w:hAnsi="宋体" w:eastAsia="宋体" w:cs="宋体"/>
          <w:sz w:val="24"/>
          <w:szCs w:val="20"/>
        </w:rPr>
      </w:pPr>
    </w:p>
    <w:p w14:paraId="547F6999">
      <w:pPr>
        <w:spacing w:line="360" w:lineRule="auto"/>
        <w:rPr>
          <w:rFonts w:ascii="宋体" w:hAnsi="宋体" w:eastAsia="宋体" w:cs="宋体"/>
          <w:sz w:val="24"/>
          <w:szCs w:val="20"/>
        </w:rPr>
      </w:pPr>
    </w:p>
    <w:p w14:paraId="7A069FA8">
      <w:pPr>
        <w:spacing w:line="360" w:lineRule="auto"/>
        <w:rPr>
          <w:rFonts w:ascii="宋体" w:hAnsi="宋体" w:eastAsia="宋体" w:cs="宋体"/>
          <w:sz w:val="24"/>
          <w:szCs w:val="20"/>
          <w:u w:val="single"/>
        </w:rPr>
      </w:pPr>
      <w:r>
        <w:rPr>
          <w:rFonts w:hint="eastAsia" w:ascii="宋体" w:hAnsi="宋体" w:eastAsia="宋体" w:cs="宋体"/>
          <w:sz w:val="24"/>
          <w:szCs w:val="20"/>
        </w:rPr>
        <w:t>投标人名称（盖章）：</w:t>
      </w:r>
      <w:r>
        <w:rPr>
          <w:rFonts w:hint="eastAsia" w:ascii="宋体" w:hAnsi="宋体" w:eastAsia="宋体" w:cs="宋体"/>
          <w:sz w:val="24"/>
          <w:szCs w:val="20"/>
          <w:u w:val="single"/>
        </w:rPr>
        <w:t xml:space="preserve">                    </w:t>
      </w:r>
    </w:p>
    <w:p w14:paraId="36A27C5E">
      <w:pPr>
        <w:spacing w:line="360" w:lineRule="auto"/>
        <w:rPr>
          <w:rFonts w:ascii="宋体" w:hAnsi="宋体" w:eastAsia="宋体" w:cs="宋体"/>
          <w:sz w:val="24"/>
          <w:szCs w:val="20"/>
        </w:rPr>
      </w:pPr>
      <w:r>
        <w:rPr>
          <w:rFonts w:hint="eastAsia" w:ascii="宋体" w:hAnsi="宋体" w:eastAsia="宋体" w:cs="宋体"/>
          <w:sz w:val="24"/>
          <w:szCs w:val="20"/>
        </w:rPr>
        <w:t>法定代表人（单位负责人）</w:t>
      </w:r>
    </w:p>
    <w:p w14:paraId="39D7BC41">
      <w:pPr>
        <w:spacing w:line="360" w:lineRule="auto"/>
        <w:rPr>
          <w:rFonts w:ascii="宋体" w:hAnsi="宋体" w:eastAsia="宋体" w:cs="宋体"/>
          <w:sz w:val="24"/>
          <w:szCs w:val="20"/>
          <w:u w:val="single"/>
        </w:rPr>
      </w:pPr>
      <w:r>
        <w:rPr>
          <w:rFonts w:hint="eastAsia" w:ascii="宋体" w:hAnsi="宋体" w:eastAsia="宋体" w:cs="宋体"/>
          <w:sz w:val="24"/>
          <w:szCs w:val="20"/>
        </w:rPr>
        <w:t>或授权代表（签字或盖章）：</w:t>
      </w:r>
      <w:r>
        <w:rPr>
          <w:rFonts w:hint="eastAsia" w:ascii="宋体" w:hAnsi="宋体" w:eastAsia="宋体" w:cs="宋体"/>
          <w:sz w:val="24"/>
          <w:szCs w:val="20"/>
          <w:u w:val="single"/>
        </w:rPr>
        <w:t xml:space="preserve">             </w:t>
      </w:r>
    </w:p>
    <w:p w14:paraId="3E3D6AC0">
      <w:pPr>
        <w:spacing w:line="360" w:lineRule="auto"/>
        <w:rPr>
          <w:rFonts w:ascii="宋体" w:hAnsi="宋体" w:eastAsia="宋体" w:cs="宋体"/>
          <w:sz w:val="24"/>
          <w:szCs w:val="20"/>
          <w:u w:val="single"/>
        </w:rPr>
      </w:pPr>
      <w:r>
        <w:rPr>
          <w:rFonts w:hint="eastAsia" w:ascii="宋体" w:hAnsi="宋体" w:eastAsia="宋体" w:cs="宋体"/>
          <w:sz w:val="24"/>
          <w:szCs w:val="20"/>
        </w:rPr>
        <w:t>日期:</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6B3226E5">
      <w:pPr>
        <w:pStyle w:val="4"/>
        <w:rPr>
          <w:rFonts w:ascii="Times New Roman" w:hAnsi="Times New Roman" w:cs="Times New Roman"/>
          <w:sz w:val="24"/>
          <w:szCs w:val="20"/>
        </w:rPr>
      </w:pPr>
      <w:r>
        <w:rPr>
          <w:rFonts w:hint="eastAsia"/>
        </w:rPr>
        <w:br w:type="page"/>
      </w:r>
      <w:r>
        <w:rPr>
          <w:rFonts w:hint="eastAsia"/>
        </w:rPr>
        <w:t>（六）项目负责人、管理及技术人员一览表</w:t>
      </w:r>
    </w:p>
    <w:p w14:paraId="14F6DD60">
      <w:pPr>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（如果有，提供）</w:t>
      </w:r>
    </w:p>
    <w:p w14:paraId="626C9B7A">
      <w:pPr>
        <w:spacing w:line="360" w:lineRule="auto"/>
        <w:rPr>
          <w:rFonts w:ascii="宋体" w:hAnsi="宋体" w:eastAsia="宋体" w:cs="宋体"/>
          <w:sz w:val="24"/>
          <w:szCs w:val="20"/>
        </w:rPr>
      </w:pPr>
      <w:r>
        <w:rPr>
          <w:rFonts w:hint="eastAsia" w:ascii="宋体" w:hAnsi="宋体" w:eastAsia="宋体" w:cs="宋体"/>
          <w:sz w:val="24"/>
          <w:szCs w:val="20"/>
        </w:rPr>
        <w:t xml:space="preserve">项目名称：                             </w:t>
      </w:r>
    </w:p>
    <w:p w14:paraId="5822F8B4">
      <w:pPr>
        <w:spacing w:line="360" w:lineRule="auto"/>
        <w:rPr>
          <w:rFonts w:ascii="宋体" w:hAnsi="宋体" w:eastAsia="宋体" w:cs="宋体"/>
          <w:sz w:val="24"/>
          <w:szCs w:val="20"/>
        </w:rPr>
      </w:pPr>
      <w:r>
        <w:rPr>
          <w:rFonts w:hint="eastAsia" w:ascii="宋体" w:hAnsi="宋体" w:eastAsia="宋体" w:cs="宋体"/>
          <w:sz w:val="24"/>
          <w:szCs w:val="20"/>
        </w:rPr>
        <w:t>项目编号：</w:t>
      </w:r>
    </w:p>
    <w:tbl>
      <w:tblPr>
        <w:tblStyle w:val="22"/>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0"/>
        <w:gridCol w:w="551"/>
        <w:gridCol w:w="719"/>
        <w:gridCol w:w="719"/>
        <w:gridCol w:w="719"/>
        <w:gridCol w:w="719"/>
        <w:gridCol w:w="719"/>
        <w:gridCol w:w="970"/>
        <w:gridCol w:w="2170"/>
        <w:gridCol w:w="2050"/>
      </w:tblGrid>
      <w:tr w14:paraId="4170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6A558101">
            <w:pPr>
              <w:jc w:val="center"/>
              <w:rPr>
                <w:rFonts w:ascii="宋体" w:hAnsi="宋体" w:eastAsia="宋体" w:cs="宋体"/>
                <w:kern w:val="0"/>
                <w:sz w:val="24"/>
                <w:szCs w:val="20"/>
              </w:rPr>
            </w:pPr>
            <w:r>
              <w:rPr>
                <w:rFonts w:hint="eastAsia" w:ascii="宋体" w:hAnsi="宋体" w:eastAsia="宋体" w:cs="宋体"/>
                <w:kern w:val="0"/>
                <w:sz w:val="24"/>
                <w:szCs w:val="20"/>
              </w:rPr>
              <w:t>序号</w:t>
            </w:r>
          </w:p>
        </w:tc>
        <w:tc>
          <w:tcPr>
            <w:tcW w:w="482" w:type="pct"/>
            <w:noWrap/>
            <w:vAlign w:val="center"/>
          </w:tcPr>
          <w:p w14:paraId="4ED16AE5">
            <w:pPr>
              <w:jc w:val="center"/>
              <w:rPr>
                <w:rFonts w:ascii="宋体" w:hAnsi="宋体" w:eastAsia="宋体" w:cs="宋体"/>
                <w:kern w:val="0"/>
                <w:sz w:val="24"/>
                <w:szCs w:val="20"/>
              </w:rPr>
            </w:pPr>
            <w:r>
              <w:rPr>
                <w:rFonts w:hint="eastAsia" w:ascii="宋体" w:hAnsi="宋体" w:eastAsia="宋体" w:cs="宋体"/>
                <w:kern w:val="0"/>
                <w:sz w:val="24"/>
                <w:szCs w:val="20"/>
                <w:lang w:val="zh-CN"/>
              </w:rPr>
              <w:t>姓名</w:t>
            </w:r>
          </w:p>
        </w:tc>
        <w:tc>
          <w:tcPr>
            <w:tcW w:w="482" w:type="pct"/>
            <w:noWrap/>
            <w:vAlign w:val="center"/>
          </w:tcPr>
          <w:p w14:paraId="4AFE5CD7">
            <w:pPr>
              <w:autoSpaceDE w:val="0"/>
              <w:autoSpaceDN w:val="0"/>
              <w:adjustRightInd w:val="0"/>
              <w:jc w:val="center"/>
              <w:rPr>
                <w:rFonts w:ascii="宋体" w:hAnsi="宋体" w:eastAsia="宋体" w:cs="宋体"/>
                <w:kern w:val="0"/>
                <w:sz w:val="24"/>
                <w:szCs w:val="20"/>
              </w:rPr>
            </w:pPr>
            <w:r>
              <w:rPr>
                <w:rFonts w:hint="eastAsia" w:ascii="宋体" w:hAnsi="宋体" w:eastAsia="宋体" w:cs="宋体"/>
                <w:kern w:val="0"/>
                <w:sz w:val="24"/>
                <w:szCs w:val="20"/>
                <w:lang w:val="zh-CN"/>
              </w:rPr>
              <w:t>性别</w:t>
            </w:r>
          </w:p>
        </w:tc>
        <w:tc>
          <w:tcPr>
            <w:tcW w:w="482" w:type="pct"/>
            <w:noWrap/>
            <w:vAlign w:val="center"/>
          </w:tcPr>
          <w:p w14:paraId="41342FDE">
            <w:pPr>
              <w:autoSpaceDE w:val="0"/>
              <w:autoSpaceDN w:val="0"/>
              <w:adjustRightInd w:val="0"/>
              <w:jc w:val="center"/>
              <w:rPr>
                <w:rFonts w:ascii="宋体" w:hAnsi="宋体" w:eastAsia="宋体" w:cs="宋体"/>
                <w:kern w:val="0"/>
                <w:sz w:val="24"/>
                <w:szCs w:val="20"/>
              </w:rPr>
            </w:pPr>
            <w:r>
              <w:rPr>
                <w:rFonts w:hint="eastAsia" w:ascii="宋体" w:hAnsi="宋体" w:eastAsia="宋体" w:cs="宋体"/>
                <w:kern w:val="0"/>
                <w:sz w:val="24"/>
                <w:szCs w:val="20"/>
                <w:lang w:val="zh-CN"/>
              </w:rPr>
              <w:t>年龄</w:t>
            </w:r>
          </w:p>
        </w:tc>
        <w:tc>
          <w:tcPr>
            <w:tcW w:w="482" w:type="pct"/>
            <w:noWrap/>
            <w:vAlign w:val="center"/>
          </w:tcPr>
          <w:p w14:paraId="40BD9DF5">
            <w:pPr>
              <w:autoSpaceDE w:val="0"/>
              <w:autoSpaceDN w:val="0"/>
              <w:adjustRightInd w:val="0"/>
              <w:jc w:val="center"/>
              <w:rPr>
                <w:rFonts w:ascii="宋体" w:hAnsi="宋体" w:eastAsia="宋体" w:cs="宋体"/>
                <w:kern w:val="0"/>
                <w:sz w:val="24"/>
                <w:szCs w:val="20"/>
              </w:rPr>
            </w:pPr>
            <w:r>
              <w:rPr>
                <w:rFonts w:hint="eastAsia" w:ascii="宋体" w:hAnsi="宋体" w:eastAsia="宋体" w:cs="宋体"/>
                <w:kern w:val="0"/>
                <w:sz w:val="24"/>
                <w:szCs w:val="20"/>
                <w:lang w:val="zh-CN"/>
              </w:rPr>
              <w:t>学历</w:t>
            </w:r>
          </w:p>
        </w:tc>
        <w:tc>
          <w:tcPr>
            <w:tcW w:w="482" w:type="pct"/>
            <w:noWrap/>
            <w:vAlign w:val="center"/>
          </w:tcPr>
          <w:p w14:paraId="7CD18446">
            <w:pPr>
              <w:jc w:val="center"/>
              <w:rPr>
                <w:rFonts w:ascii="宋体" w:hAnsi="宋体" w:eastAsia="宋体" w:cs="宋体"/>
                <w:kern w:val="0"/>
                <w:sz w:val="24"/>
                <w:szCs w:val="20"/>
              </w:rPr>
            </w:pPr>
            <w:r>
              <w:rPr>
                <w:rFonts w:hint="eastAsia" w:ascii="宋体" w:hAnsi="宋体" w:eastAsia="宋体" w:cs="宋体"/>
                <w:kern w:val="0"/>
                <w:sz w:val="24"/>
                <w:szCs w:val="20"/>
              </w:rPr>
              <w:t>职称</w:t>
            </w:r>
          </w:p>
        </w:tc>
        <w:tc>
          <w:tcPr>
            <w:tcW w:w="482" w:type="pct"/>
            <w:noWrap/>
            <w:vAlign w:val="center"/>
          </w:tcPr>
          <w:p w14:paraId="4B5CFD81">
            <w:pPr>
              <w:jc w:val="center"/>
              <w:rPr>
                <w:rFonts w:ascii="宋体" w:hAnsi="宋体" w:eastAsia="宋体" w:cs="宋体"/>
                <w:kern w:val="0"/>
                <w:sz w:val="24"/>
                <w:szCs w:val="20"/>
              </w:rPr>
            </w:pPr>
            <w:r>
              <w:rPr>
                <w:rFonts w:hint="eastAsia" w:ascii="宋体" w:hAnsi="宋体" w:eastAsia="宋体" w:cs="宋体"/>
                <w:kern w:val="0"/>
                <w:sz w:val="24"/>
                <w:szCs w:val="20"/>
              </w:rPr>
              <w:t>专业</w:t>
            </w:r>
          </w:p>
        </w:tc>
        <w:tc>
          <w:tcPr>
            <w:tcW w:w="486" w:type="pct"/>
            <w:noWrap/>
            <w:vAlign w:val="center"/>
          </w:tcPr>
          <w:p w14:paraId="6F8C95B9">
            <w:pPr>
              <w:jc w:val="center"/>
              <w:rPr>
                <w:rFonts w:ascii="宋体" w:hAnsi="宋体" w:eastAsia="宋体" w:cs="宋体"/>
                <w:kern w:val="0"/>
                <w:sz w:val="24"/>
                <w:szCs w:val="20"/>
              </w:rPr>
            </w:pPr>
            <w:r>
              <w:rPr>
                <w:rFonts w:hint="eastAsia" w:ascii="宋体" w:hAnsi="宋体" w:eastAsia="宋体" w:cs="宋体"/>
                <w:kern w:val="0"/>
                <w:sz w:val="24"/>
                <w:szCs w:val="20"/>
              </w:rPr>
              <w:t>经验年限</w:t>
            </w:r>
          </w:p>
        </w:tc>
        <w:tc>
          <w:tcPr>
            <w:tcW w:w="657" w:type="pct"/>
            <w:noWrap/>
            <w:vAlign w:val="center"/>
          </w:tcPr>
          <w:p w14:paraId="37C33F70">
            <w:pPr>
              <w:jc w:val="center"/>
              <w:rPr>
                <w:rFonts w:ascii="宋体" w:hAnsi="宋体" w:eastAsia="宋体" w:cs="宋体"/>
                <w:kern w:val="0"/>
                <w:sz w:val="24"/>
                <w:szCs w:val="20"/>
              </w:rPr>
            </w:pPr>
            <w:r>
              <w:rPr>
                <w:rFonts w:hint="eastAsia" w:ascii="宋体" w:hAnsi="宋体" w:eastAsia="宋体" w:cs="宋体"/>
                <w:kern w:val="0"/>
                <w:sz w:val="24"/>
                <w:szCs w:val="20"/>
              </w:rPr>
              <w:t>在本项目中担任职务</w:t>
            </w:r>
          </w:p>
        </w:tc>
        <w:tc>
          <w:tcPr>
            <w:tcW w:w="681" w:type="pct"/>
            <w:noWrap/>
            <w:vAlign w:val="center"/>
          </w:tcPr>
          <w:p w14:paraId="443B4122">
            <w:pPr>
              <w:jc w:val="center"/>
              <w:rPr>
                <w:rFonts w:ascii="宋体" w:hAnsi="宋体" w:eastAsia="宋体" w:cs="宋体"/>
                <w:kern w:val="0"/>
                <w:sz w:val="24"/>
                <w:szCs w:val="20"/>
              </w:rPr>
            </w:pPr>
            <w:r>
              <w:rPr>
                <w:rFonts w:hint="eastAsia" w:ascii="宋体" w:hAnsi="宋体" w:eastAsia="宋体" w:cs="宋体"/>
                <w:kern w:val="0"/>
                <w:sz w:val="24"/>
                <w:szCs w:val="20"/>
              </w:rPr>
              <w:t>查阅/证明文件指引</w:t>
            </w:r>
          </w:p>
        </w:tc>
      </w:tr>
      <w:tr w14:paraId="2C65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6B24EE4C">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w:t>
            </w:r>
          </w:p>
        </w:tc>
        <w:tc>
          <w:tcPr>
            <w:tcW w:w="482" w:type="pct"/>
            <w:noWrap/>
            <w:vAlign w:val="center"/>
          </w:tcPr>
          <w:p w14:paraId="3C5CF685">
            <w:pPr>
              <w:spacing w:line="360" w:lineRule="auto"/>
              <w:jc w:val="center"/>
              <w:rPr>
                <w:rFonts w:ascii="宋体" w:hAnsi="宋体" w:eastAsia="宋体" w:cs="宋体"/>
                <w:kern w:val="0"/>
                <w:sz w:val="24"/>
                <w:szCs w:val="20"/>
              </w:rPr>
            </w:pPr>
          </w:p>
        </w:tc>
        <w:tc>
          <w:tcPr>
            <w:tcW w:w="482" w:type="pct"/>
            <w:noWrap/>
            <w:vAlign w:val="center"/>
          </w:tcPr>
          <w:p w14:paraId="609E7CEA">
            <w:pPr>
              <w:spacing w:line="360" w:lineRule="auto"/>
              <w:jc w:val="center"/>
              <w:rPr>
                <w:rFonts w:ascii="宋体" w:hAnsi="宋体" w:eastAsia="宋体" w:cs="宋体"/>
                <w:kern w:val="0"/>
                <w:sz w:val="24"/>
                <w:szCs w:val="20"/>
              </w:rPr>
            </w:pPr>
          </w:p>
        </w:tc>
        <w:tc>
          <w:tcPr>
            <w:tcW w:w="482" w:type="pct"/>
            <w:noWrap/>
            <w:vAlign w:val="center"/>
          </w:tcPr>
          <w:p w14:paraId="413E6BE6">
            <w:pPr>
              <w:spacing w:line="360" w:lineRule="auto"/>
              <w:jc w:val="center"/>
              <w:rPr>
                <w:rFonts w:ascii="宋体" w:hAnsi="宋体" w:eastAsia="宋体" w:cs="宋体"/>
                <w:kern w:val="0"/>
                <w:sz w:val="24"/>
                <w:szCs w:val="20"/>
              </w:rPr>
            </w:pPr>
          </w:p>
        </w:tc>
        <w:tc>
          <w:tcPr>
            <w:tcW w:w="482" w:type="pct"/>
            <w:noWrap/>
            <w:vAlign w:val="center"/>
          </w:tcPr>
          <w:p w14:paraId="6C3C9B4E">
            <w:pPr>
              <w:spacing w:line="360" w:lineRule="auto"/>
              <w:jc w:val="center"/>
              <w:rPr>
                <w:rFonts w:ascii="宋体" w:hAnsi="宋体" w:eastAsia="宋体" w:cs="宋体"/>
                <w:kern w:val="0"/>
                <w:sz w:val="24"/>
                <w:szCs w:val="20"/>
              </w:rPr>
            </w:pPr>
          </w:p>
        </w:tc>
        <w:tc>
          <w:tcPr>
            <w:tcW w:w="482" w:type="pct"/>
            <w:noWrap/>
            <w:vAlign w:val="center"/>
          </w:tcPr>
          <w:p w14:paraId="202CFB6B">
            <w:pPr>
              <w:spacing w:line="360" w:lineRule="auto"/>
              <w:jc w:val="center"/>
              <w:rPr>
                <w:rFonts w:ascii="宋体" w:hAnsi="宋体" w:eastAsia="宋体" w:cs="宋体"/>
                <w:kern w:val="0"/>
                <w:sz w:val="24"/>
                <w:szCs w:val="20"/>
              </w:rPr>
            </w:pPr>
          </w:p>
        </w:tc>
        <w:tc>
          <w:tcPr>
            <w:tcW w:w="482" w:type="pct"/>
            <w:noWrap/>
            <w:vAlign w:val="center"/>
          </w:tcPr>
          <w:p w14:paraId="665C6947">
            <w:pPr>
              <w:spacing w:line="360" w:lineRule="auto"/>
              <w:jc w:val="center"/>
              <w:rPr>
                <w:rFonts w:ascii="宋体" w:hAnsi="宋体" w:eastAsia="宋体" w:cs="宋体"/>
                <w:kern w:val="0"/>
                <w:sz w:val="24"/>
                <w:szCs w:val="20"/>
              </w:rPr>
            </w:pPr>
          </w:p>
        </w:tc>
        <w:tc>
          <w:tcPr>
            <w:tcW w:w="486" w:type="pct"/>
            <w:noWrap/>
            <w:vAlign w:val="center"/>
          </w:tcPr>
          <w:p w14:paraId="41EEC4D6">
            <w:pPr>
              <w:spacing w:line="360" w:lineRule="auto"/>
              <w:jc w:val="center"/>
              <w:rPr>
                <w:rFonts w:ascii="宋体" w:hAnsi="宋体" w:eastAsia="宋体" w:cs="宋体"/>
                <w:kern w:val="0"/>
                <w:sz w:val="24"/>
                <w:szCs w:val="20"/>
              </w:rPr>
            </w:pPr>
          </w:p>
        </w:tc>
        <w:tc>
          <w:tcPr>
            <w:tcW w:w="657" w:type="pct"/>
            <w:noWrap/>
            <w:vAlign w:val="center"/>
          </w:tcPr>
          <w:p w14:paraId="2FC0D2CF">
            <w:pPr>
              <w:spacing w:line="360" w:lineRule="auto"/>
              <w:jc w:val="center"/>
              <w:rPr>
                <w:rFonts w:ascii="宋体" w:hAnsi="宋体" w:eastAsia="宋体" w:cs="宋体"/>
                <w:kern w:val="0"/>
                <w:sz w:val="24"/>
                <w:szCs w:val="20"/>
              </w:rPr>
            </w:pPr>
          </w:p>
        </w:tc>
        <w:tc>
          <w:tcPr>
            <w:tcW w:w="681" w:type="pct"/>
            <w:noWrap/>
            <w:vAlign w:val="center"/>
          </w:tcPr>
          <w:p w14:paraId="4CB426EF">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第页</w:t>
            </w:r>
          </w:p>
        </w:tc>
      </w:tr>
      <w:tr w14:paraId="0EAC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0C516D34">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2</w:t>
            </w:r>
          </w:p>
        </w:tc>
        <w:tc>
          <w:tcPr>
            <w:tcW w:w="482" w:type="pct"/>
            <w:noWrap/>
            <w:vAlign w:val="center"/>
          </w:tcPr>
          <w:p w14:paraId="35FC9595">
            <w:pPr>
              <w:spacing w:line="360" w:lineRule="auto"/>
              <w:jc w:val="center"/>
              <w:rPr>
                <w:rFonts w:ascii="宋体" w:hAnsi="宋体" w:eastAsia="宋体" w:cs="宋体"/>
                <w:kern w:val="0"/>
                <w:sz w:val="24"/>
                <w:szCs w:val="20"/>
              </w:rPr>
            </w:pPr>
          </w:p>
        </w:tc>
        <w:tc>
          <w:tcPr>
            <w:tcW w:w="482" w:type="pct"/>
            <w:noWrap/>
            <w:vAlign w:val="center"/>
          </w:tcPr>
          <w:p w14:paraId="3496A6D9">
            <w:pPr>
              <w:spacing w:line="360" w:lineRule="auto"/>
              <w:jc w:val="center"/>
              <w:rPr>
                <w:rFonts w:ascii="宋体" w:hAnsi="宋体" w:eastAsia="宋体" w:cs="宋体"/>
                <w:kern w:val="0"/>
                <w:sz w:val="24"/>
                <w:szCs w:val="20"/>
              </w:rPr>
            </w:pPr>
          </w:p>
        </w:tc>
        <w:tc>
          <w:tcPr>
            <w:tcW w:w="482" w:type="pct"/>
            <w:noWrap/>
            <w:vAlign w:val="center"/>
          </w:tcPr>
          <w:p w14:paraId="2D939179">
            <w:pPr>
              <w:spacing w:line="360" w:lineRule="auto"/>
              <w:jc w:val="center"/>
              <w:rPr>
                <w:rFonts w:ascii="宋体" w:hAnsi="宋体" w:eastAsia="宋体" w:cs="宋体"/>
                <w:kern w:val="0"/>
                <w:sz w:val="24"/>
                <w:szCs w:val="20"/>
              </w:rPr>
            </w:pPr>
          </w:p>
        </w:tc>
        <w:tc>
          <w:tcPr>
            <w:tcW w:w="482" w:type="pct"/>
            <w:noWrap/>
            <w:vAlign w:val="center"/>
          </w:tcPr>
          <w:p w14:paraId="2EA7407D">
            <w:pPr>
              <w:spacing w:line="360" w:lineRule="auto"/>
              <w:jc w:val="center"/>
              <w:rPr>
                <w:rFonts w:ascii="宋体" w:hAnsi="宋体" w:eastAsia="宋体" w:cs="宋体"/>
                <w:kern w:val="0"/>
                <w:sz w:val="24"/>
                <w:szCs w:val="20"/>
              </w:rPr>
            </w:pPr>
          </w:p>
        </w:tc>
        <w:tc>
          <w:tcPr>
            <w:tcW w:w="482" w:type="pct"/>
            <w:noWrap/>
            <w:vAlign w:val="center"/>
          </w:tcPr>
          <w:p w14:paraId="36D91F28">
            <w:pPr>
              <w:spacing w:line="360" w:lineRule="auto"/>
              <w:jc w:val="center"/>
              <w:rPr>
                <w:rFonts w:ascii="宋体" w:hAnsi="宋体" w:eastAsia="宋体" w:cs="宋体"/>
                <w:kern w:val="0"/>
                <w:sz w:val="24"/>
                <w:szCs w:val="20"/>
              </w:rPr>
            </w:pPr>
          </w:p>
        </w:tc>
        <w:tc>
          <w:tcPr>
            <w:tcW w:w="482" w:type="pct"/>
            <w:noWrap/>
            <w:vAlign w:val="center"/>
          </w:tcPr>
          <w:p w14:paraId="663BE085">
            <w:pPr>
              <w:spacing w:line="360" w:lineRule="auto"/>
              <w:jc w:val="center"/>
              <w:rPr>
                <w:rFonts w:ascii="宋体" w:hAnsi="宋体" w:eastAsia="宋体" w:cs="宋体"/>
                <w:kern w:val="0"/>
                <w:sz w:val="24"/>
                <w:szCs w:val="20"/>
              </w:rPr>
            </w:pPr>
          </w:p>
        </w:tc>
        <w:tc>
          <w:tcPr>
            <w:tcW w:w="486" w:type="pct"/>
            <w:noWrap/>
            <w:vAlign w:val="center"/>
          </w:tcPr>
          <w:p w14:paraId="06B8EF9D">
            <w:pPr>
              <w:spacing w:line="360" w:lineRule="auto"/>
              <w:jc w:val="center"/>
              <w:rPr>
                <w:rFonts w:ascii="宋体" w:hAnsi="宋体" w:eastAsia="宋体" w:cs="宋体"/>
                <w:kern w:val="0"/>
                <w:sz w:val="24"/>
                <w:szCs w:val="20"/>
              </w:rPr>
            </w:pPr>
          </w:p>
        </w:tc>
        <w:tc>
          <w:tcPr>
            <w:tcW w:w="657" w:type="pct"/>
            <w:noWrap/>
            <w:vAlign w:val="center"/>
          </w:tcPr>
          <w:p w14:paraId="62A965E8">
            <w:pPr>
              <w:spacing w:line="360" w:lineRule="auto"/>
              <w:jc w:val="center"/>
              <w:rPr>
                <w:rFonts w:ascii="宋体" w:hAnsi="宋体" w:eastAsia="宋体" w:cs="宋体"/>
                <w:kern w:val="0"/>
                <w:sz w:val="24"/>
                <w:szCs w:val="20"/>
              </w:rPr>
            </w:pPr>
          </w:p>
        </w:tc>
        <w:tc>
          <w:tcPr>
            <w:tcW w:w="1339" w:type="dxa"/>
            <w:noWrap/>
            <w:vAlign w:val="center"/>
          </w:tcPr>
          <w:p w14:paraId="2B8D644A">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第页</w:t>
            </w:r>
          </w:p>
        </w:tc>
      </w:tr>
      <w:tr w14:paraId="071B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35FE29AA">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3</w:t>
            </w:r>
          </w:p>
        </w:tc>
        <w:tc>
          <w:tcPr>
            <w:tcW w:w="482" w:type="pct"/>
            <w:noWrap/>
            <w:vAlign w:val="center"/>
          </w:tcPr>
          <w:p w14:paraId="1AE2C72E">
            <w:pPr>
              <w:spacing w:line="360" w:lineRule="auto"/>
              <w:jc w:val="center"/>
              <w:rPr>
                <w:rFonts w:ascii="宋体" w:hAnsi="宋体" w:eastAsia="宋体" w:cs="宋体"/>
                <w:kern w:val="0"/>
                <w:sz w:val="24"/>
                <w:szCs w:val="20"/>
              </w:rPr>
            </w:pPr>
          </w:p>
        </w:tc>
        <w:tc>
          <w:tcPr>
            <w:tcW w:w="482" w:type="pct"/>
            <w:noWrap/>
            <w:vAlign w:val="center"/>
          </w:tcPr>
          <w:p w14:paraId="5C24EE62">
            <w:pPr>
              <w:spacing w:line="360" w:lineRule="auto"/>
              <w:jc w:val="center"/>
              <w:rPr>
                <w:rFonts w:ascii="宋体" w:hAnsi="宋体" w:eastAsia="宋体" w:cs="宋体"/>
                <w:kern w:val="0"/>
                <w:sz w:val="24"/>
                <w:szCs w:val="20"/>
              </w:rPr>
            </w:pPr>
          </w:p>
        </w:tc>
        <w:tc>
          <w:tcPr>
            <w:tcW w:w="482" w:type="pct"/>
            <w:noWrap/>
            <w:vAlign w:val="center"/>
          </w:tcPr>
          <w:p w14:paraId="03492D0D">
            <w:pPr>
              <w:spacing w:line="360" w:lineRule="auto"/>
              <w:jc w:val="center"/>
              <w:rPr>
                <w:rFonts w:ascii="宋体" w:hAnsi="宋体" w:eastAsia="宋体" w:cs="宋体"/>
                <w:kern w:val="0"/>
                <w:sz w:val="24"/>
                <w:szCs w:val="20"/>
              </w:rPr>
            </w:pPr>
          </w:p>
        </w:tc>
        <w:tc>
          <w:tcPr>
            <w:tcW w:w="482" w:type="pct"/>
            <w:noWrap/>
            <w:vAlign w:val="center"/>
          </w:tcPr>
          <w:p w14:paraId="7E69CB5D">
            <w:pPr>
              <w:spacing w:line="360" w:lineRule="auto"/>
              <w:jc w:val="center"/>
              <w:rPr>
                <w:rFonts w:ascii="宋体" w:hAnsi="宋体" w:eastAsia="宋体" w:cs="宋体"/>
                <w:kern w:val="0"/>
                <w:sz w:val="24"/>
                <w:szCs w:val="20"/>
              </w:rPr>
            </w:pPr>
          </w:p>
        </w:tc>
        <w:tc>
          <w:tcPr>
            <w:tcW w:w="482" w:type="pct"/>
            <w:noWrap/>
            <w:vAlign w:val="center"/>
          </w:tcPr>
          <w:p w14:paraId="143556A2">
            <w:pPr>
              <w:spacing w:line="360" w:lineRule="auto"/>
              <w:jc w:val="center"/>
              <w:rPr>
                <w:rFonts w:ascii="宋体" w:hAnsi="宋体" w:eastAsia="宋体" w:cs="宋体"/>
                <w:kern w:val="0"/>
                <w:sz w:val="24"/>
                <w:szCs w:val="20"/>
              </w:rPr>
            </w:pPr>
          </w:p>
        </w:tc>
        <w:tc>
          <w:tcPr>
            <w:tcW w:w="482" w:type="pct"/>
            <w:noWrap/>
            <w:vAlign w:val="center"/>
          </w:tcPr>
          <w:p w14:paraId="5C168D55">
            <w:pPr>
              <w:spacing w:line="360" w:lineRule="auto"/>
              <w:jc w:val="center"/>
              <w:rPr>
                <w:rFonts w:ascii="宋体" w:hAnsi="宋体" w:eastAsia="宋体" w:cs="宋体"/>
                <w:kern w:val="0"/>
                <w:sz w:val="24"/>
                <w:szCs w:val="20"/>
              </w:rPr>
            </w:pPr>
          </w:p>
        </w:tc>
        <w:tc>
          <w:tcPr>
            <w:tcW w:w="486" w:type="pct"/>
            <w:noWrap/>
            <w:vAlign w:val="center"/>
          </w:tcPr>
          <w:p w14:paraId="47896103">
            <w:pPr>
              <w:spacing w:line="360" w:lineRule="auto"/>
              <w:jc w:val="center"/>
              <w:rPr>
                <w:rFonts w:ascii="宋体" w:hAnsi="宋体" w:eastAsia="宋体" w:cs="宋体"/>
                <w:kern w:val="0"/>
                <w:sz w:val="24"/>
                <w:szCs w:val="20"/>
              </w:rPr>
            </w:pPr>
          </w:p>
        </w:tc>
        <w:tc>
          <w:tcPr>
            <w:tcW w:w="657" w:type="pct"/>
            <w:noWrap/>
            <w:vAlign w:val="center"/>
          </w:tcPr>
          <w:p w14:paraId="66937554">
            <w:pPr>
              <w:spacing w:line="360" w:lineRule="auto"/>
              <w:jc w:val="center"/>
              <w:rPr>
                <w:rFonts w:ascii="宋体" w:hAnsi="宋体" w:eastAsia="宋体" w:cs="宋体"/>
                <w:kern w:val="0"/>
                <w:sz w:val="24"/>
                <w:szCs w:val="20"/>
              </w:rPr>
            </w:pPr>
          </w:p>
        </w:tc>
        <w:tc>
          <w:tcPr>
            <w:tcW w:w="1339" w:type="dxa"/>
            <w:noWrap/>
            <w:vAlign w:val="center"/>
          </w:tcPr>
          <w:p w14:paraId="1FF5D5AA">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第页</w:t>
            </w:r>
          </w:p>
        </w:tc>
      </w:tr>
      <w:tr w14:paraId="6A36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3BEF8E27">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4</w:t>
            </w:r>
          </w:p>
        </w:tc>
        <w:tc>
          <w:tcPr>
            <w:tcW w:w="482" w:type="pct"/>
            <w:noWrap/>
            <w:vAlign w:val="center"/>
          </w:tcPr>
          <w:p w14:paraId="2166ED44">
            <w:pPr>
              <w:spacing w:line="360" w:lineRule="auto"/>
              <w:jc w:val="center"/>
              <w:rPr>
                <w:rFonts w:ascii="宋体" w:hAnsi="宋体" w:eastAsia="宋体" w:cs="宋体"/>
                <w:kern w:val="0"/>
                <w:sz w:val="24"/>
                <w:szCs w:val="20"/>
              </w:rPr>
            </w:pPr>
          </w:p>
        </w:tc>
        <w:tc>
          <w:tcPr>
            <w:tcW w:w="482" w:type="pct"/>
            <w:noWrap/>
            <w:vAlign w:val="center"/>
          </w:tcPr>
          <w:p w14:paraId="31E8281F">
            <w:pPr>
              <w:spacing w:line="360" w:lineRule="auto"/>
              <w:jc w:val="center"/>
              <w:rPr>
                <w:rFonts w:ascii="宋体" w:hAnsi="宋体" w:eastAsia="宋体" w:cs="宋体"/>
                <w:kern w:val="0"/>
                <w:sz w:val="24"/>
                <w:szCs w:val="20"/>
              </w:rPr>
            </w:pPr>
          </w:p>
        </w:tc>
        <w:tc>
          <w:tcPr>
            <w:tcW w:w="482" w:type="pct"/>
            <w:noWrap/>
            <w:vAlign w:val="center"/>
          </w:tcPr>
          <w:p w14:paraId="731F9589">
            <w:pPr>
              <w:spacing w:line="360" w:lineRule="auto"/>
              <w:jc w:val="center"/>
              <w:rPr>
                <w:rFonts w:ascii="宋体" w:hAnsi="宋体" w:eastAsia="宋体" w:cs="宋体"/>
                <w:kern w:val="0"/>
                <w:sz w:val="24"/>
                <w:szCs w:val="20"/>
              </w:rPr>
            </w:pPr>
          </w:p>
        </w:tc>
        <w:tc>
          <w:tcPr>
            <w:tcW w:w="482" w:type="pct"/>
            <w:noWrap/>
            <w:vAlign w:val="center"/>
          </w:tcPr>
          <w:p w14:paraId="4F778E4B">
            <w:pPr>
              <w:spacing w:line="360" w:lineRule="auto"/>
              <w:jc w:val="center"/>
              <w:rPr>
                <w:rFonts w:ascii="宋体" w:hAnsi="宋体" w:eastAsia="宋体" w:cs="宋体"/>
                <w:kern w:val="0"/>
                <w:sz w:val="24"/>
                <w:szCs w:val="20"/>
              </w:rPr>
            </w:pPr>
          </w:p>
        </w:tc>
        <w:tc>
          <w:tcPr>
            <w:tcW w:w="482" w:type="pct"/>
            <w:noWrap/>
            <w:vAlign w:val="center"/>
          </w:tcPr>
          <w:p w14:paraId="23D0DCC0">
            <w:pPr>
              <w:spacing w:line="360" w:lineRule="auto"/>
              <w:jc w:val="center"/>
              <w:rPr>
                <w:rFonts w:ascii="宋体" w:hAnsi="宋体" w:eastAsia="宋体" w:cs="宋体"/>
                <w:kern w:val="0"/>
                <w:sz w:val="24"/>
                <w:szCs w:val="20"/>
              </w:rPr>
            </w:pPr>
          </w:p>
        </w:tc>
        <w:tc>
          <w:tcPr>
            <w:tcW w:w="482" w:type="pct"/>
            <w:noWrap/>
            <w:vAlign w:val="center"/>
          </w:tcPr>
          <w:p w14:paraId="643F3F2A">
            <w:pPr>
              <w:spacing w:line="360" w:lineRule="auto"/>
              <w:jc w:val="center"/>
              <w:rPr>
                <w:rFonts w:ascii="宋体" w:hAnsi="宋体" w:eastAsia="宋体" w:cs="宋体"/>
                <w:kern w:val="0"/>
                <w:sz w:val="24"/>
                <w:szCs w:val="20"/>
              </w:rPr>
            </w:pPr>
          </w:p>
        </w:tc>
        <w:tc>
          <w:tcPr>
            <w:tcW w:w="486" w:type="pct"/>
            <w:noWrap/>
            <w:vAlign w:val="center"/>
          </w:tcPr>
          <w:p w14:paraId="5ECA7A5C">
            <w:pPr>
              <w:spacing w:line="360" w:lineRule="auto"/>
              <w:jc w:val="center"/>
              <w:rPr>
                <w:rFonts w:ascii="宋体" w:hAnsi="宋体" w:eastAsia="宋体" w:cs="宋体"/>
                <w:kern w:val="0"/>
                <w:sz w:val="24"/>
                <w:szCs w:val="20"/>
              </w:rPr>
            </w:pPr>
          </w:p>
        </w:tc>
        <w:tc>
          <w:tcPr>
            <w:tcW w:w="657" w:type="pct"/>
            <w:noWrap/>
            <w:vAlign w:val="center"/>
          </w:tcPr>
          <w:p w14:paraId="2EDEEE35">
            <w:pPr>
              <w:spacing w:line="360" w:lineRule="auto"/>
              <w:jc w:val="center"/>
              <w:rPr>
                <w:rFonts w:ascii="宋体" w:hAnsi="宋体" w:eastAsia="宋体" w:cs="宋体"/>
                <w:kern w:val="0"/>
                <w:sz w:val="24"/>
                <w:szCs w:val="20"/>
              </w:rPr>
            </w:pPr>
          </w:p>
        </w:tc>
        <w:tc>
          <w:tcPr>
            <w:tcW w:w="1339" w:type="dxa"/>
            <w:noWrap/>
            <w:vAlign w:val="center"/>
          </w:tcPr>
          <w:p w14:paraId="424AAF57">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第页</w:t>
            </w:r>
          </w:p>
        </w:tc>
      </w:tr>
      <w:tr w14:paraId="4F35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42A835AF">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5</w:t>
            </w:r>
          </w:p>
        </w:tc>
        <w:tc>
          <w:tcPr>
            <w:tcW w:w="482" w:type="pct"/>
            <w:noWrap/>
            <w:vAlign w:val="center"/>
          </w:tcPr>
          <w:p w14:paraId="1593827F">
            <w:pPr>
              <w:spacing w:line="360" w:lineRule="auto"/>
              <w:jc w:val="center"/>
              <w:rPr>
                <w:rFonts w:ascii="宋体" w:hAnsi="宋体" w:eastAsia="宋体" w:cs="宋体"/>
                <w:kern w:val="0"/>
                <w:sz w:val="24"/>
                <w:szCs w:val="20"/>
              </w:rPr>
            </w:pPr>
          </w:p>
        </w:tc>
        <w:tc>
          <w:tcPr>
            <w:tcW w:w="482" w:type="pct"/>
            <w:noWrap/>
            <w:vAlign w:val="center"/>
          </w:tcPr>
          <w:p w14:paraId="2D959612">
            <w:pPr>
              <w:spacing w:line="360" w:lineRule="auto"/>
              <w:jc w:val="center"/>
              <w:rPr>
                <w:rFonts w:ascii="宋体" w:hAnsi="宋体" w:eastAsia="宋体" w:cs="宋体"/>
                <w:kern w:val="0"/>
                <w:sz w:val="24"/>
                <w:szCs w:val="20"/>
              </w:rPr>
            </w:pPr>
          </w:p>
        </w:tc>
        <w:tc>
          <w:tcPr>
            <w:tcW w:w="482" w:type="pct"/>
            <w:noWrap/>
            <w:vAlign w:val="center"/>
          </w:tcPr>
          <w:p w14:paraId="59EA9F34">
            <w:pPr>
              <w:spacing w:line="360" w:lineRule="auto"/>
              <w:jc w:val="center"/>
              <w:rPr>
                <w:rFonts w:ascii="宋体" w:hAnsi="宋体" w:eastAsia="宋体" w:cs="宋体"/>
                <w:kern w:val="0"/>
                <w:sz w:val="24"/>
                <w:szCs w:val="20"/>
              </w:rPr>
            </w:pPr>
          </w:p>
        </w:tc>
        <w:tc>
          <w:tcPr>
            <w:tcW w:w="482" w:type="pct"/>
            <w:noWrap/>
            <w:vAlign w:val="center"/>
          </w:tcPr>
          <w:p w14:paraId="4A16BBAF">
            <w:pPr>
              <w:spacing w:line="360" w:lineRule="auto"/>
              <w:jc w:val="center"/>
              <w:rPr>
                <w:rFonts w:ascii="宋体" w:hAnsi="宋体" w:eastAsia="宋体" w:cs="宋体"/>
                <w:kern w:val="0"/>
                <w:sz w:val="24"/>
                <w:szCs w:val="20"/>
              </w:rPr>
            </w:pPr>
          </w:p>
        </w:tc>
        <w:tc>
          <w:tcPr>
            <w:tcW w:w="482" w:type="pct"/>
            <w:noWrap/>
            <w:vAlign w:val="center"/>
          </w:tcPr>
          <w:p w14:paraId="4BA13773">
            <w:pPr>
              <w:spacing w:line="360" w:lineRule="auto"/>
              <w:jc w:val="center"/>
              <w:rPr>
                <w:rFonts w:ascii="宋体" w:hAnsi="宋体" w:eastAsia="宋体" w:cs="宋体"/>
                <w:kern w:val="0"/>
                <w:sz w:val="24"/>
                <w:szCs w:val="20"/>
              </w:rPr>
            </w:pPr>
          </w:p>
        </w:tc>
        <w:tc>
          <w:tcPr>
            <w:tcW w:w="482" w:type="pct"/>
            <w:noWrap/>
            <w:vAlign w:val="center"/>
          </w:tcPr>
          <w:p w14:paraId="69FA1BAC">
            <w:pPr>
              <w:spacing w:line="360" w:lineRule="auto"/>
              <w:jc w:val="center"/>
              <w:rPr>
                <w:rFonts w:ascii="宋体" w:hAnsi="宋体" w:eastAsia="宋体" w:cs="宋体"/>
                <w:kern w:val="0"/>
                <w:sz w:val="24"/>
                <w:szCs w:val="20"/>
              </w:rPr>
            </w:pPr>
          </w:p>
        </w:tc>
        <w:tc>
          <w:tcPr>
            <w:tcW w:w="486" w:type="pct"/>
            <w:noWrap/>
            <w:vAlign w:val="center"/>
          </w:tcPr>
          <w:p w14:paraId="087120A4">
            <w:pPr>
              <w:spacing w:line="360" w:lineRule="auto"/>
              <w:jc w:val="center"/>
              <w:rPr>
                <w:rFonts w:ascii="宋体" w:hAnsi="宋体" w:eastAsia="宋体" w:cs="宋体"/>
                <w:kern w:val="0"/>
                <w:sz w:val="24"/>
                <w:szCs w:val="20"/>
              </w:rPr>
            </w:pPr>
          </w:p>
        </w:tc>
        <w:tc>
          <w:tcPr>
            <w:tcW w:w="657" w:type="pct"/>
            <w:noWrap/>
            <w:vAlign w:val="center"/>
          </w:tcPr>
          <w:p w14:paraId="551881A0">
            <w:pPr>
              <w:spacing w:line="360" w:lineRule="auto"/>
              <w:jc w:val="center"/>
              <w:rPr>
                <w:rFonts w:ascii="宋体" w:hAnsi="宋体" w:eastAsia="宋体" w:cs="宋体"/>
                <w:kern w:val="0"/>
                <w:sz w:val="24"/>
                <w:szCs w:val="20"/>
              </w:rPr>
            </w:pPr>
          </w:p>
        </w:tc>
        <w:tc>
          <w:tcPr>
            <w:tcW w:w="1339" w:type="dxa"/>
            <w:noWrap/>
            <w:vAlign w:val="center"/>
          </w:tcPr>
          <w:p w14:paraId="064A821E">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第页</w:t>
            </w:r>
          </w:p>
        </w:tc>
      </w:tr>
      <w:tr w14:paraId="4A71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66F6482D">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w:t>
            </w:r>
          </w:p>
        </w:tc>
        <w:tc>
          <w:tcPr>
            <w:tcW w:w="482" w:type="pct"/>
            <w:noWrap/>
            <w:vAlign w:val="center"/>
          </w:tcPr>
          <w:p w14:paraId="6574A9A1">
            <w:pPr>
              <w:spacing w:line="360" w:lineRule="auto"/>
              <w:jc w:val="center"/>
              <w:rPr>
                <w:rFonts w:ascii="宋体" w:hAnsi="宋体" w:eastAsia="宋体" w:cs="宋体"/>
                <w:kern w:val="0"/>
                <w:sz w:val="24"/>
                <w:szCs w:val="20"/>
              </w:rPr>
            </w:pPr>
          </w:p>
        </w:tc>
        <w:tc>
          <w:tcPr>
            <w:tcW w:w="482" w:type="pct"/>
            <w:noWrap/>
            <w:vAlign w:val="center"/>
          </w:tcPr>
          <w:p w14:paraId="036E0F23">
            <w:pPr>
              <w:spacing w:line="360" w:lineRule="auto"/>
              <w:jc w:val="center"/>
              <w:rPr>
                <w:rFonts w:ascii="宋体" w:hAnsi="宋体" w:eastAsia="宋体" w:cs="宋体"/>
                <w:kern w:val="0"/>
                <w:sz w:val="24"/>
                <w:szCs w:val="20"/>
              </w:rPr>
            </w:pPr>
          </w:p>
        </w:tc>
        <w:tc>
          <w:tcPr>
            <w:tcW w:w="482" w:type="pct"/>
            <w:noWrap/>
            <w:vAlign w:val="center"/>
          </w:tcPr>
          <w:p w14:paraId="4AD608C8">
            <w:pPr>
              <w:spacing w:line="360" w:lineRule="auto"/>
              <w:jc w:val="center"/>
              <w:rPr>
                <w:rFonts w:ascii="宋体" w:hAnsi="宋体" w:eastAsia="宋体" w:cs="宋体"/>
                <w:kern w:val="0"/>
                <w:sz w:val="24"/>
                <w:szCs w:val="20"/>
              </w:rPr>
            </w:pPr>
          </w:p>
        </w:tc>
        <w:tc>
          <w:tcPr>
            <w:tcW w:w="482" w:type="pct"/>
            <w:noWrap/>
            <w:vAlign w:val="center"/>
          </w:tcPr>
          <w:p w14:paraId="0293EC7A">
            <w:pPr>
              <w:spacing w:line="360" w:lineRule="auto"/>
              <w:jc w:val="center"/>
              <w:rPr>
                <w:rFonts w:ascii="宋体" w:hAnsi="宋体" w:eastAsia="宋体" w:cs="宋体"/>
                <w:kern w:val="0"/>
                <w:sz w:val="24"/>
                <w:szCs w:val="20"/>
              </w:rPr>
            </w:pPr>
          </w:p>
        </w:tc>
        <w:tc>
          <w:tcPr>
            <w:tcW w:w="482" w:type="pct"/>
            <w:noWrap/>
            <w:vAlign w:val="center"/>
          </w:tcPr>
          <w:p w14:paraId="56C5306D">
            <w:pPr>
              <w:spacing w:line="360" w:lineRule="auto"/>
              <w:jc w:val="center"/>
              <w:rPr>
                <w:rFonts w:ascii="宋体" w:hAnsi="宋体" w:eastAsia="宋体" w:cs="宋体"/>
                <w:kern w:val="0"/>
                <w:sz w:val="24"/>
                <w:szCs w:val="20"/>
              </w:rPr>
            </w:pPr>
          </w:p>
        </w:tc>
        <w:tc>
          <w:tcPr>
            <w:tcW w:w="482" w:type="pct"/>
            <w:noWrap/>
            <w:vAlign w:val="center"/>
          </w:tcPr>
          <w:p w14:paraId="3404AE65">
            <w:pPr>
              <w:spacing w:line="360" w:lineRule="auto"/>
              <w:jc w:val="center"/>
              <w:rPr>
                <w:rFonts w:ascii="宋体" w:hAnsi="宋体" w:eastAsia="宋体" w:cs="宋体"/>
                <w:kern w:val="0"/>
                <w:sz w:val="24"/>
                <w:szCs w:val="20"/>
              </w:rPr>
            </w:pPr>
          </w:p>
        </w:tc>
        <w:tc>
          <w:tcPr>
            <w:tcW w:w="486" w:type="pct"/>
            <w:noWrap/>
            <w:vAlign w:val="center"/>
          </w:tcPr>
          <w:p w14:paraId="5D05B212">
            <w:pPr>
              <w:spacing w:line="360" w:lineRule="auto"/>
              <w:jc w:val="center"/>
              <w:rPr>
                <w:rFonts w:ascii="宋体" w:hAnsi="宋体" w:eastAsia="宋体" w:cs="宋体"/>
                <w:kern w:val="0"/>
                <w:sz w:val="24"/>
                <w:szCs w:val="20"/>
              </w:rPr>
            </w:pPr>
          </w:p>
        </w:tc>
        <w:tc>
          <w:tcPr>
            <w:tcW w:w="657" w:type="pct"/>
            <w:noWrap/>
            <w:vAlign w:val="center"/>
          </w:tcPr>
          <w:p w14:paraId="160443C8">
            <w:pPr>
              <w:spacing w:line="360" w:lineRule="auto"/>
              <w:jc w:val="center"/>
              <w:rPr>
                <w:rFonts w:ascii="宋体" w:hAnsi="宋体" w:eastAsia="宋体" w:cs="宋体"/>
                <w:kern w:val="0"/>
                <w:sz w:val="24"/>
                <w:szCs w:val="20"/>
              </w:rPr>
            </w:pPr>
          </w:p>
        </w:tc>
        <w:tc>
          <w:tcPr>
            <w:tcW w:w="1339" w:type="dxa"/>
            <w:noWrap/>
            <w:vAlign w:val="center"/>
          </w:tcPr>
          <w:p w14:paraId="0F125861">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第页</w:t>
            </w:r>
          </w:p>
        </w:tc>
      </w:tr>
    </w:tbl>
    <w:p w14:paraId="56DFCCBC">
      <w:pPr>
        <w:spacing w:line="360" w:lineRule="auto"/>
        <w:rPr>
          <w:rFonts w:ascii="宋体" w:hAnsi="宋体" w:eastAsia="宋体" w:cs="宋体"/>
          <w:sz w:val="24"/>
          <w:szCs w:val="20"/>
        </w:rPr>
      </w:pPr>
    </w:p>
    <w:p w14:paraId="01453D91">
      <w:pPr>
        <w:spacing w:line="360" w:lineRule="auto"/>
        <w:rPr>
          <w:rFonts w:ascii="宋体" w:hAnsi="宋体" w:eastAsia="宋体" w:cs="宋体"/>
          <w:sz w:val="24"/>
          <w:szCs w:val="20"/>
        </w:rPr>
      </w:pPr>
    </w:p>
    <w:p w14:paraId="0BEA9841">
      <w:pPr>
        <w:spacing w:line="360" w:lineRule="auto"/>
        <w:rPr>
          <w:rFonts w:ascii="宋体" w:hAnsi="宋体" w:eastAsia="宋体" w:cs="宋体"/>
          <w:sz w:val="24"/>
          <w:szCs w:val="20"/>
        </w:rPr>
      </w:pPr>
    </w:p>
    <w:p w14:paraId="1F3B0826">
      <w:pPr>
        <w:spacing w:line="360" w:lineRule="auto"/>
        <w:rPr>
          <w:rFonts w:ascii="宋体" w:hAnsi="宋体" w:eastAsia="宋体" w:cs="宋体"/>
          <w:sz w:val="24"/>
          <w:szCs w:val="20"/>
        </w:rPr>
      </w:pPr>
    </w:p>
    <w:p w14:paraId="6C7FB539">
      <w:pPr>
        <w:spacing w:line="360" w:lineRule="auto"/>
        <w:rPr>
          <w:rFonts w:ascii="宋体" w:hAnsi="宋体" w:eastAsia="宋体" w:cs="宋体"/>
          <w:sz w:val="24"/>
          <w:szCs w:val="20"/>
        </w:rPr>
      </w:pPr>
    </w:p>
    <w:p w14:paraId="221B293D">
      <w:pPr>
        <w:spacing w:line="360" w:lineRule="auto"/>
        <w:rPr>
          <w:rFonts w:ascii="宋体" w:hAnsi="宋体" w:eastAsia="宋体" w:cs="宋体"/>
          <w:sz w:val="24"/>
          <w:szCs w:val="20"/>
        </w:rPr>
      </w:pPr>
    </w:p>
    <w:p w14:paraId="5C1A997F">
      <w:pPr>
        <w:spacing w:line="360" w:lineRule="auto"/>
        <w:rPr>
          <w:rFonts w:ascii="宋体" w:hAnsi="宋体" w:eastAsia="宋体" w:cs="宋体"/>
          <w:sz w:val="24"/>
          <w:szCs w:val="20"/>
        </w:rPr>
      </w:pPr>
    </w:p>
    <w:p w14:paraId="0FDC7204">
      <w:pPr>
        <w:spacing w:line="360" w:lineRule="auto"/>
        <w:rPr>
          <w:rFonts w:ascii="宋体" w:hAnsi="宋体" w:eastAsia="宋体" w:cs="宋体"/>
          <w:sz w:val="24"/>
          <w:szCs w:val="20"/>
        </w:rPr>
      </w:pPr>
    </w:p>
    <w:p w14:paraId="317F48F0">
      <w:pPr>
        <w:spacing w:line="360" w:lineRule="auto"/>
        <w:rPr>
          <w:rFonts w:ascii="宋体" w:hAnsi="宋体" w:eastAsia="宋体" w:cs="宋体"/>
          <w:sz w:val="24"/>
          <w:szCs w:val="20"/>
          <w:u w:val="single"/>
        </w:rPr>
      </w:pPr>
      <w:r>
        <w:rPr>
          <w:rFonts w:hint="eastAsia" w:ascii="宋体" w:hAnsi="宋体" w:eastAsia="宋体" w:cs="宋体"/>
          <w:sz w:val="24"/>
          <w:szCs w:val="20"/>
        </w:rPr>
        <w:t>投标人名称（盖章）：</w:t>
      </w:r>
      <w:r>
        <w:rPr>
          <w:rFonts w:hint="eastAsia" w:ascii="宋体" w:hAnsi="宋体" w:eastAsia="宋体" w:cs="宋体"/>
          <w:sz w:val="24"/>
          <w:szCs w:val="20"/>
          <w:u w:val="single"/>
        </w:rPr>
        <w:t xml:space="preserve">                    </w:t>
      </w:r>
    </w:p>
    <w:p w14:paraId="2A2F6F11">
      <w:pPr>
        <w:spacing w:line="360" w:lineRule="auto"/>
        <w:rPr>
          <w:rFonts w:ascii="宋体" w:hAnsi="宋体" w:eastAsia="宋体" w:cs="宋体"/>
          <w:sz w:val="24"/>
          <w:szCs w:val="20"/>
        </w:rPr>
      </w:pPr>
      <w:r>
        <w:rPr>
          <w:rFonts w:hint="eastAsia" w:ascii="宋体" w:hAnsi="宋体" w:eastAsia="宋体" w:cs="宋体"/>
          <w:sz w:val="24"/>
          <w:szCs w:val="20"/>
        </w:rPr>
        <w:t>法定代表人（单位负责人）</w:t>
      </w:r>
    </w:p>
    <w:p w14:paraId="5468D0D1">
      <w:pPr>
        <w:spacing w:line="360" w:lineRule="auto"/>
        <w:rPr>
          <w:rFonts w:ascii="宋体" w:hAnsi="宋体" w:eastAsia="宋体" w:cs="宋体"/>
          <w:sz w:val="24"/>
          <w:szCs w:val="20"/>
          <w:u w:val="single"/>
        </w:rPr>
      </w:pPr>
      <w:r>
        <w:rPr>
          <w:rFonts w:hint="eastAsia" w:ascii="宋体" w:hAnsi="宋体" w:eastAsia="宋体" w:cs="宋体"/>
          <w:sz w:val="24"/>
          <w:szCs w:val="20"/>
        </w:rPr>
        <w:t>或授权代表（签字或盖章）：</w:t>
      </w:r>
      <w:r>
        <w:rPr>
          <w:rFonts w:hint="eastAsia" w:ascii="宋体" w:hAnsi="宋体" w:eastAsia="宋体" w:cs="宋体"/>
          <w:sz w:val="24"/>
          <w:szCs w:val="20"/>
          <w:u w:val="single"/>
        </w:rPr>
        <w:t xml:space="preserve">             </w:t>
      </w:r>
    </w:p>
    <w:p w14:paraId="77BDD8DB">
      <w:pPr>
        <w:spacing w:line="360" w:lineRule="auto"/>
        <w:rPr>
          <w:rFonts w:ascii="宋体" w:hAnsi="宋体" w:eastAsia="宋体" w:cs="宋体"/>
          <w:sz w:val="24"/>
          <w:szCs w:val="20"/>
          <w:u w:val="single"/>
        </w:rPr>
      </w:pPr>
      <w:r>
        <w:rPr>
          <w:rFonts w:hint="eastAsia" w:ascii="宋体" w:hAnsi="宋体" w:eastAsia="宋体" w:cs="宋体"/>
          <w:sz w:val="24"/>
          <w:szCs w:val="20"/>
        </w:rPr>
        <w:t>日期:</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02835B9E">
      <w:pPr>
        <w:spacing w:line="360" w:lineRule="auto"/>
        <w:rPr>
          <w:rFonts w:ascii="宋体" w:hAnsi="宋体" w:eastAsia="宋体" w:cs="宋体"/>
          <w:sz w:val="24"/>
          <w:szCs w:val="20"/>
          <w:u w:val="single"/>
        </w:rPr>
      </w:pPr>
    </w:p>
    <w:p w14:paraId="19D81951">
      <w:pPr>
        <w:pStyle w:val="4"/>
        <w:rPr>
          <w:sz w:val="24"/>
          <w:szCs w:val="20"/>
          <w:u w:val="single"/>
        </w:rPr>
      </w:pPr>
      <w:r>
        <w:rPr>
          <w:rFonts w:hint="eastAsia"/>
          <w:sz w:val="24"/>
          <w:szCs w:val="20"/>
          <w:u w:val="single"/>
        </w:rPr>
        <w:br w:type="page"/>
      </w:r>
      <w:r>
        <w:rPr>
          <w:rFonts w:hint="eastAsia"/>
        </w:rPr>
        <w:t>（七）类似项目业绩一览表</w:t>
      </w:r>
    </w:p>
    <w:p w14:paraId="303343D7">
      <w:pPr>
        <w:spacing w:line="360" w:lineRule="auto"/>
        <w:rPr>
          <w:rFonts w:ascii="宋体" w:hAnsi="宋体" w:eastAsia="宋体" w:cs="宋体"/>
          <w:sz w:val="24"/>
          <w:szCs w:val="20"/>
        </w:rPr>
      </w:pPr>
      <w:r>
        <w:rPr>
          <w:rFonts w:hint="eastAsia" w:ascii="宋体" w:hAnsi="宋体" w:eastAsia="宋体" w:cs="宋体"/>
          <w:sz w:val="24"/>
          <w:szCs w:val="20"/>
        </w:rPr>
        <w:t xml:space="preserve">项目名称：                             </w:t>
      </w:r>
    </w:p>
    <w:p w14:paraId="3EECFF47">
      <w:pPr>
        <w:spacing w:line="360" w:lineRule="auto"/>
        <w:rPr>
          <w:rFonts w:ascii="宋体" w:hAnsi="宋体" w:eastAsia="宋体" w:cs="宋体"/>
          <w:sz w:val="24"/>
          <w:szCs w:val="20"/>
        </w:rPr>
      </w:pPr>
      <w:r>
        <w:rPr>
          <w:rFonts w:hint="eastAsia" w:ascii="宋体" w:hAnsi="宋体" w:eastAsia="宋体" w:cs="宋体"/>
          <w:sz w:val="24"/>
          <w:szCs w:val="20"/>
        </w:rPr>
        <w:t>项目编号：</w:t>
      </w:r>
    </w:p>
    <w:tbl>
      <w:tblPr>
        <w:tblStyle w:val="22"/>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0"/>
        <w:gridCol w:w="970"/>
        <w:gridCol w:w="970"/>
        <w:gridCol w:w="970"/>
        <w:gridCol w:w="970"/>
        <w:gridCol w:w="970"/>
        <w:gridCol w:w="970"/>
        <w:gridCol w:w="1930"/>
        <w:gridCol w:w="2050"/>
      </w:tblGrid>
      <w:tr w14:paraId="59FB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307" w:type="pct"/>
            <w:noWrap/>
            <w:vAlign w:val="center"/>
          </w:tcPr>
          <w:p w14:paraId="608BC80D">
            <w:pPr>
              <w:jc w:val="center"/>
              <w:rPr>
                <w:rFonts w:ascii="宋体" w:hAnsi="宋体" w:eastAsia="宋体" w:cs="宋体"/>
                <w:kern w:val="0"/>
                <w:sz w:val="24"/>
                <w:szCs w:val="20"/>
              </w:rPr>
            </w:pPr>
            <w:r>
              <w:rPr>
                <w:rFonts w:hint="eastAsia" w:ascii="宋体" w:hAnsi="宋体" w:eastAsia="宋体" w:cs="宋体"/>
                <w:kern w:val="0"/>
                <w:sz w:val="24"/>
                <w:szCs w:val="20"/>
              </w:rPr>
              <w:t>序号</w:t>
            </w:r>
          </w:p>
        </w:tc>
        <w:tc>
          <w:tcPr>
            <w:tcW w:w="610" w:type="pct"/>
            <w:noWrap/>
            <w:vAlign w:val="center"/>
          </w:tcPr>
          <w:p w14:paraId="6C63FE77">
            <w:pPr>
              <w:jc w:val="center"/>
              <w:rPr>
                <w:rFonts w:ascii="宋体" w:hAnsi="宋体" w:eastAsia="宋体" w:cs="宋体"/>
                <w:kern w:val="0"/>
                <w:sz w:val="24"/>
                <w:szCs w:val="20"/>
              </w:rPr>
            </w:pPr>
            <w:r>
              <w:rPr>
                <w:rFonts w:hint="eastAsia" w:ascii="宋体" w:hAnsi="宋体" w:eastAsia="宋体" w:cs="宋体"/>
                <w:kern w:val="0"/>
                <w:sz w:val="24"/>
                <w:szCs w:val="20"/>
              </w:rPr>
              <w:t>用户名称</w:t>
            </w:r>
          </w:p>
        </w:tc>
        <w:tc>
          <w:tcPr>
            <w:tcW w:w="543" w:type="pct"/>
            <w:noWrap/>
            <w:vAlign w:val="center"/>
          </w:tcPr>
          <w:p w14:paraId="70F56DE3">
            <w:pPr>
              <w:autoSpaceDE w:val="0"/>
              <w:autoSpaceDN w:val="0"/>
              <w:adjustRightInd w:val="0"/>
              <w:jc w:val="center"/>
              <w:rPr>
                <w:rFonts w:ascii="宋体" w:hAnsi="宋体" w:eastAsia="宋体" w:cs="宋体"/>
                <w:kern w:val="0"/>
                <w:sz w:val="24"/>
                <w:szCs w:val="20"/>
              </w:rPr>
            </w:pPr>
            <w:r>
              <w:rPr>
                <w:rFonts w:hint="eastAsia" w:ascii="宋体" w:hAnsi="宋体" w:eastAsia="宋体" w:cs="宋体"/>
                <w:kern w:val="0"/>
                <w:sz w:val="24"/>
                <w:szCs w:val="20"/>
              </w:rPr>
              <w:t>项目名称</w:t>
            </w:r>
          </w:p>
        </w:tc>
        <w:tc>
          <w:tcPr>
            <w:tcW w:w="633" w:type="pct"/>
            <w:noWrap/>
            <w:vAlign w:val="center"/>
          </w:tcPr>
          <w:p w14:paraId="44A49FA7">
            <w:pPr>
              <w:autoSpaceDE w:val="0"/>
              <w:autoSpaceDN w:val="0"/>
              <w:adjustRightInd w:val="0"/>
              <w:jc w:val="center"/>
              <w:rPr>
                <w:rFonts w:ascii="宋体" w:hAnsi="宋体" w:eastAsia="宋体" w:cs="宋体"/>
                <w:kern w:val="0"/>
                <w:sz w:val="24"/>
                <w:szCs w:val="20"/>
              </w:rPr>
            </w:pPr>
            <w:r>
              <w:rPr>
                <w:rFonts w:hint="eastAsia" w:ascii="宋体" w:hAnsi="宋体" w:eastAsia="宋体" w:cs="宋体"/>
                <w:kern w:val="0"/>
                <w:sz w:val="24"/>
                <w:szCs w:val="20"/>
              </w:rPr>
              <w:t>项目内容</w:t>
            </w:r>
          </w:p>
        </w:tc>
        <w:tc>
          <w:tcPr>
            <w:tcW w:w="345" w:type="pct"/>
            <w:noWrap/>
            <w:vAlign w:val="center"/>
          </w:tcPr>
          <w:p w14:paraId="6C0635BF">
            <w:pPr>
              <w:jc w:val="center"/>
              <w:rPr>
                <w:rFonts w:ascii="宋体" w:hAnsi="宋体" w:eastAsia="宋体" w:cs="宋体"/>
                <w:kern w:val="0"/>
                <w:sz w:val="24"/>
                <w:szCs w:val="20"/>
              </w:rPr>
            </w:pPr>
            <w:r>
              <w:rPr>
                <w:rFonts w:hint="eastAsia" w:ascii="宋体" w:hAnsi="宋体" w:eastAsia="宋体" w:cs="宋体"/>
                <w:kern w:val="0"/>
                <w:sz w:val="24"/>
                <w:szCs w:val="20"/>
              </w:rPr>
              <w:t>合同总价</w:t>
            </w:r>
          </w:p>
        </w:tc>
        <w:tc>
          <w:tcPr>
            <w:tcW w:w="533" w:type="pct"/>
            <w:noWrap/>
            <w:vAlign w:val="center"/>
          </w:tcPr>
          <w:p w14:paraId="18E062C1">
            <w:pPr>
              <w:autoSpaceDE w:val="0"/>
              <w:autoSpaceDN w:val="0"/>
              <w:adjustRightInd w:val="0"/>
              <w:jc w:val="center"/>
              <w:rPr>
                <w:rFonts w:ascii="宋体" w:hAnsi="宋体" w:eastAsia="宋体" w:cs="宋体"/>
                <w:kern w:val="0"/>
                <w:sz w:val="24"/>
                <w:szCs w:val="20"/>
              </w:rPr>
            </w:pPr>
            <w:r>
              <w:rPr>
                <w:rFonts w:hint="eastAsia" w:ascii="宋体" w:hAnsi="宋体" w:eastAsia="宋体" w:cs="宋体"/>
                <w:kern w:val="0"/>
                <w:sz w:val="24"/>
                <w:szCs w:val="20"/>
              </w:rPr>
              <w:t>签订时间</w:t>
            </w:r>
          </w:p>
        </w:tc>
        <w:tc>
          <w:tcPr>
            <w:tcW w:w="538" w:type="pct"/>
            <w:noWrap/>
            <w:vAlign w:val="center"/>
          </w:tcPr>
          <w:p w14:paraId="38F909A2">
            <w:pPr>
              <w:jc w:val="center"/>
              <w:rPr>
                <w:rFonts w:ascii="宋体" w:hAnsi="宋体" w:eastAsia="宋体" w:cs="宋体"/>
                <w:kern w:val="0"/>
                <w:sz w:val="24"/>
                <w:szCs w:val="20"/>
              </w:rPr>
            </w:pPr>
            <w:r>
              <w:rPr>
                <w:rFonts w:hint="eastAsia" w:ascii="宋体" w:hAnsi="宋体" w:eastAsia="宋体" w:cs="宋体"/>
                <w:kern w:val="0"/>
                <w:sz w:val="24"/>
                <w:szCs w:val="20"/>
              </w:rPr>
              <w:t>完成时间</w:t>
            </w:r>
          </w:p>
        </w:tc>
        <w:tc>
          <w:tcPr>
            <w:tcW w:w="729" w:type="pct"/>
            <w:noWrap/>
            <w:vAlign w:val="center"/>
          </w:tcPr>
          <w:p w14:paraId="7691D3B8">
            <w:pPr>
              <w:jc w:val="center"/>
              <w:rPr>
                <w:rFonts w:ascii="宋体" w:hAnsi="宋体" w:eastAsia="宋体" w:cs="宋体"/>
                <w:kern w:val="0"/>
                <w:sz w:val="24"/>
                <w:szCs w:val="20"/>
              </w:rPr>
            </w:pPr>
            <w:r>
              <w:rPr>
                <w:rFonts w:ascii="宋体" w:hAnsi="宋体" w:eastAsia="宋体" w:cs="宋体"/>
                <w:kern w:val="0"/>
                <w:sz w:val="24"/>
                <w:szCs w:val="20"/>
              </w:rPr>
              <w:t>用户联系人及电话</w:t>
            </w:r>
          </w:p>
        </w:tc>
        <w:tc>
          <w:tcPr>
            <w:tcW w:w="757" w:type="pct"/>
            <w:noWrap/>
            <w:vAlign w:val="center"/>
          </w:tcPr>
          <w:p w14:paraId="051F36B4">
            <w:pPr>
              <w:jc w:val="center"/>
              <w:rPr>
                <w:rFonts w:ascii="宋体" w:hAnsi="宋体" w:eastAsia="宋体" w:cs="宋体"/>
                <w:kern w:val="0"/>
                <w:sz w:val="24"/>
                <w:szCs w:val="20"/>
              </w:rPr>
            </w:pPr>
            <w:r>
              <w:rPr>
                <w:rFonts w:hint="eastAsia" w:ascii="宋体" w:hAnsi="宋体" w:eastAsia="宋体" w:cs="宋体"/>
                <w:kern w:val="0"/>
                <w:sz w:val="24"/>
                <w:szCs w:val="20"/>
              </w:rPr>
              <w:t>查阅/证明文件指引</w:t>
            </w:r>
          </w:p>
        </w:tc>
      </w:tr>
      <w:tr w14:paraId="75C6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2BC69E17">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w:t>
            </w:r>
          </w:p>
        </w:tc>
        <w:tc>
          <w:tcPr>
            <w:tcW w:w="610" w:type="pct"/>
            <w:noWrap/>
            <w:vAlign w:val="center"/>
          </w:tcPr>
          <w:p w14:paraId="3B54A4B4">
            <w:pPr>
              <w:spacing w:line="360" w:lineRule="auto"/>
              <w:jc w:val="center"/>
              <w:rPr>
                <w:rFonts w:ascii="宋体" w:hAnsi="宋体" w:eastAsia="宋体" w:cs="宋体"/>
                <w:kern w:val="0"/>
                <w:sz w:val="24"/>
                <w:szCs w:val="20"/>
              </w:rPr>
            </w:pPr>
          </w:p>
        </w:tc>
        <w:tc>
          <w:tcPr>
            <w:tcW w:w="543" w:type="pct"/>
            <w:noWrap/>
            <w:vAlign w:val="center"/>
          </w:tcPr>
          <w:p w14:paraId="72EE7769">
            <w:pPr>
              <w:spacing w:line="360" w:lineRule="auto"/>
              <w:jc w:val="center"/>
              <w:rPr>
                <w:rFonts w:ascii="宋体" w:hAnsi="宋体" w:eastAsia="宋体" w:cs="宋体"/>
                <w:kern w:val="0"/>
                <w:sz w:val="24"/>
                <w:szCs w:val="20"/>
              </w:rPr>
            </w:pPr>
          </w:p>
        </w:tc>
        <w:tc>
          <w:tcPr>
            <w:tcW w:w="633" w:type="pct"/>
            <w:noWrap/>
            <w:vAlign w:val="center"/>
          </w:tcPr>
          <w:p w14:paraId="6EC1C5A9">
            <w:pPr>
              <w:spacing w:line="360" w:lineRule="auto"/>
              <w:jc w:val="center"/>
              <w:rPr>
                <w:rFonts w:ascii="宋体" w:hAnsi="宋体" w:eastAsia="宋体" w:cs="宋体"/>
                <w:kern w:val="0"/>
                <w:sz w:val="24"/>
                <w:szCs w:val="20"/>
              </w:rPr>
            </w:pPr>
          </w:p>
        </w:tc>
        <w:tc>
          <w:tcPr>
            <w:tcW w:w="345" w:type="pct"/>
            <w:noWrap/>
            <w:vAlign w:val="center"/>
          </w:tcPr>
          <w:p w14:paraId="399BA503">
            <w:pPr>
              <w:spacing w:line="360" w:lineRule="auto"/>
              <w:jc w:val="center"/>
              <w:rPr>
                <w:rFonts w:ascii="宋体" w:hAnsi="宋体" w:eastAsia="宋体" w:cs="宋体"/>
                <w:kern w:val="0"/>
                <w:sz w:val="24"/>
                <w:szCs w:val="20"/>
              </w:rPr>
            </w:pPr>
          </w:p>
        </w:tc>
        <w:tc>
          <w:tcPr>
            <w:tcW w:w="533" w:type="pct"/>
            <w:noWrap/>
            <w:vAlign w:val="center"/>
          </w:tcPr>
          <w:p w14:paraId="458C1224">
            <w:pPr>
              <w:spacing w:line="360" w:lineRule="auto"/>
              <w:jc w:val="center"/>
              <w:rPr>
                <w:rFonts w:ascii="宋体" w:hAnsi="宋体" w:eastAsia="宋体" w:cs="宋体"/>
                <w:kern w:val="0"/>
                <w:sz w:val="24"/>
                <w:szCs w:val="20"/>
              </w:rPr>
            </w:pPr>
          </w:p>
        </w:tc>
        <w:tc>
          <w:tcPr>
            <w:tcW w:w="538" w:type="pct"/>
            <w:noWrap/>
            <w:vAlign w:val="center"/>
          </w:tcPr>
          <w:p w14:paraId="29DB5165">
            <w:pPr>
              <w:spacing w:line="360" w:lineRule="auto"/>
              <w:jc w:val="center"/>
              <w:rPr>
                <w:rFonts w:ascii="宋体" w:hAnsi="宋体" w:eastAsia="宋体" w:cs="宋体"/>
                <w:kern w:val="0"/>
                <w:sz w:val="24"/>
                <w:szCs w:val="20"/>
              </w:rPr>
            </w:pPr>
          </w:p>
        </w:tc>
        <w:tc>
          <w:tcPr>
            <w:tcW w:w="729" w:type="pct"/>
            <w:noWrap/>
            <w:vAlign w:val="center"/>
          </w:tcPr>
          <w:p w14:paraId="544BC571">
            <w:pPr>
              <w:spacing w:line="360" w:lineRule="auto"/>
              <w:jc w:val="center"/>
              <w:rPr>
                <w:rFonts w:ascii="宋体" w:hAnsi="宋体" w:eastAsia="宋体" w:cs="宋体"/>
                <w:kern w:val="0"/>
                <w:sz w:val="24"/>
                <w:szCs w:val="20"/>
              </w:rPr>
            </w:pPr>
          </w:p>
        </w:tc>
        <w:tc>
          <w:tcPr>
            <w:tcW w:w="757" w:type="pct"/>
            <w:noWrap/>
            <w:vAlign w:val="center"/>
          </w:tcPr>
          <w:p w14:paraId="6C1F03FC">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第页</w:t>
            </w:r>
          </w:p>
        </w:tc>
      </w:tr>
      <w:tr w14:paraId="568B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024DF475">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2</w:t>
            </w:r>
          </w:p>
        </w:tc>
        <w:tc>
          <w:tcPr>
            <w:tcW w:w="610" w:type="pct"/>
            <w:noWrap/>
            <w:vAlign w:val="center"/>
          </w:tcPr>
          <w:p w14:paraId="6C658AEB">
            <w:pPr>
              <w:spacing w:line="360" w:lineRule="auto"/>
              <w:jc w:val="center"/>
              <w:rPr>
                <w:rFonts w:ascii="宋体" w:hAnsi="宋体" w:eastAsia="宋体" w:cs="宋体"/>
                <w:kern w:val="0"/>
                <w:sz w:val="24"/>
                <w:szCs w:val="20"/>
              </w:rPr>
            </w:pPr>
          </w:p>
        </w:tc>
        <w:tc>
          <w:tcPr>
            <w:tcW w:w="543" w:type="pct"/>
            <w:noWrap/>
            <w:vAlign w:val="center"/>
          </w:tcPr>
          <w:p w14:paraId="0FBAAD28">
            <w:pPr>
              <w:spacing w:line="360" w:lineRule="auto"/>
              <w:jc w:val="center"/>
              <w:rPr>
                <w:rFonts w:ascii="宋体" w:hAnsi="宋体" w:eastAsia="宋体" w:cs="宋体"/>
                <w:kern w:val="0"/>
                <w:sz w:val="24"/>
                <w:szCs w:val="20"/>
              </w:rPr>
            </w:pPr>
          </w:p>
        </w:tc>
        <w:tc>
          <w:tcPr>
            <w:tcW w:w="633" w:type="pct"/>
            <w:noWrap/>
            <w:vAlign w:val="center"/>
          </w:tcPr>
          <w:p w14:paraId="5C30C8D0">
            <w:pPr>
              <w:spacing w:line="360" w:lineRule="auto"/>
              <w:jc w:val="center"/>
              <w:rPr>
                <w:rFonts w:ascii="宋体" w:hAnsi="宋体" w:eastAsia="宋体" w:cs="宋体"/>
                <w:kern w:val="0"/>
                <w:sz w:val="24"/>
                <w:szCs w:val="20"/>
              </w:rPr>
            </w:pPr>
          </w:p>
        </w:tc>
        <w:tc>
          <w:tcPr>
            <w:tcW w:w="345" w:type="pct"/>
            <w:noWrap/>
            <w:vAlign w:val="center"/>
          </w:tcPr>
          <w:p w14:paraId="4D4F3732">
            <w:pPr>
              <w:spacing w:line="360" w:lineRule="auto"/>
              <w:jc w:val="center"/>
              <w:rPr>
                <w:rFonts w:ascii="宋体" w:hAnsi="宋体" w:eastAsia="宋体" w:cs="宋体"/>
                <w:kern w:val="0"/>
                <w:sz w:val="24"/>
                <w:szCs w:val="20"/>
              </w:rPr>
            </w:pPr>
          </w:p>
        </w:tc>
        <w:tc>
          <w:tcPr>
            <w:tcW w:w="533" w:type="pct"/>
            <w:noWrap/>
            <w:vAlign w:val="center"/>
          </w:tcPr>
          <w:p w14:paraId="4BA1397E">
            <w:pPr>
              <w:spacing w:line="360" w:lineRule="auto"/>
              <w:jc w:val="center"/>
              <w:rPr>
                <w:rFonts w:ascii="宋体" w:hAnsi="宋体" w:eastAsia="宋体" w:cs="宋体"/>
                <w:kern w:val="0"/>
                <w:sz w:val="24"/>
                <w:szCs w:val="20"/>
              </w:rPr>
            </w:pPr>
          </w:p>
        </w:tc>
        <w:tc>
          <w:tcPr>
            <w:tcW w:w="538" w:type="pct"/>
            <w:noWrap/>
            <w:vAlign w:val="center"/>
          </w:tcPr>
          <w:p w14:paraId="61073569">
            <w:pPr>
              <w:spacing w:line="360" w:lineRule="auto"/>
              <w:jc w:val="center"/>
              <w:rPr>
                <w:rFonts w:ascii="宋体" w:hAnsi="宋体" w:eastAsia="宋体" w:cs="宋体"/>
                <w:kern w:val="0"/>
                <w:sz w:val="24"/>
                <w:szCs w:val="20"/>
              </w:rPr>
            </w:pPr>
          </w:p>
        </w:tc>
        <w:tc>
          <w:tcPr>
            <w:tcW w:w="729" w:type="pct"/>
            <w:noWrap/>
            <w:vAlign w:val="center"/>
          </w:tcPr>
          <w:p w14:paraId="7C126A9A">
            <w:pPr>
              <w:spacing w:line="360" w:lineRule="auto"/>
              <w:jc w:val="center"/>
              <w:rPr>
                <w:rFonts w:ascii="宋体" w:hAnsi="宋体" w:eastAsia="宋体" w:cs="宋体"/>
                <w:kern w:val="0"/>
                <w:sz w:val="24"/>
                <w:szCs w:val="20"/>
              </w:rPr>
            </w:pPr>
          </w:p>
        </w:tc>
        <w:tc>
          <w:tcPr>
            <w:tcW w:w="757" w:type="pct"/>
            <w:noWrap/>
            <w:vAlign w:val="center"/>
          </w:tcPr>
          <w:p w14:paraId="1705F309">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第页</w:t>
            </w:r>
          </w:p>
        </w:tc>
      </w:tr>
      <w:tr w14:paraId="0CD4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32EDFCD4">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3</w:t>
            </w:r>
          </w:p>
        </w:tc>
        <w:tc>
          <w:tcPr>
            <w:tcW w:w="610" w:type="pct"/>
            <w:noWrap/>
            <w:vAlign w:val="center"/>
          </w:tcPr>
          <w:p w14:paraId="299C9128">
            <w:pPr>
              <w:spacing w:line="360" w:lineRule="auto"/>
              <w:jc w:val="center"/>
              <w:rPr>
                <w:rFonts w:ascii="宋体" w:hAnsi="宋体" w:eastAsia="宋体" w:cs="宋体"/>
                <w:kern w:val="0"/>
                <w:sz w:val="24"/>
                <w:szCs w:val="20"/>
              </w:rPr>
            </w:pPr>
          </w:p>
        </w:tc>
        <w:tc>
          <w:tcPr>
            <w:tcW w:w="543" w:type="pct"/>
            <w:noWrap/>
            <w:vAlign w:val="center"/>
          </w:tcPr>
          <w:p w14:paraId="6171BFB5">
            <w:pPr>
              <w:spacing w:line="360" w:lineRule="auto"/>
              <w:jc w:val="center"/>
              <w:rPr>
                <w:rFonts w:ascii="宋体" w:hAnsi="宋体" w:eastAsia="宋体" w:cs="宋体"/>
                <w:kern w:val="0"/>
                <w:sz w:val="24"/>
                <w:szCs w:val="20"/>
              </w:rPr>
            </w:pPr>
          </w:p>
        </w:tc>
        <w:tc>
          <w:tcPr>
            <w:tcW w:w="633" w:type="pct"/>
            <w:noWrap/>
            <w:vAlign w:val="center"/>
          </w:tcPr>
          <w:p w14:paraId="40A4A0DA">
            <w:pPr>
              <w:spacing w:line="360" w:lineRule="auto"/>
              <w:jc w:val="center"/>
              <w:rPr>
                <w:rFonts w:ascii="宋体" w:hAnsi="宋体" w:eastAsia="宋体" w:cs="宋体"/>
                <w:kern w:val="0"/>
                <w:sz w:val="24"/>
                <w:szCs w:val="20"/>
              </w:rPr>
            </w:pPr>
          </w:p>
        </w:tc>
        <w:tc>
          <w:tcPr>
            <w:tcW w:w="345" w:type="pct"/>
            <w:noWrap/>
            <w:vAlign w:val="center"/>
          </w:tcPr>
          <w:p w14:paraId="08330CDF">
            <w:pPr>
              <w:spacing w:line="360" w:lineRule="auto"/>
              <w:jc w:val="center"/>
              <w:rPr>
                <w:rFonts w:ascii="宋体" w:hAnsi="宋体" w:eastAsia="宋体" w:cs="宋体"/>
                <w:kern w:val="0"/>
                <w:sz w:val="24"/>
                <w:szCs w:val="20"/>
              </w:rPr>
            </w:pPr>
          </w:p>
        </w:tc>
        <w:tc>
          <w:tcPr>
            <w:tcW w:w="533" w:type="pct"/>
            <w:noWrap/>
            <w:vAlign w:val="center"/>
          </w:tcPr>
          <w:p w14:paraId="592F6155">
            <w:pPr>
              <w:spacing w:line="360" w:lineRule="auto"/>
              <w:jc w:val="center"/>
              <w:rPr>
                <w:rFonts w:ascii="宋体" w:hAnsi="宋体" w:eastAsia="宋体" w:cs="宋体"/>
                <w:kern w:val="0"/>
                <w:sz w:val="24"/>
                <w:szCs w:val="20"/>
              </w:rPr>
            </w:pPr>
          </w:p>
        </w:tc>
        <w:tc>
          <w:tcPr>
            <w:tcW w:w="538" w:type="pct"/>
            <w:noWrap/>
            <w:vAlign w:val="center"/>
          </w:tcPr>
          <w:p w14:paraId="65356428">
            <w:pPr>
              <w:spacing w:line="360" w:lineRule="auto"/>
              <w:jc w:val="center"/>
              <w:rPr>
                <w:rFonts w:ascii="宋体" w:hAnsi="宋体" w:eastAsia="宋体" w:cs="宋体"/>
                <w:kern w:val="0"/>
                <w:sz w:val="24"/>
                <w:szCs w:val="20"/>
              </w:rPr>
            </w:pPr>
          </w:p>
        </w:tc>
        <w:tc>
          <w:tcPr>
            <w:tcW w:w="729" w:type="pct"/>
            <w:noWrap/>
            <w:vAlign w:val="center"/>
          </w:tcPr>
          <w:p w14:paraId="16785EF8">
            <w:pPr>
              <w:spacing w:line="360" w:lineRule="auto"/>
              <w:jc w:val="center"/>
              <w:rPr>
                <w:rFonts w:ascii="宋体" w:hAnsi="宋体" w:eastAsia="宋体" w:cs="宋体"/>
                <w:kern w:val="0"/>
                <w:sz w:val="24"/>
                <w:szCs w:val="20"/>
              </w:rPr>
            </w:pPr>
          </w:p>
        </w:tc>
        <w:tc>
          <w:tcPr>
            <w:tcW w:w="757" w:type="pct"/>
            <w:noWrap/>
            <w:vAlign w:val="center"/>
          </w:tcPr>
          <w:p w14:paraId="6A3B5827">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第页</w:t>
            </w:r>
          </w:p>
        </w:tc>
      </w:tr>
      <w:tr w14:paraId="1106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6294552A">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4</w:t>
            </w:r>
          </w:p>
        </w:tc>
        <w:tc>
          <w:tcPr>
            <w:tcW w:w="610" w:type="pct"/>
            <w:noWrap/>
            <w:vAlign w:val="center"/>
          </w:tcPr>
          <w:p w14:paraId="43B64915">
            <w:pPr>
              <w:spacing w:line="360" w:lineRule="auto"/>
              <w:jc w:val="center"/>
              <w:rPr>
                <w:rFonts w:ascii="宋体" w:hAnsi="宋体" w:eastAsia="宋体" w:cs="宋体"/>
                <w:kern w:val="0"/>
                <w:sz w:val="24"/>
                <w:szCs w:val="20"/>
              </w:rPr>
            </w:pPr>
          </w:p>
        </w:tc>
        <w:tc>
          <w:tcPr>
            <w:tcW w:w="543" w:type="pct"/>
            <w:noWrap/>
            <w:vAlign w:val="center"/>
          </w:tcPr>
          <w:p w14:paraId="17225107">
            <w:pPr>
              <w:spacing w:line="360" w:lineRule="auto"/>
              <w:jc w:val="center"/>
              <w:rPr>
                <w:rFonts w:ascii="宋体" w:hAnsi="宋体" w:eastAsia="宋体" w:cs="宋体"/>
                <w:kern w:val="0"/>
                <w:sz w:val="24"/>
                <w:szCs w:val="20"/>
              </w:rPr>
            </w:pPr>
          </w:p>
        </w:tc>
        <w:tc>
          <w:tcPr>
            <w:tcW w:w="633" w:type="pct"/>
            <w:noWrap/>
            <w:vAlign w:val="center"/>
          </w:tcPr>
          <w:p w14:paraId="303113CB">
            <w:pPr>
              <w:spacing w:line="360" w:lineRule="auto"/>
              <w:jc w:val="center"/>
              <w:rPr>
                <w:rFonts w:ascii="宋体" w:hAnsi="宋体" w:eastAsia="宋体" w:cs="宋体"/>
                <w:kern w:val="0"/>
                <w:sz w:val="24"/>
                <w:szCs w:val="20"/>
              </w:rPr>
            </w:pPr>
          </w:p>
        </w:tc>
        <w:tc>
          <w:tcPr>
            <w:tcW w:w="345" w:type="pct"/>
            <w:noWrap/>
            <w:vAlign w:val="center"/>
          </w:tcPr>
          <w:p w14:paraId="23480D27">
            <w:pPr>
              <w:spacing w:line="360" w:lineRule="auto"/>
              <w:jc w:val="center"/>
              <w:rPr>
                <w:rFonts w:ascii="宋体" w:hAnsi="宋体" w:eastAsia="宋体" w:cs="宋体"/>
                <w:kern w:val="0"/>
                <w:sz w:val="24"/>
                <w:szCs w:val="20"/>
              </w:rPr>
            </w:pPr>
          </w:p>
        </w:tc>
        <w:tc>
          <w:tcPr>
            <w:tcW w:w="533" w:type="pct"/>
            <w:noWrap/>
            <w:vAlign w:val="center"/>
          </w:tcPr>
          <w:p w14:paraId="368C85BE">
            <w:pPr>
              <w:spacing w:line="360" w:lineRule="auto"/>
              <w:jc w:val="center"/>
              <w:rPr>
                <w:rFonts w:ascii="宋体" w:hAnsi="宋体" w:eastAsia="宋体" w:cs="宋体"/>
                <w:kern w:val="0"/>
                <w:sz w:val="24"/>
                <w:szCs w:val="20"/>
              </w:rPr>
            </w:pPr>
          </w:p>
        </w:tc>
        <w:tc>
          <w:tcPr>
            <w:tcW w:w="538" w:type="pct"/>
            <w:noWrap/>
            <w:vAlign w:val="center"/>
          </w:tcPr>
          <w:p w14:paraId="3FCDB32C">
            <w:pPr>
              <w:spacing w:line="360" w:lineRule="auto"/>
              <w:jc w:val="center"/>
              <w:rPr>
                <w:rFonts w:ascii="宋体" w:hAnsi="宋体" w:eastAsia="宋体" w:cs="宋体"/>
                <w:kern w:val="0"/>
                <w:sz w:val="24"/>
                <w:szCs w:val="20"/>
              </w:rPr>
            </w:pPr>
          </w:p>
        </w:tc>
        <w:tc>
          <w:tcPr>
            <w:tcW w:w="729" w:type="pct"/>
            <w:noWrap/>
            <w:vAlign w:val="center"/>
          </w:tcPr>
          <w:p w14:paraId="0164669D">
            <w:pPr>
              <w:spacing w:line="360" w:lineRule="auto"/>
              <w:jc w:val="center"/>
              <w:rPr>
                <w:rFonts w:ascii="宋体" w:hAnsi="宋体" w:eastAsia="宋体" w:cs="宋体"/>
                <w:kern w:val="0"/>
                <w:sz w:val="24"/>
                <w:szCs w:val="20"/>
              </w:rPr>
            </w:pPr>
          </w:p>
        </w:tc>
        <w:tc>
          <w:tcPr>
            <w:tcW w:w="757" w:type="pct"/>
            <w:noWrap/>
            <w:vAlign w:val="center"/>
          </w:tcPr>
          <w:p w14:paraId="0FE4FF7F">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第页</w:t>
            </w:r>
          </w:p>
        </w:tc>
      </w:tr>
      <w:tr w14:paraId="5246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4FD23109">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5</w:t>
            </w:r>
          </w:p>
        </w:tc>
        <w:tc>
          <w:tcPr>
            <w:tcW w:w="610" w:type="pct"/>
            <w:noWrap/>
            <w:vAlign w:val="center"/>
          </w:tcPr>
          <w:p w14:paraId="21AF0123">
            <w:pPr>
              <w:spacing w:line="360" w:lineRule="auto"/>
              <w:jc w:val="center"/>
              <w:rPr>
                <w:rFonts w:ascii="宋体" w:hAnsi="宋体" w:eastAsia="宋体" w:cs="宋体"/>
                <w:kern w:val="0"/>
                <w:sz w:val="24"/>
                <w:szCs w:val="20"/>
              </w:rPr>
            </w:pPr>
          </w:p>
        </w:tc>
        <w:tc>
          <w:tcPr>
            <w:tcW w:w="543" w:type="pct"/>
            <w:noWrap/>
            <w:vAlign w:val="center"/>
          </w:tcPr>
          <w:p w14:paraId="78DDB0B3">
            <w:pPr>
              <w:spacing w:line="360" w:lineRule="auto"/>
              <w:jc w:val="center"/>
              <w:rPr>
                <w:rFonts w:ascii="宋体" w:hAnsi="宋体" w:eastAsia="宋体" w:cs="宋体"/>
                <w:kern w:val="0"/>
                <w:sz w:val="24"/>
                <w:szCs w:val="20"/>
              </w:rPr>
            </w:pPr>
          </w:p>
        </w:tc>
        <w:tc>
          <w:tcPr>
            <w:tcW w:w="633" w:type="pct"/>
            <w:noWrap/>
            <w:vAlign w:val="center"/>
          </w:tcPr>
          <w:p w14:paraId="140AF387">
            <w:pPr>
              <w:spacing w:line="360" w:lineRule="auto"/>
              <w:jc w:val="center"/>
              <w:rPr>
                <w:rFonts w:ascii="宋体" w:hAnsi="宋体" w:eastAsia="宋体" w:cs="宋体"/>
                <w:kern w:val="0"/>
                <w:sz w:val="24"/>
                <w:szCs w:val="20"/>
              </w:rPr>
            </w:pPr>
          </w:p>
        </w:tc>
        <w:tc>
          <w:tcPr>
            <w:tcW w:w="345" w:type="pct"/>
            <w:noWrap/>
            <w:vAlign w:val="center"/>
          </w:tcPr>
          <w:p w14:paraId="713C72F8">
            <w:pPr>
              <w:spacing w:line="360" w:lineRule="auto"/>
              <w:jc w:val="center"/>
              <w:rPr>
                <w:rFonts w:ascii="宋体" w:hAnsi="宋体" w:eastAsia="宋体" w:cs="宋体"/>
                <w:kern w:val="0"/>
                <w:sz w:val="24"/>
                <w:szCs w:val="20"/>
              </w:rPr>
            </w:pPr>
          </w:p>
        </w:tc>
        <w:tc>
          <w:tcPr>
            <w:tcW w:w="533" w:type="pct"/>
            <w:noWrap/>
            <w:vAlign w:val="center"/>
          </w:tcPr>
          <w:p w14:paraId="5CE30EE9">
            <w:pPr>
              <w:spacing w:line="360" w:lineRule="auto"/>
              <w:jc w:val="center"/>
              <w:rPr>
                <w:rFonts w:ascii="宋体" w:hAnsi="宋体" w:eastAsia="宋体" w:cs="宋体"/>
                <w:kern w:val="0"/>
                <w:sz w:val="24"/>
                <w:szCs w:val="20"/>
              </w:rPr>
            </w:pPr>
          </w:p>
        </w:tc>
        <w:tc>
          <w:tcPr>
            <w:tcW w:w="538" w:type="pct"/>
            <w:noWrap/>
            <w:vAlign w:val="center"/>
          </w:tcPr>
          <w:p w14:paraId="739C8E1E">
            <w:pPr>
              <w:spacing w:line="360" w:lineRule="auto"/>
              <w:jc w:val="center"/>
              <w:rPr>
                <w:rFonts w:ascii="宋体" w:hAnsi="宋体" w:eastAsia="宋体" w:cs="宋体"/>
                <w:kern w:val="0"/>
                <w:sz w:val="24"/>
                <w:szCs w:val="20"/>
              </w:rPr>
            </w:pPr>
          </w:p>
        </w:tc>
        <w:tc>
          <w:tcPr>
            <w:tcW w:w="729" w:type="pct"/>
            <w:noWrap/>
            <w:vAlign w:val="center"/>
          </w:tcPr>
          <w:p w14:paraId="7E804D46">
            <w:pPr>
              <w:spacing w:line="360" w:lineRule="auto"/>
              <w:jc w:val="center"/>
              <w:rPr>
                <w:rFonts w:ascii="宋体" w:hAnsi="宋体" w:eastAsia="宋体" w:cs="宋体"/>
                <w:kern w:val="0"/>
                <w:sz w:val="24"/>
                <w:szCs w:val="20"/>
              </w:rPr>
            </w:pPr>
          </w:p>
        </w:tc>
        <w:tc>
          <w:tcPr>
            <w:tcW w:w="757" w:type="pct"/>
            <w:noWrap/>
            <w:vAlign w:val="center"/>
          </w:tcPr>
          <w:p w14:paraId="63DC2B4F">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第页</w:t>
            </w:r>
          </w:p>
        </w:tc>
      </w:tr>
      <w:tr w14:paraId="20DA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6430A141">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w:t>
            </w:r>
          </w:p>
        </w:tc>
        <w:tc>
          <w:tcPr>
            <w:tcW w:w="610" w:type="pct"/>
            <w:noWrap/>
            <w:vAlign w:val="center"/>
          </w:tcPr>
          <w:p w14:paraId="755A3962">
            <w:pPr>
              <w:spacing w:line="360" w:lineRule="auto"/>
              <w:jc w:val="center"/>
              <w:rPr>
                <w:rFonts w:ascii="宋体" w:hAnsi="宋体" w:eastAsia="宋体" w:cs="宋体"/>
                <w:kern w:val="0"/>
                <w:sz w:val="24"/>
                <w:szCs w:val="20"/>
              </w:rPr>
            </w:pPr>
          </w:p>
        </w:tc>
        <w:tc>
          <w:tcPr>
            <w:tcW w:w="543" w:type="pct"/>
            <w:noWrap/>
            <w:vAlign w:val="center"/>
          </w:tcPr>
          <w:p w14:paraId="3FD58395">
            <w:pPr>
              <w:spacing w:line="360" w:lineRule="auto"/>
              <w:jc w:val="center"/>
              <w:rPr>
                <w:rFonts w:ascii="宋体" w:hAnsi="宋体" w:eastAsia="宋体" w:cs="宋体"/>
                <w:kern w:val="0"/>
                <w:sz w:val="24"/>
                <w:szCs w:val="20"/>
              </w:rPr>
            </w:pPr>
          </w:p>
        </w:tc>
        <w:tc>
          <w:tcPr>
            <w:tcW w:w="633" w:type="pct"/>
            <w:noWrap/>
            <w:vAlign w:val="center"/>
          </w:tcPr>
          <w:p w14:paraId="1E7147DB">
            <w:pPr>
              <w:spacing w:line="360" w:lineRule="auto"/>
              <w:jc w:val="center"/>
              <w:rPr>
                <w:rFonts w:ascii="宋体" w:hAnsi="宋体" w:eastAsia="宋体" w:cs="宋体"/>
                <w:kern w:val="0"/>
                <w:sz w:val="24"/>
                <w:szCs w:val="20"/>
              </w:rPr>
            </w:pPr>
          </w:p>
        </w:tc>
        <w:tc>
          <w:tcPr>
            <w:tcW w:w="345" w:type="pct"/>
            <w:noWrap/>
            <w:vAlign w:val="center"/>
          </w:tcPr>
          <w:p w14:paraId="06FD79DE">
            <w:pPr>
              <w:spacing w:line="360" w:lineRule="auto"/>
              <w:jc w:val="center"/>
              <w:rPr>
                <w:rFonts w:ascii="宋体" w:hAnsi="宋体" w:eastAsia="宋体" w:cs="宋体"/>
                <w:kern w:val="0"/>
                <w:sz w:val="24"/>
                <w:szCs w:val="20"/>
              </w:rPr>
            </w:pPr>
          </w:p>
        </w:tc>
        <w:tc>
          <w:tcPr>
            <w:tcW w:w="533" w:type="pct"/>
            <w:noWrap/>
            <w:vAlign w:val="center"/>
          </w:tcPr>
          <w:p w14:paraId="7B4F43C2">
            <w:pPr>
              <w:spacing w:line="360" w:lineRule="auto"/>
              <w:jc w:val="center"/>
              <w:rPr>
                <w:rFonts w:ascii="宋体" w:hAnsi="宋体" w:eastAsia="宋体" w:cs="宋体"/>
                <w:kern w:val="0"/>
                <w:sz w:val="24"/>
                <w:szCs w:val="20"/>
              </w:rPr>
            </w:pPr>
          </w:p>
        </w:tc>
        <w:tc>
          <w:tcPr>
            <w:tcW w:w="538" w:type="pct"/>
            <w:noWrap/>
            <w:vAlign w:val="center"/>
          </w:tcPr>
          <w:p w14:paraId="6F4F7AF6">
            <w:pPr>
              <w:spacing w:line="360" w:lineRule="auto"/>
              <w:jc w:val="center"/>
              <w:rPr>
                <w:rFonts w:ascii="宋体" w:hAnsi="宋体" w:eastAsia="宋体" w:cs="宋体"/>
                <w:kern w:val="0"/>
                <w:sz w:val="24"/>
                <w:szCs w:val="20"/>
              </w:rPr>
            </w:pPr>
          </w:p>
        </w:tc>
        <w:tc>
          <w:tcPr>
            <w:tcW w:w="729" w:type="pct"/>
            <w:noWrap/>
            <w:vAlign w:val="center"/>
          </w:tcPr>
          <w:p w14:paraId="18040ED8">
            <w:pPr>
              <w:spacing w:line="360" w:lineRule="auto"/>
              <w:jc w:val="center"/>
              <w:rPr>
                <w:rFonts w:ascii="宋体" w:hAnsi="宋体" w:eastAsia="宋体" w:cs="宋体"/>
                <w:kern w:val="0"/>
                <w:sz w:val="24"/>
                <w:szCs w:val="20"/>
              </w:rPr>
            </w:pPr>
          </w:p>
        </w:tc>
        <w:tc>
          <w:tcPr>
            <w:tcW w:w="757" w:type="pct"/>
            <w:noWrap/>
            <w:vAlign w:val="center"/>
          </w:tcPr>
          <w:p w14:paraId="70AA4593">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第页</w:t>
            </w:r>
          </w:p>
        </w:tc>
      </w:tr>
      <w:tr w14:paraId="3F75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9"/>
            <w:noWrap/>
            <w:vAlign w:val="center"/>
          </w:tcPr>
          <w:p w14:paraId="7E371107">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 xml:space="preserve">合计：个业绩 </w:t>
            </w:r>
          </w:p>
        </w:tc>
      </w:tr>
    </w:tbl>
    <w:p w14:paraId="333E4BB8">
      <w:pPr>
        <w:spacing w:line="360" w:lineRule="auto"/>
        <w:jc w:val="left"/>
        <w:rPr>
          <w:rFonts w:ascii="宋体" w:hAnsi="宋体" w:eastAsia="宋体" w:cs="宋体"/>
          <w:sz w:val="24"/>
          <w:szCs w:val="20"/>
        </w:rPr>
      </w:pPr>
      <w:r>
        <w:rPr>
          <w:rFonts w:hint="eastAsia" w:ascii="宋体" w:hAnsi="宋体" w:eastAsia="宋体" w:cs="宋体"/>
          <w:sz w:val="24"/>
          <w:szCs w:val="20"/>
        </w:rPr>
        <w:t>备注：1.根据评分表的要求提交相应资料，如评分表未要求，则自行提供相关证明材料以供评委审核。</w:t>
      </w:r>
    </w:p>
    <w:p w14:paraId="2B309927">
      <w:pPr>
        <w:spacing w:line="360" w:lineRule="auto"/>
        <w:rPr>
          <w:rFonts w:ascii="宋体" w:hAnsi="宋体" w:eastAsia="宋体" w:cs="宋体"/>
          <w:sz w:val="24"/>
          <w:szCs w:val="20"/>
        </w:rPr>
      </w:pPr>
    </w:p>
    <w:p w14:paraId="6F9947E3">
      <w:pPr>
        <w:spacing w:line="360" w:lineRule="auto"/>
        <w:rPr>
          <w:rFonts w:ascii="宋体" w:hAnsi="宋体" w:eastAsia="宋体" w:cs="宋体"/>
          <w:sz w:val="24"/>
          <w:szCs w:val="20"/>
        </w:rPr>
      </w:pPr>
    </w:p>
    <w:p w14:paraId="39DBA239">
      <w:pPr>
        <w:spacing w:line="360" w:lineRule="auto"/>
        <w:rPr>
          <w:rFonts w:ascii="宋体" w:hAnsi="宋体" w:eastAsia="宋体" w:cs="宋体"/>
          <w:sz w:val="24"/>
          <w:szCs w:val="20"/>
        </w:rPr>
      </w:pPr>
    </w:p>
    <w:p w14:paraId="54D56288">
      <w:pPr>
        <w:spacing w:line="360" w:lineRule="auto"/>
        <w:rPr>
          <w:rFonts w:ascii="宋体" w:hAnsi="宋体" w:eastAsia="宋体" w:cs="宋体"/>
          <w:sz w:val="24"/>
          <w:szCs w:val="20"/>
        </w:rPr>
      </w:pPr>
    </w:p>
    <w:p w14:paraId="423AD32B">
      <w:pPr>
        <w:spacing w:line="360" w:lineRule="auto"/>
        <w:rPr>
          <w:rFonts w:ascii="宋体" w:hAnsi="宋体" w:eastAsia="宋体" w:cs="宋体"/>
          <w:sz w:val="24"/>
          <w:szCs w:val="20"/>
        </w:rPr>
      </w:pPr>
    </w:p>
    <w:p w14:paraId="2E93EB99">
      <w:pPr>
        <w:spacing w:line="360" w:lineRule="auto"/>
        <w:rPr>
          <w:rFonts w:ascii="宋体" w:hAnsi="宋体" w:eastAsia="宋体" w:cs="宋体"/>
          <w:sz w:val="24"/>
          <w:szCs w:val="20"/>
        </w:rPr>
      </w:pPr>
    </w:p>
    <w:p w14:paraId="40D13D45">
      <w:pPr>
        <w:spacing w:line="360" w:lineRule="auto"/>
        <w:rPr>
          <w:rFonts w:ascii="宋体" w:hAnsi="宋体" w:eastAsia="宋体" w:cs="宋体"/>
          <w:sz w:val="24"/>
          <w:szCs w:val="20"/>
          <w:u w:val="single"/>
        </w:rPr>
      </w:pPr>
      <w:r>
        <w:rPr>
          <w:rFonts w:hint="eastAsia" w:ascii="宋体" w:hAnsi="宋体" w:eastAsia="宋体" w:cs="宋体"/>
          <w:sz w:val="24"/>
          <w:szCs w:val="20"/>
        </w:rPr>
        <w:t>投标人名称（盖章）：</w:t>
      </w:r>
      <w:r>
        <w:rPr>
          <w:rFonts w:hint="eastAsia" w:ascii="宋体" w:hAnsi="宋体" w:eastAsia="宋体" w:cs="宋体"/>
          <w:sz w:val="24"/>
          <w:szCs w:val="20"/>
          <w:u w:val="single"/>
        </w:rPr>
        <w:t xml:space="preserve">                    </w:t>
      </w:r>
    </w:p>
    <w:p w14:paraId="39CF5514">
      <w:pPr>
        <w:spacing w:line="360" w:lineRule="auto"/>
        <w:rPr>
          <w:rFonts w:ascii="宋体" w:hAnsi="宋体" w:eastAsia="宋体" w:cs="宋体"/>
          <w:sz w:val="24"/>
          <w:szCs w:val="20"/>
        </w:rPr>
      </w:pPr>
      <w:r>
        <w:rPr>
          <w:rFonts w:hint="eastAsia" w:ascii="宋体" w:hAnsi="宋体" w:eastAsia="宋体" w:cs="宋体"/>
          <w:sz w:val="24"/>
          <w:szCs w:val="20"/>
        </w:rPr>
        <w:t>法定代表人（单位负责人）</w:t>
      </w:r>
    </w:p>
    <w:p w14:paraId="357390F2">
      <w:pPr>
        <w:spacing w:line="360" w:lineRule="auto"/>
        <w:rPr>
          <w:rFonts w:ascii="宋体" w:hAnsi="宋体" w:eastAsia="宋体" w:cs="宋体"/>
          <w:sz w:val="24"/>
          <w:szCs w:val="20"/>
          <w:u w:val="single"/>
        </w:rPr>
      </w:pPr>
      <w:r>
        <w:rPr>
          <w:rFonts w:hint="eastAsia" w:ascii="宋体" w:hAnsi="宋体" w:eastAsia="宋体" w:cs="宋体"/>
          <w:sz w:val="24"/>
          <w:szCs w:val="20"/>
        </w:rPr>
        <w:t>或授权代表（签字或盖章）：</w:t>
      </w:r>
      <w:r>
        <w:rPr>
          <w:rFonts w:hint="eastAsia" w:ascii="宋体" w:hAnsi="宋体" w:eastAsia="宋体" w:cs="宋体"/>
          <w:sz w:val="24"/>
          <w:szCs w:val="20"/>
          <w:u w:val="single"/>
        </w:rPr>
        <w:t xml:space="preserve">             </w:t>
      </w:r>
    </w:p>
    <w:p w14:paraId="3A2870B5">
      <w:pPr>
        <w:spacing w:line="360" w:lineRule="auto"/>
        <w:rPr>
          <w:rFonts w:ascii="宋体" w:hAnsi="宋体" w:eastAsia="宋体" w:cs="宋体"/>
          <w:sz w:val="24"/>
          <w:szCs w:val="20"/>
          <w:u w:val="single"/>
        </w:rPr>
      </w:pPr>
      <w:r>
        <w:rPr>
          <w:rFonts w:hint="eastAsia" w:ascii="宋体" w:hAnsi="宋体" w:eastAsia="宋体" w:cs="宋体"/>
          <w:sz w:val="24"/>
          <w:szCs w:val="20"/>
        </w:rPr>
        <w:t>日期:</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35BB0D10">
      <w:pPr>
        <w:spacing w:line="360" w:lineRule="auto"/>
        <w:rPr>
          <w:rFonts w:ascii="宋体" w:hAnsi="宋体" w:eastAsia="宋体" w:cs="宋体"/>
          <w:sz w:val="24"/>
          <w:szCs w:val="20"/>
          <w:u w:val="single"/>
        </w:rPr>
      </w:pPr>
    </w:p>
    <w:p w14:paraId="4BB92ABE">
      <w:pPr>
        <w:pStyle w:val="4"/>
      </w:pPr>
      <w:r>
        <w:rPr>
          <w:rFonts w:hint="eastAsia"/>
          <w:sz w:val="24"/>
          <w:szCs w:val="20"/>
          <w:u w:val="single"/>
        </w:rPr>
        <w:br w:type="page"/>
      </w:r>
      <w:r>
        <w:rPr>
          <w:rFonts w:hint="eastAsia"/>
        </w:rPr>
        <w:t>（八）认证证书一览表（如有）</w:t>
      </w:r>
    </w:p>
    <w:p w14:paraId="0B9F9823">
      <w:pPr>
        <w:spacing w:line="360" w:lineRule="auto"/>
        <w:rPr>
          <w:rFonts w:ascii="宋体" w:hAnsi="宋体" w:eastAsia="宋体" w:cs="宋体"/>
          <w:sz w:val="24"/>
          <w:szCs w:val="20"/>
        </w:rPr>
      </w:pPr>
      <w:r>
        <w:rPr>
          <w:rFonts w:hint="eastAsia" w:ascii="宋体" w:hAnsi="宋体" w:eastAsia="宋体" w:cs="宋体"/>
          <w:sz w:val="24"/>
          <w:szCs w:val="20"/>
        </w:rPr>
        <w:t xml:space="preserve">项目名称：                             </w:t>
      </w:r>
    </w:p>
    <w:p w14:paraId="04496654">
      <w:pPr>
        <w:spacing w:line="360" w:lineRule="auto"/>
        <w:rPr>
          <w:rFonts w:ascii="宋体" w:hAnsi="宋体" w:eastAsia="宋体" w:cs="宋体"/>
          <w:sz w:val="24"/>
          <w:szCs w:val="20"/>
        </w:rPr>
      </w:pPr>
      <w:r>
        <w:rPr>
          <w:rFonts w:hint="eastAsia" w:ascii="宋体" w:hAnsi="宋体" w:eastAsia="宋体" w:cs="宋体"/>
          <w:sz w:val="24"/>
          <w:szCs w:val="20"/>
        </w:rPr>
        <w:t>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430"/>
        <w:gridCol w:w="1660"/>
        <w:gridCol w:w="1660"/>
        <w:gridCol w:w="1661"/>
        <w:gridCol w:w="1661"/>
      </w:tblGrid>
      <w:tr w14:paraId="5ED7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noWrap/>
            <w:vAlign w:val="center"/>
          </w:tcPr>
          <w:p w14:paraId="6E4A7BDB">
            <w:pPr>
              <w:autoSpaceDE w:val="0"/>
              <w:autoSpaceDN w:val="0"/>
              <w:adjustRightIn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序号</w:t>
            </w:r>
          </w:p>
        </w:tc>
        <w:tc>
          <w:tcPr>
            <w:tcW w:w="2430" w:type="dxa"/>
            <w:noWrap/>
            <w:vAlign w:val="center"/>
          </w:tcPr>
          <w:p w14:paraId="788177C3">
            <w:pPr>
              <w:autoSpaceDE w:val="0"/>
              <w:autoSpaceDN w:val="0"/>
              <w:adjustRightInd w:val="0"/>
              <w:ind w:firstLine="240" w:firstLineChars="100"/>
              <w:jc w:val="center"/>
              <w:rPr>
                <w:rFonts w:ascii="Times New Roman" w:hAnsi="Times New Roman" w:eastAsia="宋体" w:cs="Times New Roman"/>
                <w:kern w:val="0"/>
                <w:sz w:val="24"/>
                <w:szCs w:val="20"/>
              </w:rPr>
            </w:pPr>
            <w:r>
              <w:rPr>
                <w:rFonts w:hint="eastAsia" w:ascii="宋体" w:hAnsi="宋体" w:eastAsia="宋体" w:cs="宋体"/>
                <w:kern w:val="0"/>
                <w:sz w:val="24"/>
                <w:szCs w:val="20"/>
                <w:lang w:val="zh-CN"/>
              </w:rPr>
              <w:t>证书名称</w:t>
            </w:r>
          </w:p>
        </w:tc>
        <w:tc>
          <w:tcPr>
            <w:tcW w:w="1660" w:type="dxa"/>
            <w:noWrap/>
            <w:vAlign w:val="center"/>
          </w:tcPr>
          <w:p w14:paraId="6B219C3C">
            <w:pPr>
              <w:autoSpaceDE w:val="0"/>
              <w:autoSpaceDN w:val="0"/>
              <w:adjustRightInd w:val="0"/>
              <w:ind w:firstLine="240" w:firstLineChars="100"/>
              <w:jc w:val="center"/>
              <w:rPr>
                <w:rFonts w:ascii="Times New Roman" w:hAnsi="Times New Roman" w:eastAsia="宋体" w:cs="Times New Roman"/>
                <w:kern w:val="0"/>
                <w:sz w:val="24"/>
                <w:szCs w:val="20"/>
              </w:rPr>
            </w:pPr>
            <w:r>
              <w:rPr>
                <w:rFonts w:hint="eastAsia" w:ascii="宋体" w:hAnsi="宋体" w:eastAsia="宋体" w:cs="宋体"/>
                <w:kern w:val="0"/>
                <w:sz w:val="24"/>
                <w:szCs w:val="20"/>
                <w:lang w:val="zh-CN"/>
              </w:rPr>
              <w:t>发证单位</w:t>
            </w:r>
          </w:p>
        </w:tc>
        <w:tc>
          <w:tcPr>
            <w:tcW w:w="1660" w:type="dxa"/>
            <w:noWrap/>
            <w:vAlign w:val="center"/>
          </w:tcPr>
          <w:p w14:paraId="7234308D">
            <w:pPr>
              <w:autoSpaceDE w:val="0"/>
              <w:autoSpaceDN w:val="0"/>
              <w:adjustRightInd w:val="0"/>
              <w:ind w:firstLine="240" w:firstLineChars="100"/>
              <w:jc w:val="center"/>
              <w:rPr>
                <w:rFonts w:ascii="Times New Roman" w:hAnsi="Times New Roman" w:eastAsia="宋体" w:cs="Times New Roman"/>
                <w:kern w:val="0"/>
                <w:sz w:val="24"/>
                <w:szCs w:val="20"/>
              </w:rPr>
            </w:pPr>
            <w:r>
              <w:rPr>
                <w:rFonts w:hint="eastAsia" w:ascii="宋体" w:hAnsi="宋体" w:eastAsia="宋体" w:cs="宋体"/>
                <w:kern w:val="0"/>
                <w:sz w:val="24"/>
                <w:szCs w:val="20"/>
                <w:lang w:val="zh-CN"/>
              </w:rPr>
              <w:t>证书等级</w:t>
            </w:r>
          </w:p>
        </w:tc>
        <w:tc>
          <w:tcPr>
            <w:tcW w:w="1661" w:type="dxa"/>
            <w:noWrap/>
            <w:vAlign w:val="center"/>
          </w:tcPr>
          <w:p w14:paraId="1DBAC623">
            <w:pPr>
              <w:autoSpaceDE w:val="0"/>
              <w:autoSpaceDN w:val="0"/>
              <w:adjustRightInd w:val="0"/>
              <w:ind w:firstLine="240" w:firstLineChars="100"/>
              <w:jc w:val="center"/>
              <w:rPr>
                <w:rFonts w:ascii="Times New Roman" w:hAnsi="Times New Roman" w:eastAsia="宋体" w:cs="Times New Roman"/>
                <w:kern w:val="0"/>
                <w:sz w:val="24"/>
                <w:szCs w:val="20"/>
              </w:rPr>
            </w:pPr>
            <w:r>
              <w:rPr>
                <w:rFonts w:hint="eastAsia" w:ascii="宋体" w:hAnsi="宋体" w:eastAsia="宋体" w:cs="宋体"/>
                <w:kern w:val="0"/>
                <w:sz w:val="24"/>
                <w:szCs w:val="20"/>
                <w:lang w:val="zh-CN"/>
              </w:rPr>
              <w:t>证书有效期</w:t>
            </w:r>
          </w:p>
        </w:tc>
        <w:tc>
          <w:tcPr>
            <w:tcW w:w="1661" w:type="dxa"/>
            <w:noWrap/>
          </w:tcPr>
          <w:p w14:paraId="08FA6843">
            <w:pPr>
              <w:keepNext/>
              <w:keepLines/>
              <w:spacing w:before="260" w:after="260"/>
              <w:jc w:val="center"/>
              <w:outlineLvl w:val="1"/>
              <w:rPr>
                <w:rFonts w:ascii="宋体" w:hAnsi="宋体" w:eastAsia="宋体" w:cs="宋体"/>
                <w:b/>
                <w:kern w:val="0"/>
                <w:sz w:val="24"/>
                <w:szCs w:val="20"/>
              </w:rPr>
            </w:pPr>
            <w:r>
              <w:rPr>
                <w:rFonts w:hint="eastAsia" w:ascii="宋体" w:hAnsi="宋体" w:eastAsia="宋体" w:cs="宋体"/>
                <w:bCs/>
                <w:kern w:val="0"/>
                <w:sz w:val="24"/>
                <w:szCs w:val="20"/>
              </w:rPr>
              <w:t>查阅/证明文件指引</w:t>
            </w:r>
          </w:p>
        </w:tc>
      </w:tr>
      <w:tr w14:paraId="7C93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noWrap/>
          </w:tcPr>
          <w:p w14:paraId="6656C800">
            <w:pPr>
              <w:keepNext/>
              <w:keepLines/>
              <w:spacing w:before="260" w:after="260" w:line="416" w:lineRule="auto"/>
              <w:outlineLvl w:val="1"/>
              <w:rPr>
                <w:rFonts w:ascii="Arial" w:hAnsi="Arial" w:eastAsia="黑体" w:cs="Times New Roman"/>
                <w:b/>
                <w:bCs/>
                <w:kern w:val="0"/>
                <w:sz w:val="32"/>
                <w:szCs w:val="32"/>
              </w:rPr>
            </w:pPr>
          </w:p>
        </w:tc>
        <w:tc>
          <w:tcPr>
            <w:tcW w:w="2430" w:type="dxa"/>
            <w:noWrap/>
          </w:tcPr>
          <w:p w14:paraId="69EB1B7C">
            <w:pPr>
              <w:keepNext/>
              <w:keepLines/>
              <w:spacing w:before="260" w:after="260" w:line="416" w:lineRule="auto"/>
              <w:outlineLvl w:val="1"/>
              <w:rPr>
                <w:rFonts w:ascii="Arial" w:hAnsi="Arial" w:eastAsia="黑体" w:cs="Times New Roman"/>
                <w:b/>
                <w:bCs/>
                <w:kern w:val="0"/>
                <w:sz w:val="32"/>
                <w:szCs w:val="32"/>
              </w:rPr>
            </w:pPr>
          </w:p>
        </w:tc>
        <w:tc>
          <w:tcPr>
            <w:tcW w:w="1660" w:type="dxa"/>
            <w:noWrap/>
          </w:tcPr>
          <w:p w14:paraId="285EA17E">
            <w:pPr>
              <w:keepNext/>
              <w:keepLines/>
              <w:spacing w:before="260" w:after="260" w:line="416" w:lineRule="auto"/>
              <w:outlineLvl w:val="1"/>
              <w:rPr>
                <w:rFonts w:ascii="Arial" w:hAnsi="Arial" w:eastAsia="黑体" w:cs="Times New Roman"/>
                <w:b/>
                <w:bCs/>
                <w:kern w:val="0"/>
                <w:sz w:val="32"/>
                <w:szCs w:val="32"/>
              </w:rPr>
            </w:pPr>
          </w:p>
        </w:tc>
        <w:tc>
          <w:tcPr>
            <w:tcW w:w="1660" w:type="dxa"/>
            <w:noWrap/>
          </w:tcPr>
          <w:p w14:paraId="48E37F81">
            <w:pPr>
              <w:keepNext/>
              <w:keepLines/>
              <w:spacing w:before="260" w:after="260" w:line="416" w:lineRule="auto"/>
              <w:outlineLvl w:val="1"/>
              <w:rPr>
                <w:rFonts w:ascii="Arial" w:hAnsi="Arial" w:eastAsia="黑体" w:cs="Times New Roman"/>
                <w:b/>
                <w:bCs/>
                <w:kern w:val="0"/>
                <w:sz w:val="32"/>
                <w:szCs w:val="32"/>
              </w:rPr>
            </w:pPr>
          </w:p>
        </w:tc>
        <w:tc>
          <w:tcPr>
            <w:tcW w:w="1661" w:type="dxa"/>
            <w:noWrap/>
          </w:tcPr>
          <w:p w14:paraId="1C9AEEAE">
            <w:pPr>
              <w:keepNext/>
              <w:keepLines/>
              <w:spacing w:before="260" w:after="260" w:line="416" w:lineRule="auto"/>
              <w:outlineLvl w:val="1"/>
              <w:rPr>
                <w:rFonts w:ascii="Arial" w:hAnsi="Arial" w:eastAsia="黑体" w:cs="Times New Roman"/>
                <w:b/>
                <w:bCs/>
                <w:kern w:val="0"/>
                <w:sz w:val="32"/>
                <w:szCs w:val="32"/>
              </w:rPr>
            </w:pPr>
          </w:p>
        </w:tc>
        <w:tc>
          <w:tcPr>
            <w:tcW w:w="1661" w:type="dxa"/>
            <w:noWrap/>
          </w:tcPr>
          <w:p w14:paraId="562F2550">
            <w:pPr>
              <w:keepNext/>
              <w:keepLines/>
              <w:spacing w:before="260" w:after="260" w:line="416" w:lineRule="auto"/>
              <w:outlineLvl w:val="1"/>
              <w:rPr>
                <w:rFonts w:ascii="宋体" w:hAnsi="宋体" w:eastAsia="宋体" w:cs="宋体"/>
                <w:b/>
                <w:kern w:val="0"/>
                <w:sz w:val="24"/>
                <w:szCs w:val="20"/>
              </w:rPr>
            </w:pPr>
          </w:p>
        </w:tc>
      </w:tr>
      <w:tr w14:paraId="3469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noWrap/>
          </w:tcPr>
          <w:p w14:paraId="18F07DAA">
            <w:pPr>
              <w:keepNext/>
              <w:keepLines/>
              <w:spacing w:before="260" w:after="260" w:line="416" w:lineRule="auto"/>
              <w:outlineLvl w:val="1"/>
              <w:rPr>
                <w:rFonts w:ascii="Arial" w:hAnsi="Arial" w:eastAsia="黑体" w:cs="Times New Roman"/>
                <w:b/>
                <w:bCs/>
                <w:kern w:val="0"/>
                <w:sz w:val="32"/>
                <w:szCs w:val="32"/>
              </w:rPr>
            </w:pPr>
          </w:p>
        </w:tc>
        <w:tc>
          <w:tcPr>
            <w:tcW w:w="2430" w:type="dxa"/>
            <w:noWrap/>
          </w:tcPr>
          <w:p w14:paraId="067F6AD5">
            <w:pPr>
              <w:keepNext/>
              <w:keepLines/>
              <w:spacing w:before="260" w:after="260" w:line="416" w:lineRule="auto"/>
              <w:outlineLvl w:val="1"/>
              <w:rPr>
                <w:rFonts w:ascii="Arial" w:hAnsi="Arial" w:eastAsia="黑体" w:cs="Times New Roman"/>
                <w:b/>
                <w:bCs/>
                <w:kern w:val="0"/>
                <w:sz w:val="32"/>
                <w:szCs w:val="32"/>
              </w:rPr>
            </w:pPr>
          </w:p>
        </w:tc>
        <w:tc>
          <w:tcPr>
            <w:tcW w:w="1660" w:type="dxa"/>
            <w:noWrap/>
          </w:tcPr>
          <w:p w14:paraId="4D44B8A3">
            <w:pPr>
              <w:keepNext/>
              <w:keepLines/>
              <w:spacing w:before="260" w:after="260" w:line="416" w:lineRule="auto"/>
              <w:outlineLvl w:val="1"/>
              <w:rPr>
                <w:rFonts w:ascii="Arial" w:hAnsi="Arial" w:eastAsia="黑体" w:cs="Times New Roman"/>
                <w:b/>
                <w:bCs/>
                <w:kern w:val="0"/>
                <w:sz w:val="32"/>
                <w:szCs w:val="32"/>
              </w:rPr>
            </w:pPr>
          </w:p>
        </w:tc>
        <w:tc>
          <w:tcPr>
            <w:tcW w:w="1660" w:type="dxa"/>
            <w:noWrap/>
          </w:tcPr>
          <w:p w14:paraId="4DCD59F7">
            <w:pPr>
              <w:keepNext/>
              <w:keepLines/>
              <w:spacing w:before="260" w:after="260" w:line="416" w:lineRule="auto"/>
              <w:outlineLvl w:val="1"/>
              <w:rPr>
                <w:rFonts w:ascii="Arial" w:hAnsi="Arial" w:eastAsia="黑体" w:cs="Times New Roman"/>
                <w:b/>
                <w:bCs/>
                <w:kern w:val="0"/>
                <w:sz w:val="32"/>
                <w:szCs w:val="32"/>
              </w:rPr>
            </w:pPr>
          </w:p>
        </w:tc>
        <w:tc>
          <w:tcPr>
            <w:tcW w:w="1661" w:type="dxa"/>
            <w:noWrap/>
          </w:tcPr>
          <w:p w14:paraId="4DCA235D">
            <w:pPr>
              <w:keepNext/>
              <w:keepLines/>
              <w:spacing w:before="260" w:after="260" w:line="416" w:lineRule="auto"/>
              <w:outlineLvl w:val="1"/>
              <w:rPr>
                <w:rFonts w:ascii="Arial" w:hAnsi="Arial" w:eastAsia="黑体" w:cs="Times New Roman"/>
                <w:b/>
                <w:bCs/>
                <w:kern w:val="0"/>
                <w:sz w:val="32"/>
                <w:szCs w:val="32"/>
              </w:rPr>
            </w:pPr>
          </w:p>
        </w:tc>
        <w:tc>
          <w:tcPr>
            <w:tcW w:w="1661" w:type="dxa"/>
            <w:noWrap/>
          </w:tcPr>
          <w:p w14:paraId="6C1766FE">
            <w:pPr>
              <w:keepNext/>
              <w:keepLines/>
              <w:spacing w:before="260" w:after="260" w:line="416" w:lineRule="auto"/>
              <w:outlineLvl w:val="1"/>
              <w:rPr>
                <w:rFonts w:ascii="Arial" w:hAnsi="Arial" w:eastAsia="黑体" w:cs="Times New Roman"/>
                <w:b/>
                <w:bCs/>
                <w:kern w:val="0"/>
                <w:sz w:val="32"/>
                <w:szCs w:val="32"/>
              </w:rPr>
            </w:pPr>
          </w:p>
        </w:tc>
      </w:tr>
    </w:tbl>
    <w:p w14:paraId="556AB8C2">
      <w:pPr>
        <w:spacing w:line="360" w:lineRule="auto"/>
        <w:jc w:val="left"/>
        <w:rPr>
          <w:rFonts w:ascii="宋体" w:hAnsi="宋体" w:eastAsia="宋体" w:cs="宋体"/>
          <w:sz w:val="24"/>
          <w:szCs w:val="24"/>
        </w:rPr>
      </w:pPr>
      <w:r>
        <w:rPr>
          <w:rFonts w:hint="eastAsia" w:ascii="宋体" w:hAnsi="宋体" w:eastAsia="宋体" w:cs="宋体"/>
          <w:sz w:val="24"/>
          <w:szCs w:val="24"/>
        </w:rPr>
        <w:t>注：1.填写投标人获得资质、认证、专利、奖励或企业信誉证书等。</w:t>
      </w:r>
    </w:p>
    <w:p w14:paraId="2C488865">
      <w:pPr>
        <w:spacing w:line="360" w:lineRule="auto"/>
        <w:rPr>
          <w:rFonts w:ascii="宋体" w:hAnsi="宋体" w:eastAsia="宋体" w:cs="宋体"/>
          <w:sz w:val="24"/>
          <w:szCs w:val="20"/>
        </w:rPr>
      </w:pPr>
    </w:p>
    <w:p w14:paraId="28A0820A">
      <w:pPr>
        <w:spacing w:line="360" w:lineRule="auto"/>
        <w:rPr>
          <w:rFonts w:ascii="宋体" w:hAnsi="宋体" w:eastAsia="宋体" w:cs="宋体"/>
          <w:sz w:val="24"/>
          <w:szCs w:val="20"/>
        </w:rPr>
      </w:pPr>
    </w:p>
    <w:p w14:paraId="4559568D">
      <w:pPr>
        <w:spacing w:line="360" w:lineRule="auto"/>
        <w:rPr>
          <w:rFonts w:ascii="宋体" w:hAnsi="宋体" w:eastAsia="宋体" w:cs="宋体"/>
          <w:sz w:val="24"/>
          <w:szCs w:val="20"/>
        </w:rPr>
      </w:pPr>
    </w:p>
    <w:p w14:paraId="774E20FE">
      <w:pPr>
        <w:spacing w:line="360" w:lineRule="auto"/>
        <w:rPr>
          <w:rFonts w:ascii="宋体" w:hAnsi="宋体" w:eastAsia="宋体" w:cs="宋体"/>
          <w:sz w:val="24"/>
          <w:szCs w:val="20"/>
        </w:rPr>
      </w:pPr>
    </w:p>
    <w:p w14:paraId="06581474">
      <w:pPr>
        <w:spacing w:line="360" w:lineRule="auto"/>
        <w:rPr>
          <w:rFonts w:ascii="宋体" w:hAnsi="宋体" w:eastAsia="宋体" w:cs="宋体"/>
          <w:sz w:val="24"/>
          <w:szCs w:val="20"/>
        </w:rPr>
      </w:pPr>
    </w:p>
    <w:p w14:paraId="33A2BCEA">
      <w:pPr>
        <w:spacing w:line="360" w:lineRule="auto"/>
        <w:rPr>
          <w:rFonts w:ascii="宋体" w:hAnsi="宋体" w:eastAsia="宋体" w:cs="宋体"/>
          <w:sz w:val="24"/>
          <w:szCs w:val="20"/>
        </w:rPr>
      </w:pPr>
    </w:p>
    <w:p w14:paraId="65863883">
      <w:pPr>
        <w:spacing w:line="360" w:lineRule="auto"/>
        <w:rPr>
          <w:rFonts w:ascii="宋体" w:hAnsi="宋体" w:eastAsia="宋体" w:cs="宋体"/>
          <w:sz w:val="24"/>
          <w:szCs w:val="20"/>
        </w:rPr>
      </w:pPr>
    </w:p>
    <w:p w14:paraId="40B587CB">
      <w:pPr>
        <w:spacing w:line="360" w:lineRule="auto"/>
        <w:rPr>
          <w:rFonts w:ascii="宋体" w:hAnsi="宋体" w:eastAsia="宋体" w:cs="宋体"/>
          <w:sz w:val="24"/>
          <w:szCs w:val="20"/>
        </w:rPr>
      </w:pPr>
    </w:p>
    <w:p w14:paraId="289C63E5">
      <w:pPr>
        <w:spacing w:line="360" w:lineRule="auto"/>
        <w:rPr>
          <w:rFonts w:ascii="宋体" w:hAnsi="宋体" w:eastAsia="宋体" w:cs="宋体"/>
          <w:sz w:val="24"/>
          <w:szCs w:val="20"/>
        </w:rPr>
      </w:pPr>
    </w:p>
    <w:p w14:paraId="434BE134">
      <w:pPr>
        <w:spacing w:line="360" w:lineRule="auto"/>
        <w:rPr>
          <w:rFonts w:ascii="宋体" w:hAnsi="宋体" w:eastAsia="宋体" w:cs="宋体"/>
          <w:sz w:val="24"/>
          <w:szCs w:val="20"/>
        </w:rPr>
      </w:pPr>
    </w:p>
    <w:p w14:paraId="1518BC9D">
      <w:pPr>
        <w:spacing w:line="360" w:lineRule="auto"/>
        <w:rPr>
          <w:rFonts w:ascii="宋体" w:hAnsi="宋体" w:eastAsia="宋体" w:cs="宋体"/>
          <w:sz w:val="24"/>
          <w:szCs w:val="20"/>
        </w:rPr>
      </w:pPr>
    </w:p>
    <w:p w14:paraId="141F9D62">
      <w:pPr>
        <w:spacing w:line="360" w:lineRule="auto"/>
        <w:rPr>
          <w:rFonts w:ascii="宋体" w:hAnsi="宋体" w:eastAsia="宋体" w:cs="宋体"/>
          <w:sz w:val="24"/>
          <w:szCs w:val="20"/>
          <w:u w:val="single"/>
        </w:rPr>
      </w:pPr>
      <w:r>
        <w:rPr>
          <w:rFonts w:hint="eastAsia" w:ascii="宋体" w:hAnsi="宋体" w:eastAsia="宋体" w:cs="宋体"/>
          <w:sz w:val="24"/>
          <w:szCs w:val="20"/>
        </w:rPr>
        <w:t>投标人名称（盖章）：</w:t>
      </w:r>
      <w:r>
        <w:rPr>
          <w:rFonts w:hint="eastAsia" w:ascii="宋体" w:hAnsi="宋体" w:eastAsia="宋体" w:cs="宋体"/>
          <w:sz w:val="24"/>
          <w:szCs w:val="20"/>
          <w:u w:val="single"/>
        </w:rPr>
        <w:t xml:space="preserve">                    </w:t>
      </w:r>
    </w:p>
    <w:p w14:paraId="1E4AF504">
      <w:pPr>
        <w:spacing w:line="360" w:lineRule="auto"/>
        <w:rPr>
          <w:rFonts w:ascii="宋体" w:hAnsi="宋体" w:eastAsia="宋体" w:cs="宋体"/>
          <w:sz w:val="24"/>
          <w:szCs w:val="20"/>
        </w:rPr>
      </w:pPr>
      <w:r>
        <w:rPr>
          <w:rFonts w:hint="eastAsia" w:ascii="宋体" w:hAnsi="宋体" w:eastAsia="宋体" w:cs="宋体"/>
          <w:sz w:val="24"/>
          <w:szCs w:val="20"/>
        </w:rPr>
        <w:t>法定代表人（单位负责人）</w:t>
      </w:r>
    </w:p>
    <w:p w14:paraId="54FE0BD0">
      <w:pPr>
        <w:spacing w:line="360" w:lineRule="auto"/>
        <w:rPr>
          <w:rFonts w:ascii="宋体" w:hAnsi="宋体" w:eastAsia="宋体" w:cs="宋体"/>
          <w:sz w:val="24"/>
          <w:szCs w:val="20"/>
          <w:u w:val="single"/>
        </w:rPr>
      </w:pPr>
      <w:r>
        <w:rPr>
          <w:rFonts w:hint="eastAsia" w:ascii="宋体" w:hAnsi="宋体" w:eastAsia="宋体" w:cs="宋体"/>
          <w:sz w:val="24"/>
          <w:szCs w:val="20"/>
        </w:rPr>
        <w:t>或授权代表（签字或盖章）：</w:t>
      </w:r>
      <w:r>
        <w:rPr>
          <w:rFonts w:hint="eastAsia" w:ascii="宋体" w:hAnsi="宋体" w:eastAsia="宋体" w:cs="宋体"/>
          <w:sz w:val="24"/>
          <w:szCs w:val="20"/>
          <w:u w:val="single"/>
        </w:rPr>
        <w:t xml:space="preserve">             </w:t>
      </w:r>
    </w:p>
    <w:p w14:paraId="2C0A694E">
      <w:pPr>
        <w:spacing w:line="360" w:lineRule="auto"/>
        <w:rPr>
          <w:rFonts w:ascii="宋体" w:hAnsi="宋体" w:eastAsia="宋体" w:cs="宋体"/>
          <w:sz w:val="24"/>
          <w:szCs w:val="20"/>
          <w:u w:val="single"/>
        </w:rPr>
      </w:pPr>
      <w:r>
        <w:rPr>
          <w:rFonts w:hint="eastAsia" w:ascii="宋体" w:hAnsi="宋体" w:eastAsia="宋体" w:cs="宋体"/>
          <w:sz w:val="24"/>
          <w:szCs w:val="20"/>
        </w:rPr>
        <w:t>日期:</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0C71C97F">
      <w:pPr>
        <w:pStyle w:val="4"/>
      </w:pPr>
      <w:r>
        <w:rPr>
          <w:sz w:val="24"/>
          <w:szCs w:val="20"/>
          <w:u w:val="single"/>
        </w:rPr>
        <w:br w:type="page"/>
      </w:r>
      <w:r>
        <w:rPr>
          <w:rFonts w:hint="eastAsia"/>
        </w:rPr>
        <w:t>（九）售后服务情况表</w:t>
      </w:r>
    </w:p>
    <w:p w14:paraId="42403B1F">
      <w:pPr>
        <w:spacing w:line="360" w:lineRule="auto"/>
        <w:rPr>
          <w:rFonts w:ascii="宋体" w:hAnsi="宋体" w:eastAsia="宋体" w:cs="宋体"/>
          <w:sz w:val="24"/>
          <w:szCs w:val="20"/>
        </w:rPr>
      </w:pPr>
      <w:r>
        <w:rPr>
          <w:rFonts w:hint="eastAsia" w:ascii="宋体" w:hAnsi="宋体" w:eastAsia="宋体" w:cs="宋体"/>
          <w:sz w:val="24"/>
          <w:szCs w:val="20"/>
        </w:rPr>
        <w:t xml:space="preserve">项目名称：                             </w:t>
      </w:r>
    </w:p>
    <w:p w14:paraId="61A6744A">
      <w:pPr>
        <w:spacing w:line="360" w:lineRule="auto"/>
        <w:rPr>
          <w:rFonts w:ascii="宋体" w:hAnsi="宋体" w:eastAsia="宋体" w:cs="宋体"/>
          <w:sz w:val="24"/>
          <w:szCs w:val="20"/>
        </w:rPr>
      </w:pPr>
      <w:r>
        <w:rPr>
          <w:rFonts w:hint="eastAsia" w:ascii="宋体" w:hAnsi="宋体" w:eastAsia="宋体" w:cs="宋体"/>
          <w:sz w:val="24"/>
          <w:szCs w:val="20"/>
        </w:rPr>
        <w:t>项目编号：</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4396"/>
        <w:gridCol w:w="2306"/>
        <w:gridCol w:w="1992"/>
        <w:gridCol w:w="634"/>
      </w:tblGrid>
      <w:tr w14:paraId="3F36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 w:type="pct"/>
            <w:noWrap/>
            <w:vAlign w:val="center"/>
          </w:tcPr>
          <w:p w14:paraId="360E01E3">
            <w:pPr>
              <w:autoSpaceDE w:val="0"/>
              <w:autoSpaceDN w:val="0"/>
              <w:adjustRightIn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序号</w:t>
            </w:r>
          </w:p>
        </w:tc>
        <w:tc>
          <w:tcPr>
            <w:tcW w:w="2206" w:type="pct"/>
            <w:noWrap/>
            <w:vAlign w:val="center"/>
          </w:tcPr>
          <w:p w14:paraId="3E9EDE58">
            <w:pPr>
              <w:autoSpaceDE w:val="0"/>
              <w:autoSpaceDN w:val="0"/>
              <w:adjustRightInd w:val="0"/>
              <w:ind w:firstLine="240" w:firstLineChars="100"/>
              <w:jc w:val="center"/>
              <w:rPr>
                <w:rFonts w:ascii="Times New Roman" w:hAnsi="Times New Roman" w:eastAsia="宋体" w:cs="Times New Roman"/>
                <w:kern w:val="0"/>
                <w:sz w:val="24"/>
                <w:szCs w:val="20"/>
              </w:rPr>
            </w:pPr>
            <w:r>
              <w:rPr>
                <w:rFonts w:hint="eastAsia" w:ascii="宋体" w:hAnsi="宋体" w:eastAsia="宋体" w:cs="宋体"/>
                <w:kern w:val="0"/>
                <w:sz w:val="24"/>
                <w:szCs w:val="20"/>
              </w:rPr>
              <w:t>内容</w:t>
            </w:r>
          </w:p>
        </w:tc>
        <w:tc>
          <w:tcPr>
            <w:tcW w:w="1157" w:type="pct"/>
            <w:noWrap/>
            <w:vAlign w:val="center"/>
          </w:tcPr>
          <w:p w14:paraId="7359E131">
            <w:pPr>
              <w:autoSpaceDE w:val="0"/>
              <w:autoSpaceDN w:val="0"/>
              <w:adjustRightIn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投标人承诺</w:t>
            </w:r>
          </w:p>
        </w:tc>
        <w:tc>
          <w:tcPr>
            <w:tcW w:w="999" w:type="pct"/>
            <w:noWrap/>
            <w:vAlign w:val="center"/>
          </w:tcPr>
          <w:p w14:paraId="290C79A7">
            <w:pPr>
              <w:autoSpaceDE w:val="0"/>
              <w:autoSpaceDN w:val="0"/>
              <w:adjustRightInd w:val="0"/>
              <w:rPr>
                <w:rFonts w:ascii="Times New Roman" w:hAnsi="Times New Roman" w:eastAsia="宋体" w:cs="Times New Roman"/>
                <w:kern w:val="0"/>
                <w:sz w:val="24"/>
                <w:szCs w:val="20"/>
              </w:rPr>
            </w:pPr>
            <w:r>
              <w:rPr>
                <w:rFonts w:hint="eastAsia" w:ascii="宋体" w:hAnsi="宋体" w:eastAsia="宋体" w:cs="宋体"/>
                <w:kern w:val="0"/>
                <w:sz w:val="24"/>
                <w:szCs w:val="20"/>
              </w:rPr>
              <w:t>查阅/证明文件指引</w:t>
            </w:r>
          </w:p>
        </w:tc>
        <w:tc>
          <w:tcPr>
            <w:tcW w:w="318" w:type="pct"/>
            <w:noWrap/>
            <w:vAlign w:val="center"/>
          </w:tcPr>
          <w:p w14:paraId="00710687">
            <w:pPr>
              <w:autoSpaceDE w:val="0"/>
              <w:autoSpaceDN w:val="0"/>
              <w:adjustRightInd w:val="0"/>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备注</w:t>
            </w:r>
          </w:p>
        </w:tc>
      </w:tr>
      <w:tr w14:paraId="432D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318" w:type="pct"/>
            <w:noWrap/>
            <w:vAlign w:val="center"/>
          </w:tcPr>
          <w:p w14:paraId="35A488CA">
            <w:pPr>
              <w:autoSpaceDE w:val="0"/>
              <w:autoSpaceDN w:val="0"/>
              <w:adjustRightInd w:val="0"/>
              <w:jc w:val="center"/>
              <w:rPr>
                <w:rFonts w:ascii="宋体" w:hAnsi="宋体" w:eastAsia="宋体" w:cs="宋体"/>
                <w:kern w:val="0"/>
                <w:sz w:val="24"/>
                <w:szCs w:val="20"/>
              </w:rPr>
            </w:pPr>
            <w:r>
              <w:rPr>
                <w:rFonts w:hint="eastAsia" w:ascii="宋体" w:hAnsi="宋体" w:eastAsia="宋体" w:cs="宋体"/>
                <w:kern w:val="0"/>
                <w:sz w:val="24"/>
                <w:szCs w:val="20"/>
              </w:rPr>
              <w:t>1</w:t>
            </w:r>
          </w:p>
        </w:tc>
        <w:tc>
          <w:tcPr>
            <w:tcW w:w="2206" w:type="pct"/>
            <w:noWrap/>
            <w:vAlign w:val="center"/>
          </w:tcPr>
          <w:p w14:paraId="528D2D62">
            <w:pPr>
              <w:autoSpaceDE w:val="0"/>
              <w:autoSpaceDN w:val="0"/>
              <w:adjustRightInd w:val="0"/>
              <w:rPr>
                <w:rFonts w:ascii="宋体" w:hAnsi="宋体" w:eastAsia="宋体" w:cs="宋体"/>
                <w:kern w:val="0"/>
                <w:sz w:val="24"/>
                <w:szCs w:val="20"/>
              </w:rPr>
            </w:pPr>
            <w:r>
              <w:rPr>
                <w:rFonts w:hint="eastAsia" w:ascii="宋体" w:hAnsi="宋体" w:eastAsia="宋体" w:cs="宋体"/>
                <w:kern w:val="0"/>
                <w:sz w:val="24"/>
                <w:szCs w:val="20"/>
              </w:rPr>
              <w:t>保修期内售后服务情况(可用附页和宣传材料)</w:t>
            </w:r>
          </w:p>
        </w:tc>
        <w:tc>
          <w:tcPr>
            <w:tcW w:w="1157" w:type="pct"/>
            <w:noWrap/>
            <w:vAlign w:val="center"/>
          </w:tcPr>
          <w:p w14:paraId="68F544E2">
            <w:pPr>
              <w:autoSpaceDE w:val="0"/>
              <w:autoSpaceDN w:val="0"/>
              <w:adjustRightInd w:val="0"/>
              <w:rPr>
                <w:rFonts w:ascii="宋体" w:hAnsi="宋体" w:eastAsia="宋体" w:cs="宋体"/>
                <w:kern w:val="0"/>
                <w:sz w:val="24"/>
                <w:szCs w:val="20"/>
              </w:rPr>
            </w:pPr>
            <w:r>
              <w:rPr>
                <w:rFonts w:hint="eastAsia" w:ascii="宋体" w:hAnsi="宋体" w:eastAsia="宋体" w:cs="宋体"/>
                <w:kern w:val="0"/>
                <w:sz w:val="24"/>
                <w:szCs w:val="20"/>
              </w:rPr>
              <w:t>投标人售后服务情况：</w:t>
            </w:r>
          </w:p>
        </w:tc>
        <w:tc>
          <w:tcPr>
            <w:tcW w:w="999" w:type="pct"/>
            <w:noWrap/>
            <w:vAlign w:val="center"/>
          </w:tcPr>
          <w:p w14:paraId="1752A87D">
            <w:pPr>
              <w:autoSpaceDE w:val="0"/>
              <w:autoSpaceDN w:val="0"/>
              <w:adjustRightInd w:val="0"/>
              <w:rPr>
                <w:rFonts w:ascii="宋体" w:hAnsi="宋体" w:eastAsia="宋体" w:cs="宋体"/>
                <w:kern w:val="0"/>
                <w:sz w:val="24"/>
                <w:szCs w:val="20"/>
              </w:rPr>
            </w:pPr>
          </w:p>
        </w:tc>
        <w:tc>
          <w:tcPr>
            <w:tcW w:w="318" w:type="pct"/>
            <w:noWrap/>
            <w:vAlign w:val="center"/>
          </w:tcPr>
          <w:p w14:paraId="50D75843">
            <w:pPr>
              <w:autoSpaceDE w:val="0"/>
              <w:autoSpaceDN w:val="0"/>
              <w:adjustRightInd w:val="0"/>
              <w:jc w:val="center"/>
              <w:rPr>
                <w:rFonts w:ascii="宋体" w:hAnsi="宋体" w:eastAsia="宋体" w:cs="宋体"/>
                <w:kern w:val="0"/>
                <w:sz w:val="24"/>
                <w:szCs w:val="20"/>
              </w:rPr>
            </w:pPr>
          </w:p>
        </w:tc>
      </w:tr>
      <w:tr w14:paraId="500F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 w:type="pct"/>
            <w:noWrap/>
            <w:vAlign w:val="center"/>
          </w:tcPr>
          <w:p w14:paraId="2DBCB584">
            <w:pPr>
              <w:autoSpaceDE w:val="0"/>
              <w:autoSpaceDN w:val="0"/>
              <w:adjustRightInd w:val="0"/>
              <w:jc w:val="center"/>
              <w:rPr>
                <w:rFonts w:ascii="宋体" w:hAnsi="宋体" w:eastAsia="宋体" w:cs="宋体"/>
                <w:kern w:val="0"/>
                <w:sz w:val="24"/>
                <w:szCs w:val="20"/>
              </w:rPr>
            </w:pPr>
            <w:r>
              <w:rPr>
                <w:rFonts w:hint="eastAsia" w:ascii="宋体" w:hAnsi="宋体" w:eastAsia="宋体" w:cs="宋体"/>
                <w:kern w:val="0"/>
                <w:sz w:val="24"/>
                <w:szCs w:val="20"/>
              </w:rPr>
              <w:t>2</w:t>
            </w:r>
          </w:p>
        </w:tc>
        <w:tc>
          <w:tcPr>
            <w:tcW w:w="2206" w:type="pct"/>
            <w:noWrap/>
            <w:vAlign w:val="center"/>
          </w:tcPr>
          <w:p w14:paraId="1ACD0A80">
            <w:pPr>
              <w:autoSpaceDE w:val="0"/>
              <w:autoSpaceDN w:val="0"/>
              <w:adjustRightInd w:val="0"/>
              <w:rPr>
                <w:rFonts w:ascii="宋体" w:hAnsi="宋体" w:eastAsia="宋体" w:cs="宋体"/>
                <w:kern w:val="0"/>
                <w:sz w:val="24"/>
                <w:szCs w:val="20"/>
              </w:rPr>
            </w:pPr>
            <w:r>
              <w:rPr>
                <w:rFonts w:hint="eastAsia" w:ascii="宋体" w:hAnsi="宋体" w:eastAsia="宋体" w:cs="宋体"/>
                <w:kern w:val="0"/>
                <w:sz w:val="24"/>
                <w:szCs w:val="20"/>
              </w:rPr>
              <w:t>保修期后售后服务</w:t>
            </w:r>
          </w:p>
        </w:tc>
        <w:tc>
          <w:tcPr>
            <w:tcW w:w="1157" w:type="pct"/>
            <w:noWrap/>
            <w:vAlign w:val="center"/>
          </w:tcPr>
          <w:p w14:paraId="5B4E97B0">
            <w:pPr>
              <w:autoSpaceDE w:val="0"/>
              <w:autoSpaceDN w:val="0"/>
              <w:adjustRightInd w:val="0"/>
              <w:rPr>
                <w:rFonts w:ascii="宋体" w:hAnsi="宋体" w:eastAsia="宋体" w:cs="宋体"/>
                <w:kern w:val="0"/>
                <w:sz w:val="24"/>
                <w:szCs w:val="20"/>
              </w:rPr>
            </w:pPr>
          </w:p>
        </w:tc>
        <w:tc>
          <w:tcPr>
            <w:tcW w:w="999" w:type="pct"/>
            <w:noWrap/>
            <w:vAlign w:val="center"/>
          </w:tcPr>
          <w:p w14:paraId="36E7E939">
            <w:pPr>
              <w:autoSpaceDE w:val="0"/>
              <w:autoSpaceDN w:val="0"/>
              <w:adjustRightInd w:val="0"/>
              <w:rPr>
                <w:rFonts w:ascii="宋体" w:hAnsi="宋体" w:eastAsia="宋体" w:cs="宋体"/>
                <w:kern w:val="0"/>
                <w:sz w:val="24"/>
                <w:szCs w:val="20"/>
              </w:rPr>
            </w:pPr>
          </w:p>
        </w:tc>
        <w:tc>
          <w:tcPr>
            <w:tcW w:w="318" w:type="pct"/>
            <w:noWrap/>
            <w:vAlign w:val="center"/>
          </w:tcPr>
          <w:p w14:paraId="6F956795">
            <w:pPr>
              <w:autoSpaceDE w:val="0"/>
              <w:autoSpaceDN w:val="0"/>
              <w:adjustRightInd w:val="0"/>
              <w:jc w:val="center"/>
              <w:rPr>
                <w:rFonts w:ascii="宋体" w:hAnsi="宋体" w:eastAsia="宋体" w:cs="宋体"/>
                <w:kern w:val="0"/>
                <w:sz w:val="24"/>
                <w:szCs w:val="20"/>
              </w:rPr>
            </w:pPr>
          </w:p>
        </w:tc>
      </w:tr>
      <w:tr w14:paraId="4FE2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 w:type="pct"/>
            <w:noWrap/>
            <w:vAlign w:val="center"/>
          </w:tcPr>
          <w:p w14:paraId="6C0F876A">
            <w:pPr>
              <w:autoSpaceDE w:val="0"/>
              <w:autoSpaceDN w:val="0"/>
              <w:adjustRightInd w:val="0"/>
              <w:jc w:val="center"/>
              <w:rPr>
                <w:rFonts w:ascii="宋体" w:hAnsi="宋体" w:eastAsia="宋体" w:cs="宋体"/>
                <w:kern w:val="0"/>
                <w:sz w:val="24"/>
                <w:szCs w:val="20"/>
              </w:rPr>
            </w:pPr>
            <w:r>
              <w:rPr>
                <w:rFonts w:hint="eastAsia" w:ascii="宋体" w:hAnsi="宋体" w:eastAsia="宋体" w:cs="宋体"/>
                <w:kern w:val="0"/>
                <w:sz w:val="24"/>
                <w:szCs w:val="20"/>
              </w:rPr>
              <w:t>3</w:t>
            </w:r>
          </w:p>
        </w:tc>
        <w:tc>
          <w:tcPr>
            <w:tcW w:w="2206" w:type="pct"/>
            <w:noWrap/>
            <w:vAlign w:val="center"/>
          </w:tcPr>
          <w:p w14:paraId="4536C227">
            <w:pPr>
              <w:autoSpaceDE w:val="0"/>
              <w:autoSpaceDN w:val="0"/>
              <w:adjustRightInd w:val="0"/>
              <w:rPr>
                <w:rFonts w:ascii="宋体" w:hAnsi="宋体" w:eastAsia="宋体" w:cs="宋体"/>
                <w:kern w:val="0"/>
                <w:sz w:val="24"/>
                <w:szCs w:val="20"/>
              </w:rPr>
            </w:pPr>
            <w:r>
              <w:rPr>
                <w:rFonts w:hint="eastAsia" w:ascii="宋体" w:hAnsi="宋体" w:eastAsia="宋体" w:cs="宋体"/>
                <w:kern w:val="0"/>
                <w:sz w:val="24"/>
                <w:szCs w:val="20"/>
              </w:rPr>
              <w:t>培训方案（可用附页）</w:t>
            </w:r>
          </w:p>
        </w:tc>
        <w:tc>
          <w:tcPr>
            <w:tcW w:w="1157" w:type="pct"/>
            <w:noWrap/>
            <w:vAlign w:val="center"/>
          </w:tcPr>
          <w:p w14:paraId="40AA22FB">
            <w:pPr>
              <w:autoSpaceDE w:val="0"/>
              <w:autoSpaceDN w:val="0"/>
              <w:adjustRightInd w:val="0"/>
              <w:rPr>
                <w:rFonts w:ascii="宋体" w:hAnsi="宋体" w:eastAsia="宋体" w:cs="宋体"/>
                <w:kern w:val="0"/>
                <w:sz w:val="24"/>
                <w:szCs w:val="20"/>
              </w:rPr>
            </w:pPr>
          </w:p>
        </w:tc>
        <w:tc>
          <w:tcPr>
            <w:tcW w:w="999" w:type="pct"/>
            <w:noWrap/>
            <w:vAlign w:val="center"/>
          </w:tcPr>
          <w:p w14:paraId="2113366E">
            <w:pPr>
              <w:autoSpaceDE w:val="0"/>
              <w:autoSpaceDN w:val="0"/>
              <w:adjustRightInd w:val="0"/>
              <w:rPr>
                <w:rFonts w:ascii="宋体" w:hAnsi="宋体" w:eastAsia="宋体" w:cs="宋体"/>
                <w:kern w:val="0"/>
                <w:sz w:val="24"/>
                <w:szCs w:val="20"/>
              </w:rPr>
            </w:pPr>
          </w:p>
        </w:tc>
        <w:tc>
          <w:tcPr>
            <w:tcW w:w="318" w:type="pct"/>
            <w:noWrap/>
            <w:vAlign w:val="center"/>
          </w:tcPr>
          <w:p w14:paraId="61D7D80C">
            <w:pPr>
              <w:autoSpaceDE w:val="0"/>
              <w:autoSpaceDN w:val="0"/>
              <w:adjustRightInd w:val="0"/>
              <w:jc w:val="center"/>
              <w:rPr>
                <w:rFonts w:ascii="宋体" w:hAnsi="宋体" w:eastAsia="宋体" w:cs="宋体"/>
                <w:kern w:val="0"/>
                <w:sz w:val="24"/>
                <w:szCs w:val="20"/>
              </w:rPr>
            </w:pPr>
          </w:p>
        </w:tc>
      </w:tr>
    </w:tbl>
    <w:p w14:paraId="292FA8E6">
      <w:pPr>
        <w:spacing w:line="360" w:lineRule="auto"/>
        <w:rPr>
          <w:rFonts w:ascii="宋体" w:hAnsi="宋体" w:eastAsia="宋体" w:cs="宋体"/>
          <w:sz w:val="24"/>
          <w:szCs w:val="20"/>
        </w:rPr>
      </w:pPr>
    </w:p>
    <w:p w14:paraId="31189C32">
      <w:pPr>
        <w:spacing w:line="360" w:lineRule="auto"/>
        <w:rPr>
          <w:rFonts w:ascii="宋体" w:hAnsi="宋体" w:eastAsia="宋体" w:cs="宋体"/>
          <w:sz w:val="24"/>
          <w:szCs w:val="20"/>
        </w:rPr>
      </w:pPr>
    </w:p>
    <w:p w14:paraId="39578D47">
      <w:pPr>
        <w:spacing w:line="360" w:lineRule="auto"/>
        <w:rPr>
          <w:rFonts w:ascii="宋体" w:hAnsi="宋体" w:eastAsia="宋体" w:cs="宋体"/>
          <w:sz w:val="24"/>
          <w:szCs w:val="20"/>
        </w:rPr>
      </w:pPr>
    </w:p>
    <w:p w14:paraId="61C4A626">
      <w:pPr>
        <w:spacing w:line="360" w:lineRule="auto"/>
        <w:rPr>
          <w:rFonts w:ascii="宋体" w:hAnsi="宋体" w:eastAsia="宋体" w:cs="宋体"/>
          <w:sz w:val="24"/>
          <w:szCs w:val="20"/>
        </w:rPr>
      </w:pPr>
    </w:p>
    <w:p w14:paraId="6D7DE98A">
      <w:pPr>
        <w:spacing w:line="360" w:lineRule="auto"/>
        <w:rPr>
          <w:rFonts w:ascii="宋体" w:hAnsi="宋体" w:eastAsia="宋体" w:cs="宋体"/>
          <w:sz w:val="24"/>
          <w:szCs w:val="20"/>
        </w:rPr>
      </w:pPr>
    </w:p>
    <w:p w14:paraId="09CACC59">
      <w:pPr>
        <w:spacing w:line="360" w:lineRule="auto"/>
        <w:rPr>
          <w:rFonts w:ascii="宋体" w:hAnsi="宋体" w:eastAsia="宋体" w:cs="宋体"/>
          <w:sz w:val="24"/>
          <w:szCs w:val="20"/>
        </w:rPr>
      </w:pPr>
    </w:p>
    <w:p w14:paraId="571D889C">
      <w:pPr>
        <w:spacing w:line="360" w:lineRule="auto"/>
        <w:rPr>
          <w:rFonts w:ascii="宋体" w:hAnsi="宋体" w:eastAsia="宋体" w:cs="宋体"/>
          <w:sz w:val="24"/>
          <w:szCs w:val="20"/>
        </w:rPr>
      </w:pPr>
    </w:p>
    <w:p w14:paraId="0A2E3A0E">
      <w:pPr>
        <w:spacing w:line="360" w:lineRule="auto"/>
        <w:rPr>
          <w:rFonts w:ascii="宋体" w:hAnsi="宋体" w:eastAsia="宋体" w:cs="宋体"/>
          <w:sz w:val="24"/>
          <w:szCs w:val="20"/>
        </w:rPr>
      </w:pPr>
    </w:p>
    <w:p w14:paraId="543CF486">
      <w:pPr>
        <w:spacing w:line="360" w:lineRule="auto"/>
        <w:rPr>
          <w:rFonts w:ascii="宋体" w:hAnsi="宋体" w:eastAsia="宋体" w:cs="宋体"/>
          <w:sz w:val="24"/>
          <w:szCs w:val="20"/>
        </w:rPr>
      </w:pPr>
    </w:p>
    <w:p w14:paraId="1DAF3A84">
      <w:pPr>
        <w:spacing w:line="360" w:lineRule="auto"/>
        <w:rPr>
          <w:rFonts w:ascii="宋体" w:hAnsi="宋体" w:eastAsia="宋体" w:cs="宋体"/>
          <w:sz w:val="24"/>
          <w:szCs w:val="20"/>
        </w:rPr>
      </w:pPr>
    </w:p>
    <w:p w14:paraId="5375ADB9">
      <w:pPr>
        <w:spacing w:line="360" w:lineRule="auto"/>
        <w:rPr>
          <w:rFonts w:ascii="宋体" w:hAnsi="宋体" w:eastAsia="宋体" w:cs="宋体"/>
          <w:sz w:val="24"/>
          <w:szCs w:val="20"/>
        </w:rPr>
      </w:pPr>
    </w:p>
    <w:p w14:paraId="2DF544F1">
      <w:pPr>
        <w:spacing w:line="360" w:lineRule="auto"/>
        <w:rPr>
          <w:rFonts w:ascii="宋体" w:hAnsi="宋体" w:eastAsia="宋体" w:cs="宋体"/>
          <w:sz w:val="24"/>
          <w:szCs w:val="20"/>
        </w:rPr>
      </w:pPr>
    </w:p>
    <w:p w14:paraId="05DAA85E">
      <w:pPr>
        <w:spacing w:line="360" w:lineRule="auto"/>
        <w:rPr>
          <w:rFonts w:ascii="宋体" w:hAnsi="宋体" w:eastAsia="宋体" w:cs="宋体"/>
          <w:sz w:val="24"/>
          <w:szCs w:val="20"/>
        </w:rPr>
      </w:pPr>
    </w:p>
    <w:p w14:paraId="37637E6D">
      <w:pPr>
        <w:spacing w:line="360" w:lineRule="auto"/>
        <w:rPr>
          <w:rFonts w:ascii="宋体" w:hAnsi="宋体" w:eastAsia="宋体" w:cs="宋体"/>
          <w:sz w:val="24"/>
          <w:szCs w:val="20"/>
          <w:u w:val="single"/>
        </w:rPr>
      </w:pPr>
      <w:r>
        <w:rPr>
          <w:rFonts w:hint="eastAsia" w:ascii="宋体" w:hAnsi="宋体" w:eastAsia="宋体" w:cs="宋体"/>
          <w:sz w:val="24"/>
          <w:szCs w:val="20"/>
        </w:rPr>
        <w:t>投标人名称（盖章）：</w:t>
      </w:r>
      <w:r>
        <w:rPr>
          <w:rFonts w:hint="eastAsia" w:ascii="宋体" w:hAnsi="宋体" w:eastAsia="宋体" w:cs="宋体"/>
          <w:sz w:val="24"/>
          <w:szCs w:val="20"/>
          <w:u w:val="single"/>
        </w:rPr>
        <w:t xml:space="preserve">                    </w:t>
      </w:r>
    </w:p>
    <w:p w14:paraId="375BC2E2">
      <w:pPr>
        <w:spacing w:line="360" w:lineRule="auto"/>
        <w:rPr>
          <w:rFonts w:ascii="宋体" w:hAnsi="宋体" w:eastAsia="宋体" w:cs="宋体"/>
          <w:sz w:val="24"/>
          <w:szCs w:val="20"/>
        </w:rPr>
      </w:pPr>
      <w:r>
        <w:rPr>
          <w:rFonts w:hint="eastAsia" w:ascii="宋体" w:hAnsi="宋体" w:eastAsia="宋体" w:cs="宋体"/>
          <w:sz w:val="24"/>
          <w:szCs w:val="20"/>
        </w:rPr>
        <w:t>法定代表人（单位负责人）</w:t>
      </w:r>
    </w:p>
    <w:p w14:paraId="6ED45E77">
      <w:pPr>
        <w:spacing w:line="360" w:lineRule="auto"/>
        <w:rPr>
          <w:rFonts w:ascii="宋体" w:hAnsi="宋体" w:eastAsia="宋体" w:cs="宋体"/>
          <w:sz w:val="24"/>
          <w:szCs w:val="20"/>
          <w:u w:val="single"/>
        </w:rPr>
      </w:pPr>
      <w:r>
        <w:rPr>
          <w:rFonts w:hint="eastAsia" w:ascii="宋体" w:hAnsi="宋体" w:eastAsia="宋体" w:cs="宋体"/>
          <w:sz w:val="24"/>
          <w:szCs w:val="20"/>
        </w:rPr>
        <w:t>或授权代表（签字或盖章）：</w:t>
      </w:r>
      <w:r>
        <w:rPr>
          <w:rFonts w:hint="eastAsia" w:ascii="宋体" w:hAnsi="宋体" w:eastAsia="宋体" w:cs="宋体"/>
          <w:sz w:val="24"/>
          <w:szCs w:val="20"/>
          <w:u w:val="single"/>
        </w:rPr>
        <w:t xml:space="preserve">             </w:t>
      </w:r>
    </w:p>
    <w:p w14:paraId="14166CA8">
      <w:pPr>
        <w:spacing w:line="360" w:lineRule="auto"/>
        <w:rPr>
          <w:rFonts w:ascii="宋体" w:hAnsi="宋体" w:eastAsia="宋体" w:cs="宋体"/>
          <w:sz w:val="24"/>
          <w:szCs w:val="20"/>
          <w:u w:val="single"/>
        </w:rPr>
      </w:pPr>
      <w:r>
        <w:rPr>
          <w:rFonts w:hint="eastAsia" w:ascii="宋体" w:hAnsi="宋体" w:eastAsia="宋体" w:cs="宋体"/>
          <w:sz w:val="24"/>
          <w:szCs w:val="20"/>
        </w:rPr>
        <w:t>日期:</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201E14D5">
      <w:pPr>
        <w:pStyle w:val="4"/>
        <w:rPr>
          <w:kern w:val="0"/>
        </w:rPr>
      </w:pPr>
      <w:r>
        <w:rPr>
          <w:rFonts w:hint="eastAsia"/>
          <w:sz w:val="24"/>
          <w:szCs w:val="20"/>
          <w:u w:val="single"/>
        </w:rPr>
        <w:br w:type="page"/>
      </w:r>
      <w:r>
        <w:rPr>
          <w:rFonts w:hint="eastAsia"/>
        </w:rPr>
        <w:t>（十）</w:t>
      </w:r>
      <w:r>
        <w:rPr>
          <w:rFonts w:hint="eastAsia"/>
          <w:kern w:val="0"/>
        </w:rPr>
        <w:t>承诺函</w:t>
      </w:r>
    </w:p>
    <w:p w14:paraId="17B3A045">
      <w:pPr>
        <w:spacing w:line="360" w:lineRule="auto"/>
        <w:rPr>
          <w:rFonts w:ascii="宋体" w:hAnsi="宋体" w:eastAsia="宋体" w:cs="宋体"/>
          <w:sz w:val="24"/>
          <w:szCs w:val="20"/>
          <w:u w:val="single"/>
        </w:rPr>
      </w:pPr>
    </w:p>
    <w:p w14:paraId="1904E5E3">
      <w:pPr>
        <w:spacing w:line="360" w:lineRule="auto"/>
        <w:rPr>
          <w:rFonts w:ascii="宋体" w:hAnsi="宋体" w:eastAsia="宋体" w:cs="宋体"/>
          <w:sz w:val="24"/>
          <w:szCs w:val="20"/>
        </w:rPr>
      </w:pPr>
      <w:r>
        <w:rPr>
          <w:rFonts w:hint="eastAsia" w:ascii="宋体" w:hAnsi="宋体" w:eastAsia="宋体" w:cs="宋体"/>
          <w:sz w:val="24"/>
          <w:szCs w:val="20"/>
          <w:u w:val="single"/>
        </w:rPr>
        <w:t>（采购人名称及采购代理机构名称）</w:t>
      </w:r>
      <w:r>
        <w:rPr>
          <w:rFonts w:hint="eastAsia" w:ascii="宋体" w:hAnsi="宋体" w:eastAsia="宋体" w:cs="宋体"/>
          <w:sz w:val="24"/>
          <w:szCs w:val="20"/>
        </w:rPr>
        <w:t xml:space="preserve">： </w:t>
      </w:r>
    </w:p>
    <w:p w14:paraId="7AAF6F3E">
      <w:pPr>
        <w:spacing w:line="360" w:lineRule="auto"/>
        <w:ind w:firstLine="240" w:firstLineChars="100"/>
        <w:rPr>
          <w:rFonts w:ascii="宋体" w:hAnsi="宋体" w:eastAsia="宋体" w:cs="宋体"/>
          <w:sz w:val="24"/>
          <w:szCs w:val="20"/>
        </w:rPr>
      </w:pPr>
      <w:r>
        <w:rPr>
          <w:rFonts w:hint="eastAsia" w:ascii="宋体" w:hAnsi="宋体" w:eastAsia="宋体" w:cs="宋体"/>
          <w:sz w:val="24"/>
          <w:szCs w:val="20"/>
        </w:rPr>
        <w:t>关于贵公司_______年______月____日发布</w:t>
      </w:r>
      <w:r>
        <w:rPr>
          <w:rFonts w:hint="eastAsia" w:ascii="宋体" w:hAnsi="宋体" w:eastAsia="宋体" w:cs="宋体"/>
          <w:sz w:val="24"/>
          <w:szCs w:val="20"/>
          <w:u w:val="single"/>
        </w:rPr>
        <w:t>（项目名称及项目编号）</w:t>
      </w:r>
      <w:r>
        <w:rPr>
          <w:rFonts w:hint="eastAsia" w:ascii="宋体" w:hAnsi="宋体" w:eastAsia="宋体" w:cs="宋体"/>
          <w:sz w:val="24"/>
          <w:szCs w:val="20"/>
        </w:rPr>
        <w:t xml:space="preserve">的采购公告，本公司（企业）愿意参加投标，并承诺： </w:t>
      </w:r>
    </w:p>
    <w:p w14:paraId="782FCE43">
      <w:pPr>
        <w:spacing w:line="360" w:lineRule="auto"/>
        <w:ind w:firstLine="240" w:firstLineChars="100"/>
        <w:rPr>
          <w:rFonts w:ascii="宋体" w:hAnsi="宋体" w:eastAsia="宋体" w:cs="宋体"/>
          <w:sz w:val="24"/>
          <w:szCs w:val="20"/>
        </w:rPr>
      </w:pPr>
      <w:r>
        <w:rPr>
          <w:rFonts w:hint="eastAsia" w:ascii="宋体" w:hAnsi="宋体" w:eastAsia="宋体" w:cs="宋体"/>
          <w:sz w:val="24"/>
          <w:szCs w:val="20"/>
        </w:rPr>
        <w:t>1.我公司承诺为本项目提供的质保期为</w:t>
      </w:r>
      <w:r>
        <w:rPr>
          <w:rFonts w:hint="eastAsia" w:ascii="宋体" w:hAnsi="宋体" w:eastAsia="宋体" w:cs="宋体"/>
          <w:sz w:val="24"/>
          <w:szCs w:val="20"/>
          <w:u w:val="single"/>
        </w:rPr>
        <w:t xml:space="preserve">          </w:t>
      </w:r>
      <w:r>
        <w:rPr>
          <w:rFonts w:hint="eastAsia" w:ascii="宋体" w:hAnsi="宋体" w:eastAsia="宋体" w:cs="宋体"/>
          <w:sz w:val="24"/>
          <w:szCs w:val="20"/>
        </w:rPr>
        <w:t xml:space="preserve">；自验收合格并经采购人与我公司双方书面确认之日起计算，质保期内我公司对所供货物实行包修、包换、包退、包维护保养。 </w:t>
      </w:r>
    </w:p>
    <w:p w14:paraId="336D6561">
      <w:pPr>
        <w:spacing w:line="360" w:lineRule="auto"/>
        <w:ind w:firstLine="240" w:firstLineChars="100"/>
        <w:rPr>
          <w:rFonts w:ascii="宋体" w:hAnsi="宋体" w:eastAsia="宋体" w:cs="宋体"/>
          <w:sz w:val="24"/>
          <w:szCs w:val="20"/>
        </w:rPr>
      </w:pPr>
      <w:r>
        <w:rPr>
          <w:rFonts w:hint="eastAsia" w:ascii="宋体" w:hAnsi="宋体" w:eastAsia="宋体" w:cs="宋体"/>
          <w:sz w:val="24"/>
          <w:szCs w:val="20"/>
        </w:rPr>
        <w:t xml:space="preserve">2.我公司承诺在采购人现有的场地、配置等条件下，我公司保证设备、系统调试至采购人在 </w:t>
      </w:r>
    </w:p>
    <w:p w14:paraId="33EA2E83">
      <w:pPr>
        <w:spacing w:line="360" w:lineRule="auto"/>
        <w:rPr>
          <w:rFonts w:ascii="宋体" w:hAnsi="宋体" w:eastAsia="宋体" w:cs="宋体"/>
          <w:sz w:val="24"/>
          <w:szCs w:val="20"/>
        </w:rPr>
      </w:pPr>
      <w:r>
        <w:rPr>
          <w:rFonts w:hint="eastAsia" w:ascii="宋体" w:hAnsi="宋体" w:eastAsia="宋体" w:cs="宋体"/>
          <w:sz w:val="24"/>
          <w:szCs w:val="20"/>
        </w:rPr>
        <w:t xml:space="preserve">实际工作中正常使用，符合采购人使用要求，符合行业标准，符合采购人整体运行的要求，并且通过验收。 </w:t>
      </w:r>
    </w:p>
    <w:p w14:paraId="5599EAE6">
      <w:pPr>
        <w:spacing w:line="360" w:lineRule="auto"/>
        <w:ind w:firstLine="240" w:firstLineChars="100"/>
        <w:rPr>
          <w:rFonts w:ascii="宋体" w:hAnsi="宋体" w:eastAsia="宋体" w:cs="宋体"/>
          <w:sz w:val="24"/>
          <w:szCs w:val="20"/>
        </w:rPr>
      </w:pPr>
      <w:r>
        <w:rPr>
          <w:rFonts w:hint="eastAsia" w:ascii="宋体" w:hAnsi="宋体" w:eastAsia="宋体" w:cs="宋体"/>
          <w:sz w:val="24"/>
          <w:szCs w:val="20"/>
        </w:rPr>
        <w:t xml:space="preserve">……（如有其它承诺可自行补充） </w:t>
      </w:r>
    </w:p>
    <w:p w14:paraId="695CB041">
      <w:pPr>
        <w:spacing w:line="360" w:lineRule="auto"/>
        <w:ind w:firstLine="240" w:firstLineChars="100"/>
        <w:rPr>
          <w:rFonts w:ascii="宋体" w:hAnsi="宋体" w:eastAsia="宋体" w:cs="宋体"/>
          <w:sz w:val="24"/>
          <w:szCs w:val="20"/>
        </w:rPr>
      </w:pPr>
      <w:r>
        <w:rPr>
          <w:rFonts w:hint="eastAsia" w:ascii="宋体" w:hAnsi="宋体" w:eastAsia="宋体" w:cs="宋体"/>
          <w:sz w:val="24"/>
          <w:szCs w:val="20"/>
        </w:rPr>
        <w:t>如有弄虚作假行为，所造成的损失、不良后果及法律责任，一律由我公司（企业）承担。</w:t>
      </w:r>
    </w:p>
    <w:p w14:paraId="72E74DBB">
      <w:pPr>
        <w:spacing w:line="360" w:lineRule="auto"/>
        <w:rPr>
          <w:rFonts w:ascii="宋体" w:hAnsi="宋体" w:eastAsia="宋体" w:cs="宋体"/>
          <w:sz w:val="24"/>
          <w:szCs w:val="20"/>
        </w:rPr>
      </w:pPr>
    </w:p>
    <w:p w14:paraId="5D736E25">
      <w:pPr>
        <w:spacing w:line="360" w:lineRule="auto"/>
        <w:rPr>
          <w:rFonts w:ascii="宋体" w:hAnsi="宋体" w:eastAsia="宋体" w:cs="宋体"/>
          <w:sz w:val="24"/>
          <w:szCs w:val="20"/>
          <w:u w:val="single"/>
        </w:rPr>
      </w:pPr>
      <w:r>
        <w:rPr>
          <w:rFonts w:hint="eastAsia" w:ascii="宋体" w:hAnsi="宋体" w:eastAsia="宋体" w:cs="宋体"/>
          <w:sz w:val="24"/>
          <w:szCs w:val="20"/>
        </w:rPr>
        <w:t>投标人名称（盖章）：</w:t>
      </w:r>
      <w:r>
        <w:rPr>
          <w:rFonts w:hint="eastAsia" w:ascii="宋体" w:hAnsi="宋体" w:eastAsia="宋体" w:cs="宋体"/>
          <w:sz w:val="24"/>
          <w:szCs w:val="20"/>
          <w:u w:val="single"/>
        </w:rPr>
        <w:t xml:space="preserve">                    </w:t>
      </w:r>
    </w:p>
    <w:p w14:paraId="61D3AF13">
      <w:pPr>
        <w:spacing w:line="360" w:lineRule="auto"/>
        <w:rPr>
          <w:rFonts w:ascii="宋体" w:hAnsi="宋体" w:eastAsia="宋体" w:cs="宋体"/>
          <w:sz w:val="24"/>
          <w:szCs w:val="20"/>
        </w:rPr>
      </w:pPr>
      <w:r>
        <w:rPr>
          <w:rFonts w:hint="eastAsia" w:ascii="宋体" w:hAnsi="宋体" w:eastAsia="宋体" w:cs="宋体"/>
          <w:sz w:val="24"/>
          <w:szCs w:val="20"/>
        </w:rPr>
        <w:t>法定代表人（单位负责人）</w:t>
      </w:r>
    </w:p>
    <w:p w14:paraId="2B0CFFD3">
      <w:pPr>
        <w:spacing w:line="360" w:lineRule="auto"/>
        <w:rPr>
          <w:rFonts w:ascii="宋体" w:hAnsi="宋体" w:eastAsia="宋体" w:cs="宋体"/>
          <w:sz w:val="24"/>
          <w:szCs w:val="20"/>
          <w:u w:val="single"/>
        </w:rPr>
      </w:pPr>
      <w:r>
        <w:rPr>
          <w:rFonts w:hint="eastAsia" w:ascii="宋体" w:hAnsi="宋体" w:eastAsia="宋体" w:cs="宋体"/>
          <w:sz w:val="24"/>
          <w:szCs w:val="20"/>
        </w:rPr>
        <w:t>或授权代表（签字或盖章）：</w:t>
      </w:r>
      <w:r>
        <w:rPr>
          <w:rFonts w:hint="eastAsia" w:ascii="宋体" w:hAnsi="宋体" w:eastAsia="宋体" w:cs="宋体"/>
          <w:sz w:val="24"/>
          <w:szCs w:val="20"/>
          <w:u w:val="single"/>
        </w:rPr>
        <w:t xml:space="preserve">             </w:t>
      </w:r>
    </w:p>
    <w:p w14:paraId="512E4340">
      <w:pPr>
        <w:spacing w:line="360" w:lineRule="auto"/>
        <w:rPr>
          <w:rFonts w:ascii="宋体" w:hAnsi="宋体" w:eastAsia="宋体" w:cs="宋体"/>
          <w:sz w:val="24"/>
          <w:szCs w:val="20"/>
          <w:u w:val="single"/>
        </w:rPr>
      </w:pPr>
      <w:r>
        <w:rPr>
          <w:rFonts w:hint="eastAsia" w:ascii="宋体" w:hAnsi="宋体" w:eastAsia="宋体" w:cs="宋体"/>
          <w:sz w:val="24"/>
          <w:szCs w:val="20"/>
        </w:rPr>
        <w:t>日期:</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6CB7A6BC">
      <w:pPr>
        <w:spacing w:line="360" w:lineRule="auto"/>
        <w:rPr>
          <w:rFonts w:ascii="宋体" w:hAnsi="宋体" w:eastAsia="宋体" w:cs="宋体"/>
          <w:sz w:val="24"/>
          <w:szCs w:val="20"/>
          <w:u w:val="single"/>
        </w:rPr>
      </w:pPr>
    </w:p>
    <w:p w14:paraId="59306A18">
      <w:pPr>
        <w:pStyle w:val="4"/>
        <w:rPr>
          <w:lang w:val="zh-CN"/>
        </w:rPr>
      </w:pPr>
      <w:r>
        <w:rPr>
          <w:rFonts w:hint="eastAsia"/>
          <w:sz w:val="24"/>
          <w:szCs w:val="20"/>
          <w:u w:val="single"/>
        </w:rPr>
        <w:br w:type="page"/>
      </w:r>
      <w:r>
        <w:rPr>
          <w:rFonts w:hint="eastAsia"/>
        </w:rPr>
        <w:t>（十一）</w:t>
      </w:r>
      <w:r>
        <w:rPr>
          <w:rFonts w:hint="eastAsia"/>
          <w:lang w:val="zh-CN"/>
        </w:rPr>
        <w:t>节能产品、环境标志产品政府强制采购认证证书一览表</w:t>
      </w:r>
    </w:p>
    <w:p w14:paraId="2534E826">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（如果有，提供）</w:t>
      </w:r>
    </w:p>
    <w:tbl>
      <w:tblPr>
        <w:tblStyle w:val="21"/>
        <w:tblW w:w="9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50"/>
        <w:gridCol w:w="1344"/>
        <w:gridCol w:w="1344"/>
        <w:gridCol w:w="1344"/>
        <w:gridCol w:w="1848"/>
        <w:gridCol w:w="1429"/>
      </w:tblGrid>
      <w:tr w14:paraId="70AB6E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4F9D535F">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850" w:type="dxa"/>
            <w:noWrap/>
            <w:vAlign w:val="center"/>
          </w:tcPr>
          <w:p w14:paraId="1B3AEDBC">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品目</w:t>
            </w:r>
          </w:p>
        </w:tc>
        <w:tc>
          <w:tcPr>
            <w:tcW w:w="1344" w:type="dxa"/>
            <w:noWrap/>
            <w:vAlign w:val="center"/>
          </w:tcPr>
          <w:p w14:paraId="10662970">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产品名称</w:t>
            </w:r>
          </w:p>
        </w:tc>
        <w:tc>
          <w:tcPr>
            <w:tcW w:w="1344" w:type="dxa"/>
            <w:noWrap/>
            <w:vAlign w:val="center"/>
          </w:tcPr>
          <w:p w14:paraId="6C19B25B">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1344" w:type="dxa"/>
            <w:noWrap/>
            <w:vAlign w:val="center"/>
          </w:tcPr>
          <w:p w14:paraId="6B5CB680">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证书编号</w:t>
            </w:r>
          </w:p>
        </w:tc>
        <w:tc>
          <w:tcPr>
            <w:tcW w:w="1848" w:type="dxa"/>
            <w:noWrap/>
            <w:vAlign w:val="center"/>
          </w:tcPr>
          <w:p w14:paraId="2B23AF6D">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证书到期日期</w:t>
            </w:r>
          </w:p>
        </w:tc>
        <w:tc>
          <w:tcPr>
            <w:tcW w:w="1429" w:type="dxa"/>
            <w:noWrap/>
            <w:vAlign w:val="center"/>
          </w:tcPr>
          <w:p w14:paraId="254967BD">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发证机构</w:t>
            </w:r>
          </w:p>
        </w:tc>
      </w:tr>
      <w:tr w14:paraId="13C86B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33DE8825">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850" w:type="dxa"/>
            <w:noWrap/>
            <w:vAlign w:val="center"/>
          </w:tcPr>
          <w:p w14:paraId="66DD5570">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344" w:type="dxa"/>
            <w:noWrap/>
            <w:vAlign w:val="center"/>
          </w:tcPr>
          <w:p w14:paraId="58104F1E">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344" w:type="dxa"/>
            <w:noWrap/>
            <w:vAlign w:val="center"/>
          </w:tcPr>
          <w:p w14:paraId="6EC7F01A">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344" w:type="dxa"/>
            <w:noWrap/>
            <w:vAlign w:val="center"/>
          </w:tcPr>
          <w:p w14:paraId="7B912DC3">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848" w:type="dxa"/>
            <w:noWrap/>
            <w:vAlign w:val="center"/>
          </w:tcPr>
          <w:p w14:paraId="082F63BC">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429" w:type="dxa"/>
            <w:noWrap/>
            <w:vAlign w:val="center"/>
          </w:tcPr>
          <w:p w14:paraId="4B1516E8">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r>
      <w:tr w14:paraId="3E59E4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70972BA2">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850" w:type="dxa"/>
            <w:noWrap/>
            <w:vAlign w:val="center"/>
          </w:tcPr>
          <w:p w14:paraId="7D879464">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344" w:type="dxa"/>
            <w:noWrap/>
            <w:vAlign w:val="center"/>
          </w:tcPr>
          <w:p w14:paraId="5BED285F">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344" w:type="dxa"/>
            <w:noWrap/>
            <w:vAlign w:val="center"/>
          </w:tcPr>
          <w:p w14:paraId="799670C3">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344" w:type="dxa"/>
            <w:noWrap/>
            <w:vAlign w:val="center"/>
          </w:tcPr>
          <w:p w14:paraId="3B0A1715">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848" w:type="dxa"/>
            <w:noWrap/>
            <w:vAlign w:val="center"/>
          </w:tcPr>
          <w:p w14:paraId="38174AA2">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429" w:type="dxa"/>
            <w:noWrap/>
            <w:vAlign w:val="center"/>
          </w:tcPr>
          <w:p w14:paraId="4FBD648F">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r>
      <w:tr w14:paraId="70E9D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59DCF6FA">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850" w:type="dxa"/>
            <w:noWrap/>
            <w:vAlign w:val="center"/>
          </w:tcPr>
          <w:p w14:paraId="13A62C14">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344" w:type="dxa"/>
            <w:noWrap/>
            <w:vAlign w:val="center"/>
          </w:tcPr>
          <w:p w14:paraId="170BDAB2">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344" w:type="dxa"/>
            <w:noWrap/>
            <w:vAlign w:val="center"/>
          </w:tcPr>
          <w:p w14:paraId="1BF2288E">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344" w:type="dxa"/>
            <w:noWrap/>
            <w:vAlign w:val="center"/>
          </w:tcPr>
          <w:p w14:paraId="3202A39F">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848" w:type="dxa"/>
            <w:noWrap/>
            <w:vAlign w:val="center"/>
          </w:tcPr>
          <w:p w14:paraId="664CC557">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429" w:type="dxa"/>
            <w:noWrap/>
            <w:vAlign w:val="center"/>
          </w:tcPr>
          <w:p w14:paraId="47AA6F46">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r>
      <w:tr w14:paraId="5DD31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670284A6">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850" w:type="dxa"/>
            <w:noWrap/>
            <w:vAlign w:val="center"/>
          </w:tcPr>
          <w:p w14:paraId="3E3A392C">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344" w:type="dxa"/>
            <w:noWrap/>
            <w:vAlign w:val="center"/>
          </w:tcPr>
          <w:p w14:paraId="08158CC1">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344" w:type="dxa"/>
            <w:noWrap/>
            <w:vAlign w:val="center"/>
          </w:tcPr>
          <w:p w14:paraId="22BECD64">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344" w:type="dxa"/>
            <w:noWrap/>
            <w:vAlign w:val="center"/>
          </w:tcPr>
          <w:p w14:paraId="10FB8602">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848" w:type="dxa"/>
            <w:noWrap/>
            <w:vAlign w:val="center"/>
          </w:tcPr>
          <w:p w14:paraId="0CD54DAD">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429" w:type="dxa"/>
            <w:noWrap/>
            <w:vAlign w:val="center"/>
          </w:tcPr>
          <w:p w14:paraId="39441618">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r>
      <w:tr w14:paraId="74D9C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62E7CAFA">
            <w:pPr>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1850" w:type="dxa"/>
            <w:noWrap/>
            <w:vAlign w:val="center"/>
          </w:tcPr>
          <w:p w14:paraId="7A43B8FB">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344" w:type="dxa"/>
            <w:noWrap/>
            <w:vAlign w:val="center"/>
          </w:tcPr>
          <w:p w14:paraId="4081EF67">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344" w:type="dxa"/>
            <w:noWrap/>
            <w:vAlign w:val="center"/>
          </w:tcPr>
          <w:p w14:paraId="02F8F486">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344" w:type="dxa"/>
            <w:noWrap/>
            <w:vAlign w:val="center"/>
          </w:tcPr>
          <w:p w14:paraId="1A2D9013">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848" w:type="dxa"/>
            <w:noWrap/>
            <w:vAlign w:val="center"/>
          </w:tcPr>
          <w:p w14:paraId="3306CE42">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c>
          <w:tcPr>
            <w:tcW w:w="1429" w:type="dxa"/>
            <w:noWrap/>
            <w:vAlign w:val="center"/>
          </w:tcPr>
          <w:p w14:paraId="103ABFCB">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w:t>
            </w:r>
          </w:p>
        </w:tc>
      </w:tr>
      <w:tr w14:paraId="2B420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7A890CEE">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w:t>
            </w:r>
          </w:p>
        </w:tc>
        <w:tc>
          <w:tcPr>
            <w:tcW w:w="1850" w:type="dxa"/>
            <w:noWrap/>
            <w:vAlign w:val="center"/>
          </w:tcPr>
          <w:p w14:paraId="2735ADDF">
            <w:pPr>
              <w:adjustRightInd w:val="0"/>
              <w:snapToGrid w:val="0"/>
              <w:spacing w:line="360" w:lineRule="auto"/>
              <w:rPr>
                <w:rFonts w:ascii="宋体" w:hAnsi="宋体" w:eastAsia="宋体" w:cs="宋体"/>
                <w:sz w:val="24"/>
                <w:szCs w:val="24"/>
              </w:rPr>
            </w:pPr>
          </w:p>
        </w:tc>
        <w:tc>
          <w:tcPr>
            <w:tcW w:w="1344" w:type="dxa"/>
            <w:noWrap/>
            <w:vAlign w:val="center"/>
          </w:tcPr>
          <w:p w14:paraId="76418938">
            <w:pPr>
              <w:adjustRightInd w:val="0"/>
              <w:snapToGrid w:val="0"/>
              <w:spacing w:line="360" w:lineRule="auto"/>
              <w:rPr>
                <w:rFonts w:ascii="宋体" w:hAnsi="宋体" w:eastAsia="宋体" w:cs="宋体"/>
                <w:sz w:val="24"/>
                <w:szCs w:val="24"/>
              </w:rPr>
            </w:pPr>
          </w:p>
        </w:tc>
        <w:tc>
          <w:tcPr>
            <w:tcW w:w="1344" w:type="dxa"/>
            <w:noWrap/>
            <w:vAlign w:val="center"/>
          </w:tcPr>
          <w:p w14:paraId="2AE7E349">
            <w:pPr>
              <w:adjustRightInd w:val="0"/>
              <w:snapToGrid w:val="0"/>
              <w:spacing w:line="360" w:lineRule="auto"/>
              <w:rPr>
                <w:rFonts w:ascii="宋体" w:hAnsi="宋体" w:eastAsia="宋体" w:cs="宋体"/>
                <w:sz w:val="24"/>
                <w:szCs w:val="24"/>
              </w:rPr>
            </w:pPr>
          </w:p>
        </w:tc>
        <w:tc>
          <w:tcPr>
            <w:tcW w:w="1344" w:type="dxa"/>
            <w:noWrap/>
            <w:vAlign w:val="center"/>
          </w:tcPr>
          <w:p w14:paraId="2C69A993">
            <w:pPr>
              <w:adjustRightInd w:val="0"/>
              <w:snapToGrid w:val="0"/>
              <w:spacing w:line="360" w:lineRule="auto"/>
              <w:rPr>
                <w:rFonts w:ascii="宋体" w:hAnsi="宋体" w:eastAsia="宋体" w:cs="宋体"/>
                <w:sz w:val="24"/>
                <w:szCs w:val="24"/>
              </w:rPr>
            </w:pPr>
          </w:p>
        </w:tc>
        <w:tc>
          <w:tcPr>
            <w:tcW w:w="1848" w:type="dxa"/>
            <w:noWrap/>
            <w:vAlign w:val="center"/>
          </w:tcPr>
          <w:p w14:paraId="132D0FBB">
            <w:pPr>
              <w:adjustRightInd w:val="0"/>
              <w:snapToGrid w:val="0"/>
              <w:spacing w:line="360" w:lineRule="auto"/>
              <w:rPr>
                <w:rFonts w:ascii="宋体" w:hAnsi="宋体" w:eastAsia="宋体" w:cs="宋体"/>
                <w:sz w:val="24"/>
                <w:szCs w:val="24"/>
              </w:rPr>
            </w:pPr>
          </w:p>
        </w:tc>
        <w:tc>
          <w:tcPr>
            <w:tcW w:w="1429" w:type="dxa"/>
            <w:noWrap/>
            <w:vAlign w:val="center"/>
          </w:tcPr>
          <w:p w14:paraId="747DE472">
            <w:pPr>
              <w:adjustRightInd w:val="0"/>
              <w:snapToGrid w:val="0"/>
              <w:spacing w:line="360" w:lineRule="auto"/>
              <w:rPr>
                <w:rFonts w:ascii="宋体" w:hAnsi="宋体" w:eastAsia="宋体" w:cs="宋体"/>
                <w:sz w:val="24"/>
                <w:szCs w:val="24"/>
              </w:rPr>
            </w:pPr>
          </w:p>
        </w:tc>
      </w:tr>
    </w:tbl>
    <w:p w14:paraId="1D36CEFE">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注：</w:t>
      </w:r>
    </w:p>
    <w:p w14:paraId="7EED4F2F">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400C0906">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2.《节能产品政府采购品目清单》《环境标志产品政府采购品目清单》请登录中国政府采购网</w:t>
      </w:r>
      <w:r>
        <w:fldChar w:fldCharType="begin"/>
      </w:r>
      <w:r>
        <w:instrText xml:space="preserve"> HYPERLINK "http://www.ccgp.gov.cn" </w:instrText>
      </w:r>
      <w:r>
        <w:fldChar w:fldCharType="separate"/>
      </w:r>
      <w:r>
        <w:rPr>
          <w:rFonts w:hint="eastAsia" w:ascii="宋体" w:hAnsi="宋体" w:eastAsia="宋体" w:cs="宋体"/>
          <w:sz w:val="24"/>
          <w:szCs w:val="24"/>
        </w:rPr>
        <w:t>http://www.ccgp.gov.cn</w:t>
      </w:r>
      <w:r>
        <w:rPr>
          <w:rFonts w:hint="eastAsia" w:ascii="宋体" w:hAnsi="宋体" w:eastAsia="宋体" w:cs="宋体"/>
          <w:sz w:val="24"/>
          <w:szCs w:val="24"/>
        </w:rPr>
        <w:fldChar w:fldCharType="end"/>
      </w:r>
      <w:r>
        <w:rPr>
          <w:rFonts w:hint="eastAsia" w:ascii="宋体" w:hAnsi="宋体" w:eastAsia="宋体" w:cs="宋体"/>
          <w:sz w:val="24"/>
          <w:szCs w:val="24"/>
        </w:rPr>
        <w:t>查询。</w:t>
      </w:r>
    </w:p>
    <w:p w14:paraId="0CD74920">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3.投标人应在本表后提供表内所列认证证书复印件。</w:t>
      </w:r>
    </w:p>
    <w:p w14:paraId="41AB8431">
      <w:pPr>
        <w:adjustRightInd w:val="0"/>
        <w:snapToGrid w:val="0"/>
        <w:spacing w:line="360" w:lineRule="auto"/>
        <w:rPr>
          <w:rFonts w:ascii="宋体" w:hAnsi="宋体" w:eastAsia="宋体" w:cs="宋体"/>
          <w:sz w:val="24"/>
          <w:szCs w:val="24"/>
        </w:rPr>
      </w:pPr>
    </w:p>
    <w:p w14:paraId="16FDCFAB">
      <w:pPr>
        <w:adjustRightInd w:val="0"/>
        <w:snapToGrid w:val="0"/>
        <w:spacing w:after="120" w:line="360" w:lineRule="auto"/>
        <w:ind w:left="420" w:leftChars="200" w:firstLine="3120" w:firstLineChars="1300"/>
        <w:rPr>
          <w:rFonts w:ascii="宋体" w:hAnsi="宋体" w:eastAsia="宋体" w:cs="宋体"/>
          <w:snapToGrid w:val="0"/>
          <w:kern w:val="0"/>
          <w:sz w:val="24"/>
          <w:szCs w:val="24"/>
        </w:rPr>
      </w:pPr>
    </w:p>
    <w:p w14:paraId="49565C56">
      <w:pPr>
        <w:adjustRightInd w:val="0"/>
        <w:snapToGrid w:val="0"/>
        <w:spacing w:after="120"/>
        <w:ind w:left="420" w:leftChars="200" w:firstLine="3120" w:firstLineChars="1300"/>
        <w:rPr>
          <w:rFonts w:ascii="宋体" w:hAnsi="宋体" w:eastAsia="宋体" w:cs="宋体"/>
          <w:snapToGrid w:val="0"/>
          <w:kern w:val="0"/>
          <w:sz w:val="24"/>
          <w:szCs w:val="24"/>
        </w:rPr>
      </w:pPr>
    </w:p>
    <w:p w14:paraId="214E6AA0">
      <w:pPr>
        <w:spacing w:line="360" w:lineRule="auto"/>
        <w:rPr>
          <w:rFonts w:ascii="宋体" w:hAnsi="宋体" w:eastAsia="宋体" w:cs="宋体"/>
          <w:sz w:val="24"/>
          <w:szCs w:val="20"/>
          <w:u w:val="single"/>
        </w:rPr>
      </w:pPr>
      <w:r>
        <w:rPr>
          <w:rFonts w:hint="eastAsia" w:ascii="宋体" w:hAnsi="宋体" w:eastAsia="宋体" w:cs="宋体"/>
          <w:sz w:val="24"/>
          <w:szCs w:val="20"/>
        </w:rPr>
        <w:t>投标人名称（盖章）：</w:t>
      </w:r>
      <w:r>
        <w:rPr>
          <w:rFonts w:hint="eastAsia" w:ascii="宋体" w:hAnsi="宋体" w:eastAsia="宋体" w:cs="宋体"/>
          <w:sz w:val="24"/>
          <w:szCs w:val="20"/>
          <w:u w:val="single"/>
        </w:rPr>
        <w:t xml:space="preserve">                    </w:t>
      </w:r>
    </w:p>
    <w:p w14:paraId="2C84D27B">
      <w:pPr>
        <w:spacing w:line="360" w:lineRule="auto"/>
        <w:rPr>
          <w:rFonts w:ascii="宋体" w:hAnsi="宋体" w:eastAsia="宋体" w:cs="宋体"/>
          <w:sz w:val="24"/>
          <w:szCs w:val="20"/>
        </w:rPr>
      </w:pPr>
      <w:r>
        <w:rPr>
          <w:rFonts w:hint="eastAsia" w:ascii="宋体" w:hAnsi="宋体" w:eastAsia="宋体" w:cs="宋体"/>
          <w:sz w:val="24"/>
          <w:szCs w:val="20"/>
        </w:rPr>
        <w:t>法定代表人（单位负责人）</w:t>
      </w:r>
    </w:p>
    <w:p w14:paraId="210FEC43">
      <w:pPr>
        <w:spacing w:line="360" w:lineRule="auto"/>
        <w:rPr>
          <w:rFonts w:ascii="宋体" w:hAnsi="宋体" w:eastAsia="宋体" w:cs="宋体"/>
          <w:sz w:val="24"/>
          <w:szCs w:val="20"/>
          <w:u w:val="single"/>
        </w:rPr>
      </w:pPr>
      <w:r>
        <w:rPr>
          <w:rFonts w:hint="eastAsia" w:ascii="宋体" w:hAnsi="宋体" w:eastAsia="宋体" w:cs="宋体"/>
          <w:sz w:val="24"/>
          <w:szCs w:val="20"/>
        </w:rPr>
        <w:t>或授权代表（签字或盖章）：</w:t>
      </w:r>
      <w:r>
        <w:rPr>
          <w:rFonts w:hint="eastAsia" w:ascii="宋体" w:hAnsi="宋体" w:eastAsia="宋体" w:cs="宋体"/>
          <w:sz w:val="24"/>
          <w:szCs w:val="20"/>
          <w:u w:val="single"/>
        </w:rPr>
        <w:t xml:space="preserve">             </w:t>
      </w:r>
    </w:p>
    <w:p w14:paraId="75CE06E5">
      <w:pPr>
        <w:spacing w:line="360" w:lineRule="auto"/>
        <w:rPr>
          <w:rFonts w:ascii="宋体" w:hAnsi="宋体" w:eastAsia="宋体" w:cs="宋体"/>
          <w:sz w:val="24"/>
          <w:szCs w:val="20"/>
        </w:rPr>
      </w:pPr>
      <w:r>
        <w:rPr>
          <w:rFonts w:hint="eastAsia" w:ascii="宋体" w:hAnsi="宋体" w:eastAsia="宋体" w:cs="宋体"/>
          <w:sz w:val="24"/>
          <w:szCs w:val="20"/>
        </w:rPr>
        <w:t>日期:</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2816433F">
      <w:pPr>
        <w:widowControl/>
        <w:jc w:val="left"/>
        <w:rPr>
          <w:rFonts w:ascii="宋体" w:hAnsi="宋体" w:eastAsia="宋体" w:cs="宋体"/>
          <w:sz w:val="24"/>
          <w:szCs w:val="20"/>
        </w:rPr>
      </w:pPr>
      <w:r>
        <w:rPr>
          <w:rFonts w:ascii="宋体" w:hAnsi="宋体" w:eastAsia="宋体" w:cs="宋体"/>
          <w:sz w:val="24"/>
          <w:szCs w:val="20"/>
        </w:rPr>
        <w:br w:type="page"/>
      </w:r>
    </w:p>
    <w:p w14:paraId="4AFFFA6B">
      <w:pPr>
        <w:pStyle w:val="4"/>
        <w:rPr>
          <w:rFonts w:ascii="宋体" w:hAnsi="宋体" w:cs="宋体"/>
          <w:bCs w:val="0"/>
          <w:kern w:val="0"/>
          <w:szCs w:val="30"/>
        </w:rPr>
      </w:pPr>
      <w:r>
        <w:rPr>
          <w:rFonts w:hint="eastAsia"/>
        </w:rPr>
        <w:t>（十二）</w:t>
      </w:r>
      <w:r>
        <w:rPr>
          <w:rFonts w:hint="eastAsia" w:ascii="宋体" w:hAnsi="宋体" w:cs="宋体"/>
          <w:bCs w:val="0"/>
          <w:kern w:val="0"/>
          <w:szCs w:val="30"/>
        </w:rPr>
        <w:t>节能产品、环境标志产品政府优先采购认证证书一览表</w:t>
      </w:r>
    </w:p>
    <w:p w14:paraId="7FD44015">
      <w:pPr>
        <w:spacing w:line="288" w:lineRule="auto"/>
        <w:jc w:val="center"/>
        <w:rPr>
          <w:rFonts w:ascii="宋体" w:hAnsi="宋体" w:cs="宋体"/>
          <w:kern w:val="0"/>
          <w:sz w:val="24"/>
        </w:rPr>
      </w:pPr>
      <w:r>
        <w:rPr>
          <w:rFonts w:hint="eastAsia" w:ascii="宋体" w:hAnsi="宋体" w:cs="宋体"/>
          <w:sz w:val="24"/>
        </w:rPr>
        <w:t>（如果有，提供）</w:t>
      </w:r>
    </w:p>
    <w:tbl>
      <w:tblPr>
        <w:tblStyle w:val="21"/>
        <w:tblpPr w:leftFromText="180" w:rightFromText="180" w:vertAnchor="text" w:horzAnchor="page" w:tblpXSpec="center" w:tblpY="360"/>
        <w:tblOverlap w:val="never"/>
        <w:tblW w:w="97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50"/>
        <w:gridCol w:w="1344"/>
        <w:gridCol w:w="1344"/>
        <w:gridCol w:w="1344"/>
        <w:gridCol w:w="1848"/>
        <w:gridCol w:w="1245"/>
      </w:tblGrid>
      <w:tr w14:paraId="0D3AB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47B04F84">
            <w:pPr>
              <w:autoSpaceDE w:val="0"/>
              <w:autoSpaceDN w:val="0"/>
              <w:adjustRightInd w:val="0"/>
              <w:spacing w:line="288" w:lineRule="auto"/>
              <w:jc w:val="center"/>
              <w:rPr>
                <w:rFonts w:ascii="宋体" w:hAnsi="宋体" w:cs="宋体"/>
                <w:sz w:val="24"/>
                <w:lang w:val="zh-CN"/>
              </w:rPr>
            </w:pPr>
            <w:r>
              <w:rPr>
                <w:rFonts w:hint="eastAsia" w:ascii="宋体" w:hAnsi="宋体" w:cs="宋体"/>
                <w:sz w:val="24"/>
                <w:lang w:val="zh-CN"/>
              </w:rPr>
              <w:t>序号</w:t>
            </w:r>
          </w:p>
        </w:tc>
        <w:tc>
          <w:tcPr>
            <w:tcW w:w="1850" w:type="dxa"/>
            <w:vAlign w:val="center"/>
          </w:tcPr>
          <w:p w14:paraId="1752C3EB">
            <w:pPr>
              <w:autoSpaceDE w:val="0"/>
              <w:autoSpaceDN w:val="0"/>
              <w:adjustRightInd w:val="0"/>
              <w:spacing w:line="288" w:lineRule="auto"/>
              <w:jc w:val="center"/>
              <w:rPr>
                <w:rFonts w:ascii="宋体" w:hAnsi="宋体" w:cs="宋体"/>
                <w:sz w:val="24"/>
                <w:lang w:val="zh-CN"/>
              </w:rPr>
            </w:pPr>
            <w:r>
              <w:rPr>
                <w:rFonts w:hint="eastAsia" w:ascii="宋体" w:hAnsi="宋体" w:cs="宋体"/>
                <w:sz w:val="24"/>
                <w:lang w:val="zh-CN"/>
              </w:rPr>
              <w:t>品目</w:t>
            </w:r>
          </w:p>
        </w:tc>
        <w:tc>
          <w:tcPr>
            <w:tcW w:w="1344" w:type="dxa"/>
            <w:vAlign w:val="center"/>
          </w:tcPr>
          <w:p w14:paraId="10ED3434">
            <w:pPr>
              <w:autoSpaceDE w:val="0"/>
              <w:autoSpaceDN w:val="0"/>
              <w:adjustRightInd w:val="0"/>
              <w:spacing w:line="288" w:lineRule="auto"/>
              <w:jc w:val="center"/>
              <w:rPr>
                <w:rFonts w:ascii="宋体" w:hAnsi="宋体" w:cs="宋体"/>
                <w:sz w:val="24"/>
                <w:lang w:val="zh-CN"/>
              </w:rPr>
            </w:pPr>
            <w:r>
              <w:rPr>
                <w:rFonts w:hint="eastAsia" w:ascii="宋体" w:hAnsi="宋体" w:cs="宋体"/>
                <w:sz w:val="24"/>
                <w:lang w:val="zh-CN"/>
              </w:rPr>
              <w:t>产品名称</w:t>
            </w:r>
          </w:p>
        </w:tc>
        <w:tc>
          <w:tcPr>
            <w:tcW w:w="1344" w:type="dxa"/>
            <w:vAlign w:val="center"/>
          </w:tcPr>
          <w:p w14:paraId="43184996">
            <w:pPr>
              <w:autoSpaceDE w:val="0"/>
              <w:autoSpaceDN w:val="0"/>
              <w:adjustRightInd w:val="0"/>
              <w:spacing w:line="288" w:lineRule="auto"/>
              <w:jc w:val="center"/>
              <w:rPr>
                <w:rFonts w:ascii="宋体" w:hAnsi="宋体" w:cs="宋体"/>
                <w:sz w:val="24"/>
                <w:lang w:val="zh-CN"/>
              </w:rPr>
            </w:pPr>
            <w:r>
              <w:rPr>
                <w:rFonts w:hint="eastAsia" w:ascii="宋体" w:hAnsi="宋体" w:cs="宋体"/>
                <w:sz w:val="24"/>
                <w:lang w:val="zh-CN"/>
              </w:rPr>
              <w:t>规格型号</w:t>
            </w:r>
          </w:p>
        </w:tc>
        <w:tc>
          <w:tcPr>
            <w:tcW w:w="1344" w:type="dxa"/>
            <w:vAlign w:val="center"/>
          </w:tcPr>
          <w:p w14:paraId="38EF8C6B">
            <w:pPr>
              <w:autoSpaceDE w:val="0"/>
              <w:autoSpaceDN w:val="0"/>
              <w:adjustRightInd w:val="0"/>
              <w:spacing w:line="288" w:lineRule="auto"/>
              <w:jc w:val="center"/>
              <w:rPr>
                <w:rFonts w:ascii="宋体" w:hAnsi="宋体" w:cs="宋体"/>
                <w:sz w:val="24"/>
                <w:lang w:val="zh-CN"/>
              </w:rPr>
            </w:pPr>
            <w:r>
              <w:rPr>
                <w:rFonts w:hint="eastAsia" w:ascii="宋体" w:hAnsi="宋体" w:cs="宋体"/>
                <w:sz w:val="24"/>
                <w:lang w:val="zh-CN"/>
              </w:rPr>
              <w:t>证书编号</w:t>
            </w:r>
          </w:p>
        </w:tc>
        <w:tc>
          <w:tcPr>
            <w:tcW w:w="1848" w:type="dxa"/>
            <w:vAlign w:val="center"/>
          </w:tcPr>
          <w:p w14:paraId="451DA6A6">
            <w:pPr>
              <w:autoSpaceDE w:val="0"/>
              <w:autoSpaceDN w:val="0"/>
              <w:adjustRightInd w:val="0"/>
              <w:spacing w:line="288" w:lineRule="auto"/>
              <w:jc w:val="center"/>
              <w:rPr>
                <w:rFonts w:ascii="宋体" w:hAnsi="宋体" w:cs="宋体"/>
                <w:sz w:val="24"/>
                <w:lang w:val="zh-CN"/>
              </w:rPr>
            </w:pPr>
            <w:r>
              <w:rPr>
                <w:rFonts w:hint="eastAsia" w:ascii="宋体" w:hAnsi="宋体" w:cs="宋体"/>
                <w:sz w:val="24"/>
                <w:lang w:val="zh-CN"/>
              </w:rPr>
              <w:t>证书到期日期</w:t>
            </w:r>
          </w:p>
        </w:tc>
        <w:tc>
          <w:tcPr>
            <w:tcW w:w="1245" w:type="dxa"/>
            <w:vAlign w:val="center"/>
          </w:tcPr>
          <w:p w14:paraId="746446A7">
            <w:pPr>
              <w:autoSpaceDE w:val="0"/>
              <w:autoSpaceDN w:val="0"/>
              <w:adjustRightInd w:val="0"/>
              <w:spacing w:line="288" w:lineRule="auto"/>
              <w:jc w:val="center"/>
              <w:rPr>
                <w:rFonts w:ascii="宋体" w:hAnsi="宋体" w:cs="宋体"/>
                <w:sz w:val="24"/>
                <w:lang w:val="zh-CN"/>
              </w:rPr>
            </w:pPr>
            <w:r>
              <w:rPr>
                <w:rFonts w:hint="eastAsia" w:ascii="宋体" w:hAnsi="宋体" w:cs="宋体"/>
                <w:sz w:val="24"/>
                <w:lang w:val="zh-CN"/>
              </w:rPr>
              <w:t>发证机构</w:t>
            </w:r>
          </w:p>
        </w:tc>
      </w:tr>
      <w:tr w14:paraId="4831A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55A0EDEC">
            <w:pPr>
              <w:adjustRightInd w:val="0"/>
              <w:snapToGrid w:val="0"/>
              <w:spacing w:line="288" w:lineRule="auto"/>
              <w:jc w:val="center"/>
              <w:rPr>
                <w:rFonts w:ascii="宋体" w:hAnsi="宋体" w:cs="宋体"/>
                <w:sz w:val="24"/>
              </w:rPr>
            </w:pPr>
            <w:r>
              <w:rPr>
                <w:rFonts w:hint="eastAsia" w:ascii="宋体" w:hAnsi="宋体" w:cs="宋体"/>
                <w:sz w:val="24"/>
              </w:rPr>
              <w:t>1</w:t>
            </w:r>
          </w:p>
        </w:tc>
        <w:tc>
          <w:tcPr>
            <w:tcW w:w="1850" w:type="dxa"/>
            <w:vAlign w:val="center"/>
          </w:tcPr>
          <w:p w14:paraId="18E71C38">
            <w:pPr>
              <w:adjustRightInd w:val="0"/>
              <w:snapToGrid w:val="0"/>
              <w:spacing w:line="288" w:lineRule="auto"/>
              <w:rPr>
                <w:rFonts w:ascii="宋体" w:hAnsi="宋体" w:cs="宋体"/>
                <w:sz w:val="24"/>
              </w:rPr>
            </w:pPr>
            <w:r>
              <w:rPr>
                <w:rFonts w:hint="eastAsia" w:ascii="宋体" w:hAnsi="宋体" w:cs="宋体"/>
                <w:sz w:val="24"/>
              </w:rPr>
              <w:t>　</w:t>
            </w:r>
          </w:p>
        </w:tc>
        <w:tc>
          <w:tcPr>
            <w:tcW w:w="1344" w:type="dxa"/>
            <w:vAlign w:val="center"/>
          </w:tcPr>
          <w:p w14:paraId="3C205EB7">
            <w:pPr>
              <w:adjustRightInd w:val="0"/>
              <w:snapToGrid w:val="0"/>
              <w:spacing w:line="288" w:lineRule="auto"/>
              <w:rPr>
                <w:rFonts w:ascii="宋体" w:hAnsi="宋体" w:cs="宋体"/>
                <w:sz w:val="24"/>
              </w:rPr>
            </w:pPr>
            <w:r>
              <w:rPr>
                <w:rFonts w:hint="eastAsia" w:ascii="宋体" w:hAnsi="宋体" w:cs="宋体"/>
                <w:sz w:val="24"/>
              </w:rPr>
              <w:t>　</w:t>
            </w:r>
          </w:p>
        </w:tc>
        <w:tc>
          <w:tcPr>
            <w:tcW w:w="1344" w:type="dxa"/>
            <w:vAlign w:val="center"/>
          </w:tcPr>
          <w:p w14:paraId="73F6BD21">
            <w:pPr>
              <w:adjustRightInd w:val="0"/>
              <w:snapToGrid w:val="0"/>
              <w:spacing w:line="288" w:lineRule="auto"/>
              <w:rPr>
                <w:rFonts w:ascii="宋体" w:hAnsi="宋体" w:cs="宋体"/>
                <w:sz w:val="24"/>
              </w:rPr>
            </w:pPr>
            <w:r>
              <w:rPr>
                <w:rFonts w:hint="eastAsia" w:ascii="宋体" w:hAnsi="宋体" w:cs="宋体"/>
                <w:sz w:val="24"/>
              </w:rPr>
              <w:t>　</w:t>
            </w:r>
          </w:p>
        </w:tc>
        <w:tc>
          <w:tcPr>
            <w:tcW w:w="1344" w:type="dxa"/>
            <w:vAlign w:val="center"/>
          </w:tcPr>
          <w:p w14:paraId="52686831">
            <w:pPr>
              <w:adjustRightInd w:val="0"/>
              <w:snapToGrid w:val="0"/>
              <w:spacing w:line="288" w:lineRule="auto"/>
              <w:rPr>
                <w:rFonts w:ascii="宋体" w:hAnsi="宋体" w:cs="宋体"/>
                <w:sz w:val="24"/>
              </w:rPr>
            </w:pPr>
            <w:r>
              <w:rPr>
                <w:rFonts w:hint="eastAsia" w:ascii="宋体" w:hAnsi="宋体" w:cs="宋体"/>
                <w:sz w:val="24"/>
              </w:rPr>
              <w:t>　</w:t>
            </w:r>
          </w:p>
        </w:tc>
        <w:tc>
          <w:tcPr>
            <w:tcW w:w="1848" w:type="dxa"/>
            <w:vAlign w:val="center"/>
          </w:tcPr>
          <w:p w14:paraId="4990B111">
            <w:pPr>
              <w:adjustRightInd w:val="0"/>
              <w:snapToGrid w:val="0"/>
              <w:spacing w:line="288" w:lineRule="auto"/>
              <w:rPr>
                <w:rFonts w:ascii="宋体" w:hAnsi="宋体" w:cs="宋体"/>
                <w:sz w:val="24"/>
              </w:rPr>
            </w:pPr>
            <w:r>
              <w:rPr>
                <w:rFonts w:hint="eastAsia" w:ascii="宋体" w:hAnsi="宋体" w:cs="宋体"/>
                <w:sz w:val="24"/>
              </w:rPr>
              <w:t>　</w:t>
            </w:r>
          </w:p>
        </w:tc>
        <w:tc>
          <w:tcPr>
            <w:tcW w:w="1245" w:type="dxa"/>
            <w:vAlign w:val="center"/>
          </w:tcPr>
          <w:p w14:paraId="7E33CCC6">
            <w:pPr>
              <w:adjustRightInd w:val="0"/>
              <w:snapToGrid w:val="0"/>
              <w:spacing w:line="288" w:lineRule="auto"/>
              <w:rPr>
                <w:rFonts w:ascii="宋体" w:hAnsi="宋体" w:cs="宋体"/>
                <w:sz w:val="24"/>
              </w:rPr>
            </w:pPr>
            <w:r>
              <w:rPr>
                <w:rFonts w:hint="eastAsia" w:ascii="宋体" w:hAnsi="宋体" w:cs="宋体"/>
                <w:sz w:val="24"/>
              </w:rPr>
              <w:t>　</w:t>
            </w:r>
          </w:p>
        </w:tc>
      </w:tr>
      <w:tr w14:paraId="2C884E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6DFE5551">
            <w:pPr>
              <w:adjustRightInd w:val="0"/>
              <w:snapToGrid w:val="0"/>
              <w:spacing w:line="288" w:lineRule="auto"/>
              <w:jc w:val="center"/>
              <w:rPr>
                <w:rFonts w:ascii="宋体" w:hAnsi="宋体" w:cs="宋体"/>
                <w:sz w:val="24"/>
              </w:rPr>
            </w:pPr>
            <w:r>
              <w:rPr>
                <w:rFonts w:hint="eastAsia" w:ascii="宋体" w:hAnsi="宋体" w:cs="宋体"/>
                <w:sz w:val="24"/>
              </w:rPr>
              <w:t>2</w:t>
            </w:r>
          </w:p>
        </w:tc>
        <w:tc>
          <w:tcPr>
            <w:tcW w:w="1850" w:type="dxa"/>
            <w:vAlign w:val="center"/>
          </w:tcPr>
          <w:p w14:paraId="7A449D8A">
            <w:pPr>
              <w:adjustRightInd w:val="0"/>
              <w:snapToGrid w:val="0"/>
              <w:spacing w:line="288" w:lineRule="auto"/>
              <w:rPr>
                <w:rFonts w:ascii="宋体" w:hAnsi="宋体" w:cs="宋体"/>
                <w:sz w:val="24"/>
              </w:rPr>
            </w:pPr>
            <w:r>
              <w:rPr>
                <w:rFonts w:hint="eastAsia" w:ascii="宋体" w:hAnsi="宋体" w:cs="宋体"/>
                <w:sz w:val="24"/>
              </w:rPr>
              <w:t>　</w:t>
            </w:r>
          </w:p>
        </w:tc>
        <w:tc>
          <w:tcPr>
            <w:tcW w:w="1344" w:type="dxa"/>
            <w:vAlign w:val="center"/>
          </w:tcPr>
          <w:p w14:paraId="3CB524C4">
            <w:pPr>
              <w:adjustRightInd w:val="0"/>
              <w:snapToGrid w:val="0"/>
              <w:spacing w:line="288" w:lineRule="auto"/>
              <w:rPr>
                <w:rFonts w:ascii="宋体" w:hAnsi="宋体" w:cs="宋体"/>
                <w:sz w:val="24"/>
              </w:rPr>
            </w:pPr>
            <w:r>
              <w:rPr>
                <w:rFonts w:hint="eastAsia" w:ascii="宋体" w:hAnsi="宋体" w:cs="宋体"/>
                <w:sz w:val="24"/>
              </w:rPr>
              <w:t>　</w:t>
            </w:r>
          </w:p>
        </w:tc>
        <w:tc>
          <w:tcPr>
            <w:tcW w:w="1344" w:type="dxa"/>
            <w:vAlign w:val="center"/>
          </w:tcPr>
          <w:p w14:paraId="35256DE3">
            <w:pPr>
              <w:adjustRightInd w:val="0"/>
              <w:snapToGrid w:val="0"/>
              <w:spacing w:line="288" w:lineRule="auto"/>
              <w:rPr>
                <w:rFonts w:ascii="宋体" w:hAnsi="宋体" w:cs="宋体"/>
                <w:sz w:val="24"/>
              </w:rPr>
            </w:pPr>
            <w:r>
              <w:rPr>
                <w:rFonts w:hint="eastAsia" w:ascii="宋体" w:hAnsi="宋体" w:cs="宋体"/>
                <w:sz w:val="24"/>
              </w:rPr>
              <w:t>　</w:t>
            </w:r>
          </w:p>
        </w:tc>
        <w:tc>
          <w:tcPr>
            <w:tcW w:w="1344" w:type="dxa"/>
            <w:vAlign w:val="center"/>
          </w:tcPr>
          <w:p w14:paraId="7BF026C3">
            <w:pPr>
              <w:adjustRightInd w:val="0"/>
              <w:snapToGrid w:val="0"/>
              <w:spacing w:line="288" w:lineRule="auto"/>
              <w:rPr>
                <w:rFonts w:ascii="宋体" w:hAnsi="宋体" w:cs="宋体"/>
                <w:sz w:val="24"/>
              </w:rPr>
            </w:pPr>
            <w:r>
              <w:rPr>
                <w:rFonts w:hint="eastAsia" w:ascii="宋体" w:hAnsi="宋体" w:cs="宋体"/>
                <w:sz w:val="24"/>
              </w:rPr>
              <w:t>　</w:t>
            </w:r>
          </w:p>
        </w:tc>
        <w:tc>
          <w:tcPr>
            <w:tcW w:w="1848" w:type="dxa"/>
            <w:vAlign w:val="center"/>
          </w:tcPr>
          <w:p w14:paraId="6647AF5E">
            <w:pPr>
              <w:adjustRightInd w:val="0"/>
              <w:snapToGrid w:val="0"/>
              <w:spacing w:line="288" w:lineRule="auto"/>
              <w:rPr>
                <w:rFonts w:ascii="宋体" w:hAnsi="宋体" w:cs="宋体"/>
                <w:sz w:val="24"/>
              </w:rPr>
            </w:pPr>
            <w:r>
              <w:rPr>
                <w:rFonts w:hint="eastAsia" w:ascii="宋体" w:hAnsi="宋体" w:cs="宋体"/>
                <w:sz w:val="24"/>
              </w:rPr>
              <w:t>　</w:t>
            </w:r>
          </w:p>
        </w:tc>
        <w:tc>
          <w:tcPr>
            <w:tcW w:w="1245" w:type="dxa"/>
            <w:vAlign w:val="center"/>
          </w:tcPr>
          <w:p w14:paraId="290FFD1F">
            <w:pPr>
              <w:adjustRightInd w:val="0"/>
              <w:snapToGrid w:val="0"/>
              <w:spacing w:line="288" w:lineRule="auto"/>
              <w:rPr>
                <w:rFonts w:ascii="宋体" w:hAnsi="宋体" w:cs="宋体"/>
                <w:sz w:val="24"/>
              </w:rPr>
            </w:pPr>
            <w:r>
              <w:rPr>
                <w:rFonts w:hint="eastAsia" w:ascii="宋体" w:hAnsi="宋体" w:cs="宋体"/>
                <w:sz w:val="24"/>
              </w:rPr>
              <w:t>　</w:t>
            </w:r>
          </w:p>
        </w:tc>
      </w:tr>
      <w:tr w14:paraId="5392B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5CF9ED98">
            <w:pPr>
              <w:adjustRightInd w:val="0"/>
              <w:snapToGrid w:val="0"/>
              <w:spacing w:line="288" w:lineRule="auto"/>
              <w:jc w:val="center"/>
              <w:rPr>
                <w:rFonts w:ascii="宋体" w:hAnsi="宋体" w:cs="宋体"/>
                <w:sz w:val="24"/>
              </w:rPr>
            </w:pPr>
            <w:r>
              <w:rPr>
                <w:rFonts w:hint="eastAsia" w:ascii="宋体" w:hAnsi="宋体" w:cs="宋体"/>
                <w:sz w:val="24"/>
              </w:rPr>
              <w:t>3</w:t>
            </w:r>
          </w:p>
        </w:tc>
        <w:tc>
          <w:tcPr>
            <w:tcW w:w="1850" w:type="dxa"/>
            <w:vAlign w:val="center"/>
          </w:tcPr>
          <w:p w14:paraId="127825E6">
            <w:pPr>
              <w:adjustRightInd w:val="0"/>
              <w:snapToGrid w:val="0"/>
              <w:spacing w:line="288" w:lineRule="auto"/>
              <w:rPr>
                <w:rFonts w:ascii="宋体" w:hAnsi="宋体" w:cs="宋体"/>
                <w:sz w:val="24"/>
              </w:rPr>
            </w:pPr>
            <w:r>
              <w:rPr>
                <w:rFonts w:hint="eastAsia" w:ascii="宋体" w:hAnsi="宋体" w:cs="宋体"/>
                <w:sz w:val="24"/>
              </w:rPr>
              <w:t>　</w:t>
            </w:r>
          </w:p>
        </w:tc>
        <w:tc>
          <w:tcPr>
            <w:tcW w:w="1344" w:type="dxa"/>
            <w:vAlign w:val="center"/>
          </w:tcPr>
          <w:p w14:paraId="774BFB8D">
            <w:pPr>
              <w:adjustRightInd w:val="0"/>
              <w:snapToGrid w:val="0"/>
              <w:spacing w:line="288" w:lineRule="auto"/>
              <w:rPr>
                <w:rFonts w:ascii="宋体" w:hAnsi="宋体" w:cs="宋体"/>
                <w:sz w:val="24"/>
              </w:rPr>
            </w:pPr>
            <w:r>
              <w:rPr>
                <w:rFonts w:hint="eastAsia" w:ascii="宋体" w:hAnsi="宋体" w:cs="宋体"/>
                <w:sz w:val="24"/>
              </w:rPr>
              <w:t>　</w:t>
            </w:r>
          </w:p>
        </w:tc>
        <w:tc>
          <w:tcPr>
            <w:tcW w:w="1344" w:type="dxa"/>
            <w:vAlign w:val="center"/>
          </w:tcPr>
          <w:p w14:paraId="057EC198">
            <w:pPr>
              <w:adjustRightInd w:val="0"/>
              <w:snapToGrid w:val="0"/>
              <w:spacing w:line="288" w:lineRule="auto"/>
              <w:rPr>
                <w:rFonts w:ascii="宋体" w:hAnsi="宋体" w:cs="宋体"/>
                <w:sz w:val="24"/>
              </w:rPr>
            </w:pPr>
            <w:r>
              <w:rPr>
                <w:rFonts w:hint="eastAsia" w:ascii="宋体" w:hAnsi="宋体" w:cs="宋体"/>
                <w:sz w:val="24"/>
              </w:rPr>
              <w:t>　</w:t>
            </w:r>
          </w:p>
        </w:tc>
        <w:tc>
          <w:tcPr>
            <w:tcW w:w="1344" w:type="dxa"/>
            <w:vAlign w:val="center"/>
          </w:tcPr>
          <w:p w14:paraId="70D7B471">
            <w:pPr>
              <w:adjustRightInd w:val="0"/>
              <w:snapToGrid w:val="0"/>
              <w:spacing w:line="288" w:lineRule="auto"/>
              <w:rPr>
                <w:rFonts w:ascii="宋体" w:hAnsi="宋体" w:cs="宋体"/>
                <w:sz w:val="24"/>
              </w:rPr>
            </w:pPr>
            <w:r>
              <w:rPr>
                <w:rFonts w:hint="eastAsia" w:ascii="宋体" w:hAnsi="宋体" w:cs="宋体"/>
                <w:sz w:val="24"/>
              </w:rPr>
              <w:t>　</w:t>
            </w:r>
          </w:p>
        </w:tc>
        <w:tc>
          <w:tcPr>
            <w:tcW w:w="1848" w:type="dxa"/>
            <w:vAlign w:val="center"/>
          </w:tcPr>
          <w:p w14:paraId="25174DE7">
            <w:pPr>
              <w:adjustRightInd w:val="0"/>
              <w:snapToGrid w:val="0"/>
              <w:spacing w:line="288" w:lineRule="auto"/>
              <w:rPr>
                <w:rFonts w:ascii="宋体" w:hAnsi="宋体" w:cs="宋体"/>
                <w:sz w:val="24"/>
              </w:rPr>
            </w:pPr>
            <w:r>
              <w:rPr>
                <w:rFonts w:hint="eastAsia" w:ascii="宋体" w:hAnsi="宋体" w:cs="宋体"/>
                <w:sz w:val="24"/>
              </w:rPr>
              <w:t>　</w:t>
            </w:r>
          </w:p>
        </w:tc>
        <w:tc>
          <w:tcPr>
            <w:tcW w:w="1245" w:type="dxa"/>
            <w:vAlign w:val="center"/>
          </w:tcPr>
          <w:p w14:paraId="5006FC05">
            <w:pPr>
              <w:adjustRightInd w:val="0"/>
              <w:snapToGrid w:val="0"/>
              <w:spacing w:line="288" w:lineRule="auto"/>
              <w:rPr>
                <w:rFonts w:ascii="宋体" w:hAnsi="宋体" w:cs="宋体"/>
                <w:sz w:val="24"/>
              </w:rPr>
            </w:pPr>
            <w:r>
              <w:rPr>
                <w:rFonts w:hint="eastAsia" w:ascii="宋体" w:hAnsi="宋体" w:cs="宋体"/>
                <w:sz w:val="24"/>
              </w:rPr>
              <w:t>　</w:t>
            </w:r>
          </w:p>
        </w:tc>
      </w:tr>
      <w:tr w14:paraId="1EEF10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54977C84">
            <w:pPr>
              <w:adjustRightInd w:val="0"/>
              <w:snapToGrid w:val="0"/>
              <w:spacing w:line="288" w:lineRule="auto"/>
              <w:jc w:val="center"/>
              <w:rPr>
                <w:rFonts w:ascii="宋体" w:hAnsi="宋体" w:cs="宋体"/>
                <w:sz w:val="24"/>
              </w:rPr>
            </w:pPr>
            <w:r>
              <w:rPr>
                <w:rFonts w:hint="eastAsia" w:ascii="宋体" w:hAnsi="宋体" w:cs="宋体"/>
                <w:sz w:val="24"/>
              </w:rPr>
              <w:t>4</w:t>
            </w:r>
          </w:p>
        </w:tc>
        <w:tc>
          <w:tcPr>
            <w:tcW w:w="1850" w:type="dxa"/>
            <w:vAlign w:val="center"/>
          </w:tcPr>
          <w:p w14:paraId="71BE4396">
            <w:pPr>
              <w:adjustRightInd w:val="0"/>
              <w:snapToGrid w:val="0"/>
              <w:spacing w:line="288" w:lineRule="auto"/>
              <w:rPr>
                <w:rFonts w:ascii="宋体" w:hAnsi="宋体" w:cs="宋体"/>
                <w:sz w:val="24"/>
              </w:rPr>
            </w:pPr>
            <w:r>
              <w:rPr>
                <w:rFonts w:hint="eastAsia" w:ascii="宋体" w:hAnsi="宋体" w:cs="宋体"/>
                <w:sz w:val="24"/>
              </w:rPr>
              <w:t>　</w:t>
            </w:r>
          </w:p>
        </w:tc>
        <w:tc>
          <w:tcPr>
            <w:tcW w:w="1344" w:type="dxa"/>
            <w:vAlign w:val="center"/>
          </w:tcPr>
          <w:p w14:paraId="5600E2C7">
            <w:pPr>
              <w:adjustRightInd w:val="0"/>
              <w:snapToGrid w:val="0"/>
              <w:spacing w:line="288" w:lineRule="auto"/>
              <w:rPr>
                <w:rFonts w:ascii="宋体" w:hAnsi="宋体" w:cs="宋体"/>
                <w:sz w:val="24"/>
              </w:rPr>
            </w:pPr>
            <w:r>
              <w:rPr>
                <w:rFonts w:hint="eastAsia" w:ascii="宋体" w:hAnsi="宋体" w:cs="宋体"/>
                <w:sz w:val="24"/>
              </w:rPr>
              <w:t>　</w:t>
            </w:r>
          </w:p>
        </w:tc>
        <w:tc>
          <w:tcPr>
            <w:tcW w:w="1344" w:type="dxa"/>
            <w:vAlign w:val="center"/>
          </w:tcPr>
          <w:p w14:paraId="24EFAEB1">
            <w:pPr>
              <w:adjustRightInd w:val="0"/>
              <w:snapToGrid w:val="0"/>
              <w:spacing w:line="288" w:lineRule="auto"/>
              <w:rPr>
                <w:rFonts w:ascii="宋体" w:hAnsi="宋体" w:cs="宋体"/>
                <w:sz w:val="24"/>
              </w:rPr>
            </w:pPr>
            <w:r>
              <w:rPr>
                <w:rFonts w:hint="eastAsia" w:ascii="宋体" w:hAnsi="宋体" w:cs="宋体"/>
                <w:sz w:val="24"/>
              </w:rPr>
              <w:t>　</w:t>
            </w:r>
          </w:p>
        </w:tc>
        <w:tc>
          <w:tcPr>
            <w:tcW w:w="1344" w:type="dxa"/>
            <w:vAlign w:val="center"/>
          </w:tcPr>
          <w:p w14:paraId="285D1873">
            <w:pPr>
              <w:adjustRightInd w:val="0"/>
              <w:snapToGrid w:val="0"/>
              <w:spacing w:line="288" w:lineRule="auto"/>
              <w:rPr>
                <w:rFonts w:ascii="宋体" w:hAnsi="宋体" w:cs="宋体"/>
                <w:sz w:val="24"/>
              </w:rPr>
            </w:pPr>
            <w:r>
              <w:rPr>
                <w:rFonts w:hint="eastAsia" w:ascii="宋体" w:hAnsi="宋体" w:cs="宋体"/>
                <w:sz w:val="24"/>
              </w:rPr>
              <w:t>　</w:t>
            </w:r>
          </w:p>
        </w:tc>
        <w:tc>
          <w:tcPr>
            <w:tcW w:w="1848" w:type="dxa"/>
            <w:vAlign w:val="center"/>
          </w:tcPr>
          <w:p w14:paraId="66AB0841">
            <w:pPr>
              <w:adjustRightInd w:val="0"/>
              <w:snapToGrid w:val="0"/>
              <w:spacing w:line="288" w:lineRule="auto"/>
              <w:rPr>
                <w:rFonts w:ascii="宋体" w:hAnsi="宋体" w:cs="宋体"/>
                <w:sz w:val="24"/>
              </w:rPr>
            </w:pPr>
            <w:r>
              <w:rPr>
                <w:rFonts w:hint="eastAsia" w:ascii="宋体" w:hAnsi="宋体" w:cs="宋体"/>
                <w:sz w:val="24"/>
              </w:rPr>
              <w:t>　</w:t>
            </w:r>
          </w:p>
        </w:tc>
        <w:tc>
          <w:tcPr>
            <w:tcW w:w="1245" w:type="dxa"/>
            <w:vAlign w:val="center"/>
          </w:tcPr>
          <w:p w14:paraId="1BB9AF77">
            <w:pPr>
              <w:adjustRightInd w:val="0"/>
              <w:snapToGrid w:val="0"/>
              <w:spacing w:line="288" w:lineRule="auto"/>
              <w:rPr>
                <w:rFonts w:ascii="宋体" w:hAnsi="宋体" w:cs="宋体"/>
                <w:sz w:val="24"/>
              </w:rPr>
            </w:pPr>
            <w:r>
              <w:rPr>
                <w:rFonts w:hint="eastAsia" w:ascii="宋体" w:hAnsi="宋体" w:cs="宋体"/>
                <w:sz w:val="24"/>
              </w:rPr>
              <w:t>　</w:t>
            </w:r>
          </w:p>
        </w:tc>
      </w:tr>
      <w:tr w14:paraId="54BE2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6B323031">
            <w:pPr>
              <w:adjustRightInd w:val="0"/>
              <w:snapToGrid w:val="0"/>
              <w:spacing w:line="288" w:lineRule="auto"/>
              <w:jc w:val="center"/>
              <w:rPr>
                <w:rFonts w:ascii="宋体" w:hAnsi="宋体" w:cs="宋体"/>
                <w:sz w:val="24"/>
              </w:rPr>
            </w:pPr>
            <w:r>
              <w:rPr>
                <w:rFonts w:hint="eastAsia" w:ascii="宋体" w:hAnsi="宋体" w:cs="宋体"/>
                <w:sz w:val="24"/>
              </w:rPr>
              <w:t>5</w:t>
            </w:r>
          </w:p>
        </w:tc>
        <w:tc>
          <w:tcPr>
            <w:tcW w:w="1850" w:type="dxa"/>
            <w:vAlign w:val="center"/>
          </w:tcPr>
          <w:p w14:paraId="1DADB34C">
            <w:pPr>
              <w:adjustRightInd w:val="0"/>
              <w:snapToGrid w:val="0"/>
              <w:spacing w:line="288" w:lineRule="auto"/>
              <w:rPr>
                <w:rFonts w:ascii="宋体" w:hAnsi="宋体" w:cs="宋体"/>
                <w:sz w:val="24"/>
              </w:rPr>
            </w:pPr>
            <w:r>
              <w:rPr>
                <w:rFonts w:hint="eastAsia" w:ascii="宋体" w:hAnsi="宋体" w:cs="宋体"/>
                <w:sz w:val="24"/>
              </w:rPr>
              <w:t>　</w:t>
            </w:r>
          </w:p>
        </w:tc>
        <w:tc>
          <w:tcPr>
            <w:tcW w:w="1344" w:type="dxa"/>
            <w:vAlign w:val="center"/>
          </w:tcPr>
          <w:p w14:paraId="64E497E2">
            <w:pPr>
              <w:adjustRightInd w:val="0"/>
              <w:snapToGrid w:val="0"/>
              <w:spacing w:line="288" w:lineRule="auto"/>
              <w:rPr>
                <w:rFonts w:ascii="宋体" w:hAnsi="宋体" w:cs="宋体"/>
                <w:sz w:val="24"/>
              </w:rPr>
            </w:pPr>
            <w:r>
              <w:rPr>
                <w:rFonts w:hint="eastAsia" w:ascii="宋体" w:hAnsi="宋体" w:cs="宋体"/>
                <w:sz w:val="24"/>
              </w:rPr>
              <w:t>　</w:t>
            </w:r>
          </w:p>
        </w:tc>
        <w:tc>
          <w:tcPr>
            <w:tcW w:w="1344" w:type="dxa"/>
            <w:vAlign w:val="center"/>
          </w:tcPr>
          <w:p w14:paraId="786FB0D7">
            <w:pPr>
              <w:adjustRightInd w:val="0"/>
              <w:snapToGrid w:val="0"/>
              <w:spacing w:line="288" w:lineRule="auto"/>
              <w:rPr>
                <w:rFonts w:ascii="宋体" w:hAnsi="宋体" w:cs="宋体"/>
                <w:sz w:val="24"/>
              </w:rPr>
            </w:pPr>
            <w:r>
              <w:rPr>
                <w:rFonts w:hint="eastAsia" w:ascii="宋体" w:hAnsi="宋体" w:cs="宋体"/>
                <w:sz w:val="24"/>
              </w:rPr>
              <w:t>　</w:t>
            </w:r>
          </w:p>
        </w:tc>
        <w:tc>
          <w:tcPr>
            <w:tcW w:w="1344" w:type="dxa"/>
            <w:vAlign w:val="center"/>
          </w:tcPr>
          <w:p w14:paraId="2696EED6">
            <w:pPr>
              <w:adjustRightInd w:val="0"/>
              <w:snapToGrid w:val="0"/>
              <w:spacing w:line="288" w:lineRule="auto"/>
              <w:rPr>
                <w:rFonts w:ascii="宋体" w:hAnsi="宋体" w:cs="宋体"/>
                <w:sz w:val="24"/>
              </w:rPr>
            </w:pPr>
            <w:r>
              <w:rPr>
                <w:rFonts w:hint="eastAsia" w:ascii="宋体" w:hAnsi="宋体" w:cs="宋体"/>
                <w:sz w:val="24"/>
              </w:rPr>
              <w:t>　</w:t>
            </w:r>
          </w:p>
        </w:tc>
        <w:tc>
          <w:tcPr>
            <w:tcW w:w="1848" w:type="dxa"/>
            <w:vAlign w:val="center"/>
          </w:tcPr>
          <w:p w14:paraId="1D338E56">
            <w:pPr>
              <w:adjustRightInd w:val="0"/>
              <w:snapToGrid w:val="0"/>
              <w:spacing w:line="288" w:lineRule="auto"/>
              <w:rPr>
                <w:rFonts w:ascii="宋体" w:hAnsi="宋体" w:cs="宋体"/>
                <w:sz w:val="24"/>
              </w:rPr>
            </w:pPr>
            <w:r>
              <w:rPr>
                <w:rFonts w:hint="eastAsia" w:ascii="宋体" w:hAnsi="宋体" w:cs="宋体"/>
                <w:sz w:val="24"/>
              </w:rPr>
              <w:t>　</w:t>
            </w:r>
          </w:p>
        </w:tc>
        <w:tc>
          <w:tcPr>
            <w:tcW w:w="1245" w:type="dxa"/>
            <w:vAlign w:val="center"/>
          </w:tcPr>
          <w:p w14:paraId="3F0DD167">
            <w:pPr>
              <w:adjustRightInd w:val="0"/>
              <w:snapToGrid w:val="0"/>
              <w:spacing w:line="288" w:lineRule="auto"/>
              <w:rPr>
                <w:rFonts w:ascii="宋体" w:hAnsi="宋体" w:cs="宋体"/>
                <w:sz w:val="24"/>
              </w:rPr>
            </w:pPr>
            <w:r>
              <w:rPr>
                <w:rFonts w:hint="eastAsia" w:ascii="宋体" w:hAnsi="宋体" w:cs="宋体"/>
                <w:sz w:val="24"/>
              </w:rPr>
              <w:t>　</w:t>
            </w:r>
          </w:p>
        </w:tc>
      </w:tr>
      <w:tr w14:paraId="25174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69AB1431">
            <w:pPr>
              <w:adjustRightInd w:val="0"/>
              <w:snapToGrid w:val="0"/>
              <w:spacing w:line="288" w:lineRule="auto"/>
              <w:jc w:val="center"/>
              <w:rPr>
                <w:rFonts w:ascii="宋体" w:hAnsi="宋体" w:cs="宋体"/>
                <w:sz w:val="24"/>
              </w:rPr>
            </w:pPr>
            <w:r>
              <w:rPr>
                <w:rFonts w:hint="eastAsia" w:ascii="宋体" w:hAnsi="宋体" w:cs="宋体"/>
                <w:sz w:val="24"/>
              </w:rPr>
              <w:t>...</w:t>
            </w:r>
          </w:p>
        </w:tc>
        <w:tc>
          <w:tcPr>
            <w:tcW w:w="1850" w:type="dxa"/>
            <w:vAlign w:val="center"/>
          </w:tcPr>
          <w:p w14:paraId="7B573A2B">
            <w:pPr>
              <w:adjustRightInd w:val="0"/>
              <w:snapToGrid w:val="0"/>
              <w:spacing w:line="288" w:lineRule="auto"/>
              <w:rPr>
                <w:rFonts w:ascii="宋体" w:hAnsi="宋体" w:cs="宋体"/>
                <w:sz w:val="24"/>
              </w:rPr>
            </w:pPr>
          </w:p>
        </w:tc>
        <w:tc>
          <w:tcPr>
            <w:tcW w:w="1344" w:type="dxa"/>
            <w:vAlign w:val="center"/>
          </w:tcPr>
          <w:p w14:paraId="14F5FDB6">
            <w:pPr>
              <w:adjustRightInd w:val="0"/>
              <w:snapToGrid w:val="0"/>
              <w:spacing w:line="288" w:lineRule="auto"/>
              <w:rPr>
                <w:rFonts w:ascii="宋体" w:hAnsi="宋体" w:cs="宋体"/>
                <w:sz w:val="24"/>
              </w:rPr>
            </w:pPr>
          </w:p>
        </w:tc>
        <w:tc>
          <w:tcPr>
            <w:tcW w:w="1344" w:type="dxa"/>
            <w:vAlign w:val="center"/>
          </w:tcPr>
          <w:p w14:paraId="2B140464">
            <w:pPr>
              <w:adjustRightInd w:val="0"/>
              <w:snapToGrid w:val="0"/>
              <w:spacing w:line="288" w:lineRule="auto"/>
              <w:rPr>
                <w:rFonts w:ascii="宋体" w:hAnsi="宋体" w:cs="宋体"/>
                <w:sz w:val="24"/>
              </w:rPr>
            </w:pPr>
          </w:p>
        </w:tc>
        <w:tc>
          <w:tcPr>
            <w:tcW w:w="1344" w:type="dxa"/>
            <w:vAlign w:val="center"/>
          </w:tcPr>
          <w:p w14:paraId="5AF3E49A">
            <w:pPr>
              <w:adjustRightInd w:val="0"/>
              <w:snapToGrid w:val="0"/>
              <w:spacing w:line="288" w:lineRule="auto"/>
              <w:rPr>
                <w:rFonts w:ascii="宋体" w:hAnsi="宋体" w:cs="宋体"/>
                <w:sz w:val="24"/>
              </w:rPr>
            </w:pPr>
          </w:p>
        </w:tc>
        <w:tc>
          <w:tcPr>
            <w:tcW w:w="1848" w:type="dxa"/>
            <w:vAlign w:val="center"/>
          </w:tcPr>
          <w:p w14:paraId="3F023677">
            <w:pPr>
              <w:adjustRightInd w:val="0"/>
              <w:snapToGrid w:val="0"/>
              <w:spacing w:line="288" w:lineRule="auto"/>
              <w:rPr>
                <w:rFonts w:ascii="宋体" w:hAnsi="宋体" w:cs="宋体"/>
                <w:sz w:val="24"/>
              </w:rPr>
            </w:pPr>
          </w:p>
        </w:tc>
        <w:tc>
          <w:tcPr>
            <w:tcW w:w="1245" w:type="dxa"/>
            <w:vAlign w:val="center"/>
          </w:tcPr>
          <w:p w14:paraId="5C62E9EC">
            <w:pPr>
              <w:adjustRightInd w:val="0"/>
              <w:snapToGrid w:val="0"/>
              <w:spacing w:line="288" w:lineRule="auto"/>
              <w:rPr>
                <w:rFonts w:ascii="宋体" w:hAnsi="宋体" w:cs="宋体"/>
                <w:sz w:val="24"/>
              </w:rPr>
            </w:pPr>
          </w:p>
        </w:tc>
      </w:tr>
    </w:tbl>
    <w:p w14:paraId="0CADE840">
      <w:pPr>
        <w:adjustRightInd w:val="0"/>
        <w:snapToGrid w:val="0"/>
        <w:spacing w:line="288" w:lineRule="auto"/>
        <w:ind w:firstLine="480" w:firstLineChars="200"/>
        <w:rPr>
          <w:rFonts w:ascii="宋体" w:hAnsi="宋体" w:cs="宋体"/>
          <w:sz w:val="24"/>
        </w:rPr>
      </w:pPr>
      <w:r>
        <w:rPr>
          <w:rFonts w:hint="eastAsia" w:ascii="宋体" w:hAnsi="宋体" w:cs="宋体"/>
          <w:sz w:val="24"/>
        </w:rPr>
        <w:t>注：</w:t>
      </w:r>
    </w:p>
    <w:p w14:paraId="7972AC99">
      <w:pPr>
        <w:adjustRightInd w:val="0"/>
        <w:snapToGrid w:val="0"/>
        <w:spacing w:line="288" w:lineRule="auto"/>
        <w:ind w:firstLine="386"/>
        <w:rPr>
          <w:rFonts w:ascii="宋体" w:hAnsi="宋体" w:cs="宋体"/>
          <w:sz w:val="24"/>
        </w:rPr>
      </w:pPr>
      <w:r>
        <w:rPr>
          <w:rFonts w:hint="eastAsia" w:ascii="宋体" w:hAnsi="宋体" w:cs="宋体"/>
          <w:sz w:val="24"/>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0B9927D4">
      <w:pPr>
        <w:adjustRightInd w:val="0"/>
        <w:snapToGrid w:val="0"/>
        <w:spacing w:line="288" w:lineRule="auto"/>
        <w:ind w:firstLine="390"/>
        <w:rPr>
          <w:rFonts w:ascii="宋体" w:hAnsi="宋体" w:cs="宋体"/>
          <w:sz w:val="24"/>
        </w:rPr>
      </w:pPr>
      <w:r>
        <w:rPr>
          <w:rFonts w:hint="eastAsia" w:ascii="宋体" w:hAnsi="宋体" w:cs="宋体"/>
          <w:sz w:val="24"/>
        </w:rPr>
        <w:t>2. 《节能产品政府采购品目清单》、《环境标志产品政府采购品目清单》请登录中国政府采购网</w:t>
      </w:r>
      <w:r>
        <w:fldChar w:fldCharType="begin"/>
      </w:r>
      <w:r>
        <w:instrText xml:space="preserve"> HYPERLINK "http://www.ccgp.gov.cn" </w:instrText>
      </w:r>
      <w:r>
        <w:fldChar w:fldCharType="separate"/>
      </w:r>
      <w:r>
        <w:rPr>
          <w:rStyle w:val="24"/>
          <w:rFonts w:hint="eastAsia" w:ascii="宋体" w:hAnsi="宋体" w:cs="宋体"/>
          <w:color w:val="auto"/>
          <w:sz w:val="24"/>
        </w:rPr>
        <w:t>http://www.ccgp.gov.cn</w:t>
      </w:r>
      <w:r>
        <w:rPr>
          <w:rStyle w:val="24"/>
          <w:rFonts w:hint="eastAsia" w:ascii="宋体" w:hAnsi="宋体" w:cs="宋体"/>
          <w:color w:val="auto"/>
          <w:sz w:val="24"/>
        </w:rPr>
        <w:fldChar w:fldCharType="end"/>
      </w:r>
      <w:r>
        <w:rPr>
          <w:rFonts w:hint="eastAsia" w:ascii="宋体" w:hAnsi="宋体" w:cs="宋体"/>
          <w:sz w:val="24"/>
        </w:rPr>
        <w:t>查询。</w:t>
      </w:r>
    </w:p>
    <w:p w14:paraId="2A9F29B5">
      <w:pPr>
        <w:adjustRightInd w:val="0"/>
        <w:snapToGrid w:val="0"/>
        <w:spacing w:line="288" w:lineRule="auto"/>
        <w:ind w:firstLine="390"/>
        <w:rPr>
          <w:rFonts w:ascii="宋体" w:hAnsi="宋体" w:cs="宋体"/>
          <w:sz w:val="24"/>
        </w:rPr>
      </w:pPr>
      <w:r>
        <w:rPr>
          <w:rFonts w:hint="eastAsia" w:ascii="宋体" w:hAnsi="宋体" w:cs="宋体"/>
          <w:sz w:val="24"/>
        </w:rPr>
        <w:t>3.投标人应在本表后提供表内所列认证证书复印件。</w:t>
      </w:r>
    </w:p>
    <w:p w14:paraId="7069D4F6">
      <w:pPr>
        <w:adjustRightInd w:val="0"/>
        <w:snapToGrid w:val="0"/>
        <w:spacing w:line="288" w:lineRule="auto"/>
        <w:rPr>
          <w:rFonts w:ascii="宋体" w:hAnsi="宋体" w:cs="宋体"/>
          <w:sz w:val="24"/>
        </w:rPr>
      </w:pPr>
      <w:r>
        <w:rPr>
          <w:rFonts w:hint="eastAsia" w:ascii="宋体" w:hAnsi="宋体" w:cs="宋体"/>
          <w:sz w:val="24"/>
        </w:rPr>
        <w:t xml:space="preserve">  </w:t>
      </w:r>
    </w:p>
    <w:p w14:paraId="0233A8D1">
      <w:pPr>
        <w:pStyle w:val="12"/>
        <w:adjustRightInd w:val="0"/>
        <w:snapToGrid w:val="0"/>
        <w:spacing w:line="288" w:lineRule="auto"/>
        <w:ind w:firstLine="3120" w:firstLineChars="1300"/>
        <w:rPr>
          <w:rFonts w:ascii="宋体" w:hAnsi="宋体" w:eastAsia="宋体" w:cs="宋体"/>
          <w:snapToGrid w:val="0"/>
          <w:kern w:val="0"/>
          <w:sz w:val="24"/>
          <w:szCs w:val="24"/>
        </w:rPr>
      </w:pPr>
    </w:p>
    <w:p w14:paraId="525D04BC">
      <w:pPr>
        <w:pStyle w:val="12"/>
        <w:adjustRightInd w:val="0"/>
        <w:snapToGrid w:val="0"/>
        <w:spacing w:line="288" w:lineRule="auto"/>
        <w:ind w:firstLine="3120" w:firstLineChars="1300"/>
        <w:rPr>
          <w:rFonts w:ascii="宋体" w:hAnsi="宋体" w:eastAsia="宋体" w:cs="宋体"/>
          <w:snapToGrid w:val="0"/>
          <w:kern w:val="0"/>
          <w:sz w:val="24"/>
          <w:szCs w:val="24"/>
        </w:rPr>
      </w:pPr>
    </w:p>
    <w:p w14:paraId="56E91DE5">
      <w:pPr>
        <w:pStyle w:val="12"/>
        <w:adjustRightInd w:val="0"/>
        <w:snapToGrid w:val="0"/>
        <w:spacing w:line="288" w:lineRule="auto"/>
        <w:ind w:firstLine="3120" w:firstLineChars="1300"/>
        <w:rPr>
          <w:rFonts w:ascii="宋体" w:hAnsi="宋体" w:eastAsia="宋体" w:cs="宋体"/>
          <w:snapToGrid w:val="0"/>
          <w:kern w:val="0"/>
          <w:sz w:val="24"/>
          <w:szCs w:val="24"/>
        </w:rPr>
      </w:pPr>
    </w:p>
    <w:p w14:paraId="63993C27">
      <w:pPr>
        <w:tabs>
          <w:tab w:val="left" w:pos="1573"/>
        </w:tabs>
        <w:spacing w:line="288" w:lineRule="auto"/>
        <w:ind w:left="941" w:leftChars="448"/>
        <w:rPr>
          <w:rFonts w:ascii="宋体" w:hAnsi="宋体" w:cs="宋体"/>
          <w:bCs/>
          <w:sz w:val="24"/>
        </w:rPr>
      </w:pPr>
      <w:r>
        <w:rPr>
          <w:rFonts w:hint="eastAsia" w:ascii="宋体" w:hAnsi="宋体" w:cs="宋体"/>
          <w:bCs/>
          <w:sz w:val="24"/>
        </w:rPr>
        <w:t xml:space="preserve">    </w:t>
      </w:r>
    </w:p>
    <w:p w14:paraId="4DE216AD">
      <w:pPr>
        <w:adjustRightInd w:val="0"/>
        <w:snapToGrid w:val="0"/>
        <w:spacing w:line="288" w:lineRule="auto"/>
        <w:ind w:firstLine="480" w:firstLineChars="200"/>
        <w:rPr>
          <w:rFonts w:ascii="宋体" w:hAnsi="宋体" w:cs="宋体"/>
          <w:sz w:val="24"/>
          <w:u w:val="single"/>
        </w:rPr>
      </w:pPr>
      <w:r>
        <w:rPr>
          <w:rFonts w:hint="eastAsia" w:ascii="宋体" w:hAnsi="宋体" w:cs="宋体"/>
          <w:sz w:val="24"/>
        </w:rPr>
        <w:t>投标人名称（盖章）：</w:t>
      </w:r>
      <w:r>
        <w:rPr>
          <w:rFonts w:hint="eastAsia" w:ascii="宋体" w:hAnsi="宋体" w:cs="宋体"/>
          <w:sz w:val="24"/>
          <w:u w:val="single"/>
        </w:rPr>
        <w:t xml:space="preserve">                                    </w:t>
      </w:r>
    </w:p>
    <w:p w14:paraId="4CEE6429">
      <w:pPr>
        <w:adjustRightInd w:val="0"/>
        <w:snapToGrid w:val="0"/>
        <w:spacing w:line="288" w:lineRule="auto"/>
        <w:ind w:firstLine="480" w:firstLineChars="200"/>
        <w:rPr>
          <w:rFonts w:ascii="宋体" w:hAnsi="宋体" w:cs="宋体"/>
          <w:snapToGrid w:val="0"/>
          <w:kern w:val="0"/>
          <w:sz w:val="24"/>
        </w:rPr>
      </w:pPr>
      <w:r>
        <w:rPr>
          <w:rFonts w:hint="eastAsia" w:ascii="宋体" w:hAnsi="宋体" w:cs="宋体"/>
          <w:snapToGrid w:val="0"/>
          <w:kern w:val="0"/>
          <w:sz w:val="24"/>
        </w:rPr>
        <w:t>法定代表人（单位负责人）</w:t>
      </w:r>
    </w:p>
    <w:p w14:paraId="476B8626">
      <w:pPr>
        <w:adjustRightInd w:val="0"/>
        <w:snapToGrid w:val="0"/>
        <w:spacing w:line="288" w:lineRule="auto"/>
        <w:ind w:firstLine="480" w:firstLineChars="200"/>
        <w:rPr>
          <w:rFonts w:ascii="宋体" w:hAnsi="宋体" w:cs="宋体"/>
          <w:snapToGrid w:val="0"/>
          <w:kern w:val="0"/>
          <w:sz w:val="24"/>
        </w:rPr>
      </w:pPr>
      <w:r>
        <w:rPr>
          <w:rFonts w:hint="eastAsia" w:ascii="宋体" w:hAnsi="宋体" w:cs="宋体"/>
          <w:snapToGrid w:val="0"/>
          <w:kern w:val="0"/>
          <w:sz w:val="24"/>
        </w:rPr>
        <w:t>或授权代表（签字或盖章）</w:t>
      </w:r>
      <w:r>
        <w:rPr>
          <w:rFonts w:hint="eastAsia" w:ascii="宋体" w:hAnsi="宋体" w:cs="宋体"/>
          <w:sz w:val="24"/>
        </w:rPr>
        <w:t>：</w:t>
      </w:r>
      <w:r>
        <w:rPr>
          <w:rFonts w:hint="eastAsia" w:ascii="宋体" w:hAnsi="宋体" w:cs="宋体"/>
          <w:sz w:val="24"/>
          <w:u w:val="single"/>
        </w:rPr>
        <w:t xml:space="preserve">                            </w:t>
      </w:r>
    </w:p>
    <w:p w14:paraId="792625DA">
      <w:pPr>
        <w:tabs>
          <w:tab w:val="left" w:pos="1573"/>
        </w:tabs>
        <w:spacing w:line="288" w:lineRule="auto"/>
        <w:rPr>
          <w:rFonts w:ascii="宋体" w:hAnsi="宋体" w:cs="宋体"/>
          <w:sz w:val="24"/>
        </w:rPr>
      </w:pPr>
    </w:p>
    <w:p w14:paraId="1F33D7AB">
      <w:pPr>
        <w:pStyle w:val="12"/>
        <w:adjustRightInd w:val="0"/>
        <w:snapToGrid w:val="0"/>
        <w:spacing w:line="288" w:lineRule="auto"/>
        <w:ind w:firstLine="0"/>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                    </w:t>
      </w:r>
    </w:p>
    <w:p w14:paraId="5FBEDC84">
      <w:pPr>
        <w:pStyle w:val="12"/>
        <w:adjustRightInd w:val="0"/>
        <w:snapToGrid w:val="0"/>
        <w:spacing w:line="288" w:lineRule="auto"/>
        <w:ind w:firstLine="480" w:firstLineChars="200"/>
        <w:rPr>
          <w:rFonts w:ascii="宋体" w:hAnsi="宋体" w:eastAsia="宋体" w:cs="宋体"/>
          <w:snapToGrid w:val="0"/>
          <w:kern w:val="0"/>
          <w:sz w:val="24"/>
          <w:szCs w:val="24"/>
        </w:rPr>
      </w:pPr>
      <w:r>
        <w:rPr>
          <w:rFonts w:hint="eastAsia" w:ascii="宋体" w:hAnsi="宋体" w:eastAsia="宋体" w:cs="宋体"/>
          <w:bCs/>
          <w:snapToGrid w:val="0"/>
          <w:kern w:val="0"/>
          <w:sz w:val="24"/>
          <w:szCs w:val="24"/>
        </w:rPr>
        <w:t>日期:</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年</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月</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日</w:t>
      </w:r>
    </w:p>
    <w:p w14:paraId="302A32A7">
      <w:pPr>
        <w:widowControl/>
        <w:jc w:val="left"/>
        <w:rPr>
          <w:rFonts w:ascii="宋体" w:hAnsi="宋体" w:eastAsia="宋体" w:cs="宋体"/>
          <w:sz w:val="24"/>
          <w:szCs w:val="20"/>
          <w:u w:val="single"/>
        </w:rPr>
      </w:pPr>
      <w:r>
        <w:rPr>
          <w:rFonts w:ascii="宋体" w:hAnsi="宋体" w:eastAsia="宋体" w:cs="宋体"/>
          <w:sz w:val="24"/>
          <w:szCs w:val="20"/>
          <w:u w:val="single"/>
        </w:rPr>
        <w:br w:type="page"/>
      </w:r>
    </w:p>
    <w:p w14:paraId="5D998432">
      <w:pPr>
        <w:pStyle w:val="4"/>
        <w:rPr>
          <w:sz w:val="24"/>
          <w:szCs w:val="20"/>
          <w:u w:val="single"/>
        </w:rPr>
      </w:pPr>
      <w:r>
        <w:rPr>
          <w:rFonts w:hint="eastAsia"/>
        </w:rPr>
        <w:t>（十三）招标文件要求提供或投标人认为需要提供的其它商务材料</w:t>
      </w:r>
    </w:p>
    <w:p w14:paraId="7921D89E">
      <w:pPr>
        <w:spacing w:line="360" w:lineRule="auto"/>
        <w:jc w:val="center"/>
        <w:rPr>
          <w:rFonts w:ascii="宋体" w:hAnsi="宋体" w:eastAsia="宋体" w:cs="宋体"/>
          <w:sz w:val="30"/>
          <w:szCs w:val="30"/>
        </w:rPr>
      </w:pPr>
      <w:r>
        <w:rPr>
          <w:rFonts w:hint="eastAsia" w:ascii="宋体" w:hAnsi="宋体" w:eastAsia="宋体" w:cs="宋体"/>
          <w:sz w:val="24"/>
          <w:szCs w:val="24"/>
        </w:rPr>
        <w:t>（如果有，提供）</w:t>
      </w:r>
    </w:p>
    <w:p w14:paraId="25B9D9DA">
      <w:pPr>
        <w:widowControl/>
        <w:jc w:val="left"/>
        <w:rPr>
          <w:rFonts w:ascii="宋体" w:hAnsi="宋体" w:eastAsia="宋体" w:cs="宋体"/>
          <w:sz w:val="24"/>
          <w:szCs w:val="20"/>
          <w:u w:val="single"/>
        </w:rPr>
      </w:pPr>
      <w:r>
        <w:rPr>
          <w:rFonts w:ascii="宋体" w:hAnsi="宋体" w:eastAsia="宋体" w:cs="宋体"/>
          <w:sz w:val="24"/>
          <w:szCs w:val="20"/>
          <w:u w:val="single"/>
        </w:rPr>
        <w:br w:type="page"/>
      </w:r>
    </w:p>
    <w:p w14:paraId="0FFC6087">
      <w:pPr>
        <w:pStyle w:val="3"/>
      </w:pPr>
      <w:r>
        <w:rPr>
          <w:rFonts w:hint="eastAsia"/>
        </w:rPr>
        <w:t>第三部分  技术文件</w:t>
      </w:r>
    </w:p>
    <w:p w14:paraId="6AE5E110">
      <w:pPr>
        <w:pStyle w:val="4"/>
      </w:pPr>
      <w:r>
        <w:rPr>
          <w:rFonts w:hint="eastAsia"/>
        </w:rPr>
        <w:br w:type="page"/>
      </w:r>
      <w:r>
        <w:rPr>
          <w:rFonts w:hint="eastAsia"/>
        </w:rPr>
        <w:t>（一）采购需求技术条款响应一览表</w:t>
      </w:r>
    </w:p>
    <w:p w14:paraId="5F6F4F95">
      <w:pPr>
        <w:spacing w:line="360" w:lineRule="auto"/>
        <w:rPr>
          <w:rFonts w:ascii="宋体" w:hAnsi="宋体" w:eastAsia="宋体" w:cs="宋体"/>
          <w:sz w:val="24"/>
          <w:szCs w:val="20"/>
        </w:rPr>
      </w:pPr>
      <w:r>
        <w:rPr>
          <w:rFonts w:hint="eastAsia" w:ascii="宋体" w:hAnsi="宋体" w:eastAsia="宋体" w:cs="宋体"/>
          <w:sz w:val="24"/>
          <w:szCs w:val="20"/>
        </w:rPr>
        <w:t xml:space="preserve">项目名称：                             </w:t>
      </w:r>
    </w:p>
    <w:p w14:paraId="7381E17D">
      <w:pPr>
        <w:spacing w:line="360" w:lineRule="auto"/>
        <w:rPr>
          <w:rFonts w:ascii="宋体" w:hAnsi="宋体" w:eastAsia="宋体" w:cs="宋体"/>
          <w:sz w:val="24"/>
          <w:szCs w:val="20"/>
        </w:rPr>
      </w:pPr>
      <w:r>
        <w:rPr>
          <w:rFonts w:hint="eastAsia" w:ascii="宋体" w:hAnsi="宋体" w:eastAsia="宋体" w:cs="宋体"/>
          <w:sz w:val="24"/>
          <w:szCs w:val="20"/>
        </w:rPr>
        <w:t>项目编号：</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2789"/>
        <w:gridCol w:w="2477"/>
        <w:gridCol w:w="2162"/>
        <w:gridCol w:w="1622"/>
      </w:tblGrid>
      <w:tr w14:paraId="3D51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5" w:type="pct"/>
            <w:noWrap/>
            <w:vAlign w:val="center"/>
          </w:tcPr>
          <w:p w14:paraId="68E989FF">
            <w:pPr>
              <w:jc w:val="center"/>
              <w:rPr>
                <w:rFonts w:ascii="宋体" w:hAnsi="宋体" w:eastAsia="宋体" w:cs="宋体"/>
                <w:kern w:val="0"/>
                <w:sz w:val="24"/>
                <w:szCs w:val="24"/>
              </w:rPr>
            </w:pPr>
            <w:r>
              <w:rPr>
                <w:rFonts w:hint="eastAsia" w:ascii="宋体" w:hAnsi="宋体" w:eastAsia="宋体" w:cs="宋体"/>
                <w:kern w:val="0"/>
                <w:sz w:val="24"/>
                <w:szCs w:val="24"/>
                <w:lang w:val="zh-CN"/>
              </w:rPr>
              <w:t>序号</w:t>
            </w:r>
          </w:p>
        </w:tc>
        <w:tc>
          <w:tcPr>
            <w:tcW w:w="1400" w:type="pct"/>
            <w:noWrap/>
            <w:vAlign w:val="center"/>
          </w:tcPr>
          <w:p w14:paraId="1267DB52">
            <w:pPr>
              <w:jc w:val="center"/>
              <w:rPr>
                <w:rFonts w:ascii="宋体" w:hAnsi="宋体" w:eastAsia="宋体" w:cs="宋体"/>
                <w:kern w:val="0"/>
                <w:sz w:val="24"/>
                <w:szCs w:val="24"/>
              </w:rPr>
            </w:pPr>
            <w:r>
              <w:rPr>
                <w:rFonts w:hint="eastAsia" w:ascii="宋体" w:hAnsi="宋体" w:eastAsia="宋体" w:cs="宋体"/>
                <w:kern w:val="0"/>
                <w:sz w:val="24"/>
                <w:szCs w:val="24"/>
              </w:rPr>
              <w:t>招标文件条款描述</w:t>
            </w:r>
          </w:p>
        </w:tc>
        <w:tc>
          <w:tcPr>
            <w:tcW w:w="1243" w:type="pct"/>
            <w:noWrap/>
            <w:vAlign w:val="center"/>
          </w:tcPr>
          <w:p w14:paraId="15D4998E">
            <w:pPr>
              <w:jc w:val="center"/>
              <w:rPr>
                <w:rFonts w:ascii="宋体" w:hAnsi="宋体" w:eastAsia="宋体" w:cs="宋体"/>
                <w:kern w:val="0"/>
                <w:sz w:val="24"/>
                <w:szCs w:val="24"/>
              </w:rPr>
            </w:pPr>
            <w:r>
              <w:rPr>
                <w:rFonts w:hint="eastAsia" w:ascii="宋体" w:hAnsi="宋体" w:eastAsia="宋体" w:cs="宋体"/>
                <w:kern w:val="0"/>
                <w:sz w:val="24"/>
                <w:szCs w:val="24"/>
                <w:lang w:val="zh-CN"/>
              </w:rPr>
              <w:t>投标人响应描述</w:t>
            </w:r>
          </w:p>
        </w:tc>
        <w:tc>
          <w:tcPr>
            <w:tcW w:w="1085" w:type="pct"/>
            <w:noWrap/>
            <w:vAlign w:val="center"/>
          </w:tcPr>
          <w:p w14:paraId="7A3CD1A0">
            <w:pPr>
              <w:jc w:val="center"/>
              <w:rPr>
                <w:rFonts w:ascii="宋体" w:hAnsi="宋体" w:eastAsia="宋体" w:cs="宋体"/>
                <w:kern w:val="0"/>
                <w:sz w:val="24"/>
                <w:szCs w:val="24"/>
              </w:rPr>
            </w:pPr>
            <w:r>
              <w:rPr>
                <w:rFonts w:hint="eastAsia" w:ascii="宋体" w:hAnsi="宋体" w:eastAsia="宋体" w:cs="宋体"/>
                <w:kern w:val="0"/>
                <w:sz w:val="24"/>
                <w:szCs w:val="24"/>
                <w:lang w:val="zh-CN"/>
              </w:rPr>
              <w:t>偏离情况说明</w:t>
            </w:r>
          </w:p>
        </w:tc>
        <w:tc>
          <w:tcPr>
            <w:tcW w:w="814" w:type="pct"/>
            <w:noWrap/>
            <w:vAlign w:val="center"/>
          </w:tcPr>
          <w:p w14:paraId="7A0E5BDD">
            <w:pPr>
              <w:jc w:val="center"/>
              <w:rPr>
                <w:rFonts w:ascii="宋体" w:hAnsi="宋体" w:eastAsia="宋体" w:cs="宋体"/>
                <w:kern w:val="0"/>
                <w:sz w:val="24"/>
                <w:szCs w:val="24"/>
                <w:lang w:val="zh-CN"/>
              </w:rPr>
            </w:pPr>
            <w:r>
              <w:rPr>
                <w:rFonts w:hint="eastAsia" w:ascii="宋体" w:hAnsi="宋体" w:eastAsia="宋体" w:cs="宋体"/>
                <w:kern w:val="0"/>
                <w:sz w:val="24"/>
                <w:szCs w:val="24"/>
                <w:lang w:val="zh-CN"/>
              </w:rPr>
              <w:t>查阅/证明</w:t>
            </w:r>
          </w:p>
          <w:p w14:paraId="00316455">
            <w:pPr>
              <w:jc w:val="center"/>
              <w:rPr>
                <w:rFonts w:ascii="宋体" w:hAnsi="宋体" w:eastAsia="宋体" w:cs="宋体"/>
                <w:kern w:val="0"/>
                <w:sz w:val="24"/>
                <w:szCs w:val="24"/>
              </w:rPr>
            </w:pPr>
            <w:r>
              <w:rPr>
                <w:rFonts w:hint="eastAsia" w:ascii="宋体" w:hAnsi="宋体" w:eastAsia="宋体" w:cs="宋体"/>
                <w:kern w:val="0"/>
                <w:sz w:val="24"/>
                <w:szCs w:val="24"/>
                <w:lang w:val="zh-CN"/>
              </w:rPr>
              <w:t>文件指引</w:t>
            </w:r>
          </w:p>
        </w:tc>
      </w:tr>
      <w:tr w14:paraId="3C74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5" w:type="pct"/>
            <w:noWrap/>
            <w:vAlign w:val="center"/>
          </w:tcPr>
          <w:p w14:paraId="070CE25D">
            <w:pPr>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00" w:type="pct"/>
            <w:noWrap/>
            <w:vAlign w:val="center"/>
          </w:tcPr>
          <w:p w14:paraId="2D588B4B">
            <w:pPr>
              <w:jc w:val="center"/>
              <w:rPr>
                <w:rFonts w:ascii="宋体" w:hAnsi="宋体" w:eastAsia="宋体" w:cs="宋体"/>
                <w:kern w:val="0"/>
                <w:sz w:val="24"/>
                <w:szCs w:val="24"/>
              </w:rPr>
            </w:pPr>
          </w:p>
        </w:tc>
        <w:tc>
          <w:tcPr>
            <w:tcW w:w="1243" w:type="pct"/>
            <w:noWrap/>
            <w:vAlign w:val="center"/>
          </w:tcPr>
          <w:p w14:paraId="6320AF58">
            <w:pPr>
              <w:jc w:val="center"/>
              <w:rPr>
                <w:rFonts w:ascii="宋体" w:hAnsi="宋体" w:eastAsia="宋体" w:cs="宋体"/>
                <w:kern w:val="0"/>
                <w:sz w:val="24"/>
                <w:szCs w:val="24"/>
              </w:rPr>
            </w:pPr>
          </w:p>
        </w:tc>
        <w:tc>
          <w:tcPr>
            <w:tcW w:w="1085" w:type="pct"/>
            <w:noWrap/>
            <w:vAlign w:val="center"/>
          </w:tcPr>
          <w:p w14:paraId="74746A44">
            <w:pPr>
              <w:jc w:val="center"/>
              <w:rPr>
                <w:rFonts w:ascii="宋体" w:hAnsi="宋体" w:eastAsia="宋体" w:cs="宋体"/>
                <w:kern w:val="0"/>
                <w:sz w:val="24"/>
                <w:szCs w:val="24"/>
              </w:rPr>
            </w:pPr>
          </w:p>
        </w:tc>
        <w:tc>
          <w:tcPr>
            <w:tcW w:w="814" w:type="pct"/>
            <w:noWrap/>
            <w:vAlign w:val="center"/>
          </w:tcPr>
          <w:p w14:paraId="540B607C">
            <w:pPr>
              <w:jc w:val="center"/>
              <w:rPr>
                <w:rFonts w:ascii="宋体" w:hAnsi="宋体" w:eastAsia="宋体" w:cs="宋体"/>
                <w:kern w:val="0"/>
                <w:sz w:val="24"/>
                <w:szCs w:val="24"/>
              </w:rPr>
            </w:pPr>
            <w:r>
              <w:rPr>
                <w:rFonts w:hint="eastAsia" w:ascii="宋体" w:hAnsi="宋体" w:eastAsia="宋体" w:cs="宋体"/>
                <w:kern w:val="0"/>
                <w:sz w:val="24"/>
                <w:szCs w:val="20"/>
              </w:rPr>
              <w:t>第页</w:t>
            </w:r>
          </w:p>
        </w:tc>
      </w:tr>
      <w:tr w14:paraId="1562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5" w:type="pct"/>
            <w:noWrap/>
            <w:vAlign w:val="center"/>
          </w:tcPr>
          <w:p w14:paraId="70CABBB0">
            <w:pPr>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00" w:type="pct"/>
            <w:noWrap/>
            <w:vAlign w:val="center"/>
          </w:tcPr>
          <w:p w14:paraId="07C0E45B">
            <w:pPr>
              <w:jc w:val="center"/>
              <w:rPr>
                <w:rFonts w:ascii="宋体" w:hAnsi="宋体" w:eastAsia="宋体" w:cs="宋体"/>
                <w:kern w:val="0"/>
                <w:sz w:val="24"/>
                <w:szCs w:val="24"/>
              </w:rPr>
            </w:pPr>
          </w:p>
        </w:tc>
        <w:tc>
          <w:tcPr>
            <w:tcW w:w="1243" w:type="pct"/>
            <w:noWrap/>
            <w:vAlign w:val="center"/>
          </w:tcPr>
          <w:p w14:paraId="57F3C43A">
            <w:pPr>
              <w:jc w:val="center"/>
              <w:rPr>
                <w:rFonts w:ascii="宋体" w:hAnsi="宋体" w:eastAsia="宋体" w:cs="宋体"/>
                <w:kern w:val="0"/>
                <w:sz w:val="24"/>
                <w:szCs w:val="24"/>
              </w:rPr>
            </w:pPr>
          </w:p>
        </w:tc>
        <w:tc>
          <w:tcPr>
            <w:tcW w:w="1085" w:type="pct"/>
            <w:noWrap/>
            <w:vAlign w:val="center"/>
          </w:tcPr>
          <w:p w14:paraId="211FE148">
            <w:pPr>
              <w:jc w:val="center"/>
              <w:rPr>
                <w:rFonts w:ascii="宋体" w:hAnsi="宋体" w:eastAsia="宋体" w:cs="宋体"/>
                <w:kern w:val="0"/>
                <w:sz w:val="24"/>
                <w:szCs w:val="24"/>
              </w:rPr>
            </w:pPr>
          </w:p>
        </w:tc>
        <w:tc>
          <w:tcPr>
            <w:tcW w:w="814" w:type="pct"/>
            <w:noWrap/>
            <w:vAlign w:val="center"/>
          </w:tcPr>
          <w:p w14:paraId="392BDF9C">
            <w:pPr>
              <w:jc w:val="center"/>
              <w:rPr>
                <w:rFonts w:ascii="宋体" w:hAnsi="宋体" w:eastAsia="宋体" w:cs="宋体"/>
                <w:kern w:val="0"/>
                <w:sz w:val="24"/>
                <w:szCs w:val="24"/>
              </w:rPr>
            </w:pPr>
            <w:r>
              <w:rPr>
                <w:rFonts w:hint="eastAsia" w:ascii="宋体" w:hAnsi="宋体" w:eastAsia="宋体" w:cs="宋体"/>
                <w:kern w:val="0"/>
                <w:sz w:val="24"/>
                <w:szCs w:val="20"/>
              </w:rPr>
              <w:t>第页</w:t>
            </w:r>
          </w:p>
        </w:tc>
      </w:tr>
      <w:tr w14:paraId="0517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5" w:type="pct"/>
            <w:noWrap/>
            <w:vAlign w:val="center"/>
          </w:tcPr>
          <w:p w14:paraId="55E714FE">
            <w:pPr>
              <w:jc w:val="center"/>
              <w:rPr>
                <w:rFonts w:ascii="宋体" w:hAnsi="宋体" w:eastAsia="宋体" w:cs="宋体"/>
                <w:kern w:val="0"/>
                <w:sz w:val="24"/>
                <w:szCs w:val="24"/>
              </w:rPr>
            </w:pPr>
            <w:r>
              <w:rPr>
                <w:rFonts w:hint="eastAsia" w:ascii="宋体" w:hAnsi="宋体" w:eastAsia="宋体" w:cs="宋体"/>
                <w:kern w:val="0"/>
                <w:sz w:val="24"/>
                <w:szCs w:val="20"/>
              </w:rPr>
              <w:t>……</w:t>
            </w:r>
          </w:p>
        </w:tc>
        <w:tc>
          <w:tcPr>
            <w:tcW w:w="1400" w:type="pct"/>
            <w:noWrap/>
            <w:vAlign w:val="center"/>
          </w:tcPr>
          <w:p w14:paraId="0D7C119F">
            <w:pPr>
              <w:jc w:val="center"/>
              <w:rPr>
                <w:rFonts w:ascii="宋体" w:hAnsi="宋体" w:eastAsia="宋体" w:cs="宋体"/>
                <w:kern w:val="0"/>
                <w:sz w:val="24"/>
                <w:szCs w:val="24"/>
              </w:rPr>
            </w:pPr>
          </w:p>
        </w:tc>
        <w:tc>
          <w:tcPr>
            <w:tcW w:w="1243" w:type="pct"/>
            <w:noWrap/>
            <w:vAlign w:val="center"/>
          </w:tcPr>
          <w:p w14:paraId="2EE71A36">
            <w:pPr>
              <w:jc w:val="center"/>
              <w:rPr>
                <w:rFonts w:ascii="宋体" w:hAnsi="宋体" w:eastAsia="宋体" w:cs="宋体"/>
                <w:kern w:val="0"/>
                <w:sz w:val="24"/>
                <w:szCs w:val="24"/>
              </w:rPr>
            </w:pPr>
          </w:p>
        </w:tc>
        <w:tc>
          <w:tcPr>
            <w:tcW w:w="1085" w:type="pct"/>
            <w:noWrap/>
            <w:vAlign w:val="center"/>
          </w:tcPr>
          <w:p w14:paraId="1EC25BC2">
            <w:pPr>
              <w:jc w:val="center"/>
              <w:rPr>
                <w:rFonts w:ascii="宋体" w:hAnsi="宋体" w:eastAsia="宋体" w:cs="宋体"/>
                <w:kern w:val="0"/>
                <w:sz w:val="24"/>
                <w:szCs w:val="24"/>
              </w:rPr>
            </w:pPr>
          </w:p>
        </w:tc>
        <w:tc>
          <w:tcPr>
            <w:tcW w:w="814" w:type="pct"/>
            <w:noWrap/>
            <w:vAlign w:val="center"/>
          </w:tcPr>
          <w:p w14:paraId="0685E5A4">
            <w:pPr>
              <w:jc w:val="center"/>
              <w:rPr>
                <w:rFonts w:ascii="宋体" w:hAnsi="宋体" w:eastAsia="宋体" w:cs="宋体"/>
                <w:kern w:val="0"/>
                <w:sz w:val="24"/>
                <w:szCs w:val="24"/>
              </w:rPr>
            </w:pPr>
            <w:r>
              <w:rPr>
                <w:rFonts w:hint="eastAsia" w:ascii="宋体" w:hAnsi="宋体" w:eastAsia="宋体" w:cs="宋体"/>
                <w:kern w:val="0"/>
                <w:sz w:val="24"/>
                <w:szCs w:val="20"/>
              </w:rPr>
              <w:t>第页</w:t>
            </w:r>
          </w:p>
        </w:tc>
      </w:tr>
    </w:tbl>
    <w:p w14:paraId="159B1BF2">
      <w:pPr>
        <w:spacing w:line="360" w:lineRule="auto"/>
        <w:rPr>
          <w:rFonts w:ascii="宋体" w:hAnsi="宋体" w:eastAsia="宋体" w:cs="宋体"/>
          <w:sz w:val="24"/>
          <w:szCs w:val="20"/>
        </w:rPr>
      </w:pPr>
      <w:r>
        <w:rPr>
          <w:rFonts w:hint="eastAsia" w:ascii="宋体" w:hAnsi="宋体" w:eastAsia="宋体" w:cs="宋体"/>
          <w:sz w:val="24"/>
          <w:szCs w:val="20"/>
        </w:rPr>
        <w:t xml:space="preserve">说明： </w:t>
      </w:r>
    </w:p>
    <w:p w14:paraId="0718B7DD">
      <w:pPr>
        <w:spacing w:line="360" w:lineRule="auto"/>
        <w:rPr>
          <w:rFonts w:ascii="宋体" w:hAnsi="宋体" w:eastAsia="宋体" w:cs="宋体"/>
          <w:sz w:val="24"/>
          <w:szCs w:val="20"/>
        </w:rPr>
      </w:pPr>
      <w:r>
        <w:rPr>
          <w:rFonts w:hint="eastAsia" w:ascii="宋体" w:hAnsi="宋体" w:eastAsia="宋体" w:cs="宋体"/>
          <w:sz w:val="24"/>
          <w:szCs w:val="20"/>
        </w:rPr>
        <w:t xml:space="preserve">1.投标人必须对应招标文件中的技术条款逐条应答并按要求填写表格。 </w:t>
      </w:r>
    </w:p>
    <w:p w14:paraId="469FF5B5">
      <w:pPr>
        <w:spacing w:line="360" w:lineRule="auto"/>
        <w:rPr>
          <w:rFonts w:ascii="宋体" w:hAnsi="宋体" w:eastAsia="宋体" w:cs="宋体"/>
          <w:sz w:val="24"/>
          <w:szCs w:val="20"/>
        </w:rPr>
      </w:pPr>
      <w:r>
        <w:rPr>
          <w:rFonts w:hint="eastAsia" w:ascii="宋体" w:hAnsi="宋体" w:eastAsia="宋体" w:cs="宋体"/>
          <w:sz w:val="24"/>
          <w:szCs w:val="20"/>
        </w:rPr>
        <w:t xml:space="preserve">2.投标人响应描述：投标人按实际数据填写。 </w:t>
      </w:r>
    </w:p>
    <w:p w14:paraId="3D410FED">
      <w:pPr>
        <w:spacing w:line="360" w:lineRule="auto"/>
        <w:rPr>
          <w:rFonts w:ascii="宋体" w:hAnsi="宋体" w:eastAsia="宋体" w:cs="宋体"/>
          <w:sz w:val="24"/>
          <w:szCs w:val="20"/>
        </w:rPr>
      </w:pPr>
      <w:r>
        <w:rPr>
          <w:rFonts w:hint="eastAsia" w:ascii="宋体" w:hAnsi="宋体" w:eastAsia="宋体" w:cs="宋体"/>
          <w:sz w:val="24"/>
          <w:szCs w:val="20"/>
        </w:rPr>
        <w:t xml:space="preserve">3.投标人应按招标文件要求填写，如有任何一项不响应或不满足的视为负偏离。 </w:t>
      </w:r>
    </w:p>
    <w:p w14:paraId="0AF928F4">
      <w:pPr>
        <w:spacing w:line="360" w:lineRule="auto"/>
        <w:rPr>
          <w:rFonts w:ascii="宋体" w:hAnsi="宋体" w:eastAsia="宋体" w:cs="宋体"/>
          <w:sz w:val="24"/>
          <w:szCs w:val="20"/>
        </w:rPr>
      </w:pPr>
      <w:r>
        <w:rPr>
          <w:rFonts w:hint="eastAsia" w:ascii="宋体" w:hAnsi="宋体" w:eastAsia="宋体" w:cs="宋体"/>
          <w:sz w:val="24"/>
          <w:szCs w:val="20"/>
        </w:rPr>
        <w:t>4.偏离情况说明：投标人根据投标人实际情况填写“正偏离”“完全响应”或“负偏离”。</w:t>
      </w:r>
    </w:p>
    <w:p w14:paraId="4FC68F66">
      <w:pPr>
        <w:spacing w:line="360" w:lineRule="auto"/>
        <w:rPr>
          <w:rFonts w:ascii="宋体" w:hAnsi="宋体" w:eastAsia="宋体" w:cs="宋体"/>
          <w:sz w:val="24"/>
          <w:szCs w:val="20"/>
        </w:rPr>
      </w:pPr>
    </w:p>
    <w:p w14:paraId="328993C6">
      <w:pPr>
        <w:spacing w:line="360" w:lineRule="auto"/>
        <w:rPr>
          <w:rFonts w:ascii="宋体" w:hAnsi="宋体" w:eastAsia="宋体" w:cs="宋体"/>
          <w:sz w:val="24"/>
          <w:szCs w:val="20"/>
        </w:rPr>
      </w:pPr>
    </w:p>
    <w:p w14:paraId="76B79A59">
      <w:pPr>
        <w:spacing w:line="360" w:lineRule="auto"/>
        <w:rPr>
          <w:rFonts w:ascii="宋体" w:hAnsi="宋体" w:eastAsia="宋体" w:cs="宋体"/>
          <w:sz w:val="24"/>
          <w:szCs w:val="20"/>
        </w:rPr>
      </w:pPr>
    </w:p>
    <w:p w14:paraId="0D2D006F">
      <w:pPr>
        <w:spacing w:line="360" w:lineRule="auto"/>
        <w:rPr>
          <w:rFonts w:ascii="宋体" w:hAnsi="宋体" w:eastAsia="宋体" w:cs="宋体"/>
          <w:sz w:val="24"/>
          <w:szCs w:val="20"/>
        </w:rPr>
      </w:pPr>
    </w:p>
    <w:p w14:paraId="7A7CF64E">
      <w:pPr>
        <w:spacing w:line="360" w:lineRule="auto"/>
        <w:rPr>
          <w:rFonts w:ascii="宋体" w:hAnsi="宋体" w:eastAsia="宋体" w:cs="宋体"/>
          <w:sz w:val="24"/>
          <w:szCs w:val="20"/>
        </w:rPr>
      </w:pPr>
    </w:p>
    <w:p w14:paraId="59FE9706">
      <w:pPr>
        <w:spacing w:line="360" w:lineRule="auto"/>
        <w:rPr>
          <w:rFonts w:ascii="宋体" w:hAnsi="宋体" w:eastAsia="宋体" w:cs="宋体"/>
          <w:sz w:val="24"/>
          <w:szCs w:val="20"/>
        </w:rPr>
      </w:pPr>
    </w:p>
    <w:p w14:paraId="1BFFC2B9">
      <w:pPr>
        <w:spacing w:line="360" w:lineRule="auto"/>
        <w:rPr>
          <w:rFonts w:ascii="宋体" w:hAnsi="宋体" w:eastAsia="宋体" w:cs="宋体"/>
          <w:sz w:val="24"/>
          <w:szCs w:val="20"/>
        </w:rPr>
      </w:pPr>
    </w:p>
    <w:p w14:paraId="40D99371">
      <w:pPr>
        <w:spacing w:line="360" w:lineRule="auto"/>
        <w:rPr>
          <w:rFonts w:ascii="宋体" w:hAnsi="宋体" w:eastAsia="宋体" w:cs="宋体"/>
          <w:sz w:val="24"/>
          <w:szCs w:val="20"/>
        </w:rPr>
      </w:pPr>
    </w:p>
    <w:p w14:paraId="6595CB22">
      <w:pPr>
        <w:spacing w:line="360" w:lineRule="auto"/>
        <w:rPr>
          <w:rFonts w:ascii="宋体" w:hAnsi="宋体" w:eastAsia="宋体" w:cs="宋体"/>
          <w:sz w:val="24"/>
          <w:szCs w:val="20"/>
          <w:u w:val="single"/>
        </w:rPr>
      </w:pPr>
      <w:r>
        <w:rPr>
          <w:rFonts w:hint="eastAsia" w:ascii="宋体" w:hAnsi="宋体" w:eastAsia="宋体" w:cs="宋体"/>
          <w:sz w:val="24"/>
          <w:szCs w:val="20"/>
        </w:rPr>
        <w:t>投标人名称（盖章）：</w:t>
      </w:r>
      <w:r>
        <w:rPr>
          <w:rFonts w:hint="eastAsia" w:ascii="宋体" w:hAnsi="宋体" w:eastAsia="宋体" w:cs="宋体"/>
          <w:sz w:val="24"/>
          <w:szCs w:val="20"/>
          <w:u w:val="single"/>
        </w:rPr>
        <w:t xml:space="preserve">                    </w:t>
      </w:r>
    </w:p>
    <w:p w14:paraId="7A891C6D">
      <w:pPr>
        <w:spacing w:line="360" w:lineRule="auto"/>
        <w:rPr>
          <w:rFonts w:ascii="宋体" w:hAnsi="宋体" w:eastAsia="宋体" w:cs="宋体"/>
          <w:sz w:val="24"/>
          <w:szCs w:val="20"/>
        </w:rPr>
      </w:pPr>
      <w:r>
        <w:rPr>
          <w:rFonts w:hint="eastAsia" w:ascii="宋体" w:hAnsi="宋体" w:eastAsia="宋体" w:cs="宋体"/>
          <w:sz w:val="24"/>
          <w:szCs w:val="20"/>
        </w:rPr>
        <w:t>法定代表人（单位负责人）</w:t>
      </w:r>
    </w:p>
    <w:p w14:paraId="349ED9EF">
      <w:pPr>
        <w:spacing w:line="360" w:lineRule="auto"/>
        <w:rPr>
          <w:rFonts w:ascii="宋体" w:hAnsi="宋体" w:eastAsia="宋体" w:cs="宋体"/>
          <w:sz w:val="24"/>
          <w:szCs w:val="20"/>
          <w:u w:val="single"/>
        </w:rPr>
      </w:pPr>
      <w:r>
        <w:rPr>
          <w:rFonts w:hint="eastAsia" w:ascii="宋体" w:hAnsi="宋体" w:eastAsia="宋体" w:cs="宋体"/>
          <w:sz w:val="24"/>
          <w:szCs w:val="20"/>
        </w:rPr>
        <w:t>或授权代表（签字或盖章）：</w:t>
      </w:r>
      <w:r>
        <w:rPr>
          <w:rFonts w:hint="eastAsia" w:ascii="宋体" w:hAnsi="宋体" w:eastAsia="宋体" w:cs="宋体"/>
          <w:sz w:val="24"/>
          <w:szCs w:val="20"/>
          <w:u w:val="single"/>
        </w:rPr>
        <w:t xml:space="preserve">             </w:t>
      </w:r>
    </w:p>
    <w:p w14:paraId="0F29C44A">
      <w:pPr>
        <w:spacing w:line="360" w:lineRule="auto"/>
        <w:rPr>
          <w:rFonts w:ascii="宋体" w:hAnsi="宋体" w:eastAsia="宋体" w:cs="宋体"/>
          <w:sz w:val="24"/>
          <w:szCs w:val="20"/>
          <w:u w:val="single"/>
        </w:rPr>
      </w:pPr>
      <w:r>
        <w:rPr>
          <w:rFonts w:hint="eastAsia" w:ascii="宋体" w:hAnsi="宋体" w:eastAsia="宋体" w:cs="宋体"/>
          <w:sz w:val="24"/>
          <w:szCs w:val="20"/>
        </w:rPr>
        <w:t>日期:</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605D2933">
      <w:pPr>
        <w:spacing w:line="360" w:lineRule="auto"/>
        <w:rPr>
          <w:rFonts w:ascii="宋体" w:hAnsi="宋体" w:eastAsia="宋体" w:cs="宋体"/>
          <w:sz w:val="24"/>
          <w:szCs w:val="20"/>
          <w:u w:val="single"/>
        </w:rPr>
      </w:pPr>
    </w:p>
    <w:p w14:paraId="51E7AD1A">
      <w:pPr>
        <w:pStyle w:val="4"/>
      </w:pPr>
      <w:r>
        <w:rPr>
          <w:rFonts w:hint="eastAsia" w:ascii="宋体" w:hAnsi="宋体" w:cs="宋体"/>
          <w:sz w:val="24"/>
          <w:szCs w:val="20"/>
          <w:u w:val="single"/>
        </w:rPr>
        <w:br w:type="page"/>
      </w:r>
      <w:r>
        <w:rPr>
          <w:rFonts w:hint="eastAsia" w:ascii="宋体" w:hAnsi="宋体" w:cs="宋体"/>
          <w:kern w:val="0"/>
        </w:rPr>
        <w:t>（二）</w:t>
      </w:r>
      <w:r>
        <w:rPr>
          <w:rFonts w:hint="eastAsia"/>
        </w:rPr>
        <w:t>投标服务方案</w:t>
      </w:r>
    </w:p>
    <w:p w14:paraId="11C8BE8A">
      <w:pPr>
        <w:spacing w:line="360" w:lineRule="auto"/>
        <w:rPr>
          <w:rFonts w:ascii="Times New Roman" w:hAnsi="Times New Roman" w:eastAsia="宋体" w:cs="Times New Roman"/>
          <w:sz w:val="24"/>
          <w:szCs w:val="20"/>
        </w:rPr>
      </w:pPr>
    </w:p>
    <w:p w14:paraId="4977B56B">
      <w:pPr>
        <w:pStyle w:val="4"/>
      </w:pPr>
      <w:r>
        <w:rPr>
          <w:rFonts w:hint="eastAsia" w:ascii="Arial" w:hAnsi="Arial" w:eastAsia="黑体" w:cs="Times New Roman"/>
          <w:sz w:val="32"/>
        </w:rPr>
        <w:br w:type="page"/>
      </w:r>
      <w:r>
        <w:rPr>
          <w:rFonts w:hint="eastAsia" w:ascii="宋体" w:hAnsi="宋体" w:cs="宋体"/>
          <w:kern w:val="0"/>
        </w:rPr>
        <w:t>（三）招标文件要求提供或投标人认为需要提供的其它技术服务材料</w:t>
      </w:r>
    </w:p>
    <w:p w14:paraId="7A739149">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（如果有，提供）</w:t>
      </w:r>
    </w:p>
    <w:p w14:paraId="7D6B8FC5">
      <w:pPr>
        <w:spacing w:line="360" w:lineRule="auto"/>
        <w:rPr>
          <w:rFonts w:ascii="Times New Roman" w:hAnsi="Times New Roman" w:eastAsia="宋体" w:cs="Times New Roman"/>
          <w:sz w:val="24"/>
          <w:szCs w:val="20"/>
        </w:rPr>
      </w:pPr>
    </w:p>
    <w:p w14:paraId="0140EB77">
      <w:pPr>
        <w:pStyle w:val="3"/>
      </w:pPr>
      <w:r>
        <w:rPr>
          <w:rFonts w:hint="eastAsia"/>
          <w:sz w:val="24"/>
          <w:szCs w:val="20"/>
          <w:u w:val="single"/>
        </w:rPr>
        <w:br w:type="page"/>
      </w:r>
      <w:r>
        <w:rPr>
          <w:rFonts w:hint="eastAsia"/>
        </w:rPr>
        <w:t>第四部分  报价文件</w:t>
      </w:r>
    </w:p>
    <w:p w14:paraId="6EAEAA0F">
      <w:pPr>
        <w:pStyle w:val="4"/>
        <w:rPr>
          <w:kern w:val="0"/>
        </w:rPr>
      </w:pPr>
      <w:r>
        <w:rPr>
          <w:rFonts w:hint="eastAsia"/>
          <w:sz w:val="24"/>
          <w:szCs w:val="20"/>
          <w:u w:val="single"/>
        </w:rPr>
        <w:br w:type="page"/>
      </w:r>
      <w:r>
        <w:rPr>
          <w:rFonts w:hint="eastAsia"/>
          <w:kern w:val="0"/>
        </w:rPr>
        <w:t>（一）开标一览表</w:t>
      </w:r>
    </w:p>
    <w:p w14:paraId="4593025D">
      <w:pPr>
        <w:spacing w:line="360" w:lineRule="auto"/>
        <w:rPr>
          <w:rFonts w:ascii="Times New Roman" w:hAnsi="Times New Roman" w:eastAsia="宋体" w:cs="Times New Roman"/>
          <w:sz w:val="24"/>
          <w:szCs w:val="20"/>
        </w:rPr>
      </w:pPr>
    </w:p>
    <w:p w14:paraId="6817F884">
      <w:p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项目名称：                             </w:t>
      </w:r>
    </w:p>
    <w:p w14:paraId="598881D5">
      <w:p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项目编号：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969"/>
        <w:gridCol w:w="2482"/>
        <w:gridCol w:w="2421"/>
      </w:tblGrid>
      <w:tr w14:paraId="420A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48" w:type="pct"/>
            <w:noWrap/>
            <w:vAlign w:val="center"/>
          </w:tcPr>
          <w:p w14:paraId="3E1229A2">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采购内容</w:t>
            </w:r>
          </w:p>
        </w:tc>
        <w:tc>
          <w:tcPr>
            <w:tcW w:w="1489" w:type="pct"/>
            <w:noWrap/>
            <w:vAlign w:val="center"/>
          </w:tcPr>
          <w:p w14:paraId="2B821DBF">
            <w:pPr>
              <w:jc w:val="cente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lang w:val="zh-CN"/>
              </w:rPr>
              <w:t>投标报价（</w:t>
            </w:r>
            <w:r>
              <w:rPr>
                <w:rFonts w:hint="eastAsia" w:ascii="Times New Roman" w:hAnsi="Times New Roman" w:eastAsia="宋体" w:cs="Times New Roman"/>
                <w:kern w:val="0"/>
                <w:sz w:val="24"/>
                <w:szCs w:val="20"/>
              </w:rPr>
              <w:t>人民币</w:t>
            </w:r>
            <w:r>
              <w:rPr>
                <w:rFonts w:hint="eastAsia" w:ascii="Times New Roman" w:hAnsi="Times New Roman" w:eastAsia="宋体" w:cs="Times New Roman"/>
                <w:kern w:val="0"/>
                <w:sz w:val="24"/>
                <w:szCs w:val="20"/>
                <w:lang w:val="zh-CN"/>
              </w:rPr>
              <w:t>）</w:t>
            </w:r>
            <w:r>
              <w:rPr>
                <w:rFonts w:hint="eastAsia" w:ascii="Times New Roman" w:hAnsi="Times New Roman" w:eastAsia="宋体" w:cs="Times New Roman"/>
                <w:kern w:val="0"/>
                <w:sz w:val="24"/>
                <w:szCs w:val="20"/>
              </w:rPr>
              <w:t>元</w:t>
            </w:r>
          </w:p>
        </w:tc>
        <w:tc>
          <w:tcPr>
            <w:tcW w:w="1246" w:type="pct"/>
            <w:noWrap/>
            <w:vAlign w:val="center"/>
          </w:tcPr>
          <w:p w14:paraId="035C0805">
            <w:pPr>
              <w:jc w:val="center"/>
              <w:rPr>
                <w:rFonts w:ascii="Times New Roman" w:hAnsi="Times New Roman" w:eastAsia="宋体" w:cs="Times New Roman"/>
                <w:kern w:val="0"/>
                <w:sz w:val="24"/>
                <w:szCs w:val="20"/>
                <w:lang w:val="zh-CN"/>
              </w:rPr>
            </w:pPr>
            <w:r>
              <w:rPr>
                <w:rFonts w:hint="eastAsia" w:ascii="Times New Roman" w:hAnsi="Times New Roman" w:eastAsia="宋体" w:cs="Times New Roman"/>
                <w:kern w:val="0"/>
                <w:sz w:val="24"/>
                <w:szCs w:val="20"/>
                <w:lang w:val="zh-CN"/>
              </w:rPr>
              <w:t>合同履行期限</w:t>
            </w:r>
          </w:p>
        </w:tc>
        <w:tc>
          <w:tcPr>
            <w:tcW w:w="1215" w:type="pct"/>
            <w:noWrap/>
            <w:vAlign w:val="center"/>
          </w:tcPr>
          <w:p w14:paraId="493F10CA">
            <w:pPr>
              <w:jc w:val="center"/>
              <w:rPr>
                <w:rFonts w:ascii="Times New Roman" w:hAnsi="Times New Roman" w:eastAsia="宋体" w:cs="Times New Roman"/>
                <w:kern w:val="0"/>
                <w:sz w:val="24"/>
                <w:szCs w:val="20"/>
                <w:lang w:val="zh-CN"/>
              </w:rPr>
            </w:pPr>
            <w:r>
              <w:rPr>
                <w:rFonts w:hint="eastAsia" w:ascii="Times New Roman" w:hAnsi="Times New Roman" w:eastAsia="宋体" w:cs="Times New Roman"/>
                <w:kern w:val="0"/>
                <w:sz w:val="24"/>
                <w:szCs w:val="20"/>
                <w:lang w:val="zh-CN"/>
              </w:rPr>
              <w:t>是否</w:t>
            </w:r>
            <w:r>
              <w:rPr>
                <w:rFonts w:hint="eastAsia" w:ascii="Times New Roman" w:hAnsi="Times New Roman" w:eastAsia="宋体" w:cs="Times New Roman"/>
                <w:kern w:val="0"/>
                <w:sz w:val="24"/>
                <w:szCs w:val="20"/>
              </w:rPr>
              <w:t>按招标要求提交了</w:t>
            </w:r>
            <w:r>
              <w:rPr>
                <w:rFonts w:hint="eastAsia" w:ascii="Times New Roman" w:hAnsi="Times New Roman" w:eastAsia="宋体" w:cs="Times New Roman"/>
                <w:kern w:val="0"/>
                <w:sz w:val="24"/>
                <w:szCs w:val="20"/>
                <w:lang w:val="zh-CN"/>
              </w:rPr>
              <w:t>投标保证金</w:t>
            </w:r>
          </w:p>
        </w:tc>
      </w:tr>
      <w:tr w14:paraId="28F9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048" w:type="pct"/>
            <w:noWrap/>
            <w:vAlign w:val="center"/>
          </w:tcPr>
          <w:p w14:paraId="000F6C34">
            <w:pPr>
              <w:rPr>
                <w:rFonts w:ascii="Times New Roman" w:hAnsi="Times New Roman" w:eastAsia="宋体" w:cs="Times New Roman"/>
                <w:kern w:val="0"/>
                <w:sz w:val="24"/>
                <w:szCs w:val="20"/>
              </w:rPr>
            </w:pPr>
          </w:p>
        </w:tc>
        <w:tc>
          <w:tcPr>
            <w:tcW w:w="1489" w:type="pct"/>
            <w:noWrap/>
            <w:vAlign w:val="center"/>
          </w:tcPr>
          <w:p w14:paraId="3315BBFA">
            <w:pP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小写：</w:t>
            </w:r>
          </w:p>
          <w:p w14:paraId="25CC0E36">
            <w:pP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大写：</w:t>
            </w:r>
          </w:p>
        </w:tc>
        <w:tc>
          <w:tcPr>
            <w:tcW w:w="1246" w:type="pct"/>
            <w:noWrap/>
            <w:vAlign w:val="center"/>
          </w:tcPr>
          <w:p w14:paraId="7FA7BE5F">
            <w:pPr>
              <w:rPr>
                <w:rFonts w:ascii="Times New Roman" w:hAnsi="Times New Roman" w:eastAsia="宋体" w:cs="Times New Roman"/>
                <w:kern w:val="0"/>
                <w:sz w:val="24"/>
                <w:szCs w:val="20"/>
              </w:rPr>
            </w:pPr>
          </w:p>
        </w:tc>
        <w:tc>
          <w:tcPr>
            <w:tcW w:w="1215" w:type="pct"/>
            <w:noWrap/>
            <w:vAlign w:val="center"/>
          </w:tcPr>
          <w:p w14:paraId="42AED959">
            <w:pPr>
              <w:rPr>
                <w:rFonts w:ascii="Times New Roman" w:hAnsi="Times New Roman" w:eastAsia="宋体" w:cs="Times New Roman"/>
                <w:kern w:val="0"/>
                <w:sz w:val="24"/>
                <w:szCs w:val="20"/>
              </w:rPr>
            </w:pPr>
          </w:p>
        </w:tc>
      </w:tr>
    </w:tbl>
    <w:p w14:paraId="43CF5C7A">
      <w:pPr>
        <w:spacing w:line="360" w:lineRule="auto"/>
        <w:rPr>
          <w:rFonts w:ascii="Times New Roman" w:hAnsi="Times New Roman" w:eastAsia="宋体" w:cs="Times New Roman"/>
          <w:sz w:val="24"/>
          <w:szCs w:val="20"/>
        </w:rPr>
      </w:pPr>
      <w:r>
        <w:rPr>
          <w:rFonts w:hint="eastAsia" w:ascii="Times New Roman" w:hAnsi="Times New Roman" w:eastAsia="宋体" w:cs="Times New Roman"/>
          <w:b/>
          <w:bCs/>
          <w:sz w:val="24"/>
          <w:szCs w:val="20"/>
        </w:rPr>
        <w:t>说明：</w:t>
      </w:r>
    </w:p>
    <w:p w14:paraId="117C95FE">
      <w:pPr>
        <w:spacing w:line="360" w:lineRule="auto"/>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 xml:space="preserve">1.中文大写金额用汉字，如壹、贰、叁、肆、伍、陆、柒、捌、玖、拾、佰、仟、万、亿、元、角、分、零、整（正）等。 </w:t>
      </w:r>
    </w:p>
    <w:p w14:paraId="5D7A73C2">
      <w:pPr>
        <w:spacing w:line="360" w:lineRule="auto"/>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 xml:space="preserve">2.除招标文件另有规定外，投标文件内不得含有任何对本报价进行价格折扣的说明或资料，否则为无效投标。 </w:t>
      </w:r>
    </w:p>
    <w:p w14:paraId="0528A4FC">
      <w:pPr>
        <w:spacing w:line="360" w:lineRule="auto"/>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3.投标人提报的投标报价是为完成该包全部工作所需的一切费用。</w:t>
      </w:r>
    </w:p>
    <w:p w14:paraId="7BCF0DB7">
      <w:pPr>
        <w:spacing w:line="360" w:lineRule="auto"/>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4.投标报价的小数点后保留</w:t>
      </w:r>
      <w:r>
        <w:rPr>
          <w:rFonts w:hint="eastAsia" w:ascii="Times New Roman" w:hAnsi="Times New Roman" w:eastAsia="宋体" w:cs="Times New Roman"/>
          <w:b/>
          <w:bCs/>
          <w:sz w:val="24"/>
          <w:szCs w:val="20"/>
          <w:u w:val="single"/>
        </w:rPr>
        <w:t>2</w:t>
      </w:r>
      <w:r>
        <w:rPr>
          <w:rFonts w:hint="eastAsia" w:ascii="Times New Roman" w:hAnsi="Times New Roman" w:eastAsia="宋体" w:cs="Times New Roman"/>
          <w:b/>
          <w:bCs/>
          <w:sz w:val="24"/>
          <w:szCs w:val="20"/>
        </w:rPr>
        <w:t xml:space="preserve">位有效数。 </w:t>
      </w:r>
    </w:p>
    <w:p w14:paraId="7E88A937">
      <w:pPr>
        <w:spacing w:line="360" w:lineRule="auto"/>
        <w:rPr>
          <w:rFonts w:ascii="Times New Roman" w:hAnsi="Times New Roman" w:eastAsia="宋体" w:cs="Times New Roman"/>
          <w:sz w:val="24"/>
          <w:szCs w:val="20"/>
        </w:rPr>
      </w:pPr>
      <w:r>
        <w:rPr>
          <w:rFonts w:hint="eastAsia" w:ascii="Times New Roman" w:hAnsi="Times New Roman" w:eastAsia="宋体" w:cs="Times New Roman"/>
          <w:b/>
          <w:bCs/>
          <w:sz w:val="24"/>
          <w:szCs w:val="20"/>
        </w:rPr>
        <w:t>5.开标一览表应按要求同时另行单独密封一份提交。</w:t>
      </w:r>
    </w:p>
    <w:p w14:paraId="15BED8DF">
      <w:pPr>
        <w:spacing w:line="360" w:lineRule="auto"/>
        <w:rPr>
          <w:rFonts w:ascii="宋体" w:hAnsi="宋体" w:eastAsia="宋体" w:cs="宋体"/>
          <w:sz w:val="24"/>
          <w:szCs w:val="20"/>
        </w:rPr>
      </w:pPr>
    </w:p>
    <w:p w14:paraId="0E19F1CC">
      <w:pPr>
        <w:spacing w:line="360" w:lineRule="auto"/>
        <w:rPr>
          <w:rFonts w:ascii="宋体" w:hAnsi="宋体" w:eastAsia="宋体" w:cs="宋体"/>
          <w:sz w:val="24"/>
          <w:szCs w:val="20"/>
        </w:rPr>
      </w:pPr>
    </w:p>
    <w:p w14:paraId="793A3941">
      <w:pPr>
        <w:spacing w:line="360" w:lineRule="auto"/>
        <w:rPr>
          <w:rFonts w:ascii="宋体" w:hAnsi="宋体" w:eastAsia="宋体" w:cs="宋体"/>
          <w:sz w:val="24"/>
          <w:szCs w:val="20"/>
        </w:rPr>
      </w:pPr>
    </w:p>
    <w:p w14:paraId="69E2C10C">
      <w:pPr>
        <w:spacing w:line="360" w:lineRule="auto"/>
        <w:rPr>
          <w:rFonts w:ascii="宋体" w:hAnsi="宋体" w:eastAsia="宋体" w:cs="宋体"/>
          <w:sz w:val="24"/>
          <w:szCs w:val="20"/>
          <w:u w:val="single"/>
        </w:rPr>
      </w:pPr>
      <w:r>
        <w:rPr>
          <w:rFonts w:hint="eastAsia" w:ascii="宋体" w:hAnsi="宋体" w:eastAsia="宋体" w:cs="宋体"/>
          <w:sz w:val="24"/>
          <w:szCs w:val="20"/>
        </w:rPr>
        <w:t>投标人名称（盖章）：</w:t>
      </w:r>
      <w:r>
        <w:rPr>
          <w:rFonts w:hint="eastAsia" w:ascii="宋体" w:hAnsi="宋体" w:eastAsia="宋体" w:cs="宋体"/>
          <w:sz w:val="24"/>
          <w:szCs w:val="20"/>
          <w:u w:val="single"/>
        </w:rPr>
        <w:t xml:space="preserve">                    </w:t>
      </w:r>
    </w:p>
    <w:p w14:paraId="09D01763">
      <w:pPr>
        <w:spacing w:line="360" w:lineRule="auto"/>
        <w:rPr>
          <w:rFonts w:ascii="宋体" w:hAnsi="宋体" w:eastAsia="宋体" w:cs="宋体"/>
          <w:sz w:val="24"/>
          <w:szCs w:val="20"/>
        </w:rPr>
      </w:pPr>
      <w:r>
        <w:rPr>
          <w:rFonts w:hint="eastAsia" w:ascii="宋体" w:hAnsi="宋体" w:eastAsia="宋体" w:cs="宋体"/>
          <w:sz w:val="24"/>
          <w:szCs w:val="20"/>
        </w:rPr>
        <w:t>法定代表人（单位负责人）</w:t>
      </w:r>
    </w:p>
    <w:p w14:paraId="7DA9951A">
      <w:pPr>
        <w:spacing w:line="360" w:lineRule="auto"/>
        <w:rPr>
          <w:rFonts w:ascii="宋体" w:hAnsi="宋体" w:eastAsia="宋体" w:cs="宋体"/>
          <w:sz w:val="24"/>
          <w:szCs w:val="20"/>
          <w:u w:val="single"/>
        </w:rPr>
      </w:pPr>
      <w:r>
        <w:rPr>
          <w:rFonts w:hint="eastAsia" w:ascii="宋体" w:hAnsi="宋体" w:eastAsia="宋体" w:cs="宋体"/>
          <w:sz w:val="24"/>
          <w:szCs w:val="20"/>
        </w:rPr>
        <w:t>或授权代表（签字或盖章）：</w:t>
      </w:r>
      <w:r>
        <w:rPr>
          <w:rFonts w:hint="eastAsia" w:ascii="宋体" w:hAnsi="宋体" w:eastAsia="宋体" w:cs="宋体"/>
          <w:sz w:val="24"/>
          <w:szCs w:val="20"/>
          <w:u w:val="single"/>
        </w:rPr>
        <w:t xml:space="preserve">             </w:t>
      </w:r>
    </w:p>
    <w:p w14:paraId="7C8242B7">
      <w:pPr>
        <w:spacing w:line="360" w:lineRule="auto"/>
        <w:rPr>
          <w:rFonts w:ascii="宋体" w:hAnsi="宋体" w:eastAsia="宋体" w:cs="宋体"/>
          <w:sz w:val="24"/>
          <w:szCs w:val="20"/>
          <w:u w:val="single"/>
        </w:rPr>
      </w:pPr>
      <w:r>
        <w:rPr>
          <w:rFonts w:hint="eastAsia" w:ascii="宋体" w:hAnsi="宋体" w:eastAsia="宋体" w:cs="宋体"/>
          <w:sz w:val="24"/>
          <w:szCs w:val="20"/>
        </w:rPr>
        <w:t>日期:</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3EF91268">
      <w:pPr>
        <w:spacing w:line="360" w:lineRule="auto"/>
        <w:rPr>
          <w:rFonts w:ascii="宋体" w:hAnsi="宋体" w:eastAsia="宋体" w:cs="宋体"/>
          <w:sz w:val="24"/>
          <w:szCs w:val="20"/>
          <w:u w:val="single"/>
        </w:rPr>
      </w:pPr>
    </w:p>
    <w:p w14:paraId="71702BB6">
      <w:pPr>
        <w:spacing w:line="360" w:lineRule="auto"/>
        <w:rPr>
          <w:rFonts w:ascii="宋体" w:hAnsi="宋体" w:eastAsia="宋体" w:cs="宋体"/>
          <w:sz w:val="24"/>
          <w:szCs w:val="20"/>
          <w:u w:val="single"/>
        </w:rPr>
      </w:pPr>
    </w:p>
    <w:p w14:paraId="55983DF9">
      <w:pPr>
        <w:pStyle w:val="4"/>
      </w:pPr>
      <w:r>
        <w:rPr>
          <w:rFonts w:hint="eastAsia"/>
          <w:sz w:val="24"/>
          <w:szCs w:val="20"/>
          <w:u w:val="single"/>
        </w:rPr>
        <w:br w:type="page"/>
      </w:r>
      <w:r>
        <w:rPr>
          <w:rFonts w:hint="eastAsia"/>
          <w:sz w:val="28"/>
          <w:szCs w:val="28"/>
        </w:rPr>
        <w:t>（二）</w:t>
      </w:r>
      <w:r>
        <w:rPr>
          <w:rFonts w:hint="eastAsia"/>
        </w:rPr>
        <w:t>投标分项报价表</w:t>
      </w:r>
    </w:p>
    <w:p w14:paraId="4B16549F">
      <w:pPr>
        <w:spacing w:line="360" w:lineRule="auto"/>
        <w:jc w:val="center"/>
      </w:pPr>
      <w:r>
        <w:rPr>
          <w:rFonts w:hint="eastAsia" w:ascii="宋体" w:hAnsi="宋体" w:eastAsia="宋体" w:cs="宋体"/>
          <w:kern w:val="0"/>
          <w:sz w:val="28"/>
          <w:szCs w:val="28"/>
        </w:rPr>
        <w:t>（如果有，提供）</w:t>
      </w:r>
    </w:p>
    <w:p w14:paraId="37AD3DEC">
      <w:p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项目名称：                             </w:t>
      </w:r>
    </w:p>
    <w:p w14:paraId="4F6214FB">
      <w:p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696"/>
        <w:gridCol w:w="1416"/>
        <w:gridCol w:w="936"/>
        <w:gridCol w:w="696"/>
        <w:gridCol w:w="696"/>
        <w:gridCol w:w="696"/>
        <w:gridCol w:w="696"/>
        <w:gridCol w:w="696"/>
      </w:tblGrid>
      <w:tr w14:paraId="52F7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ign w:val="center"/>
          </w:tcPr>
          <w:p w14:paraId="51A105C5">
            <w:pPr>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0" w:type="auto"/>
            <w:noWrap/>
            <w:vAlign w:val="center"/>
          </w:tcPr>
          <w:p w14:paraId="05DCEA06">
            <w:pPr>
              <w:jc w:val="center"/>
              <w:rPr>
                <w:rFonts w:ascii="宋体" w:hAnsi="宋体" w:eastAsia="宋体" w:cs="宋体"/>
                <w:kern w:val="0"/>
                <w:sz w:val="24"/>
                <w:szCs w:val="24"/>
              </w:rPr>
            </w:pPr>
            <w:r>
              <w:rPr>
                <w:rFonts w:hint="eastAsia" w:ascii="宋体" w:hAnsi="宋体" w:eastAsia="宋体" w:cs="宋体"/>
                <w:kern w:val="0"/>
                <w:sz w:val="24"/>
                <w:szCs w:val="24"/>
              </w:rPr>
              <w:t>产品名称</w:t>
            </w:r>
          </w:p>
        </w:tc>
        <w:tc>
          <w:tcPr>
            <w:tcW w:w="0" w:type="auto"/>
            <w:noWrap/>
            <w:vAlign w:val="center"/>
          </w:tcPr>
          <w:p w14:paraId="4D849CD0">
            <w:pPr>
              <w:jc w:val="center"/>
              <w:rPr>
                <w:rFonts w:ascii="宋体" w:hAnsi="宋体" w:eastAsia="宋体" w:cs="宋体"/>
                <w:kern w:val="0"/>
                <w:sz w:val="24"/>
                <w:szCs w:val="24"/>
              </w:rPr>
            </w:pPr>
            <w:r>
              <w:rPr>
                <w:rFonts w:hint="eastAsia" w:ascii="宋体" w:hAnsi="宋体" w:eastAsia="宋体" w:cs="宋体"/>
                <w:kern w:val="0"/>
                <w:sz w:val="24"/>
                <w:szCs w:val="24"/>
              </w:rPr>
              <w:t>品牌</w:t>
            </w:r>
          </w:p>
        </w:tc>
        <w:tc>
          <w:tcPr>
            <w:tcW w:w="0" w:type="auto"/>
            <w:noWrap/>
            <w:vAlign w:val="center"/>
          </w:tcPr>
          <w:p w14:paraId="52BB9E03">
            <w:pPr>
              <w:jc w:val="center"/>
              <w:rPr>
                <w:rFonts w:ascii="宋体" w:hAnsi="宋体" w:eastAsia="宋体" w:cs="宋体"/>
                <w:kern w:val="0"/>
                <w:sz w:val="24"/>
                <w:szCs w:val="24"/>
              </w:rPr>
            </w:pPr>
            <w:r>
              <w:rPr>
                <w:rFonts w:hint="eastAsia" w:ascii="宋体" w:hAnsi="宋体" w:eastAsia="宋体" w:cs="宋体"/>
                <w:kern w:val="0"/>
                <w:sz w:val="24"/>
                <w:szCs w:val="24"/>
              </w:rPr>
              <w:t>规格</w:t>
            </w:r>
          </w:p>
        </w:tc>
        <w:tc>
          <w:tcPr>
            <w:tcW w:w="0" w:type="auto"/>
            <w:noWrap/>
            <w:vAlign w:val="center"/>
          </w:tcPr>
          <w:p w14:paraId="20298B5F">
            <w:pPr>
              <w:jc w:val="center"/>
              <w:rPr>
                <w:rFonts w:ascii="宋体" w:hAnsi="宋体" w:eastAsia="宋体" w:cs="宋体"/>
                <w:kern w:val="0"/>
                <w:sz w:val="24"/>
                <w:szCs w:val="24"/>
              </w:rPr>
            </w:pPr>
            <w:r>
              <w:rPr>
                <w:rFonts w:hint="eastAsia" w:ascii="宋体" w:hAnsi="宋体" w:eastAsia="宋体" w:cs="宋体"/>
                <w:kern w:val="0"/>
                <w:sz w:val="24"/>
                <w:szCs w:val="24"/>
              </w:rPr>
              <w:t>型号</w:t>
            </w:r>
          </w:p>
        </w:tc>
        <w:tc>
          <w:tcPr>
            <w:tcW w:w="0" w:type="auto"/>
            <w:noWrap/>
            <w:vAlign w:val="center"/>
          </w:tcPr>
          <w:p w14:paraId="2A49B201">
            <w:pPr>
              <w:jc w:val="center"/>
              <w:rPr>
                <w:rFonts w:ascii="宋体" w:hAnsi="宋体" w:eastAsia="宋体" w:cs="宋体"/>
                <w:kern w:val="0"/>
                <w:sz w:val="24"/>
                <w:szCs w:val="24"/>
              </w:rPr>
            </w:pPr>
            <w:r>
              <w:rPr>
                <w:rFonts w:hint="eastAsia" w:ascii="宋体" w:hAnsi="宋体" w:eastAsia="宋体" w:cs="宋体"/>
                <w:kern w:val="0"/>
                <w:sz w:val="24"/>
                <w:szCs w:val="24"/>
              </w:rPr>
              <w:t>制造商</w:t>
            </w:r>
          </w:p>
          <w:p w14:paraId="52A55616">
            <w:pPr>
              <w:rPr>
                <w:rFonts w:ascii="宋体" w:hAnsi="宋体" w:eastAsia="宋体" w:cs="宋体"/>
                <w:kern w:val="0"/>
                <w:sz w:val="24"/>
                <w:szCs w:val="24"/>
              </w:rPr>
            </w:pPr>
            <w:r>
              <w:rPr>
                <w:rFonts w:hint="eastAsia" w:ascii="宋体" w:hAnsi="宋体" w:eastAsia="宋体" w:cs="宋体"/>
                <w:kern w:val="0"/>
                <w:sz w:val="24"/>
                <w:szCs w:val="24"/>
              </w:rPr>
              <w:t>（生产商）</w:t>
            </w:r>
          </w:p>
        </w:tc>
        <w:tc>
          <w:tcPr>
            <w:tcW w:w="0" w:type="auto"/>
            <w:noWrap/>
            <w:vAlign w:val="center"/>
          </w:tcPr>
          <w:p w14:paraId="14A7A5C2">
            <w:pPr>
              <w:jc w:val="center"/>
              <w:rPr>
                <w:rFonts w:ascii="宋体" w:hAnsi="宋体" w:eastAsia="宋体" w:cs="宋体"/>
                <w:kern w:val="0"/>
                <w:sz w:val="24"/>
                <w:szCs w:val="24"/>
              </w:rPr>
            </w:pPr>
            <w:r>
              <w:rPr>
                <w:rFonts w:hint="eastAsia" w:ascii="宋体" w:hAnsi="宋体" w:eastAsia="宋体" w:cs="宋体"/>
                <w:kern w:val="0"/>
                <w:sz w:val="24"/>
                <w:szCs w:val="24"/>
              </w:rPr>
              <w:t>原产地</w:t>
            </w:r>
          </w:p>
        </w:tc>
        <w:tc>
          <w:tcPr>
            <w:tcW w:w="0" w:type="auto"/>
            <w:noWrap/>
            <w:vAlign w:val="center"/>
          </w:tcPr>
          <w:p w14:paraId="1E971747">
            <w:pPr>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0" w:type="auto"/>
            <w:noWrap/>
            <w:vAlign w:val="center"/>
          </w:tcPr>
          <w:p w14:paraId="39B3300A">
            <w:pPr>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0" w:type="auto"/>
            <w:noWrap/>
            <w:vAlign w:val="center"/>
          </w:tcPr>
          <w:p w14:paraId="30274BB1">
            <w:pPr>
              <w:jc w:val="center"/>
              <w:rPr>
                <w:rFonts w:ascii="宋体" w:hAnsi="宋体" w:eastAsia="宋体" w:cs="宋体"/>
                <w:kern w:val="0"/>
                <w:sz w:val="24"/>
                <w:szCs w:val="24"/>
              </w:rPr>
            </w:pPr>
            <w:r>
              <w:rPr>
                <w:rFonts w:hint="eastAsia" w:ascii="宋体" w:hAnsi="宋体" w:eastAsia="宋体" w:cs="宋体"/>
                <w:kern w:val="0"/>
                <w:sz w:val="24"/>
                <w:szCs w:val="24"/>
              </w:rPr>
              <w:t>单价</w:t>
            </w:r>
          </w:p>
        </w:tc>
        <w:tc>
          <w:tcPr>
            <w:tcW w:w="0" w:type="auto"/>
            <w:noWrap/>
            <w:vAlign w:val="center"/>
          </w:tcPr>
          <w:p w14:paraId="3CF5FBDE">
            <w:pPr>
              <w:jc w:val="center"/>
              <w:rPr>
                <w:rFonts w:ascii="宋体" w:hAnsi="宋体" w:eastAsia="宋体" w:cs="宋体"/>
                <w:kern w:val="0"/>
                <w:sz w:val="24"/>
                <w:szCs w:val="24"/>
              </w:rPr>
            </w:pPr>
            <w:r>
              <w:rPr>
                <w:rFonts w:hint="eastAsia" w:ascii="宋体" w:hAnsi="宋体" w:eastAsia="宋体" w:cs="宋体"/>
                <w:kern w:val="0"/>
                <w:sz w:val="24"/>
                <w:szCs w:val="24"/>
              </w:rPr>
              <w:t>总价</w:t>
            </w:r>
          </w:p>
        </w:tc>
        <w:tc>
          <w:tcPr>
            <w:tcW w:w="0" w:type="auto"/>
            <w:noWrap/>
            <w:vAlign w:val="center"/>
          </w:tcPr>
          <w:p w14:paraId="6AF40FD4">
            <w:pPr>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14:paraId="46CA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tcPr>
          <w:p w14:paraId="58644DC5">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noWrap/>
          </w:tcPr>
          <w:p w14:paraId="3FDF67B2">
            <w:pPr>
              <w:spacing w:line="360" w:lineRule="auto"/>
              <w:rPr>
                <w:rFonts w:ascii="宋体" w:hAnsi="宋体" w:eastAsia="宋体" w:cs="宋体"/>
                <w:kern w:val="0"/>
                <w:sz w:val="24"/>
                <w:szCs w:val="24"/>
              </w:rPr>
            </w:pPr>
          </w:p>
        </w:tc>
        <w:tc>
          <w:tcPr>
            <w:tcW w:w="0" w:type="auto"/>
            <w:noWrap/>
          </w:tcPr>
          <w:p w14:paraId="229FB75E">
            <w:pPr>
              <w:spacing w:line="360" w:lineRule="auto"/>
              <w:rPr>
                <w:rFonts w:ascii="宋体" w:hAnsi="宋体" w:eastAsia="宋体" w:cs="宋体"/>
                <w:kern w:val="0"/>
                <w:sz w:val="24"/>
                <w:szCs w:val="24"/>
              </w:rPr>
            </w:pPr>
          </w:p>
        </w:tc>
        <w:tc>
          <w:tcPr>
            <w:tcW w:w="0" w:type="auto"/>
            <w:noWrap/>
          </w:tcPr>
          <w:p w14:paraId="5BC2C4B0">
            <w:pPr>
              <w:spacing w:line="360" w:lineRule="auto"/>
              <w:rPr>
                <w:rFonts w:ascii="宋体" w:hAnsi="宋体" w:eastAsia="宋体" w:cs="宋体"/>
                <w:kern w:val="0"/>
                <w:sz w:val="24"/>
                <w:szCs w:val="24"/>
              </w:rPr>
            </w:pPr>
          </w:p>
        </w:tc>
        <w:tc>
          <w:tcPr>
            <w:tcW w:w="0" w:type="auto"/>
            <w:noWrap/>
          </w:tcPr>
          <w:p w14:paraId="73FDA8DD">
            <w:pPr>
              <w:spacing w:line="360" w:lineRule="auto"/>
              <w:rPr>
                <w:rFonts w:ascii="宋体" w:hAnsi="宋体" w:eastAsia="宋体" w:cs="宋体"/>
                <w:kern w:val="0"/>
                <w:sz w:val="24"/>
                <w:szCs w:val="24"/>
              </w:rPr>
            </w:pPr>
          </w:p>
        </w:tc>
        <w:tc>
          <w:tcPr>
            <w:tcW w:w="0" w:type="auto"/>
            <w:noWrap/>
          </w:tcPr>
          <w:p w14:paraId="6325E038">
            <w:pPr>
              <w:spacing w:line="360" w:lineRule="auto"/>
              <w:rPr>
                <w:rFonts w:ascii="宋体" w:hAnsi="宋体" w:eastAsia="宋体" w:cs="宋体"/>
                <w:kern w:val="0"/>
                <w:sz w:val="24"/>
                <w:szCs w:val="24"/>
              </w:rPr>
            </w:pPr>
          </w:p>
        </w:tc>
        <w:tc>
          <w:tcPr>
            <w:tcW w:w="0" w:type="auto"/>
            <w:noWrap/>
          </w:tcPr>
          <w:p w14:paraId="2A2B742A">
            <w:pPr>
              <w:spacing w:line="360" w:lineRule="auto"/>
              <w:rPr>
                <w:rFonts w:ascii="宋体" w:hAnsi="宋体" w:eastAsia="宋体" w:cs="宋体"/>
                <w:kern w:val="0"/>
                <w:sz w:val="24"/>
                <w:szCs w:val="24"/>
              </w:rPr>
            </w:pPr>
          </w:p>
        </w:tc>
        <w:tc>
          <w:tcPr>
            <w:tcW w:w="0" w:type="auto"/>
            <w:noWrap/>
          </w:tcPr>
          <w:p w14:paraId="5DE2941E">
            <w:pPr>
              <w:spacing w:line="360" w:lineRule="auto"/>
              <w:rPr>
                <w:rFonts w:ascii="宋体" w:hAnsi="宋体" w:eastAsia="宋体" w:cs="宋体"/>
                <w:kern w:val="0"/>
                <w:sz w:val="24"/>
                <w:szCs w:val="24"/>
              </w:rPr>
            </w:pPr>
          </w:p>
        </w:tc>
        <w:tc>
          <w:tcPr>
            <w:tcW w:w="0" w:type="auto"/>
            <w:noWrap/>
          </w:tcPr>
          <w:p w14:paraId="251E866D">
            <w:pPr>
              <w:spacing w:line="360" w:lineRule="auto"/>
              <w:rPr>
                <w:rFonts w:ascii="宋体" w:hAnsi="宋体" w:eastAsia="宋体" w:cs="宋体"/>
                <w:kern w:val="0"/>
                <w:sz w:val="24"/>
                <w:szCs w:val="24"/>
              </w:rPr>
            </w:pPr>
          </w:p>
        </w:tc>
        <w:tc>
          <w:tcPr>
            <w:tcW w:w="0" w:type="auto"/>
            <w:noWrap/>
          </w:tcPr>
          <w:p w14:paraId="058254EA">
            <w:pPr>
              <w:spacing w:line="360" w:lineRule="auto"/>
              <w:rPr>
                <w:rFonts w:ascii="宋体" w:hAnsi="宋体" w:eastAsia="宋体" w:cs="宋体"/>
                <w:kern w:val="0"/>
                <w:sz w:val="24"/>
                <w:szCs w:val="24"/>
              </w:rPr>
            </w:pPr>
          </w:p>
        </w:tc>
        <w:tc>
          <w:tcPr>
            <w:tcW w:w="0" w:type="auto"/>
            <w:noWrap/>
          </w:tcPr>
          <w:p w14:paraId="0D7447E9">
            <w:pPr>
              <w:spacing w:line="360" w:lineRule="auto"/>
              <w:rPr>
                <w:rFonts w:ascii="宋体" w:hAnsi="宋体" w:eastAsia="宋体" w:cs="宋体"/>
                <w:kern w:val="0"/>
                <w:sz w:val="24"/>
                <w:szCs w:val="24"/>
              </w:rPr>
            </w:pPr>
          </w:p>
        </w:tc>
        <w:tc>
          <w:tcPr>
            <w:tcW w:w="0" w:type="auto"/>
            <w:noWrap/>
          </w:tcPr>
          <w:p w14:paraId="75011501">
            <w:pPr>
              <w:spacing w:line="360" w:lineRule="auto"/>
              <w:rPr>
                <w:rFonts w:ascii="宋体" w:hAnsi="宋体" w:eastAsia="宋体" w:cs="宋体"/>
                <w:kern w:val="0"/>
                <w:sz w:val="24"/>
                <w:szCs w:val="24"/>
              </w:rPr>
            </w:pPr>
          </w:p>
        </w:tc>
      </w:tr>
      <w:tr w14:paraId="6772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tcPr>
          <w:p w14:paraId="41DEB739">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0" w:type="auto"/>
            <w:noWrap/>
          </w:tcPr>
          <w:p w14:paraId="5ABD2FA2">
            <w:pPr>
              <w:spacing w:line="360" w:lineRule="auto"/>
              <w:rPr>
                <w:rFonts w:ascii="宋体" w:hAnsi="宋体" w:eastAsia="宋体" w:cs="宋体"/>
                <w:kern w:val="0"/>
                <w:sz w:val="24"/>
                <w:szCs w:val="24"/>
              </w:rPr>
            </w:pPr>
          </w:p>
        </w:tc>
        <w:tc>
          <w:tcPr>
            <w:tcW w:w="0" w:type="auto"/>
            <w:noWrap/>
          </w:tcPr>
          <w:p w14:paraId="2450E139">
            <w:pPr>
              <w:spacing w:line="360" w:lineRule="auto"/>
              <w:rPr>
                <w:rFonts w:ascii="宋体" w:hAnsi="宋体" w:eastAsia="宋体" w:cs="宋体"/>
                <w:kern w:val="0"/>
                <w:sz w:val="24"/>
                <w:szCs w:val="24"/>
              </w:rPr>
            </w:pPr>
          </w:p>
        </w:tc>
        <w:tc>
          <w:tcPr>
            <w:tcW w:w="0" w:type="auto"/>
            <w:noWrap/>
          </w:tcPr>
          <w:p w14:paraId="6B085820">
            <w:pPr>
              <w:spacing w:line="360" w:lineRule="auto"/>
              <w:rPr>
                <w:rFonts w:ascii="宋体" w:hAnsi="宋体" w:eastAsia="宋体" w:cs="宋体"/>
                <w:kern w:val="0"/>
                <w:sz w:val="24"/>
                <w:szCs w:val="24"/>
              </w:rPr>
            </w:pPr>
          </w:p>
        </w:tc>
        <w:tc>
          <w:tcPr>
            <w:tcW w:w="0" w:type="auto"/>
            <w:noWrap/>
          </w:tcPr>
          <w:p w14:paraId="659DDC76">
            <w:pPr>
              <w:spacing w:line="360" w:lineRule="auto"/>
              <w:rPr>
                <w:rFonts w:ascii="宋体" w:hAnsi="宋体" w:eastAsia="宋体" w:cs="宋体"/>
                <w:kern w:val="0"/>
                <w:sz w:val="24"/>
                <w:szCs w:val="24"/>
              </w:rPr>
            </w:pPr>
          </w:p>
        </w:tc>
        <w:tc>
          <w:tcPr>
            <w:tcW w:w="0" w:type="auto"/>
            <w:noWrap/>
          </w:tcPr>
          <w:p w14:paraId="05AD18A7">
            <w:pPr>
              <w:spacing w:line="360" w:lineRule="auto"/>
              <w:rPr>
                <w:rFonts w:ascii="宋体" w:hAnsi="宋体" w:eastAsia="宋体" w:cs="宋体"/>
                <w:kern w:val="0"/>
                <w:sz w:val="24"/>
                <w:szCs w:val="24"/>
              </w:rPr>
            </w:pPr>
          </w:p>
        </w:tc>
        <w:tc>
          <w:tcPr>
            <w:tcW w:w="0" w:type="auto"/>
            <w:noWrap/>
          </w:tcPr>
          <w:p w14:paraId="14523D9B">
            <w:pPr>
              <w:spacing w:line="360" w:lineRule="auto"/>
              <w:rPr>
                <w:rFonts w:ascii="宋体" w:hAnsi="宋体" w:eastAsia="宋体" w:cs="宋体"/>
                <w:kern w:val="0"/>
                <w:sz w:val="24"/>
                <w:szCs w:val="24"/>
              </w:rPr>
            </w:pPr>
          </w:p>
        </w:tc>
        <w:tc>
          <w:tcPr>
            <w:tcW w:w="0" w:type="auto"/>
            <w:noWrap/>
          </w:tcPr>
          <w:p w14:paraId="1409E48D">
            <w:pPr>
              <w:spacing w:line="360" w:lineRule="auto"/>
              <w:rPr>
                <w:rFonts w:ascii="宋体" w:hAnsi="宋体" w:eastAsia="宋体" w:cs="宋体"/>
                <w:kern w:val="0"/>
                <w:sz w:val="24"/>
                <w:szCs w:val="24"/>
              </w:rPr>
            </w:pPr>
          </w:p>
        </w:tc>
        <w:tc>
          <w:tcPr>
            <w:tcW w:w="0" w:type="auto"/>
            <w:noWrap/>
          </w:tcPr>
          <w:p w14:paraId="0578CD9D">
            <w:pPr>
              <w:spacing w:line="360" w:lineRule="auto"/>
              <w:rPr>
                <w:rFonts w:ascii="宋体" w:hAnsi="宋体" w:eastAsia="宋体" w:cs="宋体"/>
                <w:kern w:val="0"/>
                <w:sz w:val="24"/>
                <w:szCs w:val="24"/>
              </w:rPr>
            </w:pPr>
          </w:p>
        </w:tc>
        <w:tc>
          <w:tcPr>
            <w:tcW w:w="0" w:type="auto"/>
            <w:noWrap/>
          </w:tcPr>
          <w:p w14:paraId="71CB4347">
            <w:pPr>
              <w:spacing w:line="360" w:lineRule="auto"/>
              <w:rPr>
                <w:rFonts w:ascii="宋体" w:hAnsi="宋体" w:eastAsia="宋体" w:cs="宋体"/>
                <w:kern w:val="0"/>
                <w:sz w:val="24"/>
                <w:szCs w:val="24"/>
              </w:rPr>
            </w:pPr>
          </w:p>
        </w:tc>
        <w:tc>
          <w:tcPr>
            <w:tcW w:w="0" w:type="auto"/>
            <w:noWrap/>
          </w:tcPr>
          <w:p w14:paraId="3B0D8453">
            <w:pPr>
              <w:spacing w:line="360" w:lineRule="auto"/>
              <w:rPr>
                <w:rFonts w:ascii="宋体" w:hAnsi="宋体" w:eastAsia="宋体" w:cs="宋体"/>
                <w:kern w:val="0"/>
                <w:sz w:val="24"/>
                <w:szCs w:val="24"/>
              </w:rPr>
            </w:pPr>
          </w:p>
        </w:tc>
        <w:tc>
          <w:tcPr>
            <w:tcW w:w="0" w:type="auto"/>
            <w:noWrap/>
          </w:tcPr>
          <w:p w14:paraId="1758130F">
            <w:pPr>
              <w:spacing w:line="360" w:lineRule="auto"/>
              <w:rPr>
                <w:rFonts w:ascii="宋体" w:hAnsi="宋体" w:eastAsia="宋体" w:cs="宋体"/>
                <w:kern w:val="0"/>
                <w:sz w:val="24"/>
                <w:szCs w:val="24"/>
              </w:rPr>
            </w:pPr>
          </w:p>
        </w:tc>
      </w:tr>
      <w:tr w14:paraId="5205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tcPr>
          <w:p w14:paraId="4B0D199A">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0" w:type="auto"/>
            <w:noWrap/>
          </w:tcPr>
          <w:p w14:paraId="4403857F">
            <w:pPr>
              <w:spacing w:line="360" w:lineRule="auto"/>
              <w:rPr>
                <w:rFonts w:ascii="宋体" w:hAnsi="宋体" w:eastAsia="宋体" w:cs="宋体"/>
                <w:kern w:val="0"/>
                <w:sz w:val="24"/>
                <w:szCs w:val="24"/>
              </w:rPr>
            </w:pPr>
          </w:p>
        </w:tc>
        <w:tc>
          <w:tcPr>
            <w:tcW w:w="0" w:type="auto"/>
            <w:noWrap/>
          </w:tcPr>
          <w:p w14:paraId="631BE867">
            <w:pPr>
              <w:spacing w:line="360" w:lineRule="auto"/>
              <w:rPr>
                <w:rFonts w:ascii="宋体" w:hAnsi="宋体" w:eastAsia="宋体" w:cs="宋体"/>
                <w:kern w:val="0"/>
                <w:sz w:val="24"/>
                <w:szCs w:val="24"/>
              </w:rPr>
            </w:pPr>
          </w:p>
        </w:tc>
        <w:tc>
          <w:tcPr>
            <w:tcW w:w="0" w:type="auto"/>
            <w:noWrap/>
          </w:tcPr>
          <w:p w14:paraId="0356C99B">
            <w:pPr>
              <w:spacing w:line="360" w:lineRule="auto"/>
              <w:rPr>
                <w:rFonts w:ascii="宋体" w:hAnsi="宋体" w:eastAsia="宋体" w:cs="宋体"/>
                <w:kern w:val="0"/>
                <w:sz w:val="24"/>
                <w:szCs w:val="24"/>
              </w:rPr>
            </w:pPr>
          </w:p>
        </w:tc>
        <w:tc>
          <w:tcPr>
            <w:tcW w:w="0" w:type="auto"/>
            <w:noWrap/>
          </w:tcPr>
          <w:p w14:paraId="186C9D50">
            <w:pPr>
              <w:spacing w:line="360" w:lineRule="auto"/>
              <w:rPr>
                <w:rFonts w:ascii="宋体" w:hAnsi="宋体" w:eastAsia="宋体" w:cs="宋体"/>
                <w:kern w:val="0"/>
                <w:sz w:val="24"/>
                <w:szCs w:val="24"/>
              </w:rPr>
            </w:pPr>
          </w:p>
        </w:tc>
        <w:tc>
          <w:tcPr>
            <w:tcW w:w="0" w:type="auto"/>
            <w:noWrap/>
          </w:tcPr>
          <w:p w14:paraId="4B7B8CA7">
            <w:pPr>
              <w:spacing w:line="360" w:lineRule="auto"/>
              <w:rPr>
                <w:rFonts w:ascii="宋体" w:hAnsi="宋体" w:eastAsia="宋体" w:cs="宋体"/>
                <w:kern w:val="0"/>
                <w:sz w:val="24"/>
                <w:szCs w:val="24"/>
              </w:rPr>
            </w:pPr>
          </w:p>
        </w:tc>
        <w:tc>
          <w:tcPr>
            <w:tcW w:w="0" w:type="auto"/>
            <w:noWrap/>
          </w:tcPr>
          <w:p w14:paraId="5D2B92CD">
            <w:pPr>
              <w:spacing w:line="360" w:lineRule="auto"/>
              <w:rPr>
                <w:rFonts w:ascii="宋体" w:hAnsi="宋体" w:eastAsia="宋体" w:cs="宋体"/>
                <w:kern w:val="0"/>
                <w:sz w:val="24"/>
                <w:szCs w:val="24"/>
              </w:rPr>
            </w:pPr>
          </w:p>
        </w:tc>
        <w:tc>
          <w:tcPr>
            <w:tcW w:w="0" w:type="auto"/>
            <w:noWrap/>
          </w:tcPr>
          <w:p w14:paraId="72BD639A">
            <w:pPr>
              <w:spacing w:line="360" w:lineRule="auto"/>
              <w:rPr>
                <w:rFonts w:ascii="宋体" w:hAnsi="宋体" w:eastAsia="宋体" w:cs="宋体"/>
                <w:kern w:val="0"/>
                <w:sz w:val="24"/>
                <w:szCs w:val="24"/>
              </w:rPr>
            </w:pPr>
          </w:p>
        </w:tc>
        <w:tc>
          <w:tcPr>
            <w:tcW w:w="0" w:type="auto"/>
            <w:noWrap/>
          </w:tcPr>
          <w:p w14:paraId="3909EB34">
            <w:pPr>
              <w:spacing w:line="360" w:lineRule="auto"/>
              <w:rPr>
                <w:rFonts w:ascii="宋体" w:hAnsi="宋体" w:eastAsia="宋体" w:cs="宋体"/>
                <w:kern w:val="0"/>
                <w:sz w:val="24"/>
                <w:szCs w:val="24"/>
              </w:rPr>
            </w:pPr>
          </w:p>
        </w:tc>
        <w:tc>
          <w:tcPr>
            <w:tcW w:w="0" w:type="auto"/>
            <w:noWrap/>
          </w:tcPr>
          <w:p w14:paraId="0FEED60D">
            <w:pPr>
              <w:spacing w:line="360" w:lineRule="auto"/>
              <w:rPr>
                <w:rFonts w:ascii="宋体" w:hAnsi="宋体" w:eastAsia="宋体" w:cs="宋体"/>
                <w:kern w:val="0"/>
                <w:sz w:val="24"/>
                <w:szCs w:val="24"/>
              </w:rPr>
            </w:pPr>
          </w:p>
        </w:tc>
        <w:tc>
          <w:tcPr>
            <w:tcW w:w="0" w:type="auto"/>
            <w:noWrap/>
          </w:tcPr>
          <w:p w14:paraId="454903BD">
            <w:pPr>
              <w:spacing w:line="360" w:lineRule="auto"/>
              <w:rPr>
                <w:rFonts w:ascii="宋体" w:hAnsi="宋体" w:eastAsia="宋体" w:cs="宋体"/>
                <w:kern w:val="0"/>
                <w:sz w:val="24"/>
                <w:szCs w:val="24"/>
              </w:rPr>
            </w:pPr>
          </w:p>
        </w:tc>
        <w:tc>
          <w:tcPr>
            <w:tcW w:w="0" w:type="auto"/>
            <w:noWrap/>
          </w:tcPr>
          <w:p w14:paraId="07F90F38">
            <w:pPr>
              <w:spacing w:line="360" w:lineRule="auto"/>
              <w:rPr>
                <w:rFonts w:ascii="宋体" w:hAnsi="宋体" w:eastAsia="宋体" w:cs="宋体"/>
                <w:kern w:val="0"/>
                <w:sz w:val="24"/>
                <w:szCs w:val="24"/>
              </w:rPr>
            </w:pPr>
          </w:p>
        </w:tc>
      </w:tr>
      <w:tr w14:paraId="5543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tcPr>
          <w:p w14:paraId="01EB2194">
            <w:pPr>
              <w:spacing w:line="360" w:lineRule="auto"/>
              <w:rPr>
                <w:rFonts w:ascii="宋体" w:hAnsi="宋体" w:eastAsia="宋体" w:cs="宋体"/>
                <w:kern w:val="0"/>
                <w:sz w:val="24"/>
                <w:szCs w:val="24"/>
              </w:rPr>
            </w:pPr>
            <w:r>
              <w:rPr>
                <w:rFonts w:hint="eastAsia" w:ascii="宋体" w:hAnsi="宋体" w:eastAsia="宋体" w:cs="宋体"/>
                <w:kern w:val="0"/>
                <w:sz w:val="24"/>
                <w:szCs w:val="24"/>
              </w:rPr>
              <w:t>……</w:t>
            </w:r>
          </w:p>
        </w:tc>
        <w:tc>
          <w:tcPr>
            <w:tcW w:w="0" w:type="auto"/>
            <w:noWrap/>
          </w:tcPr>
          <w:p w14:paraId="3E2160FE">
            <w:pPr>
              <w:spacing w:line="360" w:lineRule="auto"/>
              <w:rPr>
                <w:rFonts w:ascii="宋体" w:hAnsi="宋体" w:eastAsia="宋体" w:cs="宋体"/>
                <w:kern w:val="0"/>
                <w:sz w:val="24"/>
                <w:szCs w:val="24"/>
              </w:rPr>
            </w:pPr>
          </w:p>
        </w:tc>
        <w:tc>
          <w:tcPr>
            <w:tcW w:w="0" w:type="auto"/>
            <w:noWrap/>
          </w:tcPr>
          <w:p w14:paraId="356F615A">
            <w:pPr>
              <w:spacing w:line="360" w:lineRule="auto"/>
              <w:rPr>
                <w:rFonts w:ascii="宋体" w:hAnsi="宋体" w:eastAsia="宋体" w:cs="宋体"/>
                <w:kern w:val="0"/>
                <w:sz w:val="24"/>
                <w:szCs w:val="24"/>
              </w:rPr>
            </w:pPr>
          </w:p>
        </w:tc>
        <w:tc>
          <w:tcPr>
            <w:tcW w:w="0" w:type="auto"/>
            <w:noWrap/>
          </w:tcPr>
          <w:p w14:paraId="3B64DE78">
            <w:pPr>
              <w:spacing w:line="360" w:lineRule="auto"/>
              <w:rPr>
                <w:rFonts w:ascii="宋体" w:hAnsi="宋体" w:eastAsia="宋体" w:cs="宋体"/>
                <w:kern w:val="0"/>
                <w:sz w:val="24"/>
                <w:szCs w:val="24"/>
              </w:rPr>
            </w:pPr>
          </w:p>
        </w:tc>
        <w:tc>
          <w:tcPr>
            <w:tcW w:w="0" w:type="auto"/>
            <w:noWrap/>
          </w:tcPr>
          <w:p w14:paraId="167AD368">
            <w:pPr>
              <w:spacing w:line="360" w:lineRule="auto"/>
              <w:rPr>
                <w:rFonts w:ascii="宋体" w:hAnsi="宋体" w:eastAsia="宋体" w:cs="宋体"/>
                <w:kern w:val="0"/>
                <w:sz w:val="24"/>
                <w:szCs w:val="24"/>
              </w:rPr>
            </w:pPr>
          </w:p>
        </w:tc>
        <w:tc>
          <w:tcPr>
            <w:tcW w:w="0" w:type="auto"/>
            <w:noWrap/>
          </w:tcPr>
          <w:p w14:paraId="0889B8F2">
            <w:pPr>
              <w:spacing w:line="360" w:lineRule="auto"/>
              <w:rPr>
                <w:rFonts w:ascii="宋体" w:hAnsi="宋体" w:eastAsia="宋体" w:cs="宋体"/>
                <w:kern w:val="0"/>
                <w:sz w:val="24"/>
                <w:szCs w:val="24"/>
              </w:rPr>
            </w:pPr>
          </w:p>
        </w:tc>
        <w:tc>
          <w:tcPr>
            <w:tcW w:w="0" w:type="auto"/>
            <w:noWrap/>
          </w:tcPr>
          <w:p w14:paraId="45A23660">
            <w:pPr>
              <w:spacing w:line="360" w:lineRule="auto"/>
              <w:rPr>
                <w:rFonts w:ascii="宋体" w:hAnsi="宋体" w:eastAsia="宋体" w:cs="宋体"/>
                <w:kern w:val="0"/>
                <w:sz w:val="24"/>
                <w:szCs w:val="24"/>
              </w:rPr>
            </w:pPr>
          </w:p>
        </w:tc>
        <w:tc>
          <w:tcPr>
            <w:tcW w:w="0" w:type="auto"/>
            <w:noWrap/>
          </w:tcPr>
          <w:p w14:paraId="34D32798">
            <w:pPr>
              <w:spacing w:line="360" w:lineRule="auto"/>
              <w:rPr>
                <w:rFonts w:ascii="宋体" w:hAnsi="宋体" w:eastAsia="宋体" w:cs="宋体"/>
                <w:kern w:val="0"/>
                <w:sz w:val="24"/>
                <w:szCs w:val="24"/>
              </w:rPr>
            </w:pPr>
          </w:p>
        </w:tc>
        <w:tc>
          <w:tcPr>
            <w:tcW w:w="0" w:type="auto"/>
            <w:noWrap/>
          </w:tcPr>
          <w:p w14:paraId="489219AE">
            <w:pPr>
              <w:spacing w:line="360" w:lineRule="auto"/>
              <w:rPr>
                <w:rFonts w:ascii="宋体" w:hAnsi="宋体" w:eastAsia="宋体" w:cs="宋体"/>
                <w:kern w:val="0"/>
                <w:sz w:val="24"/>
                <w:szCs w:val="24"/>
              </w:rPr>
            </w:pPr>
          </w:p>
        </w:tc>
        <w:tc>
          <w:tcPr>
            <w:tcW w:w="0" w:type="auto"/>
            <w:noWrap/>
          </w:tcPr>
          <w:p w14:paraId="79768E96">
            <w:pPr>
              <w:spacing w:line="360" w:lineRule="auto"/>
              <w:rPr>
                <w:rFonts w:ascii="宋体" w:hAnsi="宋体" w:eastAsia="宋体" w:cs="宋体"/>
                <w:kern w:val="0"/>
                <w:sz w:val="24"/>
                <w:szCs w:val="24"/>
              </w:rPr>
            </w:pPr>
          </w:p>
        </w:tc>
        <w:tc>
          <w:tcPr>
            <w:tcW w:w="0" w:type="auto"/>
            <w:noWrap/>
          </w:tcPr>
          <w:p w14:paraId="7461E8B0">
            <w:pPr>
              <w:spacing w:line="360" w:lineRule="auto"/>
              <w:rPr>
                <w:rFonts w:ascii="宋体" w:hAnsi="宋体" w:eastAsia="宋体" w:cs="宋体"/>
                <w:kern w:val="0"/>
                <w:sz w:val="24"/>
                <w:szCs w:val="24"/>
              </w:rPr>
            </w:pPr>
          </w:p>
        </w:tc>
        <w:tc>
          <w:tcPr>
            <w:tcW w:w="0" w:type="auto"/>
            <w:noWrap/>
          </w:tcPr>
          <w:p w14:paraId="5FB26185">
            <w:pPr>
              <w:spacing w:line="360" w:lineRule="auto"/>
              <w:rPr>
                <w:rFonts w:ascii="宋体" w:hAnsi="宋体" w:eastAsia="宋体" w:cs="宋体"/>
                <w:kern w:val="0"/>
                <w:sz w:val="24"/>
                <w:szCs w:val="24"/>
              </w:rPr>
            </w:pPr>
          </w:p>
        </w:tc>
      </w:tr>
      <w:tr w14:paraId="03CA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noWrap/>
            <w:vAlign w:val="center"/>
          </w:tcPr>
          <w:p w14:paraId="3B9664C2">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总计：</w:t>
            </w:r>
          </w:p>
        </w:tc>
        <w:tc>
          <w:tcPr>
            <w:tcW w:w="0" w:type="auto"/>
            <w:gridSpan w:val="10"/>
            <w:noWrap/>
            <w:vAlign w:val="center"/>
          </w:tcPr>
          <w:p w14:paraId="4D0CBAA1">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小写：</w:t>
            </w:r>
          </w:p>
          <w:p w14:paraId="6649D79F">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大写：</w:t>
            </w:r>
          </w:p>
        </w:tc>
      </w:tr>
    </w:tbl>
    <w:p w14:paraId="2234BC48">
      <w:pPr>
        <w:spacing w:line="360" w:lineRule="auto"/>
        <w:rPr>
          <w:rFonts w:ascii="宋体" w:hAnsi="宋体" w:eastAsia="宋体" w:cs="宋体"/>
          <w:sz w:val="24"/>
          <w:szCs w:val="20"/>
        </w:rPr>
      </w:pPr>
      <w:r>
        <w:rPr>
          <w:rFonts w:hint="eastAsia" w:ascii="宋体" w:hAnsi="宋体" w:eastAsia="宋体" w:cs="宋体"/>
          <w:sz w:val="24"/>
          <w:szCs w:val="20"/>
        </w:rPr>
        <w:t>注：</w:t>
      </w:r>
    </w:p>
    <w:p w14:paraId="5ED3F538">
      <w:pPr>
        <w:spacing w:line="360" w:lineRule="auto"/>
        <w:rPr>
          <w:rFonts w:ascii="宋体" w:hAnsi="宋体" w:eastAsia="宋体" w:cs="宋体"/>
          <w:sz w:val="24"/>
          <w:szCs w:val="20"/>
        </w:rPr>
      </w:pPr>
      <w:r>
        <w:rPr>
          <w:rFonts w:hint="eastAsia" w:ascii="宋体" w:hAnsi="宋体" w:eastAsia="宋体" w:cs="宋体"/>
          <w:sz w:val="24"/>
          <w:szCs w:val="20"/>
        </w:rPr>
        <w:t>1.所有价格均用人民币表示，单位为元。</w:t>
      </w:r>
    </w:p>
    <w:p w14:paraId="3272790F">
      <w:pPr>
        <w:spacing w:line="360" w:lineRule="auto"/>
        <w:rPr>
          <w:rFonts w:ascii="宋体" w:hAnsi="宋体" w:eastAsia="宋体" w:cs="宋体"/>
          <w:sz w:val="24"/>
          <w:szCs w:val="20"/>
        </w:rPr>
      </w:pPr>
      <w:r>
        <w:rPr>
          <w:rFonts w:hint="eastAsia" w:ascii="宋体" w:hAnsi="宋体" w:eastAsia="宋体" w:cs="宋体"/>
          <w:sz w:val="24"/>
          <w:szCs w:val="20"/>
        </w:rPr>
        <w:t>2.分项报价表合计应与《开标一览表》中的投标报价一致。</w:t>
      </w:r>
    </w:p>
    <w:p w14:paraId="1F5DD93B">
      <w:pPr>
        <w:spacing w:line="360" w:lineRule="auto"/>
        <w:rPr>
          <w:rFonts w:ascii="宋体" w:hAnsi="宋体" w:eastAsia="宋体" w:cs="宋体"/>
          <w:sz w:val="24"/>
          <w:szCs w:val="20"/>
        </w:rPr>
      </w:pPr>
      <w:r>
        <w:rPr>
          <w:rFonts w:hint="eastAsia" w:ascii="宋体" w:hAnsi="宋体" w:eastAsia="宋体" w:cs="宋体"/>
          <w:sz w:val="24"/>
          <w:szCs w:val="20"/>
        </w:rPr>
        <w:t>3.每包提报的投标报价是为完成该包全部工作所需的一切费用。</w:t>
      </w:r>
    </w:p>
    <w:p w14:paraId="7F083940">
      <w:pPr>
        <w:spacing w:line="360" w:lineRule="auto"/>
        <w:rPr>
          <w:rFonts w:ascii="宋体" w:hAnsi="宋体" w:eastAsia="宋体" w:cs="宋体"/>
          <w:sz w:val="24"/>
          <w:szCs w:val="20"/>
        </w:rPr>
      </w:pPr>
      <w:r>
        <w:rPr>
          <w:rFonts w:hint="eastAsia" w:ascii="宋体" w:hAnsi="宋体" w:eastAsia="宋体" w:cs="宋体"/>
          <w:sz w:val="24"/>
          <w:szCs w:val="20"/>
        </w:rPr>
        <w:t>4.对于有配件、耗材、选件和特殊工具的货物，还应填报投标货物配件、耗材、选件表和备件及特殊工具清单，注明品牌、型号、产地、功能、单价等内容，该表格式由投标人自行设计。</w:t>
      </w:r>
    </w:p>
    <w:p w14:paraId="7506BD1A">
      <w:pPr>
        <w:spacing w:line="360" w:lineRule="auto"/>
        <w:rPr>
          <w:rFonts w:ascii="宋体" w:hAnsi="宋体" w:eastAsia="宋体" w:cs="宋体"/>
          <w:sz w:val="24"/>
          <w:szCs w:val="20"/>
        </w:rPr>
      </w:pPr>
      <w:r>
        <w:rPr>
          <w:rFonts w:hint="eastAsia" w:ascii="宋体" w:hAnsi="宋体" w:eastAsia="宋体" w:cs="宋体"/>
          <w:sz w:val="24"/>
          <w:szCs w:val="20"/>
        </w:rPr>
        <w:t>5.未提供详细的报价明细，导致的后果由投标人自行承担。</w:t>
      </w:r>
    </w:p>
    <w:p w14:paraId="3C4309D1">
      <w:pPr>
        <w:spacing w:line="360" w:lineRule="auto"/>
        <w:rPr>
          <w:rFonts w:ascii="宋体" w:hAnsi="宋体" w:eastAsia="宋体" w:cs="宋体"/>
          <w:sz w:val="24"/>
          <w:szCs w:val="20"/>
        </w:rPr>
      </w:pPr>
    </w:p>
    <w:p w14:paraId="0BAE8164">
      <w:pPr>
        <w:spacing w:line="360" w:lineRule="auto"/>
        <w:rPr>
          <w:rFonts w:ascii="宋体" w:hAnsi="宋体" w:eastAsia="宋体" w:cs="宋体"/>
          <w:sz w:val="24"/>
          <w:szCs w:val="20"/>
        </w:rPr>
      </w:pPr>
    </w:p>
    <w:p w14:paraId="44C2FACE">
      <w:pPr>
        <w:spacing w:line="360" w:lineRule="auto"/>
        <w:rPr>
          <w:rFonts w:ascii="宋体" w:hAnsi="宋体" w:eastAsia="宋体" w:cs="宋体"/>
          <w:sz w:val="24"/>
          <w:szCs w:val="20"/>
        </w:rPr>
      </w:pPr>
    </w:p>
    <w:p w14:paraId="05C6D288">
      <w:pPr>
        <w:spacing w:line="360" w:lineRule="auto"/>
        <w:rPr>
          <w:rFonts w:ascii="宋体" w:hAnsi="宋体" w:eastAsia="宋体" w:cs="宋体"/>
          <w:sz w:val="24"/>
          <w:szCs w:val="20"/>
          <w:u w:val="single"/>
        </w:rPr>
      </w:pPr>
      <w:r>
        <w:rPr>
          <w:rFonts w:hint="eastAsia" w:ascii="宋体" w:hAnsi="宋体" w:eastAsia="宋体" w:cs="宋体"/>
          <w:sz w:val="24"/>
          <w:szCs w:val="20"/>
        </w:rPr>
        <w:t>投标人名称（盖章）：</w:t>
      </w:r>
      <w:r>
        <w:rPr>
          <w:rFonts w:hint="eastAsia" w:ascii="宋体" w:hAnsi="宋体" w:eastAsia="宋体" w:cs="宋体"/>
          <w:sz w:val="24"/>
          <w:szCs w:val="20"/>
          <w:u w:val="single"/>
        </w:rPr>
        <w:t xml:space="preserve">                    </w:t>
      </w:r>
    </w:p>
    <w:p w14:paraId="3B7013EE">
      <w:pPr>
        <w:spacing w:line="360" w:lineRule="auto"/>
        <w:rPr>
          <w:rFonts w:ascii="宋体" w:hAnsi="宋体" w:eastAsia="宋体" w:cs="宋体"/>
          <w:sz w:val="24"/>
          <w:szCs w:val="20"/>
        </w:rPr>
      </w:pPr>
      <w:r>
        <w:rPr>
          <w:rFonts w:hint="eastAsia" w:ascii="宋体" w:hAnsi="宋体" w:eastAsia="宋体" w:cs="宋体"/>
          <w:sz w:val="24"/>
          <w:szCs w:val="20"/>
        </w:rPr>
        <w:t>法定代表人（单位负责人）</w:t>
      </w:r>
    </w:p>
    <w:p w14:paraId="41A17D21">
      <w:pPr>
        <w:spacing w:line="360" w:lineRule="auto"/>
        <w:rPr>
          <w:rFonts w:ascii="宋体" w:hAnsi="宋体" w:eastAsia="宋体" w:cs="宋体"/>
          <w:sz w:val="24"/>
          <w:szCs w:val="20"/>
          <w:u w:val="single"/>
        </w:rPr>
      </w:pPr>
      <w:r>
        <w:rPr>
          <w:rFonts w:hint="eastAsia" w:ascii="宋体" w:hAnsi="宋体" w:eastAsia="宋体" w:cs="宋体"/>
          <w:sz w:val="24"/>
          <w:szCs w:val="20"/>
        </w:rPr>
        <w:t>或授权代表（签字或盖章）：</w:t>
      </w:r>
      <w:r>
        <w:rPr>
          <w:rFonts w:hint="eastAsia" w:ascii="宋体" w:hAnsi="宋体" w:eastAsia="宋体" w:cs="宋体"/>
          <w:sz w:val="24"/>
          <w:szCs w:val="20"/>
          <w:u w:val="single"/>
        </w:rPr>
        <w:t xml:space="preserve">             </w:t>
      </w:r>
    </w:p>
    <w:p w14:paraId="3C05C6F7">
      <w:pPr>
        <w:spacing w:line="360" w:lineRule="auto"/>
        <w:rPr>
          <w:rFonts w:ascii="宋体" w:hAnsi="宋体" w:eastAsia="宋体" w:cs="宋体"/>
          <w:sz w:val="24"/>
          <w:szCs w:val="20"/>
          <w:u w:val="single"/>
        </w:rPr>
      </w:pPr>
      <w:r>
        <w:rPr>
          <w:rFonts w:hint="eastAsia" w:ascii="宋体" w:hAnsi="宋体" w:eastAsia="宋体" w:cs="宋体"/>
          <w:sz w:val="24"/>
          <w:szCs w:val="20"/>
        </w:rPr>
        <w:t>日期:</w:t>
      </w: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2993D066">
      <w:pPr>
        <w:spacing w:line="360" w:lineRule="auto"/>
        <w:rPr>
          <w:rFonts w:ascii="宋体" w:hAnsi="宋体" w:eastAsia="宋体" w:cs="宋体"/>
          <w:sz w:val="24"/>
          <w:szCs w:val="20"/>
          <w:u w:val="single"/>
        </w:rPr>
      </w:pPr>
    </w:p>
    <w:p w14:paraId="7455673F">
      <w:pPr>
        <w:spacing w:line="360" w:lineRule="auto"/>
        <w:rPr>
          <w:rFonts w:ascii="Times New Roman" w:hAnsi="Times New Roman" w:eastAsia="宋体" w:cs="Times New Roman"/>
          <w:sz w:val="24"/>
          <w:szCs w:val="20"/>
        </w:rPr>
      </w:pPr>
    </w:p>
    <w:p w14:paraId="1CFE789F">
      <w:pPr>
        <w:rPr>
          <w:rFonts w:ascii="宋体" w:hAnsi="宋体" w:eastAsia="宋体" w:cs="宋体"/>
          <w:sz w:val="24"/>
          <w:szCs w:val="21"/>
          <w:shd w:val="clear" w:color="auto" w:fill="FFFFFF"/>
        </w:rPr>
      </w:pPr>
      <w:r>
        <w:rPr>
          <w:rFonts w:hint="eastAsia" w:ascii="Times New Roman" w:hAnsi="Times New Roman" w:eastAsia="宋体" w:cs="Times New Roman"/>
          <w:sz w:val="24"/>
          <w:szCs w:val="20"/>
        </w:rPr>
        <w:br w:type="page"/>
      </w:r>
      <w:r>
        <w:rPr>
          <w:rFonts w:hint="eastAsia" w:ascii="Times New Roman" w:hAnsi="Times New Roman" w:eastAsia="宋体" w:cs="Times New Roman"/>
          <w:sz w:val="24"/>
          <w:szCs w:val="20"/>
          <w:lang w:val="zh-CN"/>
        </w:rPr>
        <w:t>附件：</w:t>
      </w:r>
      <w:r>
        <w:rPr>
          <w:rFonts w:hint="eastAsia" w:ascii="Times New Roman" w:hAnsi="Times New Roman" w:eastAsia="宋体" w:cs="Times New Roman"/>
          <w:sz w:val="24"/>
          <w:szCs w:val="20"/>
        </w:rPr>
        <w:t>1</w:t>
      </w:r>
    </w:p>
    <w:p w14:paraId="7604D8A6">
      <w:pPr>
        <w:jc w:val="center"/>
        <w:rPr>
          <w:rFonts w:ascii="宋体" w:hAnsi="宋体" w:eastAsia="宋体" w:cs="宋体"/>
          <w:sz w:val="24"/>
          <w:szCs w:val="21"/>
          <w:shd w:val="clear" w:color="auto" w:fill="FFFFFF"/>
        </w:rPr>
      </w:pPr>
    </w:p>
    <w:p w14:paraId="7A47F584">
      <w:pPr>
        <w:jc w:val="center"/>
        <w:rPr>
          <w:rFonts w:ascii="宋体" w:hAnsi="宋体" w:eastAsia="宋体" w:cs="宋体"/>
          <w:sz w:val="24"/>
          <w:szCs w:val="21"/>
        </w:rPr>
      </w:pPr>
      <w:r>
        <w:rPr>
          <w:rFonts w:hint="eastAsia" w:ascii="宋体" w:hAnsi="宋体" w:eastAsia="宋体" w:cs="宋体"/>
          <w:sz w:val="24"/>
          <w:szCs w:val="21"/>
          <w:shd w:val="clear" w:color="auto" w:fill="FFFFFF"/>
        </w:rPr>
        <w:drawing>
          <wp:inline distT="0" distB="0" distL="114300" distR="114300">
            <wp:extent cx="4286250" cy="1905000"/>
            <wp:effectExtent l="0" t="0" r="0" b="0"/>
            <wp:docPr id="9"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7"/>
                    <pic:cNvPicPr>
                      <a:picLocks noChangeAspect="1"/>
                    </pic:cNvPicPr>
                  </pic:nvPicPr>
                  <pic:blipFill>
                    <a:blip r:embed="rId6"/>
                    <a:stretch>
                      <a:fillRect/>
                    </a:stretch>
                  </pic:blipFill>
                  <pic:spPr>
                    <a:xfrm>
                      <a:off x="0" y="0"/>
                      <a:ext cx="4286250" cy="1905000"/>
                    </a:xfrm>
                    <a:prstGeom prst="rect">
                      <a:avLst/>
                    </a:prstGeom>
                    <a:noFill/>
                    <a:ln>
                      <a:noFill/>
                    </a:ln>
                  </pic:spPr>
                </pic:pic>
              </a:graphicData>
            </a:graphic>
          </wp:inline>
        </w:drawing>
      </w:r>
    </w:p>
    <w:p w14:paraId="7AB136DE">
      <w:pPr>
        <w:jc w:val="center"/>
        <w:rPr>
          <w:rFonts w:ascii="Times New Roman" w:hAnsi="Times New Roman" w:eastAsia="宋体" w:cs="Times New Roman"/>
          <w:sz w:val="24"/>
          <w:szCs w:val="20"/>
        </w:rPr>
      </w:pPr>
    </w:p>
    <w:p w14:paraId="25665C7C">
      <w:pPr>
        <w:jc w:val="center"/>
        <w:rPr>
          <w:rFonts w:ascii="Times New Roman" w:hAnsi="Times New Roman" w:eastAsia="宋体" w:cs="Times New Roman"/>
          <w:sz w:val="24"/>
          <w:szCs w:val="20"/>
        </w:rPr>
      </w:pPr>
    </w:p>
    <w:p w14:paraId="0B453174">
      <w:pPr>
        <w:jc w:val="center"/>
        <w:rPr>
          <w:rFonts w:ascii="宋体" w:hAnsi="宋体" w:eastAsia="宋体" w:cs="宋体"/>
          <w:sz w:val="24"/>
          <w:szCs w:val="24"/>
        </w:rPr>
      </w:pPr>
    </w:p>
    <w:p w14:paraId="2BD2B27D">
      <w:pPr>
        <w:jc w:val="center"/>
        <w:rPr>
          <w:rFonts w:ascii="宋体" w:hAnsi="宋体" w:eastAsia="宋体" w:cs="宋体"/>
          <w:sz w:val="24"/>
          <w:szCs w:val="24"/>
        </w:rPr>
      </w:pPr>
      <w:r>
        <w:rPr>
          <w:rFonts w:hint="eastAsia" w:ascii="宋体" w:hAnsi="宋体" w:eastAsia="宋体" w:cs="宋体"/>
          <w:sz w:val="24"/>
          <w:szCs w:val="24"/>
        </w:rPr>
        <w:t>工信部联企业〔2011〕300号</w:t>
      </w:r>
    </w:p>
    <w:p w14:paraId="38D2B42B">
      <w:pPr>
        <w:widowControl/>
        <w:pBdr>
          <w:top w:val="single" w:color="FF0000" w:sz="18" w:space="30"/>
        </w:pBdr>
        <w:shd w:val="clear" w:color="auto" w:fill="FFFFFF"/>
        <w:spacing w:before="100" w:beforeAutospacing="1" w:after="100" w:afterAutospacing="1" w:line="420" w:lineRule="atLeast"/>
        <w:ind w:left="150"/>
        <w:jc w:val="center"/>
        <w:rPr>
          <w:rFonts w:ascii="宋体" w:hAnsi="宋体" w:eastAsia="宋体" w:cs="宋体"/>
          <w:sz w:val="24"/>
          <w:szCs w:val="24"/>
        </w:rPr>
      </w:pPr>
      <w:r>
        <w:rPr>
          <w:rFonts w:hint="eastAsia" w:ascii="宋体" w:hAnsi="宋体" w:eastAsia="宋体" w:cs="宋体"/>
          <w:kern w:val="0"/>
          <w:sz w:val="24"/>
          <w:szCs w:val="24"/>
          <w:shd w:val="clear" w:color="auto" w:fill="FFFFFF"/>
        </w:rPr>
        <w:t>关于印发中小企业划型标准规定的通知</w:t>
      </w:r>
    </w:p>
    <w:p w14:paraId="69576946">
      <w:pPr>
        <w:widowControl/>
        <w:spacing w:before="452" w:after="150" w:line="560" w:lineRule="atLeast"/>
        <w:ind w:left="15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各省、自治区、直辖市人民政府，国务院各部委、各直属机构及有关单位：</w:t>
      </w:r>
    </w:p>
    <w:p w14:paraId="296F82AA">
      <w:pPr>
        <w:widowControl/>
        <w:spacing w:before="452" w:after="150" w:line="560" w:lineRule="atLeast"/>
        <w:ind w:left="15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工业和信息化部</w:t>
      </w:r>
    </w:p>
    <w:p w14:paraId="48DD6D43">
      <w:pPr>
        <w:widowControl/>
        <w:spacing w:before="452" w:after="150"/>
        <w:ind w:left="150"/>
        <w:jc w:val="righ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国家统计局</w:t>
      </w:r>
    </w:p>
    <w:p w14:paraId="5640F363">
      <w:pPr>
        <w:widowControl/>
        <w:spacing w:before="452" w:after="150"/>
        <w:ind w:left="150"/>
        <w:jc w:val="righ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国家发展和改革委员会</w:t>
      </w:r>
    </w:p>
    <w:p w14:paraId="206C00BC">
      <w:pPr>
        <w:widowControl/>
        <w:spacing w:before="452" w:after="150"/>
        <w:ind w:left="150"/>
        <w:jc w:val="righ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财政部</w:t>
      </w:r>
    </w:p>
    <w:p w14:paraId="2B447EFE">
      <w:pPr>
        <w:widowControl/>
        <w:spacing w:before="452" w:after="150" w:line="560" w:lineRule="atLeast"/>
        <w:ind w:left="150"/>
        <w:jc w:val="right"/>
        <w:rPr>
          <w:rFonts w:ascii="宋体" w:hAnsi="宋体" w:eastAsia="宋体" w:cs="宋体"/>
          <w:kern w:val="0"/>
          <w:sz w:val="24"/>
          <w:szCs w:val="24"/>
        </w:rPr>
      </w:pPr>
      <w:r>
        <w:rPr>
          <w:rFonts w:hint="eastAsia" w:ascii="宋体" w:hAnsi="宋体" w:eastAsia="宋体" w:cs="宋体"/>
          <w:kern w:val="0"/>
          <w:sz w:val="24"/>
          <w:szCs w:val="24"/>
          <w:shd w:val="clear" w:color="auto" w:fill="FFFFFF"/>
        </w:rPr>
        <w:t>二○一一年六月十八日</w:t>
      </w:r>
    </w:p>
    <w:p w14:paraId="0460B887">
      <w:pPr>
        <w:jc w:val="center"/>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br w:type="page"/>
      </w:r>
      <w:r>
        <w:rPr>
          <w:rFonts w:hint="eastAsia" w:ascii="宋体" w:hAnsi="宋体" w:eastAsia="宋体" w:cs="宋体"/>
          <w:sz w:val="24"/>
          <w:szCs w:val="24"/>
          <w:shd w:val="clear" w:color="auto" w:fill="FFFFFF"/>
        </w:rPr>
        <w:t>中小企业划型标准规定</w:t>
      </w:r>
    </w:p>
    <w:p w14:paraId="695589F1">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一、根据《中华人民共和国中小企业促进法》和《国务院关于进一步促进中小企业发展的若干意见》(国发〔2009〕36号)，制定本规定。</w:t>
      </w:r>
    </w:p>
    <w:p w14:paraId="4E636F57">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二、中小企业划分为中型、小型、微型三种类型，具体标准根据企业从业人员、营业收入、资产总额等指标，结合行业特点制定。</w:t>
      </w:r>
    </w:p>
    <w:p w14:paraId="44D30F4E">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5107B2C">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四、各行业划型标准为：</w:t>
      </w:r>
    </w:p>
    <w:p w14:paraId="07BECF16">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1FB5F59B">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07E191">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1F8749F">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C4228DE">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1DC4DC9">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BF388A">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82816E9">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2027AC0">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7D7125">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142B5B">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D008D4F">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4B48415">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554BDBD">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18469B">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BCA187C">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（十六）其他未列明行业。从业人员300人以下的为中小微型企业。其中，从业人员100人及以上的为中型企业；从业人员10人及以上的为小型企业；从业人员10人以下的为微型企业。</w:t>
      </w:r>
    </w:p>
    <w:p w14:paraId="7D104B04">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五、企业类型的划分以统计部门的统计数据为依据。</w:t>
      </w:r>
    </w:p>
    <w:p w14:paraId="1BD82AB6">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六、本规定适用于在中华人民共和国境内依法设立的各类所有制和各种组织形式的企业。个体工商户和本规定以外的行业，参照本规定进行划型。</w:t>
      </w:r>
    </w:p>
    <w:p w14:paraId="5D326DC6">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4A1B1AAF">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八、本规定由工业和信息化部、国家统计局会同有关部门根据《国民经济行业分类》修订情况和企业发展变化情况适时修订。</w:t>
      </w:r>
    </w:p>
    <w:p w14:paraId="0A4316ED">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九、本规定由工业和信息化部、国家统计局会同有关部门负责解释。</w:t>
      </w:r>
    </w:p>
    <w:p w14:paraId="2711D297">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十、本规定自发布之日起执行，原国家经贸委、原国家计委、财政部和国家统计局2003年颁布的《中小企业标准暂行规定》同时废止。</w:t>
      </w:r>
    </w:p>
    <w:p w14:paraId="2F3D517C">
      <w:pPr>
        <w:spacing w:line="360" w:lineRule="auto"/>
        <w:rPr>
          <w:rFonts w:ascii="宋体" w:hAnsi="宋体" w:eastAsia="宋体" w:cs="宋体"/>
          <w:sz w:val="24"/>
          <w:szCs w:val="24"/>
          <w:shd w:val="clear" w:color="auto" w:fill="FFFFFF"/>
        </w:rPr>
      </w:pPr>
    </w:p>
    <w:p w14:paraId="364CE1BF">
      <w:pPr>
        <w:widowControl/>
        <w:jc w:val="left"/>
        <w:rPr>
          <w:rFonts w:ascii="Times New Roman" w:hAnsi="Times New Roman" w:eastAsia="宋体" w:cs="Times New Roman"/>
          <w:sz w:val="24"/>
          <w:szCs w:val="20"/>
        </w:rPr>
      </w:pPr>
      <w:r>
        <w:rPr>
          <w:rFonts w:ascii="Times New Roman" w:hAnsi="Times New Roman" w:eastAsia="宋体" w:cs="Times New Roman"/>
          <w:sz w:val="24"/>
          <w:szCs w:val="20"/>
        </w:rPr>
        <w:br w:type="page"/>
      </w:r>
    </w:p>
    <w:p w14:paraId="24ED5569">
      <w:pPr>
        <w:spacing w:line="360" w:lineRule="auto"/>
        <w:jc w:val="center"/>
        <w:rPr>
          <w:rFonts w:ascii="宋体" w:hAnsi="宋体" w:eastAsia="宋体" w:cs="宋体"/>
          <w:sz w:val="24"/>
          <w:szCs w:val="24"/>
          <w:shd w:val="clear" w:color="auto" w:fill="FFFFFF"/>
        </w:rPr>
      </w:pPr>
      <w:r>
        <w:rPr>
          <w:rFonts w:ascii="宋体" w:hAnsi="宋体" w:eastAsia="宋体" w:cs="宋体"/>
          <w:b/>
          <w:bCs/>
          <w:sz w:val="24"/>
          <w:szCs w:val="24"/>
          <w:shd w:val="clear" w:color="auto" w:fill="FFFFFF"/>
        </w:rPr>
        <w:t>关于印发《政府采购促进中小企业发展管理办法》的通知</w:t>
      </w:r>
    </w:p>
    <w:p w14:paraId="6B39D2E7">
      <w:pPr>
        <w:spacing w:line="360" w:lineRule="auto"/>
        <w:jc w:val="center"/>
        <w:rPr>
          <w:rFonts w:ascii="宋体" w:hAnsi="宋体" w:eastAsia="宋体" w:cs="宋体"/>
          <w:sz w:val="24"/>
          <w:szCs w:val="24"/>
          <w:shd w:val="clear" w:color="auto" w:fill="FFFFFF"/>
        </w:rPr>
      </w:pPr>
      <w:r>
        <w:rPr>
          <w:rFonts w:hint="eastAsia" w:ascii="宋体" w:hAnsi="宋体" w:eastAsia="宋体" w:cs="宋体"/>
          <w:b/>
          <w:bCs/>
          <w:sz w:val="24"/>
          <w:szCs w:val="24"/>
          <w:shd w:val="clear" w:color="auto" w:fill="FFFFFF"/>
        </w:rPr>
        <w:t>财库〔2020〕46号</w:t>
      </w:r>
    </w:p>
    <w:p w14:paraId="05398DA7">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各中央预算单位办公厅（室），各省、自治区、直辖市、计划单列市财政厅（局）、工业和信息化主管部门，新疆生产建设兵团财政局、工业和信息化主管部门：</w:t>
      </w:r>
    </w:p>
    <w:p w14:paraId="5A8D3C47">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3293D026">
      <w:pPr>
        <w:spacing w:line="360" w:lineRule="auto"/>
        <w:jc w:val="center"/>
        <w:rPr>
          <w:rFonts w:ascii="宋体" w:hAnsi="宋体" w:eastAsia="宋体" w:cs="宋体"/>
          <w:b/>
          <w:bCs/>
          <w:sz w:val="24"/>
          <w:szCs w:val="24"/>
          <w:shd w:val="clear" w:color="auto" w:fill="FFFFFF"/>
        </w:rPr>
      </w:pPr>
      <w:r>
        <w:rPr>
          <w:rFonts w:hint="eastAsia" w:ascii="宋体" w:hAnsi="宋体" w:eastAsia="宋体" w:cs="宋体"/>
          <w:sz w:val="24"/>
          <w:szCs w:val="24"/>
          <w:shd w:val="clear" w:color="auto" w:fill="FFFFFF"/>
        </w:rPr>
        <w:br w:type="page"/>
      </w:r>
      <w:r>
        <w:rPr>
          <w:rFonts w:hint="eastAsia" w:ascii="宋体" w:hAnsi="宋体" w:eastAsia="宋体" w:cs="宋体"/>
          <w:b/>
          <w:bCs/>
          <w:sz w:val="24"/>
          <w:szCs w:val="24"/>
          <w:shd w:val="clear" w:color="auto" w:fill="FFFFFF"/>
        </w:rPr>
        <w:t>政府采购促进中小企业发展管理办法</w:t>
      </w:r>
    </w:p>
    <w:p w14:paraId="2E442C88">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第一条 为了发挥政府采购的政策功能，促进中小企业健康发展，根据《中华人民共和国政府采购法》、《中华人民共和国中小企业促进法》等有关法律法规，制定本办法。</w:t>
      </w:r>
    </w:p>
    <w:p w14:paraId="2C155003">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CD5C90A">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第三条 采购人在政府采购活动中应当通过加强采购需求管理，落实预留采购份额、价格评审优惠、优先采购等措施，提高中小企业在政府采购中的份额，支持中小企业发展。</w:t>
      </w:r>
    </w:p>
    <w:p w14:paraId="6605EE07">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第四条 在政府采购活动中，供应商提供的货物、工程或者服务符合下列情形的，享受本办法规定的中小企业扶持政策：</w:t>
      </w:r>
    </w:p>
    <w:p w14:paraId="15FD8FA0">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（一）在货物采购项目中，货物由中小企业制造，即货物由中小企业生产且使用该中小企业商号或者注册商标；</w:t>
      </w:r>
    </w:p>
    <w:p w14:paraId="6327C81C">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（二）在工程采购项目中，工程由中小企业承建，即工程施工单位为中小企业；</w:t>
      </w:r>
    </w:p>
    <w:p w14:paraId="446F5107">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50CEF573">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16C7BE8">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符合下列情形之一的，可不专门面向中小企业预留采购份额：</w:t>
      </w:r>
    </w:p>
    <w:p w14:paraId="61B42378">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（一）法律法规和国家有关政策明确规定优先或者应当面向事业单位、社会组织等非企业主体采购的；</w:t>
      </w:r>
    </w:p>
    <w:p w14:paraId="4FCB4CD0">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（二）因确需使用不可替代的专利、专有技术，基础设施限制，或者提供特定公共服务等原因，只能从中小企业之外的供应商处采购的；</w:t>
      </w:r>
    </w:p>
    <w:p w14:paraId="4BC9F8C1">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（三）按照本办法规定预留采购份额无法确保充分供应、充分竞争，或者存在可能影响政府采购目标实现的情形；</w:t>
      </w:r>
    </w:p>
    <w:p w14:paraId="1F356375">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（四）框架协议采购项目；</w:t>
      </w:r>
    </w:p>
    <w:p w14:paraId="17A64F5A">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（五）省级以上人民政府财政部门规定的其他情形。除上述情形外，其他均为适宜由中小企业提供的情形。</w:t>
      </w:r>
    </w:p>
    <w:p w14:paraId="29BEC48F">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第七条 采购限额标准以上，200万元以下的货物和服务采购项目、400万元以下的工程采购项目，适宜由中小企业提供的，采购人应当专门面向中小企业采购。</w:t>
      </w:r>
    </w:p>
    <w:p w14:paraId="47EA0D25">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1B75AB9">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（一）将采购项目整体或者设置采购包专门面向中小企业采购；</w:t>
      </w:r>
    </w:p>
    <w:p w14:paraId="0EB4FF68">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（二）要求供应商以联合体形式参加采购活动，且联合体中中小企业承担的部分达到一定比例；</w:t>
      </w:r>
    </w:p>
    <w:p w14:paraId="2E158AC1">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（三）要求获得采购合同的供应商将采购项目中的一定比例分包给一家或者多家中小企业。组成联合体或者接受分包合同的中小企业与联合体内其他企业、分包企业之间不得存在直接控股、管理关系。</w:t>
      </w:r>
    </w:p>
    <w:p w14:paraId="26D258E4">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BC476F1">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CF006E">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3A26F142">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第十二条 采购项目涉及中小企业采购的，采购文件应当明确以下内容：</w:t>
      </w:r>
    </w:p>
    <w:p w14:paraId="76B4F5BC">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（一）预留份额的采购项目或者采购包，明确该项目或相关采购包专门面向中小企业采购，以及相关标的及预算金额；</w:t>
      </w:r>
    </w:p>
    <w:p w14:paraId="7984EDB4">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（二）要求以联合体形式参加或者合同分包的，明确联合协议或者分包意向协议中中小企业合同金额应当达到的比例，并作为供应商资格条件；</w:t>
      </w:r>
    </w:p>
    <w:p w14:paraId="583334BB">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（三）非预留份额的采购项目或者采购包，明确有关价格扣除比例或者价格分加分比例；</w:t>
      </w:r>
    </w:p>
    <w:p w14:paraId="16355B60">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（四）规定依据本办法规定享受扶持政策获得政府采购合同的，小微企业不得将合同分包给大中型企业，中型企业不得将合同分包给大型企业；</w:t>
      </w:r>
    </w:p>
    <w:p w14:paraId="07A3CD3F">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（五）采购人认为具备相关条件的，明确对中小企业在资金支付期限、预付款比例等方面的优惠措施；</w:t>
      </w:r>
    </w:p>
    <w:p w14:paraId="1E56A779">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（六）明确采购标的对应的中小企业划分标准所属行业；</w:t>
      </w:r>
    </w:p>
    <w:p w14:paraId="72239EA6">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（七）法律法规和省级以上人民政府财政部门规定的其他事项。</w:t>
      </w:r>
    </w:p>
    <w:p w14:paraId="123F79F7">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第十三条 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60DEBFB2">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40BDB42">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第十五条 鼓励各地区、各部门在采购活动中允许中小企业引入信用担保手段，为中小企业在投标（响应）保证、履约保证等方面提供专业化服务。鼓励中小企业依法合规通过政府采购合同融资。</w:t>
      </w:r>
    </w:p>
    <w:p w14:paraId="5377C4CB">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43EE0368">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第十七条 各地区、各部门应当对涉及中小企业采购的预算项目实施全过程绩效管理，合理设置绩效目标和指标，落实扶持中小企业有关政策要求，定期开展绩效监控和评价，强化绩效评价结果应用。</w:t>
      </w:r>
    </w:p>
    <w:p w14:paraId="1F64882A">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6B8F944">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D83BD5B">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614A0447">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011E5A9">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第二十二条 对外援助项目、国家相关资格或者资质管理制度另有规定的项目，不适用本办法。</w:t>
      </w:r>
    </w:p>
    <w:p w14:paraId="376472F7">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第二十三条 关于视同中小企业的其他主体的政府采购扶持政策，由财政部会同有关部门另行规定。</w:t>
      </w:r>
    </w:p>
    <w:p w14:paraId="29B1B27B">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第二十四条 省级财政部门可以会同中小企业主管部门根据本办法的规定制定具体实施办法。</w:t>
      </w:r>
    </w:p>
    <w:p w14:paraId="2BF1E6F6">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第二十五条 本办法自2021年1月1日起施行。《财政部工业和信息化部关于印发〈政府采购促进中小企业发展暂行办法〉的通知》（财库﹝2011﹞181号）同时废止。</w:t>
      </w:r>
    </w:p>
    <w:p w14:paraId="10EB8300">
      <w:pPr>
        <w:widowControl/>
        <w:jc w:val="left"/>
        <w:rPr>
          <w:rFonts w:ascii="宋体" w:hAnsi="宋体" w:eastAsia="宋体" w:cs="宋体"/>
          <w:sz w:val="24"/>
          <w:szCs w:val="24"/>
          <w:shd w:val="clear" w:color="auto" w:fill="FFFFFF"/>
        </w:rPr>
      </w:pPr>
      <w:r>
        <w:rPr>
          <w:rFonts w:ascii="宋体" w:hAnsi="宋体" w:eastAsia="宋体" w:cs="宋体"/>
          <w:sz w:val="24"/>
          <w:szCs w:val="24"/>
          <w:shd w:val="clear" w:color="auto" w:fill="FFFFFF"/>
        </w:rPr>
        <w:br w:type="page"/>
      </w:r>
    </w:p>
    <w:p w14:paraId="177D1AEC">
      <w:pPr>
        <w:jc w:val="center"/>
        <w:rPr>
          <w:rFonts w:ascii="宋体" w:hAnsi="宋体" w:eastAsia="宋体" w:cs="宋体"/>
          <w:b/>
          <w:bCs/>
          <w:sz w:val="24"/>
          <w:szCs w:val="24"/>
        </w:rPr>
      </w:pPr>
      <w:r>
        <w:rPr>
          <w:rFonts w:hint="eastAsia" w:ascii="宋体" w:hAnsi="宋体" w:eastAsia="宋体" w:cs="宋体"/>
          <w:b/>
          <w:bCs/>
          <w:sz w:val="24"/>
          <w:szCs w:val="24"/>
        </w:rPr>
        <w:t>关于进一步加大政府采购支持中小企业力度的通知</w:t>
      </w:r>
    </w:p>
    <w:p w14:paraId="6BE643AA">
      <w:pPr>
        <w:jc w:val="center"/>
        <w:rPr>
          <w:rFonts w:ascii="宋体" w:hAnsi="宋体" w:eastAsia="宋体" w:cs="宋体"/>
          <w:b/>
          <w:bCs/>
          <w:sz w:val="24"/>
          <w:szCs w:val="24"/>
        </w:rPr>
      </w:pPr>
      <w:r>
        <w:rPr>
          <w:rFonts w:hint="eastAsia" w:ascii="宋体" w:hAnsi="宋体" w:eastAsia="宋体" w:cs="宋体"/>
          <w:b/>
          <w:bCs/>
          <w:sz w:val="24"/>
          <w:szCs w:val="24"/>
        </w:rPr>
        <w:t>财库〔2022〕19号</w:t>
      </w:r>
    </w:p>
    <w:p w14:paraId="7371BF6F">
      <w:pPr>
        <w:spacing w:line="360" w:lineRule="auto"/>
        <w:ind w:firstLine="240" w:firstLineChars="100"/>
        <w:jc w:val="left"/>
        <w:rPr>
          <w:rFonts w:ascii="宋体" w:hAnsi="宋体" w:eastAsia="宋体" w:cs="宋体"/>
          <w:sz w:val="24"/>
          <w:szCs w:val="24"/>
          <w:shd w:val="clear" w:color="auto" w:fill="FFFFFF"/>
        </w:rPr>
      </w:pPr>
    </w:p>
    <w:p w14:paraId="1D96CD29">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各中央预算单位，各省、自治区、直辖市、计划单列市财政厅（局），新疆生产建设兵团财政局：</w:t>
      </w:r>
    </w:p>
    <w:p w14:paraId="0045D25F">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B2C4976">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A83F63D">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3518199">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0E93570">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四、认真做好组织实施。各地区、各部门应当加强组织领导，明确工作责任，细化执行要求，强化监督检查，确保国务院部署落实到位，对通知执行中出现的问题要及时向财政部报告。</w:t>
      </w:r>
    </w:p>
    <w:p w14:paraId="32222F64">
      <w:pPr>
        <w:spacing w:line="360" w:lineRule="auto"/>
        <w:ind w:firstLine="480" w:firstLineChars="200"/>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本通知自2022年7月1日起执行。</w:t>
      </w:r>
    </w:p>
    <w:p w14:paraId="2EA5622B">
      <w:pPr>
        <w:jc w:val="righ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财  政  部</w:t>
      </w:r>
    </w:p>
    <w:p w14:paraId="466F4C9B">
      <w:pPr>
        <w:jc w:val="right"/>
        <w:rPr>
          <w:b/>
          <w:bCs/>
        </w:rPr>
      </w:pPr>
      <w:r>
        <w:rPr>
          <w:rFonts w:hint="eastAsia"/>
          <w:shd w:val="clear" w:color="auto" w:fill="FFFFFF"/>
        </w:rPr>
        <w:t>2022年5月30日</w:t>
      </w:r>
    </w:p>
    <w:p w14:paraId="6A03F176">
      <w:pPr>
        <w:widowControl/>
        <w:jc w:val="left"/>
        <w:rPr>
          <w:rFonts w:ascii="Times New Roman" w:hAnsi="Times New Roman" w:eastAsia="宋体" w:cs="Times New Roman"/>
          <w:sz w:val="24"/>
          <w:szCs w:val="20"/>
          <w:lang w:val="zh-CN"/>
        </w:rPr>
      </w:pPr>
      <w:r>
        <w:rPr>
          <w:rFonts w:ascii="Times New Roman" w:hAnsi="Times New Roman" w:eastAsia="宋体" w:cs="Times New Roman"/>
          <w:sz w:val="24"/>
          <w:szCs w:val="20"/>
          <w:lang w:val="zh-CN"/>
        </w:rPr>
        <w:br w:type="page"/>
      </w:r>
    </w:p>
    <w:p w14:paraId="7A8C86A9">
      <w:pPr>
        <w:spacing w:line="288" w:lineRule="auto"/>
        <w:ind w:right="-760" w:rightChars="-362"/>
        <w:jc w:val="left"/>
        <w:rPr>
          <w:rFonts w:ascii="Times New Roman" w:hAnsi="Times New Roman" w:eastAsia="宋体" w:cs="Times New Roman"/>
          <w:sz w:val="24"/>
          <w:szCs w:val="20"/>
        </w:rPr>
      </w:pPr>
      <w:r>
        <w:rPr>
          <w:rFonts w:hint="eastAsia" w:ascii="Times New Roman" w:hAnsi="Times New Roman" w:eastAsia="宋体" w:cs="Times New Roman"/>
          <w:sz w:val="24"/>
          <w:szCs w:val="20"/>
          <w:lang w:val="zh-CN"/>
        </w:rPr>
        <w:t>附件：</w:t>
      </w:r>
      <w:r>
        <w:rPr>
          <w:rFonts w:hint="eastAsia" w:ascii="Times New Roman" w:hAnsi="Times New Roman" w:eastAsia="宋体" w:cs="Times New Roman"/>
          <w:sz w:val="24"/>
          <w:szCs w:val="20"/>
        </w:rPr>
        <w:t>2</w:t>
      </w:r>
    </w:p>
    <w:p w14:paraId="5D0E4E29">
      <w:pPr>
        <w:spacing w:line="288" w:lineRule="auto"/>
        <w:ind w:right="-760" w:rightChars="-362"/>
        <w:jc w:val="center"/>
        <w:rPr>
          <w:rFonts w:ascii="宋体" w:hAnsi="宋体" w:eastAsia="宋体" w:cs="宋体"/>
          <w:b/>
          <w:sz w:val="24"/>
          <w:szCs w:val="20"/>
        </w:rPr>
      </w:pPr>
      <w:r>
        <w:rPr>
          <w:rFonts w:hint="eastAsia" w:ascii="宋体" w:hAnsi="宋体" w:eastAsia="宋体" w:cs="宋体"/>
          <w:kern w:val="0"/>
          <w:sz w:val="30"/>
          <w:szCs w:val="30"/>
        </w:rPr>
        <w:t>投标保证金退还申请单</w:t>
      </w:r>
    </w:p>
    <w:p w14:paraId="17F444C6">
      <w:pPr>
        <w:widowControl/>
        <w:adjustRightInd w:val="0"/>
        <w:spacing w:line="288" w:lineRule="auto"/>
        <w:rPr>
          <w:rFonts w:ascii="宋体" w:hAnsi="宋体" w:eastAsia="宋体" w:cs="宋体"/>
          <w:kern w:val="0"/>
          <w:sz w:val="24"/>
          <w:szCs w:val="20"/>
          <w:lang w:val="zh-CN"/>
        </w:rPr>
      </w:pPr>
    </w:p>
    <w:p w14:paraId="606D2022">
      <w:pPr>
        <w:widowControl/>
        <w:adjustRightInd w:val="0"/>
        <w:spacing w:line="360" w:lineRule="auto"/>
        <w:rPr>
          <w:rFonts w:ascii="宋体" w:hAnsi="宋体" w:eastAsia="宋体" w:cs="宋体"/>
          <w:kern w:val="0"/>
          <w:sz w:val="24"/>
          <w:szCs w:val="20"/>
          <w:lang w:val="zh-CN"/>
        </w:rPr>
      </w:pPr>
      <w:r>
        <w:rPr>
          <w:rFonts w:hint="eastAsia" w:ascii="宋体" w:hAnsi="宋体" w:eastAsia="宋体" w:cs="宋体"/>
          <w:sz w:val="24"/>
          <w:szCs w:val="24"/>
          <w:u w:val="single"/>
        </w:rPr>
        <w:t>（采购代理机构名称）</w:t>
      </w:r>
      <w:r>
        <w:rPr>
          <w:rFonts w:hint="eastAsia" w:ascii="宋体" w:hAnsi="宋体" w:eastAsia="宋体" w:cs="宋体"/>
          <w:kern w:val="0"/>
          <w:sz w:val="24"/>
          <w:szCs w:val="20"/>
          <w:lang w:val="zh-CN"/>
        </w:rPr>
        <w:t>：</w:t>
      </w:r>
    </w:p>
    <w:p w14:paraId="04F9F6B9">
      <w:pPr>
        <w:widowControl/>
        <w:adjustRightInd w:val="0"/>
        <w:spacing w:line="360" w:lineRule="auto"/>
        <w:ind w:firstLine="480" w:firstLineChars="200"/>
        <w:rPr>
          <w:rFonts w:ascii="宋体" w:hAnsi="宋体" w:eastAsia="宋体" w:cs="宋体"/>
          <w:kern w:val="0"/>
          <w:sz w:val="24"/>
          <w:szCs w:val="20"/>
        </w:rPr>
      </w:pPr>
      <w:r>
        <w:rPr>
          <w:rFonts w:hint="eastAsia" w:ascii="宋体" w:hAnsi="宋体" w:eastAsia="宋体" w:cs="宋体"/>
          <w:kern w:val="0"/>
          <w:sz w:val="24"/>
          <w:szCs w:val="20"/>
          <w:lang w:val="zh-CN"/>
        </w:rPr>
        <w:t>我方自愿参与项目（项目编号：）的投标，并按招标文件的要求向</w:t>
      </w:r>
      <w:r>
        <w:rPr>
          <w:rFonts w:hint="eastAsia" w:ascii="宋体" w:hAnsi="宋体" w:eastAsia="宋体" w:cs="宋体"/>
          <w:sz w:val="24"/>
          <w:szCs w:val="24"/>
          <w:u w:val="single"/>
        </w:rPr>
        <w:t>（采购代理机构名称）</w:t>
      </w:r>
      <w:r>
        <w:rPr>
          <w:rFonts w:hint="eastAsia" w:ascii="宋体" w:hAnsi="宋体" w:eastAsia="宋体" w:cs="宋体"/>
          <w:kern w:val="0"/>
          <w:sz w:val="24"/>
          <w:szCs w:val="20"/>
          <w:lang w:val="zh-CN"/>
        </w:rPr>
        <w:t>提交投标保证金，请贵公司在符合退还条件下退还至我单位提交时的银行账户：</w:t>
      </w:r>
    </w:p>
    <w:tbl>
      <w:tblPr>
        <w:tblStyle w:val="21"/>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89"/>
        <w:gridCol w:w="6363"/>
      </w:tblGrid>
      <w:tr w14:paraId="74BA4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803" w:type="pct"/>
            <w:noWrap/>
          </w:tcPr>
          <w:p w14:paraId="13F03502">
            <w:pPr>
              <w:widowControl/>
              <w:adjustRightInd w:val="0"/>
              <w:spacing w:line="360" w:lineRule="auto"/>
              <w:jc w:val="left"/>
              <w:rPr>
                <w:rFonts w:ascii="宋体" w:hAnsi="宋体" w:eastAsia="宋体" w:cs="宋体"/>
                <w:kern w:val="0"/>
                <w:sz w:val="24"/>
                <w:szCs w:val="20"/>
                <w:lang w:val="zh-CN"/>
              </w:rPr>
            </w:pPr>
            <w:r>
              <w:rPr>
                <w:rFonts w:hint="eastAsia" w:ascii="宋体" w:hAnsi="宋体" w:eastAsia="宋体" w:cs="宋体"/>
                <w:kern w:val="0"/>
                <w:sz w:val="24"/>
                <w:szCs w:val="20"/>
                <w:lang w:val="zh-CN"/>
              </w:rPr>
              <w:t>项目名称：</w:t>
            </w:r>
          </w:p>
        </w:tc>
        <w:tc>
          <w:tcPr>
            <w:tcW w:w="3196" w:type="pct"/>
            <w:noWrap/>
          </w:tcPr>
          <w:p w14:paraId="53B20A62">
            <w:pPr>
              <w:widowControl/>
              <w:tabs>
                <w:tab w:val="left" w:pos="972"/>
              </w:tabs>
              <w:adjustRightInd w:val="0"/>
              <w:spacing w:line="360" w:lineRule="auto"/>
              <w:rPr>
                <w:rFonts w:ascii="宋体" w:hAnsi="宋体" w:eastAsia="宋体" w:cs="宋体"/>
                <w:b/>
                <w:bCs/>
                <w:kern w:val="0"/>
                <w:sz w:val="24"/>
                <w:szCs w:val="20"/>
              </w:rPr>
            </w:pPr>
          </w:p>
        </w:tc>
      </w:tr>
      <w:tr w14:paraId="31FC0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1803" w:type="pct"/>
            <w:noWrap/>
          </w:tcPr>
          <w:p w14:paraId="5D51D8BB">
            <w:pPr>
              <w:widowControl/>
              <w:adjustRightInd w:val="0"/>
              <w:spacing w:line="360" w:lineRule="auto"/>
              <w:jc w:val="left"/>
              <w:rPr>
                <w:rFonts w:ascii="宋体" w:hAnsi="宋体" w:eastAsia="宋体" w:cs="宋体"/>
                <w:kern w:val="0"/>
                <w:sz w:val="24"/>
                <w:szCs w:val="20"/>
                <w:lang w:val="zh-CN"/>
              </w:rPr>
            </w:pPr>
            <w:r>
              <w:rPr>
                <w:rFonts w:hint="eastAsia" w:ascii="宋体" w:hAnsi="宋体" w:eastAsia="宋体" w:cs="宋体"/>
                <w:kern w:val="0"/>
                <w:sz w:val="24"/>
                <w:szCs w:val="20"/>
                <w:lang w:val="zh-CN"/>
              </w:rPr>
              <w:t>项目编号：</w:t>
            </w:r>
          </w:p>
        </w:tc>
        <w:tc>
          <w:tcPr>
            <w:tcW w:w="3196" w:type="pct"/>
            <w:noWrap/>
          </w:tcPr>
          <w:p w14:paraId="6DB8E3C8">
            <w:pPr>
              <w:widowControl/>
              <w:tabs>
                <w:tab w:val="left" w:pos="972"/>
              </w:tabs>
              <w:adjustRightInd w:val="0"/>
              <w:spacing w:line="360" w:lineRule="auto"/>
              <w:rPr>
                <w:rFonts w:ascii="宋体" w:hAnsi="宋体" w:eastAsia="宋体" w:cs="宋体"/>
                <w:kern w:val="0"/>
                <w:sz w:val="24"/>
                <w:szCs w:val="20"/>
              </w:rPr>
            </w:pPr>
          </w:p>
        </w:tc>
      </w:tr>
      <w:tr w14:paraId="51702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803" w:type="pct"/>
            <w:noWrap/>
          </w:tcPr>
          <w:p w14:paraId="49B32879">
            <w:pPr>
              <w:widowControl/>
              <w:adjustRightInd w:val="0"/>
              <w:spacing w:line="360" w:lineRule="auto"/>
              <w:jc w:val="left"/>
              <w:rPr>
                <w:rFonts w:ascii="宋体" w:hAnsi="宋体" w:eastAsia="宋体" w:cs="宋体"/>
                <w:kern w:val="0"/>
                <w:sz w:val="24"/>
                <w:szCs w:val="20"/>
              </w:rPr>
            </w:pPr>
            <w:r>
              <w:rPr>
                <w:rFonts w:hint="eastAsia" w:ascii="宋体" w:hAnsi="宋体" w:eastAsia="宋体" w:cs="宋体"/>
                <w:kern w:val="0"/>
                <w:sz w:val="24"/>
                <w:szCs w:val="20"/>
                <w:lang w:val="zh-CN"/>
              </w:rPr>
              <w:t>保证金额：</w:t>
            </w:r>
          </w:p>
        </w:tc>
        <w:tc>
          <w:tcPr>
            <w:tcW w:w="3196" w:type="pct"/>
            <w:noWrap/>
          </w:tcPr>
          <w:p w14:paraId="6CECBD73">
            <w:pPr>
              <w:widowControl/>
              <w:tabs>
                <w:tab w:val="left" w:pos="972"/>
              </w:tabs>
              <w:adjustRightInd w:val="0"/>
              <w:spacing w:line="360" w:lineRule="auto"/>
              <w:rPr>
                <w:rFonts w:ascii="宋体" w:hAnsi="宋体" w:eastAsia="宋体" w:cs="宋体"/>
                <w:kern w:val="0"/>
                <w:sz w:val="24"/>
                <w:szCs w:val="20"/>
              </w:rPr>
            </w:pPr>
          </w:p>
        </w:tc>
      </w:tr>
      <w:tr w14:paraId="39DF0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803" w:type="pct"/>
            <w:noWrap/>
          </w:tcPr>
          <w:p w14:paraId="5005BB8B">
            <w:pPr>
              <w:widowControl/>
              <w:adjustRightInd w:val="0"/>
              <w:spacing w:line="360" w:lineRule="auto"/>
              <w:rPr>
                <w:rFonts w:ascii="宋体" w:hAnsi="宋体" w:eastAsia="宋体" w:cs="宋体"/>
                <w:kern w:val="0"/>
                <w:sz w:val="24"/>
                <w:szCs w:val="20"/>
              </w:rPr>
            </w:pPr>
            <w:r>
              <w:rPr>
                <w:rFonts w:hint="eastAsia" w:ascii="宋体" w:hAnsi="宋体" w:eastAsia="宋体" w:cs="宋体"/>
                <w:kern w:val="0"/>
                <w:sz w:val="24"/>
                <w:szCs w:val="20"/>
              </w:rPr>
              <w:t>提交保证金基本开户银行：</w:t>
            </w:r>
          </w:p>
        </w:tc>
        <w:tc>
          <w:tcPr>
            <w:tcW w:w="3196" w:type="pct"/>
            <w:noWrap/>
          </w:tcPr>
          <w:p w14:paraId="3A76E5B4">
            <w:pPr>
              <w:widowControl/>
              <w:tabs>
                <w:tab w:val="left" w:pos="972"/>
              </w:tabs>
              <w:adjustRightInd w:val="0"/>
              <w:spacing w:line="360" w:lineRule="auto"/>
              <w:rPr>
                <w:rFonts w:ascii="宋体" w:hAnsi="宋体" w:eastAsia="宋体" w:cs="宋体"/>
                <w:kern w:val="0"/>
                <w:sz w:val="24"/>
                <w:szCs w:val="20"/>
              </w:rPr>
            </w:pPr>
          </w:p>
        </w:tc>
      </w:tr>
      <w:tr w14:paraId="714B9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1803" w:type="pct"/>
            <w:noWrap/>
          </w:tcPr>
          <w:p w14:paraId="62DD3904">
            <w:pPr>
              <w:widowControl/>
              <w:adjustRightInd w:val="0"/>
              <w:spacing w:line="360" w:lineRule="auto"/>
              <w:rPr>
                <w:rFonts w:ascii="宋体" w:hAnsi="宋体" w:eastAsia="宋体" w:cs="宋体"/>
                <w:kern w:val="0"/>
                <w:sz w:val="24"/>
                <w:szCs w:val="20"/>
              </w:rPr>
            </w:pPr>
            <w:r>
              <w:rPr>
                <w:rFonts w:hint="eastAsia" w:ascii="宋体" w:hAnsi="宋体" w:eastAsia="宋体" w:cs="宋体"/>
                <w:kern w:val="0"/>
                <w:sz w:val="24"/>
                <w:szCs w:val="20"/>
              </w:rPr>
              <w:t>提交保证金基本开户银行账号：</w:t>
            </w:r>
          </w:p>
        </w:tc>
        <w:tc>
          <w:tcPr>
            <w:tcW w:w="3196" w:type="pct"/>
            <w:noWrap/>
          </w:tcPr>
          <w:p w14:paraId="4700E2A7">
            <w:pPr>
              <w:widowControl/>
              <w:tabs>
                <w:tab w:val="left" w:pos="972"/>
              </w:tabs>
              <w:adjustRightInd w:val="0"/>
              <w:spacing w:line="360" w:lineRule="auto"/>
              <w:rPr>
                <w:rFonts w:ascii="宋体" w:hAnsi="宋体" w:eastAsia="宋体" w:cs="宋体"/>
                <w:kern w:val="0"/>
                <w:sz w:val="24"/>
                <w:szCs w:val="20"/>
              </w:rPr>
            </w:pPr>
          </w:p>
        </w:tc>
      </w:tr>
    </w:tbl>
    <w:p w14:paraId="05CEFEFD">
      <w:pPr>
        <w:widowControl/>
        <w:adjustRightInd w:val="0"/>
        <w:spacing w:line="360" w:lineRule="auto"/>
        <w:rPr>
          <w:rFonts w:ascii="宋体" w:hAnsi="宋体" w:eastAsia="宋体" w:cs="宋体"/>
          <w:kern w:val="0"/>
          <w:sz w:val="24"/>
          <w:szCs w:val="20"/>
          <w:lang w:val="zh-CN"/>
        </w:rPr>
      </w:pPr>
    </w:p>
    <w:p w14:paraId="4AF64AE4">
      <w:pPr>
        <w:widowControl/>
        <w:adjustRightInd w:val="0"/>
        <w:spacing w:line="360" w:lineRule="auto"/>
        <w:rPr>
          <w:rFonts w:ascii="宋体" w:hAnsi="宋体" w:eastAsia="宋体" w:cs="宋体"/>
          <w:kern w:val="0"/>
          <w:sz w:val="24"/>
          <w:szCs w:val="20"/>
          <w:u w:val="single"/>
          <w:lang w:val="zh-CN"/>
        </w:rPr>
      </w:pPr>
      <w:r>
        <w:rPr>
          <w:rFonts w:hint="eastAsia" w:ascii="宋体" w:hAnsi="宋体" w:eastAsia="宋体" w:cs="宋体"/>
          <w:kern w:val="0"/>
          <w:sz w:val="24"/>
          <w:szCs w:val="20"/>
          <w:lang w:val="zh-CN"/>
        </w:rPr>
        <w:t xml:space="preserve">投标人名称：（全称）           </w:t>
      </w:r>
    </w:p>
    <w:p w14:paraId="0679CC11">
      <w:pPr>
        <w:widowControl/>
        <w:adjustRightInd w:val="0"/>
        <w:spacing w:line="360" w:lineRule="auto"/>
        <w:rPr>
          <w:rFonts w:ascii="宋体" w:hAnsi="宋体" w:eastAsia="宋体" w:cs="宋体"/>
          <w:kern w:val="0"/>
          <w:sz w:val="24"/>
          <w:szCs w:val="20"/>
          <w:u w:val="single"/>
        </w:rPr>
      </w:pPr>
      <w:r>
        <w:rPr>
          <w:rFonts w:hint="eastAsia" w:ascii="宋体" w:hAnsi="宋体" w:eastAsia="宋体" w:cs="宋体"/>
          <w:kern w:val="0"/>
          <w:sz w:val="24"/>
          <w:szCs w:val="20"/>
          <w:lang w:val="zh-CN"/>
        </w:rPr>
        <w:t xml:space="preserve">联系人： </w:t>
      </w:r>
    </w:p>
    <w:p w14:paraId="33C8C887">
      <w:pPr>
        <w:widowControl/>
        <w:adjustRightInd w:val="0"/>
        <w:spacing w:line="360" w:lineRule="auto"/>
        <w:rPr>
          <w:rFonts w:ascii="宋体" w:hAnsi="宋体" w:eastAsia="宋体" w:cs="宋体"/>
          <w:kern w:val="0"/>
          <w:sz w:val="24"/>
          <w:szCs w:val="20"/>
          <w:lang w:val="zh-CN"/>
        </w:rPr>
      </w:pPr>
      <w:r>
        <w:rPr>
          <w:rFonts w:hint="eastAsia" w:ascii="宋体" w:hAnsi="宋体" w:eastAsia="宋体" w:cs="宋体"/>
          <w:kern w:val="0"/>
          <w:sz w:val="24"/>
          <w:szCs w:val="20"/>
          <w:lang w:val="zh-CN"/>
        </w:rPr>
        <w:t>联系电话：</w:t>
      </w:r>
    </w:p>
    <w:p w14:paraId="78A122FE">
      <w:pPr>
        <w:widowControl/>
        <w:adjustRightInd w:val="0"/>
        <w:spacing w:line="360" w:lineRule="auto"/>
        <w:rPr>
          <w:rFonts w:ascii="宋体" w:hAnsi="宋体" w:eastAsia="宋体" w:cs="宋体"/>
          <w:b/>
          <w:bCs/>
          <w:kern w:val="0"/>
          <w:sz w:val="24"/>
          <w:szCs w:val="20"/>
        </w:rPr>
      </w:pPr>
      <w:r>
        <w:rPr>
          <w:rFonts w:hint="eastAsia" w:ascii="宋体" w:hAnsi="宋体" w:eastAsia="宋体" w:cs="宋体"/>
          <w:kern w:val="0"/>
          <w:sz w:val="24"/>
          <w:szCs w:val="20"/>
          <w:lang w:val="zh-CN"/>
        </w:rPr>
        <w:t>日期：年月日</w:t>
      </w:r>
    </w:p>
    <w:p w14:paraId="280B3A73">
      <w:pPr>
        <w:spacing w:line="360" w:lineRule="auto"/>
        <w:rPr>
          <w:rFonts w:ascii="宋体" w:hAnsi="宋体" w:eastAsia="宋体" w:cs="宋体"/>
          <w:sz w:val="24"/>
          <w:szCs w:val="20"/>
        </w:rPr>
      </w:pPr>
      <w:r>
        <w:rPr>
          <w:rFonts w:hint="eastAsia" w:ascii="宋体" w:hAnsi="宋体" w:eastAsia="宋体" w:cs="宋体"/>
          <w:kern w:val="0"/>
          <w:sz w:val="24"/>
          <w:szCs w:val="20"/>
          <w:lang w:val="zh-CN"/>
        </w:rPr>
        <w:t>注意事项：</w:t>
      </w:r>
    </w:p>
    <w:p w14:paraId="3FB58E3A">
      <w:pPr>
        <w:autoSpaceDE w:val="0"/>
        <w:autoSpaceDN w:val="0"/>
        <w:adjustRightInd w:val="0"/>
        <w:spacing w:before="156" w:beforeLines="50" w:after="156" w:afterLines="50" w:line="360" w:lineRule="auto"/>
        <w:rPr>
          <w:rFonts w:ascii="宋体" w:hAnsi="宋体" w:eastAsia="宋体" w:cs="宋体"/>
          <w:sz w:val="24"/>
          <w:szCs w:val="20"/>
        </w:rPr>
      </w:pPr>
      <w:r>
        <w:rPr>
          <w:rFonts w:hint="eastAsia" w:ascii="宋体" w:hAnsi="宋体" w:eastAsia="宋体" w:cs="宋体"/>
          <w:sz w:val="24"/>
          <w:szCs w:val="20"/>
        </w:rPr>
        <w:t>1.如供应商信息错误或自身原因导致无法退还的，责任自负。</w:t>
      </w:r>
    </w:p>
    <w:p w14:paraId="64A426BC">
      <w:pPr>
        <w:widowControl/>
        <w:jc w:val="left"/>
        <w:rPr>
          <w:rFonts w:ascii="宋体" w:hAnsi="宋体" w:eastAsia="宋体" w:cs="宋体"/>
          <w:sz w:val="24"/>
          <w:szCs w:val="20"/>
          <w:u w:val="single"/>
        </w:rPr>
      </w:pPr>
      <w:r>
        <w:rPr>
          <w:rFonts w:hint="eastAsia" w:ascii="宋体" w:hAnsi="宋体" w:eastAsia="宋体" w:cs="宋体"/>
          <w:sz w:val="24"/>
          <w:szCs w:val="20"/>
        </w:rPr>
        <w:br w:type="page"/>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新宋体">
    <w:panose1 w:val="02010609030101010101"/>
    <w:charset w:val="86"/>
    <w:family w:val="modern"/>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B9DAB">
    <w:pPr>
      <w:pStyle w:val="15"/>
      <w:jc w:val="center"/>
    </w:pPr>
  </w:p>
  <w:p w14:paraId="40983FA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6A890">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BD4BC">
                          <w:pPr>
                            <w:pStyle w:val="1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BBD4BC">
                    <w:pPr>
                      <w:pStyle w:val="1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EEE67"/>
    <w:multiLevelType w:val="singleLevel"/>
    <w:tmpl w:val="DADEEE67"/>
    <w:lvl w:ilvl="0" w:tentative="0">
      <w:start w:val="1"/>
      <w:numFmt w:val="decimal"/>
      <w:suff w:val="nothing"/>
      <w:lvlText w:val="%1、"/>
      <w:lvlJc w:val="left"/>
    </w:lvl>
  </w:abstractNum>
  <w:abstractNum w:abstractNumId="1">
    <w:nsid w:val="FB83DD5E"/>
    <w:multiLevelType w:val="singleLevel"/>
    <w:tmpl w:val="FB83DD5E"/>
    <w:lvl w:ilvl="0" w:tentative="0">
      <w:start w:val="1"/>
      <w:numFmt w:val="decimal"/>
      <w:pStyle w:val="39"/>
      <w:suff w:val="nothing"/>
      <w:lvlText w:val="%1、"/>
      <w:lvlJc w:val="left"/>
    </w:lvl>
  </w:abstractNum>
  <w:abstractNum w:abstractNumId="2">
    <w:nsid w:val="40D41F38"/>
    <w:multiLevelType w:val="multilevel"/>
    <w:tmpl w:val="40D41F38"/>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1074" w:hanging="864"/>
      </w:pPr>
      <w:rPr>
        <w:rFonts w:hint="eastAsia"/>
      </w:rPr>
    </w:lvl>
    <w:lvl w:ilvl="4" w:tentative="0">
      <w:start w:val="1"/>
      <w:numFmt w:val="decimal"/>
      <w:pStyle w:val="6"/>
      <w:isLgl/>
      <w:lvlText w:val="%1.%2.%3.%4.%5"/>
      <w:lvlJc w:val="left"/>
      <w:pPr>
        <w:ind w:left="1218" w:hanging="1008"/>
      </w:pPr>
      <w:rPr>
        <w:rFonts w:hint="eastAsia"/>
      </w:rPr>
    </w:lvl>
    <w:lvl w:ilvl="5" w:tentative="0">
      <w:start w:val="1"/>
      <w:numFmt w:val="decimal"/>
      <w:pStyle w:val="7"/>
      <w:isLgl/>
      <w:lvlText w:val="%1.%2.%3.%4.%5.%6"/>
      <w:lvlJc w:val="left"/>
      <w:pPr>
        <w:ind w:left="1152" w:hanging="1152"/>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4NjdkMmFlYTBhNzIxMTQ5ZWE5OWRkY2VhMGJiNDAifQ=="/>
  </w:docVars>
  <w:rsids>
    <w:rsidRoot w:val="003856ED"/>
    <w:rsid w:val="000200CF"/>
    <w:rsid w:val="00033F76"/>
    <w:rsid w:val="00041B65"/>
    <w:rsid w:val="00047644"/>
    <w:rsid w:val="00065234"/>
    <w:rsid w:val="00076BE9"/>
    <w:rsid w:val="00082559"/>
    <w:rsid w:val="000D2559"/>
    <w:rsid w:val="000E069E"/>
    <w:rsid w:val="000E328D"/>
    <w:rsid w:val="000E3B86"/>
    <w:rsid w:val="001121FE"/>
    <w:rsid w:val="0011376F"/>
    <w:rsid w:val="0011620E"/>
    <w:rsid w:val="0011697C"/>
    <w:rsid w:val="00160BD2"/>
    <w:rsid w:val="0016168B"/>
    <w:rsid w:val="00165C56"/>
    <w:rsid w:val="00170BA1"/>
    <w:rsid w:val="001750F3"/>
    <w:rsid w:val="0019213E"/>
    <w:rsid w:val="001A126C"/>
    <w:rsid w:val="001A5A85"/>
    <w:rsid w:val="001C2BFC"/>
    <w:rsid w:val="001D0B0A"/>
    <w:rsid w:val="001E3760"/>
    <w:rsid w:val="00251174"/>
    <w:rsid w:val="0025742D"/>
    <w:rsid w:val="002C5751"/>
    <w:rsid w:val="002F5781"/>
    <w:rsid w:val="00301285"/>
    <w:rsid w:val="00301FA5"/>
    <w:rsid w:val="0030289B"/>
    <w:rsid w:val="00310D83"/>
    <w:rsid w:val="00313663"/>
    <w:rsid w:val="00321218"/>
    <w:rsid w:val="00326A5C"/>
    <w:rsid w:val="003318CA"/>
    <w:rsid w:val="003724E8"/>
    <w:rsid w:val="003856ED"/>
    <w:rsid w:val="003A22F8"/>
    <w:rsid w:val="003B0158"/>
    <w:rsid w:val="003C61AE"/>
    <w:rsid w:val="003D596A"/>
    <w:rsid w:val="003E7F8A"/>
    <w:rsid w:val="004058F3"/>
    <w:rsid w:val="00446C3A"/>
    <w:rsid w:val="004532BB"/>
    <w:rsid w:val="00456342"/>
    <w:rsid w:val="0046736E"/>
    <w:rsid w:val="00491324"/>
    <w:rsid w:val="004C3776"/>
    <w:rsid w:val="004D7D5A"/>
    <w:rsid w:val="004E2663"/>
    <w:rsid w:val="00545727"/>
    <w:rsid w:val="00572729"/>
    <w:rsid w:val="005A56F7"/>
    <w:rsid w:val="005C46C4"/>
    <w:rsid w:val="005F195F"/>
    <w:rsid w:val="005F2ADD"/>
    <w:rsid w:val="006219B7"/>
    <w:rsid w:val="00634366"/>
    <w:rsid w:val="006443BF"/>
    <w:rsid w:val="006571B2"/>
    <w:rsid w:val="0066303F"/>
    <w:rsid w:val="006746FE"/>
    <w:rsid w:val="006826DE"/>
    <w:rsid w:val="006946C2"/>
    <w:rsid w:val="006974F6"/>
    <w:rsid w:val="006B7066"/>
    <w:rsid w:val="006C0EDA"/>
    <w:rsid w:val="006D359A"/>
    <w:rsid w:val="006D4D22"/>
    <w:rsid w:val="007038F1"/>
    <w:rsid w:val="00716006"/>
    <w:rsid w:val="00723CE8"/>
    <w:rsid w:val="00734C6E"/>
    <w:rsid w:val="00766F05"/>
    <w:rsid w:val="00773F65"/>
    <w:rsid w:val="00774C00"/>
    <w:rsid w:val="007A2743"/>
    <w:rsid w:val="007B7C18"/>
    <w:rsid w:val="007C0595"/>
    <w:rsid w:val="00810288"/>
    <w:rsid w:val="00825726"/>
    <w:rsid w:val="00833E76"/>
    <w:rsid w:val="00852946"/>
    <w:rsid w:val="00886EDD"/>
    <w:rsid w:val="008D05B6"/>
    <w:rsid w:val="009267DB"/>
    <w:rsid w:val="00927C70"/>
    <w:rsid w:val="00941E20"/>
    <w:rsid w:val="00974291"/>
    <w:rsid w:val="00996D36"/>
    <w:rsid w:val="009A02E1"/>
    <w:rsid w:val="009A5D00"/>
    <w:rsid w:val="009D2357"/>
    <w:rsid w:val="009D3305"/>
    <w:rsid w:val="00A26056"/>
    <w:rsid w:val="00A43B41"/>
    <w:rsid w:val="00A8041E"/>
    <w:rsid w:val="00AB3B9A"/>
    <w:rsid w:val="00AD4E0D"/>
    <w:rsid w:val="00AF661F"/>
    <w:rsid w:val="00B0255C"/>
    <w:rsid w:val="00B04927"/>
    <w:rsid w:val="00B1061B"/>
    <w:rsid w:val="00B1628F"/>
    <w:rsid w:val="00B27B08"/>
    <w:rsid w:val="00B523BE"/>
    <w:rsid w:val="00B578DA"/>
    <w:rsid w:val="00B60B13"/>
    <w:rsid w:val="00B625BF"/>
    <w:rsid w:val="00B62F65"/>
    <w:rsid w:val="00B671F6"/>
    <w:rsid w:val="00B75B08"/>
    <w:rsid w:val="00B87F35"/>
    <w:rsid w:val="00B90B14"/>
    <w:rsid w:val="00B90DF3"/>
    <w:rsid w:val="00BA1493"/>
    <w:rsid w:val="00BC352D"/>
    <w:rsid w:val="00BC3F90"/>
    <w:rsid w:val="00BC67ED"/>
    <w:rsid w:val="00BD63AE"/>
    <w:rsid w:val="00BE5FD6"/>
    <w:rsid w:val="00C07484"/>
    <w:rsid w:val="00C11AEC"/>
    <w:rsid w:val="00C30FA6"/>
    <w:rsid w:val="00C35D3E"/>
    <w:rsid w:val="00C56C03"/>
    <w:rsid w:val="00C574D2"/>
    <w:rsid w:val="00C93578"/>
    <w:rsid w:val="00CB1932"/>
    <w:rsid w:val="00D155E6"/>
    <w:rsid w:val="00D406A1"/>
    <w:rsid w:val="00D56FC5"/>
    <w:rsid w:val="00D72036"/>
    <w:rsid w:val="00D72F15"/>
    <w:rsid w:val="00DA1B4A"/>
    <w:rsid w:val="00DB062F"/>
    <w:rsid w:val="00DE28F7"/>
    <w:rsid w:val="00DE5213"/>
    <w:rsid w:val="00E053B9"/>
    <w:rsid w:val="00E1332F"/>
    <w:rsid w:val="00E35592"/>
    <w:rsid w:val="00E406E3"/>
    <w:rsid w:val="00E53A0A"/>
    <w:rsid w:val="00E87170"/>
    <w:rsid w:val="00E965EA"/>
    <w:rsid w:val="00EC2B46"/>
    <w:rsid w:val="00EC42DE"/>
    <w:rsid w:val="00ED16B8"/>
    <w:rsid w:val="00F064A3"/>
    <w:rsid w:val="00F13EC9"/>
    <w:rsid w:val="00F16C41"/>
    <w:rsid w:val="00F2599D"/>
    <w:rsid w:val="00F32DA8"/>
    <w:rsid w:val="00F377FA"/>
    <w:rsid w:val="00F767F7"/>
    <w:rsid w:val="00F770FB"/>
    <w:rsid w:val="00F9467D"/>
    <w:rsid w:val="00FA739B"/>
    <w:rsid w:val="00FC5310"/>
    <w:rsid w:val="00FD056D"/>
    <w:rsid w:val="00FE4D47"/>
    <w:rsid w:val="00FE6749"/>
    <w:rsid w:val="02B40E52"/>
    <w:rsid w:val="04967681"/>
    <w:rsid w:val="06B44EDA"/>
    <w:rsid w:val="093A7713"/>
    <w:rsid w:val="0A6F1B02"/>
    <w:rsid w:val="0ADD5CD8"/>
    <w:rsid w:val="0CF11752"/>
    <w:rsid w:val="0E6C1666"/>
    <w:rsid w:val="0ECC74B2"/>
    <w:rsid w:val="0F065E65"/>
    <w:rsid w:val="13357909"/>
    <w:rsid w:val="16573B76"/>
    <w:rsid w:val="176D48A5"/>
    <w:rsid w:val="17B3103B"/>
    <w:rsid w:val="186E1D91"/>
    <w:rsid w:val="1996446A"/>
    <w:rsid w:val="1AA93E0D"/>
    <w:rsid w:val="1B39686C"/>
    <w:rsid w:val="1C1C2095"/>
    <w:rsid w:val="1D024F0A"/>
    <w:rsid w:val="20242960"/>
    <w:rsid w:val="206F41B2"/>
    <w:rsid w:val="20AB4298"/>
    <w:rsid w:val="274D6D00"/>
    <w:rsid w:val="298034BC"/>
    <w:rsid w:val="2B1B342E"/>
    <w:rsid w:val="2BFC7EB7"/>
    <w:rsid w:val="2D0D5466"/>
    <w:rsid w:val="2D5F13D7"/>
    <w:rsid w:val="2E2E7266"/>
    <w:rsid w:val="2F4A3E20"/>
    <w:rsid w:val="3498282B"/>
    <w:rsid w:val="35020CF9"/>
    <w:rsid w:val="35D90368"/>
    <w:rsid w:val="363E2BEC"/>
    <w:rsid w:val="36632457"/>
    <w:rsid w:val="39196089"/>
    <w:rsid w:val="3927259C"/>
    <w:rsid w:val="3C3F529C"/>
    <w:rsid w:val="3C834E15"/>
    <w:rsid w:val="404B3E9C"/>
    <w:rsid w:val="414002C9"/>
    <w:rsid w:val="439E423B"/>
    <w:rsid w:val="43ED2F1A"/>
    <w:rsid w:val="44402E22"/>
    <w:rsid w:val="44965524"/>
    <w:rsid w:val="44BF1FC6"/>
    <w:rsid w:val="44C63868"/>
    <w:rsid w:val="44D31075"/>
    <w:rsid w:val="467B090B"/>
    <w:rsid w:val="488E3D7C"/>
    <w:rsid w:val="49937840"/>
    <w:rsid w:val="4A2D20CD"/>
    <w:rsid w:val="4B657589"/>
    <w:rsid w:val="4E944FB1"/>
    <w:rsid w:val="4F5B4F3C"/>
    <w:rsid w:val="4FCA05E0"/>
    <w:rsid w:val="4FDE49D0"/>
    <w:rsid w:val="5021358F"/>
    <w:rsid w:val="508D019C"/>
    <w:rsid w:val="520B6FE7"/>
    <w:rsid w:val="5429409D"/>
    <w:rsid w:val="555D7BB4"/>
    <w:rsid w:val="558859E4"/>
    <w:rsid w:val="5988504F"/>
    <w:rsid w:val="5A6F0FC1"/>
    <w:rsid w:val="5CA46E9D"/>
    <w:rsid w:val="5CBD251D"/>
    <w:rsid w:val="5D061A49"/>
    <w:rsid w:val="5E195880"/>
    <w:rsid w:val="5EBC386C"/>
    <w:rsid w:val="5FBA20C9"/>
    <w:rsid w:val="5FE1582B"/>
    <w:rsid w:val="60977C95"/>
    <w:rsid w:val="60AD56A8"/>
    <w:rsid w:val="65B337C6"/>
    <w:rsid w:val="688A6BD7"/>
    <w:rsid w:val="68BE6601"/>
    <w:rsid w:val="695B0E91"/>
    <w:rsid w:val="69962D08"/>
    <w:rsid w:val="6BAB3F30"/>
    <w:rsid w:val="6C61519D"/>
    <w:rsid w:val="6D0A5C74"/>
    <w:rsid w:val="6FDE3B35"/>
    <w:rsid w:val="727B7AEB"/>
    <w:rsid w:val="72F21DD2"/>
    <w:rsid w:val="737A6268"/>
    <w:rsid w:val="739D3CF8"/>
    <w:rsid w:val="77D56BD2"/>
    <w:rsid w:val="7884673C"/>
    <w:rsid w:val="788E6DB6"/>
    <w:rsid w:val="78FB12B4"/>
    <w:rsid w:val="795B6A76"/>
    <w:rsid w:val="799139C7"/>
    <w:rsid w:val="79F66CD4"/>
    <w:rsid w:val="7DC47F98"/>
    <w:rsid w:val="7EB42631"/>
    <w:rsid w:val="7EC67DD2"/>
    <w:rsid w:val="7EDB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jc w:val="center"/>
      <w:outlineLvl w:val="0"/>
    </w:pPr>
    <w:rPr>
      <w:b/>
      <w:bCs/>
      <w:kern w:val="44"/>
      <w:sz w:val="32"/>
      <w:szCs w:val="44"/>
    </w:rPr>
  </w:style>
  <w:style w:type="paragraph" w:styleId="3">
    <w:name w:val="heading 2"/>
    <w:basedOn w:val="1"/>
    <w:next w:val="1"/>
    <w:link w:val="29"/>
    <w:autoRedefine/>
    <w:unhideWhenUsed/>
    <w:qFormat/>
    <w:uiPriority w:val="9"/>
    <w:pPr>
      <w:keepNext/>
      <w:keepLines/>
      <w:jc w:val="center"/>
      <w:outlineLvl w:val="1"/>
    </w:pPr>
    <w:rPr>
      <w:rFonts w:asciiTheme="majorHAnsi" w:hAnsiTheme="majorHAnsi" w:eastAsiaTheme="majorEastAsia" w:cstheme="majorBidi"/>
      <w:b/>
      <w:bCs/>
      <w:sz w:val="28"/>
      <w:szCs w:val="32"/>
    </w:rPr>
  </w:style>
  <w:style w:type="paragraph" w:styleId="4">
    <w:name w:val="heading 3"/>
    <w:basedOn w:val="1"/>
    <w:next w:val="1"/>
    <w:link w:val="30"/>
    <w:autoRedefine/>
    <w:unhideWhenUsed/>
    <w:qFormat/>
    <w:uiPriority w:val="9"/>
    <w:pPr>
      <w:keepNext/>
      <w:keepLines/>
      <w:jc w:val="center"/>
      <w:outlineLvl w:val="2"/>
    </w:pPr>
    <w:rPr>
      <w:b/>
      <w:bCs/>
      <w:sz w:val="30"/>
      <w:szCs w:val="32"/>
    </w:rPr>
  </w:style>
  <w:style w:type="paragraph" w:styleId="5">
    <w:name w:val="heading 4"/>
    <w:basedOn w:val="1"/>
    <w:next w:val="1"/>
    <w:unhideWhenUsed/>
    <w:qFormat/>
    <w:uiPriority w:val="9"/>
    <w:pPr>
      <w:keepNext/>
      <w:keepLines/>
      <w:numPr>
        <w:ilvl w:val="3"/>
        <w:numId w:val="1"/>
      </w:numPr>
      <w:spacing w:before="280" w:after="290" w:line="376" w:lineRule="auto"/>
      <w:outlineLvl w:val="3"/>
    </w:pPr>
    <w:rPr>
      <w:rFonts w:asciiTheme="majorHAnsi" w:hAnsiTheme="majorHAnsi"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unhideWhenUsed/>
    <w:qFormat/>
    <w:uiPriority w:val="9"/>
    <w:pPr>
      <w:keepNext/>
      <w:keepLines/>
      <w:numPr>
        <w:ilvl w:val="5"/>
        <w:numId w:val="1"/>
      </w:numPr>
      <w:spacing w:before="240" w:after="64" w:line="320" w:lineRule="auto"/>
      <w:outlineLvl w:val="5"/>
    </w:pPr>
    <w:rPr>
      <w:rFonts w:asciiTheme="majorHAnsi" w:hAnsiTheme="majorHAnsi" w:cstheme="majorBidi"/>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autoRedefine/>
    <w:qFormat/>
    <w:uiPriority w:val="0"/>
    <w:pPr>
      <w:ind w:firstLine="420" w:firstLineChars="200"/>
    </w:pPr>
    <w:rPr>
      <w:szCs w:val="20"/>
    </w:rPr>
  </w:style>
  <w:style w:type="paragraph" w:styleId="9">
    <w:name w:val="caption"/>
    <w:basedOn w:val="1"/>
    <w:next w:val="1"/>
    <w:qFormat/>
    <w:uiPriority w:val="0"/>
    <w:rPr>
      <w:rFonts w:ascii="Cambria" w:hAnsi="Cambria" w:eastAsia="黑体"/>
      <w:sz w:val="20"/>
      <w:szCs w:val="20"/>
    </w:rPr>
  </w:style>
  <w:style w:type="paragraph" w:styleId="10">
    <w:name w:val="annotation text"/>
    <w:basedOn w:val="1"/>
    <w:link w:val="31"/>
    <w:autoRedefine/>
    <w:semiHidden/>
    <w:unhideWhenUsed/>
    <w:qFormat/>
    <w:uiPriority w:val="99"/>
    <w:pPr>
      <w:jc w:val="left"/>
    </w:pPr>
  </w:style>
  <w:style w:type="paragraph" w:styleId="11">
    <w:name w:val="Body Text"/>
    <w:basedOn w:val="1"/>
    <w:qFormat/>
    <w:uiPriority w:val="1"/>
    <w:rPr>
      <w:szCs w:val="21"/>
    </w:rPr>
  </w:style>
  <w:style w:type="paragraph" w:styleId="12">
    <w:name w:val="Body Text Indent"/>
    <w:basedOn w:val="1"/>
    <w:next w:val="8"/>
    <w:link w:val="37"/>
    <w:qFormat/>
    <w:uiPriority w:val="0"/>
    <w:pPr>
      <w:ind w:firstLine="600"/>
    </w:pPr>
    <w:rPr>
      <w:rFonts w:ascii="楷体_GB2312" w:hAnsi="Times New Roman" w:eastAsia="楷体_GB2312" w:cs="Times New Roman"/>
      <w:sz w:val="30"/>
      <w:szCs w:val="20"/>
    </w:rPr>
  </w:style>
  <w:style w:type="paragraph" w:styleId="13">
    <w:name w:val="Date"/>
    <w:basedOn w:val="1"/>
    <w:next w:val="1"/>
    <w:qFormat/>
    <w:uiPriority w:val="0"/>
    <w:rPr>
      <w:sz w:val="24"/>
      <w:szCs w:val="20"/>
    </w:rPr>
  </w:style>
  <w:style w:type="paragraph" w:styleId="14">
    <w:name w:val="Balloon Text"/>
    <w:basedOn w:val="1"/>
    <w:link w:val="33"/>
    <w:autoRedefine/>
    <w:semiHidden/>
    <w:unhideWhenUsed/>
    <w:qFormat/>
    <w:uiPriority w:val="99"/>
    <w:rPr>
      <w:sz w:val="18"/>
      <w:szCs w:val="18"/>
    </w:rPr>
  </w:style>
  <w:style w:type="paragraph" w:styleId="15">
    <w:name w:val="footer"/>
    <w:basedOn w:val="1"/>
    <w:link w:val="27"/>
    <w:autoRedefine/>
    <w:unhideWhenUsed/>
    <w:qFormat/>
    <w:uiPriority w:val="99"/>
    <w:pPr>
      <w:tabs>
        <w:tab w:val="center" w:pos="4153"/>
        <w:tab w:val="right" w:pos="8306"/>
      </w:tabs>
      <w:snapToGrid w:val="0"/>
      <w:jc w:val="left"/>
    </w:pPr>
    <w:rPr>
      <w:sz w:val="18"/>
      <w:szCs w:val="18"/>
    </w:rPr>
  </w:style>
  <w:style w:type="paragraph" w:styleId="16">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9736"/>
      </w:tabs>
      <w:jc w:val="center"/>
    </w:pPr>
    <w:rPr>
      <w:rFonts w:ascii="宋体" w:hAnsi="宋体" w:eastAsia="宋体" w:cs="宋体"/>
      <w:b/>
      <w:kern w:val="44"/>
      <w:sz w:val="40"/>
      <w:szCs w:val="24"/>
    </w:rPr>
  </w:style>
  <w:style w:type="paragraph" w:styleId="18">
    <w:name w:val="Normal (Web)"/>
    <w:basedOn w:val="1"/>
    <w:autoRedefine/>
    <w:unhideWhenUsed/>
    <w:qFormat/>
    <w:uiPriority w:val="99"/>
    <w:pPr>
      <w:widowControl/>
      <w:spacing w:before="100" w:beforeAutospacing="1" w:after="100" w:afterAutospacing="1"/>
    </w:pPr>
    <w:rPr>
      <w:rFonts w:ascii="宋体" w:hAnsi="宋体" w:eastAsia="宋体" w:cs="宋体"/>
      <w:sz w:val="24"/>
      <w:szCs w:val="24"/>
    </w:rPr>
  </w:style>
  <w:style w:type="paragraph" w:styleId="19">
    <w:name w:val="annotation subject"/>
    <w:basedOn w:val="10"/>
    <w:next w:val="10"/>
    <w:link w:val="32"/>
    <w:autoRedefine/>
    <w:semiHidden/>
    <w:unhideWhenUsed/>
    <w:qFormat/>
    <w:uiPriority w:val="99"/>
    <w:rPr>
      <w:b/>
      <w:bCs/>
    </w:rPr>
  </w:style>
  <w:style w:type="paragraph" w:styleId="20">
    <w:name w:val="Body Text First Indent 2"/>
    <w:basedOn w:val="12"/>
    <w:next w:val="1"/>
    <w:unhideWhenUsed/>
    <w:qFormat/>
    <w:uiPriority w:val="99"/>
    <w:pPr>
      <w:spacing w:after="120"/>
      <w:ind w:left="420" w:leftChars="200" w:firstLine="200" w:firstLineChars="200"/>
    </w:pPr>
    <w:rPr>
      <w:rFonts w:ascii="Times New Roman"/>
      <w:sz w:val="21"/>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unhideWhenUsed/>
    <w:qFormat/>
    <w:uiPriority w:val="99"/>
    <w:rPr>
      <w:color w:val="0563C1" w:themeColor="hyperlink"/>
      <w:u w:val="single"/>
      <w14:textFill>
        <w14:solidFill>
          <w14:schemeClr w14:val="hlink"/>
        </w14:solidFill>
      </w14:textFill>
    </w:rPr>
  </w:style>
  <w:style w:type="character" w:styleId="25">
    <w:name w:val="annotation reference"/>
    <w:basedOn w:val="23"/>
    <w:autoRedefine/>
    <w:semiHidden/>
    <w:unhideWhenUsed/>
    <w:qFormat/>
    <w:uiPriority w:val="99"/>
    <w:rPr>
      <w:sz w:val="21"/>
      <w:szCs w:val="21"/>
    </w:rPr>
  </w:style>
  <w:style w:type="character" w:customStyle="1" w:styleId="26">
    <w:name w:val="页眉 字符"/>
    <w:basedOn w:val="23"/>
    <w:link w:val="16"/>
    <w:autoRedefine/>
    <w:qFormat/>
    <w:uiPriority w:val="99"/>
    <w:rPr>
      <w:sz w:val="18"/>
      <w:szCs w:val="18"/>
    </w:rPr>
  </w:style>
  <w:style w:type="character" w:customStyle="1" w:styleId="27">
    <w:name w:val="页脚 字符"/>
    <w:basedOn w:val="23"/>
    <w:link w:val="15"/>
    <w:autoRedefine/>
    <w:qFormat/>
    <w:uiPriority w:val="99"/>
    <w:rPr>
      <w:sz w:val="18"/>
      <w:szCs w:val="18"/>
    </w:rPr>
  </w:style>
  <w:style w:type="character" w:customStyle="1" w:styleId="28">
    <w:name w:val="标题 1 字符"/>
    <w:basedOn w:val="23"/>
    <w:link w:val="2"/>
    <w:autoRedefine/>
    <w:qFormat/>
    <w:uiPriority w:val="9"/>
    <w:rPr>
      <w:b/>
      <w:bCs/>
      <w:kern w:val="44"/>
      <w:sz w:val="32"/>
      <w:szCs w:val="44"/>
    </w:rPr>
  </w:style>
  <w:style w:type="character" w:customStyle="1" w:styleId="29">
    <w:name w:val="标题 2 字符"/>
    <w:basedOn w:val="23"/>
    <w:link w:val="3"/>
    <w:autoRedefine/>
    <w:qFormat/>
    <w:uiPriority w:val="9"/>
    <w:rPr>
      <w:rFonts w:asciiTheme="majorHAnsi" w:hAnsiTheme="majorHAnsi" w:eastAsiaTheme="majorEastAsia" w:cstheme="majorBidi"/>
      <w:b/>
      <w:bCs/>
      <w:sz w:val="28"/>
      <w:szCs w:val="32"/>
    </w:rPr>
  </w:style>
  <w:style w:type="character" w:customStyle="1" w:styleId="30">
    <w:name w:val="标题 3 字符"/>
    <w:basedOn w:val="23"/>
    <w:link w:val="4"/>
    <w:autoRedefine/>
    <w:qFormat/>
    <w:uiPriority w:val="9"/>
    <w:rPr>
      <w:b/>
      <w:bCs/>
      <w:sz w:val="30"/>
      <w:szCs w:val="32"/>
    </w:rPr>
  </w:style>
  <w:style w:type="character" w:customStyle="1" w:styleId="31">
    <w:name w:val="批注文字 字符"/>
    <w:basedOn w:val="23"/>
    <w:link w:val="10"/>
    <w:autoRedefine/>
    <w:semiHidden/>
    <w:qFormat/>
    <w:uiPriority w:val="99"/>
  </w:style>
  <w:style w:type="character" w:customStyle="1" w:styleId="32">
    <w:name w:val="批注主题 字符"/>
    <w:basedOn w:val="31"/>
    <w:link w:val="19"/>
    <w:autoRedefine/>
    <w:semiHidden/>
    <w:qFormat/>
    <w:uiPriority w:val="99"/>
    <w:rPr>
      <w:b/>
      <w:bCs/>
    </w:rPr>
  </w:style>
  <w:style w:type="character" w:customStyle="1" w:styleId="33">
    <w:name w:val="批注框文本 字符"/>
    <w:basedOn w:val="23"/>
    <w:link w:val="14"/>
    <w:autoRedefine/>
    <w:semiHidden/>
    <w:qFormat/>
    <w:uiPriority w:val="99"/>
    <w:rPr>
      <w:sz w:val="18"/>
      <w:szCs w:val="18"/>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35">
    <w:name w:val="List Paragraph"/>
    <w:basedOn w:val="1"/>
    <w:link w:val="38"/>
    <w:autoRedefine/>
    <w:qFormat/>
    <w:uiPriority w:val="34"/>
    <w:pPr>
      <w:ind w:firstLine="420" w:firstLineChars="200"/>
    </w:pPr>
  </w:style>
  <w:style w:type="paragraph" w:styleId="36">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37">
    <w:name w:val="正文文本缩进 字符"/>
    <w:basedOn w:val="23"/>
    <w:link w:val="12"/>
    <w:autoRedefine/>
    <w:qFormat/>
    <w:uiPriority w:val="0"/>
    <w:rPr>
      <w:rFonts w:ascii="楷体_GB2312" w:hAnsi="Times New Roman" w:eastAsia="楷体_GB2312" w:cs="Times New Roman"/>
      <w:sz w:val="30"/>
      <w:szCs w:val="20"/>
    </w:rPr>
  </w:style>
  <w:style w:type="character" w:customStyle="1" w:styleId="38">
    <w:name w:val="列出段落 字符"/>
    <w:link w:val="35"/>
    <w:autoRedefine/>
    <w:qFormat/>
    <w:uiPriority w:val="34"/>
  </w:style>
  <w:style w:type="paragraph" w:customStyle="1" w:styleId="39">
    <w:name w:val="样式1"/>
    <w:basedOn w:val="1"/>
    <w:autoRedefine/>
    <w:qFormat/>
    <w:uiPriority w:val="0"/>
    <w:pPr>
      <w:numPr>
        <w:ilvl w:val="0"/>
        <w:numId w:val="2"/>
      </w:numPr>
      <w:tabs>
        <w:tab w:val="left" w:pos="709"/>
      </w:tabs>
      <w:adjustRightInd w:val="0"/>
      <w:textAlignment w:val="baseline"/>
    </w:pPr>
    <w:rPr>
      <w:rFonts w:ascii="宋体" w:hAnsi="宋体" w:eastAsia="等线" w:cs="Arial"/>
      <w:kern w:val="0"/>
      <w:sz w:val="20"/>
      <w:szCs w:val="21"/>
    </w:rPr>
  </w:style>
  <w:style w:type="paragraph" w:customStyle="1" w:styleId="40">
    <w:name w:val="@表格表头"/>
    <w:qFormat/>
    <w:uiPriority w:val="0"/>
    <w:pPr>
      <w:jc w:val="center"/>
    </w:pPr>
    <w:rPr>
      <w:rFonts w:eastAsia="仿宋" w:cs="宋体" w:asciiTheme="minorEastAsia" w:hAnsiTheme="minorEastAsia"/>
      <w:b/>
      <w:sz w:val="21"/>
      <w:szCs w:val="24"/>
      <w:lang w:val="en-US" w:eastAsia="zh-CN" w:bidi="ar-SA"/>
      <w14:ligatures w14:val="standardContextual"/>
    </w:rPr>
  </w:style>
  <w:style w:type="paragraph" w:customStyle="1" w:styleId="41">
    <w:name w:val="@表格正文"/>
    <w:basedOn w:val="1"/>
    <w:qFormat/>
    <w:uiPriority w:val="0"/>
    <w:pPr>
      <w:widowControl/>
      <w:jc w:val="left"/>
    </w:pPr>
    <w:rPr>
      <w:rFonts w:ascii="仿宋" w:hAnsi="仿宋" w:eastAsia="仿宋" w:cs="宋体"/>
      <w:kern w:val="0"/>
      <w:szCs w:val="24"/>
    </w:rPr>
  </w:style>
  <w:style w:type="paragraph" w:customStyle="1" w:styleId="42">
    <w:name w:val="@正文段落"/>
    <w:next w:val="1"/>
    <w:qFormat/>
    <w:uiPriority w:val="0"/>
    <w:pPr>
      <w:ind w:firstLine="200" w:firstLineChars="200"/>
      <w:jc w:val="both"/>
    </w:pPr>
    <w:rPr>
      <w:rFonts w:ascii="宋体" w:hAnsi="宋体" w:eastAsia="宋体" w:cstheme="minorBidi"/>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00AC2-C705-4F52-AFF4-143F84EC9434}">
  <ds:schemaRefs/>
</ds:datastoreItem>
</file>

<file path=docProps/app.xml><?xml version="1.0" encoding="utf-8"?>
<Properties xmlns="http://schemas.openxmlformats.org/officeDocument/2006/extended-properties" xmlns:vt="http://schemas.openxmlformats.org/officeDocument/2006/docPropsVTypes">
  <Template>Normal</Template>
  <Pages>86</Pages>
  <Words>2341</Words>
  <Characters>2663</Characters>
  <Lines>370</Lines>
  <Paragraphs>104</Paragraphs>
  <TotalTime>1</TotalTime>
  <ScaleCrop>false</ScaleCrop>
  <LinksUpToDate>false</LinksUpToDate>
  <CharactersWithSpaces>2753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2024-11-10T04:06:00Z</dcterms:created>
  <dc:creator>DELL</dc:creator>
  <cp:lastModifiedBy>Administrator</cp:lastModifiedBy>
  <cp:lastPrinted>2025-07-15T02:27:11Z</cp:lastPrinted>
  <dcterms:modified xsi:type="dcterms:W3CDTF">2025-07-15T03:56:29Z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BF66FDD7A28348BB91AE18C2B39EC073_13</vt:lpwstr>
  </property>
  <property fmtid="{D5CDD505-2E9C-101B-9397-08002B2CF9AE}" pid="4" name="KSOTemplateDocerSaveRecord">
    <vt:lpwstr>eyJoZGlkIjoiYjFhYmRmZjkwYTg1NzBjMzIwMzk1MWYwZWE0NGYyOGEiLCJ1c2VySWQiOiIxMjEwNTgwMTU5In0=</vt:lpwstr>
  </property>
</Properties>
</file>