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tabs>
          <w:tab w:val="left" w:pos="0"/>
          <w:tab w:val="left" w:pos="3165"/>
          <w:tab w:val="center" w:pos="4153"/>
        </w:tabs>
        <w:kinsoku/>
        <w:wordWrap/>
        <w:overflowPunct/>
        <w:topLinePunct w:val="0"/>
        <w:autoSpaceDE w:val="0"/>
        <w:autoSpaceDN w:val="0"/>
        <w:bidi w:val="0"/>
        <w:adjustRightInd w:val="0"/>
        <w:snapToGrid/>
        <w:spacing w:before="0" w:after="0" w:line="600" w:lineRule="exact"/>
        <w:ind w:left="2650" w:hanging="1928" w:hangingChars="600"/>
        <w:jc w:val="center"/>
        <w:textAlignment w:val="auto"/>
        <w:rPr>
          <w:rFonts w:hint="eastAsia" w:ascii="华文中宋" w:hAnsi="华文中宋" w:eastAsia="华文中宋"/>
          <w:sz w:val="32"/>
          <w:szCs w:val="32"/>
        </w:rPr>
      </w:pPr>
      <w:bookmarkStart w:id="0" w:name="_Toc28359001"/>
      <w:bookmarkStart w:id="1" w:name="_Toc35393789"/>
      <w:r>
        <w:rPr>
          <w:rFonts w:hint="eastAsia" w:ascii="华文中宋" w:hAnsi="华文中宋" w:eastAsia="华文中宋"/>
          <w:sz w:val="32"/>
          <w:szCs w:val="32"/>
        </w:rPr>
        <w:t>吉木乃县冰川牛产业发展饲草料补助项目</w:t>
      </w:r>
    </w:p>
    <w:p>
      <w:pPr>
        <w:pStyle w:val="5"/>
        <w:pageBreakBefore w:val="0"/>
        <w:tabs>
          <w:tab w:val="left" w:pos="0"/>
          <w:tab w:val="left" w:pos="3165"/>
          <w:tab w:val="center" w:pos="4153"/>
        </w:tabs>
        <w:kinsoku/>
        <w:wordWrap/>
        <w:overflowPunct/>
        <w:topLinePunct w:val="0"/>
        <w:autoSpaceDE w:val="0"/>
        <w:autoSpaceDN w:val="0"/>
        <w:bidi w:val="0"/>
        <w:adjustRightInd w:val="0"/>
        <w:snapToGrid/>
        <w:spacing w:before="0" w:after="0" w:line="600" w:lineRule="exact"/>
        <w:ind w:left="2650" w:hanging="1928" w:hangingChars="600"/>
        <w:jc w:val="center"/>
        <w:textAlignment w:val="auto"/>
        <w:rPr>
          <w:rFonts w:ascii="华文中宋" w:hAnsi="华文中宋" w:eastAsia="华文中宋"/>
          <w:sz w:val="32"/>
          <w:szCs w:val="32"/>
        </w:rPr>
      </w:pPr>
      <w:r>
        <w:rPr>
          <w:rFonts w:hint="eastAsia" w:ascii="华文中宋" w:hAnsi="华文中宋" w:eastAsia="华文中宋"/>
          <w:sz w:val="32"/>
          <w:szCs w:val="32"/>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600" w:lineRule="exact"/>
        <w:ind w:firstLine="560" w:firstLineChars="200"/>
        <w:textAlignment w:val="auto"/>
        <w:rPr>
          <w:sz w:val="28"/>
          <w:szCs w:val="28"/>
        </w:rPr>
      </w:pPr>
      <w:r>
        <w:rPr>
          <w:rFonts w:hint="eastAsia" w:ascii="仿宋" w:hAnsi="仿宋" w:eastAsia="仿宋"/>
          <w:sz w:val="28"/>
          <w:szCs w:val="28"/>
          <w:u w:val="single"/>
        </w:rPr>
        <w:t xml:space="preserve"> (吉木乃县冰川牛产业发展饲草料补助项目</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w:t>
      </w:r>
      <w:r>
        <w:rPr>
          <w:rFonts w:hint="eastAsia" w:ascii="仿宋" w:hAnsi="仿宋" w:eastAsia="仿宋"/>
          <w:i/>
          <w:sz w:val="28"/>
          <w:szCs w:val="28"/>
          <w:u w:val="single"/>
          <w:lang w:val="en-US" w:eastAsia="zh-CN"/>
        </w:rPr>
        <w:t>阿勒泰市南区万驰广场七楼</w:t>
      </w:r>
      <w:r>
        <w:rPr>
          <w:rFonts w:hint="eastAsia" w:ascii="仿宋" w:hAnsi="仿宋" w:eastAsia="仿宋"/>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6"/>
        <w:pageBreakBefore w:val="0"/>
        <w:numPr>
          <w:ilvl w:val="0"/>
          <w:numId w:val="0"/>
        </w:numPr>
        <w:kinsoku/>
        <w:wordWrap/>
        <w:overflowPunct/>
        <w:topLinePunct w:val="0"/>
        <w:bidi w:val="0"/>
        <w:snapToGrid/>
        <w:spacing w:line="600" w:lineRule="exact"/>
        <w:ind w:leftChars="0"/>
        <w:textAlignment w:val="auto"/>
        <w:rPr>
          <w:rFonts w:ascii="黑体" w:hAnsi="黑体" w:cs="宋体"/>
          <w:b w:val="0"/>
          <w:sz w:val="28"/>
          <w:szCs w:val="28"/>
        </w:rPr>
      </w:pPr>
      <w:bookmarkStart w:id="2" w:name="_Toc35393790"/>
      <w:bookmarkStart w:id="3" w:name="_Toc28359002"/>
      <w:bookmarkStart w:id="4" w:name="_Toc28359079"/>
      <w:bookmarkStart w:id="5" w:name="_Toc35393621"/>
      <w:bookmarkStart w:id="6" w:name="_Hlk24379207"/>
      <w:r>
        <w:rPr>
          <w:rFonts w:hint="eastAsia" w:ascii="黑体" w:hAnsi="黑体" w:cs="宋体"/>
          <w:b w:val="0"/>
          <w:sz w:val="28"/>
          <w:szCs w:val="28"/>
        </w:rPr>
        <w:t>一、项目基本情况</w:t>
      </w:r>
      <w:bookmarkEnd w:id="2"/>
      <w:bookmarkEnd w:id="3"/>
      <w:bookmarkEnd w:id="4"/>
      <w:bookmarkEnd w:id="5"/>
    </w:p>
    <w:p>
      <w:pPr>
        <w:pageBreakBefore w:val="0"/>
        <w:kinsoku/>
        <w:wordWrap/>
        <w:overflowPunct/>
        <w:topLinePunct w:val="0"/>
        <w:bidi w:val="0"/>
        <w:snapToGrid/>
        <w:spacing w:line="6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项目编号：ZFCGHY202</w:t>
      </w:r>
      <w:r>
        <w:rPr>
          <w:rFonts w:hint="eastAsia" w:ascii="仿宋" w:hAnsi="仿宋" w:eastAsia="仿宋"/>
          <w:sz w:val="28"/>
          <w:szCs w:val="28"/>
          <w:lang w:val="en-US" w:eastAsia="zh-CN"/>
        </w:rPr>
        <w:t>2003</w:t>
      </w:r>
    </w:p>
    <w:p>
      <w:pPr>
        <w:pageBreakBefore w:val="0"/>
        <w:kinsoku/>
        <w:wordWrap/>
        <w:overflowPunct/>
        <w:topLinePunct w:val="0"/>
        <w:bidi w:val="0"/>
        <w:snapToGrid/>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项目名称：</w:t>
      </w:r>
      <w:bookmarkEnd w:id="6"/>
      <w:r>
        <w:rPr>
          <w:rFonts w:hint="eastAsia" w:ascii="仿宋" w:hAnsi="仿宋" w:eastAsia="仿宋"/>
          <w:sz w:val="28"/>
          <w:szCs w:val="28"/>
        </w:rPr>
        <w:t>吉木乃县冰川牛产业发展饲草料补助项目</w:t>
      </w:r>
    </w:p>
    <w:p>
      <w:pPr>
        <w:pageBreakBefore w:val="0"/>
        <w:kinsoku/>
        <w:wordWrap/>
        <w:overflowPunct/>
        <w:topLinePunct w:val="0"/>
        <w:bidi w:val="0"/>
        <w:snapToGrid/>
        <w:spacing w:line="6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640万元</w:t>
      </w:r>
    </w:p>
    <w:p>
      <w:pPr>
        <w:pageBreakBefore w:val="0"/>
        <w:kinsoku/>
        <w:wordWrap/>
        <w:overflowPunct/>
        <w:topLinePunct w:val="0"/>
        <w:bidi w:val="0"/>
        <w:snapToGrid/>
        <w:spacing w:line="6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640万元</w:t>
      </w:r>
    </w:p>
    <w:p>
      <w:pPr>
        <w:pageBreakBefore w:val="0"/>
        <w:kinsoku/>
        <w:wordWrap/>
        <w:overflowPunct/>
        <w:topLinePunct w:val="0"/>
        <w:bidi w:val="0"/>
        <w:snapToGrid/>
        <w:spacing w:line="600" w:lineRule="exact"/>
        <w:ind w:firstLine="560" w:firstLineChars="200"/>
        <w:textAlignment w:val="auto"/>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采购青贮玉米和颗粒饲料。（具体参数及详细内容详见招标文件）</w:t>
      </w:r>
    </w:p>
    <w:p>
      <w:pPr>
        <w:pageBreakBefore w:val="0"/>
        <w:kinsoku/>
        <w:wordWrap/>
        <w:overflowPunct/>
        <w:topLinePunct w:val="0"/>
        <w:bidi w:val="0"/>
        <w:snapToGrid/>
        <w:spacing w:line="600" w:lineRule="exact"/>
        <w:ind w:firstLine="560" w:firstLineChars="200"/>
        <w:textAlignment w:val="auto"/>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详见招标文件</w:t>
      </w:r>
    </w:p>
    <w:p>
      <w:pPr>
        <w:pageBreakBefore w:val="0"/>
        <w:kinsoku/>
        <w:wordWrap/>
        <w:overflowPunct/>
        <w:topLinePunct w:val="0"/>
        <w:bidi w:val="0"/>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6"/>
        <w:pageBreakBefore w:val="0"/>
        <w:numPr>
          <w:ilvl w:val="0"/>
          <w:numId w:val="0"/>
        </w:numPr>
        <w:kinsoku/>
        <w:wordWrap/>
        <w:overflowPunct/>
        <w:topLinePunct w:val="0"/>
        <w:bidi w:val="0"/>
        <w:snapToGrid/>
        <w:spacing w:line="600" w:lineRule="exact"/>
        <w:ind w:leftChars="0"/>
        <w:textAlignment w:val="auto"/>
        <w:rPr>
          <w:rFonts w:ascii="黑体" w:hAnsi="黑体" w:cs="宋体"/>
          <w:b w:val="0"/>
          <w:sz w:val="28"/>
          <w:szCs w:val="28"/>
        </w:rPr>
      </w:pPr>
      <w:bookmarkStart w:id="7" w:name="_Toc28359003"/>
      <w:bookmarkStart w:id="8" w:name="_Toc35393791"/>
      <w:bookmarkStart w:id="9" w:name="_Toc35393622"/>
      <w:bookmarkStart w:id="10" w:name="_Toc28359080"/>
      <w:r>
        <w:rPr>
          <w:rFonts w:hint="eastAsia" w:ascii="黑体" w:hAnsi="黑体" w:cs="宋体"/>
          <w:b w:val="0"/>
          <w:sz w:val="28"/>
          <w:szCs w:val="28"/>
        </w:rPr>
        <w:t>二、申请人的资格要求：</w:t>
      </w:r>
      <w:bookmarkEnd w:id="7"/>
      <w:bookmarkEnd w:id="8"/>
      <w:bookmarkEnd w:id="9"/>
      <w:bookmarkEnd w:id="10"/>
    </w:p>
    <w:p>
      <w:pPr>
        <w:pageBreakBefore w:val="0"/>
        <w:kinsoku/>
        <w:wordWrap/>
        <w:overflowPunct/>
        <w:topLinePunct w:val="0"/>
        <w:bidi w:val="0"/>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bidi w:val="0"/>
        <w:snapToGrid/>
        <w:spacing w:line="600" w:lineRule="exact"/>
        <w:ind w:firstLine="560" w:firstLineChars="200"/>
        <w:textAlignment w:val="auto"/>
        <w:rPr>
          <w:rFonts w:hint="eastAsia" w:ascii="仿宋" w:hAnsi="仿宋" w:eastAsia="仿宋"/>
          <w:sz w:val="28"/>
          <w:szCs w:val="28"/>
        </w:rPr>
      </w:pPr>
      <w:bookmarkStart w:id="11" w:name="_Toc28359004"/>
      <w:bookmarkStart w:id="12" w:name="_Toc28359081"/>
      <w:r>
        <w:rPr>
          <w:rFonts w:ascii="仿宋" w:hAnsi="仿宋" w:eastAsia="仿宋"/>
          <w:sz w:val="28"/>
          <w:szCs w:val="28"/>
        </w:rPr>
        <w:t>2</w:t>
      </w:r>
      <w:r>
        <w:rPr>
          <w:rFonts w:hint="eastAsia" w:ascii="仿宋" w:hAnsi="仿宋" w:eastAsia="仿宋"/>
          <w:sz w:val="28"/>
          <w:szCs w:val="28"/>
        </w:rPr>
        <w:t>.落实政府采购政策需满足的资格要求：符合1、《财政部国家发展改革委关于印发〈节能产品政府采购实施意见〉的通知》(财库〔2004〕185号);2、《财政部环保总局关于环境标志产品政府采购实施的意见》(财库〔2006〕90号)；3、《政府采购促进中小企业发展管理办法》(财库〔2020〕46号)；4、《关于促进残疾人就业政府采购政策的通知》(财库〔2017〕141号)；5、《关于政府采购支持监狱企业发展有关问题的通知》(财库〔2014〕68号)》等政府采购政策条件的，按规定给予评审优惠。</w:t>
      </w:r>
    </w:p>
    <w:p>
      <w:pPr>
        <w:pageBreakBefore w:val="0"/>
        <w:kinsoku/>
        <w:wordWrap/>
        <w:overflowPunct/>
        <w:topLinePunct w:val="0"/>
        <w:bidi w:val="0"/>
        <w:snapToGrid/>
        <w:spacing w:line="600" w:lineRule="exact"/>
        <w:ind w:firstLine="560" w:firstLineChars="200"/>
        <w:textAlignment w:val="auto"/>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1）、具有独立法人资格和有效企业的营业执照；（2）、投标企业在“信用中国”（www.creditchina.gov.cn）和中国政府采购网（www.ccgp.gov.cn）网站上未被列入失信被执行人、重大税收违法案件当事人名单以及政府采购严重违法失信行为记录名单、近三年企业、法定代表人无行贿犯罪记录的查询结果证明（中国裁判文书网截图）；（3）、单位负责人为同一人或者存在直接控股、管理关系的不同供应商，不得参加同一合同项下的政府采购活动。</w:t>
      </w:r>
    </w:p>
    <w:p>
      <w:pPr>
        <w:pStyle w:val="6"/>
        <w:pageBreakBefore w:val="0"/>
        <w:numPr>
          <w:ilvl w:val="0"/>
          <w:numId w:val="0"/>
        </w:numPr>
        <w:kinsoku/>
        <w:wordWrap/>
        <w:overflowPunct/>
        <w:topLinePunct w:val="0"/>
        <w:bidi w:val="0"/>
        <w:snapToGrid/>
        <w:spacing w:line="600" w:lineRule="exact"/>
        <w:ind w:left="210" w:leftChars="0"/>
        <w:textAlignment w:val="auto"/>
        <w:rPr>
          <w:rFonts w:ascii="黑体" w:hAnsi="黑体" w:cs="宋体"/>
          <w:b w:val="0"/>
          <w:sz w:val="28"/>
          <w:szCs w:val="28"/>
        </w:rPr>
      </w:pPr>
      <w:bookmarkStart w:id="13" w:name="_Toc35393792"/>
      <w:bookmarkStart w:id="14" w:name="_Toc35393623"/>
      <w:r>
        <w:rPr>
          <w:rFonts w:hint="eastAsia" w:ascii="黑体" w:hAnsi="黑体" w:cs="宋体"/>
          <w:b w:val="0"/>
          <w:sz w:val="28"/>
          <w:szCs w:val="28"/>
        </w:rPr>
        <w:t>三、获取招标文件</w:t>
      </w:r>
      <w:bookmarkEnd w:id="11"/>
      <w:bookmarkEnd w:id="12"/>
      <w:bookmarkEnd w:id="13"/>
      <w:bookmarkEnd w:id="14"/>
    </w:p>
    <w:p>
      <w:pPr>
        <w:pageBreakBefore w:val="0"/>
        <w:kinsoku/>
        <w:wordWrap/>
        <w:overflowPunct/>
        <w:topLinePunct w:val="0"/>
        <w:bidi w:val="0"/>
        <w:snapToGrid/>
        <w:spacing w:line="60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2022</w:t>
      </w:r>
      <w:r>
        <w:rPr>
          <w:rFonts w:ascii="仿宋" w:hAnsi="仿宋" w:eastAsia="仿宋" w:cs="宋体"/>
          <w:sz w:val="28"/>
          <w:szCs w:val="28"/>
          <w:u w:val="single"/>
        </w:rPr>
        <w:t xml:space="preserve"> </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25</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pageBreakBefore w:val="0"/>
        <w:kinsoku/>
        <w:wordWrap/>
        <w:overflowPunct/>
        <w:topLinePunct w:val="0"/>
        <w:bidi w:val="0"/>
        <w:snapToGrid/>
        <w:spacing w:line="60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eastAsia="zh-CN"/>
        </w:rPr>
        <w:t>新疆恒跃工程项目管理有限公司（</w:t>
      </w:r>
      <w:r>
        <w:rPr>
          <w:rFonts w:hint="eastAsia" w:ascii="仿宋" w:hAnsi="仿宋" w:eastAsia="仿宋" w:cs="宋体"/>
          <w:sz w:val="28"/>
          <w:szCs w:val="28"/>
        </w:rPr>
        <w:t>阿勒泰市</w:t>
      </w:r>
      <w:r>
        <w:rPr>
          <w:rFonts w:hint="eastAsia" w:ascii="仿宋" w:hAnsi="仿宋" w:eastAsia="仿宋" w:cs="宋体"/>
          <w:sz w:val="28"/>
          <w:szCs w:val="28"/>
          <w:lang w:eastAsia="zh-CN"/>
        </w:rPr>
        <w:t>南区万驰广场七楼）</w:t>
      </w:r>
    </w:p>
    <w:p>
      <w:pPr>
        <w:pageBreakBefore w:val="0"/>
        <w:kinsoku/>
        <w:wordWrap/>
        <w:overflowPunct/>
        <w:topLinePunct w:val="0"/>
        <w:bidi w:val="0"/>
        <w:snapToGrid/>
        <w:spacing w:line="600" w:lineRule="exact"/>
        <w:ind w:firstLine="540"/>
        <w:textAlignment w:val="auto"/>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报名成功后获取</w:t>
      </w:r>
    </w:p>
    <w:p>
      <w:pPr>
        <w:pageBreakBefore w:val="0"/>
        <w:kinsoku/>
        <w:wordWrap/>
        <w:overflowPunct/>
        <w:topLinePunct w:val="0"/>
        <w:bidi w:val="0"/>
        <w:snapToGrid/>
        <w:spacing w:line="600" w:lineRule="exact"/>
        <w:ind w:firstLine="540"/>
        <w:textAlignment w:val="auto"/>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300</w:t>
      </w:r>
    </w:p>
    <w:p>
      <w:pPr>
        <w:pStyle w:val="6"/>
        <w:pageBreakBefore w:val="0"/>
        <w:numPr>
          <w:ilvl w:val="0"/>
          <w:numId w:val="0"/>
        </w:numPr>
        <w:kinsoku/>
        <w:wordWrap/>
        <w:overflowPunct/>
        <w:topLinePunct w:val="0"/>
        <w:bidi w:val="0"/>
        <w:snapToGrid/>
        <w:spacing w:line="600" w:lineRule="exact"/>
        <w:ind w:left="210" w:leftChars="0"/>
        <w:textAlignment w:val="auto"/>
        <w:rPr>
          <w:rFonts w:ascii="黑体" w:hAnsi="黑体" w:cs="宋体"/>
          <w:b w:val="0"/>
          <w:sz w:val="28"/>
          <w:szCs w:val="28"/>
        </w:rPr>
      </w:pPr>
      <w:bookmarkStart w:id="15" w:name="_Toc28359082"/>
      <w:bookmarkStart w:id="16" w:name="_Toc28359005"/>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pageBreakBefore w:val="0"/>
        <w:kinsoku/>
        <w:wordWrap/>
        <w:overflowPunct/>
        <w:topLinePunct w:val="0"/>
        <w:bidi w:val="0"/>
        <w:snapToGrid/>
        <w:spacing w:line="600" w:lineRule="exact"/>
        <w:ind w:left="559" w:leftChars="266" w:firstLine="0" w:firstLineChars="0"/>
        <w:textAlignment w:val="auto"/>
        <w:rPr>
          <w:rFonts w:ascii="仿宋" w:hAnsi="仿宋" w:eastAsia="仿宋"/>
          <w:bCs/>
          <w:sz w:val="28"/>
          <w:szCs w:val="28"/>
          <w:u w:val="single"/>
        </w:rPr>
      </w:pPr>
      <w:r>
        <w:rPr>
          <w:rFonts w:hint="eastAsia" w:ascii="仿宋" w:hAnsi="仿宋" w:eastAsia="仿宋"/>
          <w:bCs/>
          <w:sz w:val="28"/>
          <w:szCs w:val="28"/>
          <w:u w:val="none"/>
        </w:rPr>
        <w:t>投标文件截止时间</w:t>
      </w:r>
      <w:r>
        <w:rPr>
          <w:rFonts w:hint="eastAsia" w:ascii="仿宋" w:hAnsi="仿宋" w:eastAsia="仿宋"/>
          <w:bCs/>
          <w:sz w:val="28"/>
          <w:szCs w:val="28"/>
          <w:u w:val="none"/>
          <w:lang w:eastAsia="zh-CN"/>
        </w:rPr>
        <w:t>：</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2022</w:t>
      </w:r>
      <w:r>
        <w:rPr>
          <w:rFonts w:hint="eastAsia" w:ascii="仿宋" w:hAnsi="仿宋" w:eastAsia="仿宋"/>
          <w:bCs/>
          <w:sz w:val="28"/>
          <w:szCs w:val="28"/>
          <w:u w:val="single"/>
        </w:rPr>
        <w:t xml:space="preserve"> 年</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 xml:space="preserve"> 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r>
        <w:rPr>
          <w:rFonts w:hint="eastAsia" w:ascii="仿宋" w:hAnsi="仿宋" w:eastAsia="仿宋"/>
          <w:sz w:val="28"/>
          <w:szCs w:val="28"/>
        </w:rPr>
        <w:t>地点：</w:t>
      </w:r>
      <w:r>
        <w:rPr>
          <w:rFonts w:hint="eastAsia" w:ascii="仿宋" w:hAnsi="仿宋" w:eastAsia="仿宋"/>
          <w:sz w:val="28"/>
          <w:szCs w:val="28"/>
          <w:lang w:eastAsia="zh-CN"/>
        </w:rPr>
        <w:t>新疆恒跃工程项目管理有限公司（</w:t>
      </w:r>
      <w:r>
        <w:rPr>
          <w:rFonts w:hint="eastAsia" w:ascii="仿宋" w:hAnsi="仿宋" w:eastAsia="仿宋"/>
          <w:sz w:val="28"/>
          <w:szCs w:val="28"/>
        </w:rPr>
        <w:t>阿勒泰市</w:t>
      </w:r>
      <w:r>
        <w:rPr>
          <w:rFonts w:hint="eastAsia" w:ascii="仿宋" w:hAnsi="仿宋" w:eastAsia="仿宋"/>
          <w:sz w:val="28"/>
          <w:szCs w:val="28"/>
          <w:lang w:eastAsia="zh-CN"/>
        </w:rPr>
        <w:t>南区万驰广场七楼）</w:t>
      </w:r>
    </w:p>
    <w:p>
      <w:pPr>
        <w:pStyle w:val="6"/>
        <w:pageBreakBefore w:val="0"/>
        <w:numPr>
          <w:ilvl w:val="0"/>
          <w:numId w:val="0"/>
        </w:numPr>
        <w:kinsoku/>
        <w:wordWrap/>
        <w:overflowPunct/>
        <w:topLinePunct w:val="0"/>
        <w:bidi w:val="0"/>
        <w:snapToGrid/>
        <w:spacing w:line="600" w:lineRule="exact"/>
        <w:ind w:left="210" w:leftChars="0"/>
        <w:textAlignment w:val="auto"/>
        <w:rPr>
          <w:rFonts w:ascii="黑体" w:hAnsi="黑体" w:cs="宋体"/>
          <w:b w:val="0"/>
          <w:sz w:val="28"/>
          <w:szCs w:val="28"/>
        </w:rPr>
      </w:pPr>
      <w:bookmarkStart w:id="19" w:name="_Toc28359084"/>
      <w:bookmarkStart w:id="20" w:name="_Toc35393794"/>
      <w:bookmarkStart w:id="21" w:name="_Toc35393625"/>
      <w:bookmarkStart w:id="22" w:name="_Toc28359007"/>
      <w:r>
        <w:rPr>
          <w:rFonts w:hint="eastAsia" w:ascii="黑体" w:hAnsi="黑体" w:cs="宋体"/>
          <w:b w:val="0"/>
          <w:sz w:val="28"/>
          <w:szCs w:val="28"/>
        </w:rPr>
        <w:t>五、公告期限</w:t>
      </w:r>
      <w:bookmarkEnd w:id="19"/>
      <w:bookmarkEnd w:id="20"/>
      <w:bookmarkEnd w:id="21"/>
      <w:bookmarkEnd w:id="22"/>
      <w:bookmarkStart w:id="33" w:name="_GoBack"/>
      <w:bookmarkEnd w:id="33"/>
    </w:p>
    <w:p>
      <w:pPr>
        <w:pageBreakBefore w:val="0"/>
        <w:kinsoku/>
        <w:wordWrap/>
        <w:overflowPunct/>
        <w:topLinePunct w:val="0"/>
        <w:bidi w:val="0"/>
        <w:snapToGrid/>
        <w:spacing w:line="6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6"/>
        <w:pageBreakBefore w:val="0"/>
        <w:numPr>
          <w:ilvl w:val="0"/>
          <w:numId w:val="0"/>
        </w:numPr>
        <w:kinsoku/>
        <w:wordWrap/>
        <w:overflowPunct/>
        <w:topLinePunct w:val="0"/>
        <w:bidi w:val="0"/>
        <w:snapToGrid/>
        <w:spacing w:line="600" w:lineRule="exact"/>
        <w:ind w:left="210" w:leftChars="0"/>
        <w:textAlignment w:val="auto"/>
        <w:rPr>
          <w:rFonts w:ascii="黑体" w:hAnsi="黑体" w:cs="宋体"/>
          <w:b w:val="0"/>
          <w:sz w:val="28"/>
          <w:szCs w:val="28"/>
        </w:rPr>
      </w:pPr>
      <w:bookmarkStart w:id="23" w:name="_Toc35393626"/>
      <w:bookmarkStart w:id="24" w:name="_Toc35393795"/>
      <w:r>
        <w:rPr>
          <w:rFonts w:hint="eastAsia" w:ascii="黑体" w:hAnsi="黑体" w:cs="宋体"/>
          <w:b w:val="0"/>
          <w:sz w:val="28"/>
          <w:szCs w:val="28"/>
        </w:rPr>
        <w:t>六、其他补充事宜</w:t>
      </w:r>
      <w:bookmarkEnd w:id="23"/>
      <w:bookmarkEnd w:id="24"/>
    </w:p>
    <w:p>
      <w:pPr>
        <w:pStyle w:val="11"/>
        <w:pageBreakBefore w:val="0"/>
        <w:kinsoku/>
        <w:wordWrap/>
        <w:overflowPunct/>
        <w:topLinePunct w:val="0"/>
        <w:bidi w:val="0"/>
        <w:snapToGrid/>
        <w:spacing w:line="600" w:lineRule="exact"/>
        <w:ind w:left="495" w:firstLine="0" w:firstLineChars="0"/>
        <w:textAlignment w:val="auto"/>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须提供的证明材料：①法定代表人身份证明书及法定代表人身份证原件或法定代表人授权委托书及被委托人身份证；②营业执照副本③近三年企业、法定代表人无行贿犯罪记录的查询结果证明（中国裁判文书网截图）；④“信用中国”网站下载信用报告和中国政府采购网严重违法失信行为记录名单查询结果的打印截图（查询时间不得早于公告之日）。以上证件均需提供原件及复印件加盖公章一式三份。</w:t>
      </w:r>
    </w:p>
    <w:p>
      <w:pPr>
        <w:pStyle w:val="6"/>
        <w:pageBreakBefore w:val="0"/>
        <w:numPr>
          <w:ilvl w:val="0"/>
          <w:numId w:val="0"/>
        </w:numPr>
        <w:kinsoku/>
        <w:wordWrap/>
        <w:overflowPunct/>
        <w:topLinePunct w:val="0"/>
        <w:bidi w:val="0"/>
        <w:snapToGrid/>
        <w:spacing w:line="600" w:lineRule="exact"/>
        <w:ind w:left="210" w:leftChars="0"/>
        <w:textAlignment w:val="auto"/>
        <w:rPr>
          <w:rFonts w:ascii="黑体" w:hAnsi="黑体" w:cs="宋体"/>
          <w:b w:val="0"/>
          <w:sz w:val="28"/>
          <w:szCs w:val="28"/>
        </w:rPr>
      </w:pPr>
      <w:bookmarkStart w:id="25" w:name="_Toc35393627"/>
      <w:bookmarkStart w:id="26" w:name="_Toc28359085"/>
      <w:bookmarkStart w:id="27" w:name="_Toc28359008"/>
      <w:bookmarkStart w:id="28"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pageBreakBefore w:val="0"/>
        <w:widowControl/>
        <w:kinsoku/>
        <w:wordWrap/>
        <w:overflowPunct/>
        <w:topLinePunct w:val="0"/>
        <w:bidi w:val="0"/>
        <w:snapToGrid/>
        <w:spacing w:line="600" w:lineRule="exact"/>
        <w:jc w:val="left"/>
        <w:textAlignment w:val="auto"/>
        <w:rPr>
          <w:rFonts w:ascii="仿宋_GB2312" w:eastAsia="仿宋_GB2312"/>
          <w:sz w:val="28"/>
          <w:szCs w:val="28"/>
        </w:rPr>
      </w:pPr>
      <w:r>
        <w:rPr>
          <w:rFonts w:hint="eastAsia" w:ascii="仿宋" w:hAnsi="仿宋" w:eastAsia="仿宋" w:cs="宋体"/>
          <w:sz w:val="28"/>
          <w:szCs w:val="28"/>
        </w:rPr>
        <w:t>　　　1.采购人信息</w:t>
      </w:r>
    </w:p>
    <w:p>
      <w:pPr>
        <w:pageBreakBefore w:val="0"/>
        <w:kinsoku/>
        <w:wordWrap/>
        <w:overflowPunct/>
        <w:topLinePunct w:val="0"/>
        <w:bidi w:val="0"/>
        <w:snapToGrid/>
        <w:spacing w:line="60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吉木乃县农业农村局</w:t>
      </w:r>
      <w:r>
        <w:rPr>
          <w:rFonts w:hint="eastAsia" w:ascii="仿宋" w:hAnsi="仿宋" w:eastAsia="仿宋"/>
          <w:sz w:val="28"/>
          <w:szCs w:val="28"/>
          <w:u w:val="single"/>
        </w:rPr>
        <w:t>　　　　</w:t>
      </w:r>
    </w:p>
    <w:p>
      <w:pPr>
        <w:pageBreakBefore w:val="0"/>
        <w:kinsoku/>
        <w:wordWrap/>
        <w:overflowPunct/>
        <w:topLinePunct w:val="0"/>
        <w:bidi w:val="0"/>
        <w:snapToGrid/>
        <w:spacing w:line="60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吉木乃县</w:t>
      </w:r>
      <w:r>
        <w:rPr>
          <w:rFonts w:hint="eastAsia" w:ascii="仿宋" w:hAnsi="仿宋" w:eastAsia="仿宋"/>
          <w:sz w:val="28"/>
          <w:szCs w:val="28"/>
          <w:u w:val="single"/>
        </w:rPr>
        <w:t>　　　　</w:t>
      </w:r>
    </w:p>
    <w:p>
      <w:pPr>
        <w:pageBreakBefore w:val="0"/>
        <w:kinsoku/>
        <w:wordWrap/>
        <w:overflowPunct/>
        <w:topLinePunct w:val="0"/>
        <w:bidi w:val="0"/>
        <w:snapToGrid/>
        <w:spacing w:line="600" w:lineRule="exact"/>
        <w:ind w:left="1129" w:leftChars="371" w:hanging="350" w:hangingChars="125"/>
        <w:jc w:val="left"/>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 19309067521    </w:t>
      </w:r>
      <w:r>
        <w:rPr>
          <w:rFonts w:hint="eastAsia" w:ascii="仿宋" w:hAnsi="仿宋" w:eastAsia="仿宋"/>
          <w:sz w:val="28"/>
          <w:szCs w:val="28"/>
          <w:u w:val="single"/>
        </w:rPr>
        <w:t xml:space="preserve"> </w:t>
      </w:r>
      <w:bookmarkStart w:id="29" w:name="_Toc28359009"/>
      <w:bookmarkStart w:id="30" w:name="_Toc28359086"/>
    </w:p>
    <w:p>
      <w:pPr>
        <w:pageBreakBefore w:val="0"/>
        <w:kinsoku/>
        <w:wordWrap/>
        <w:overflowPunct/>
        <w:topLinePunct w:val="0"/>
        <w:bidi w:val="0"/>
        <w:snapToGrid/>
        <w:spacing w:line="600" w:lineRule="exact"/>
        <w:ind w:left="1129" w:leftChars="371" w:hanging="350" w:hangingChars="125"/>
        <w:jc w:val="left"/>
        <w:textAlignment w:val="auto"/>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pageBreakBefore w:val="0"/>
        <w:kinsoku/>
        <w:wordWrap/>
        <w:overflowPunct/>
        <w:topLinePunct w:val="0"/>
        <w:bidi w:val="0"/>
        <w:snapToGrid/>
        <w:spacing w:line="60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新疆恒跃工程项目管理有限公司</w:t>
      </w:r>
      <w:r>
        <w:rPr>
          <w:rFonts w:hint="eastAsia" w:ascii="仿宋" w:hAnsi="仿宋" w:eastAsia="仿宋" w:cs="仿宋"/>
          <w:sz w:val="28"/>
          <w:szCs w:val="28"/>
          <w:u w:val="single"/>
        </w:rPr>
        <w:t>　　</w:t>
      </w:r>
    </w:p>
    <w:p>
      <w:pPr>
        <w:pageBreakBefore w:val="0"/>
        <w:kinsoku/>
        <w:wordWrap/>
        <w:overflowPunct/>
        <w:topLinePunct w:val="0"/>
        <w:bidi w:val="0"/>
        <w:snapToGrid/>
        <w:spacing w:line="60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阿勒泰市南区万驰广场七楼</w:t>
      </w:r>
      <w:r>
        <w:rPr>
          <w:rFonts w:hint="eastAsia" w:ascii="仿宋" w:hAnsi="仿宋" w:eastAsia="仿宋" w:cs="仿宋"/>
          <w:sz w:val="28"/>
          <w:szCs w:val="28"/>
          <w:u w:val="single"/>
        </w:rPr>
        <w:t>　</w:t>
      </w:r>
    </w:p>
    <w:p>
      <w:pPr>
        <w:pageBreakBefore w:val="0"/>
        <w:kinsoku/>
        <w:wordWrap/>
        <w:overflowPunct/>
        <w:topLinePunct w:val="0"/>
        <w:bidi w:val="0"/>
        <w:snapToGrid/>
        <w:spacing w:line="60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联系方式：</w:t>
      </w:r>
      <w:bookmarkStart w:id="31" w:name="_Toc28359087"/>
      <w:bookmarkStart w:id="32" w:name="_Toc28359010"/>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13899421911</w:t>
      </w:r>
      <w:r>
        <w:rPr>
          <w:rFonts w:hint="eastAsia" w:ascii="仿宋" w:hAnsi="仿宋" w:eastAsia="仿宋" w:cs="仿宋"/>
          <w:sz w:val="28"/>
          <w:szCs w:val="28"/>
          <w:u w:val="single"/>
        </w:rPr>
        <w:t>　</w:t>
      </w:r>
    </w:p>
    <w:p>
      <w:pPr>
        <w:pageBreakBefore w:val="0"/>
        <w:kinsoku/>
        <w:wordWrap/>
        <w:overflowPunct/>
        <w:topLinePunct w:val="0"/>
        <w:bidi w:val="0"/>
        <w:snapToGrid/>
        <w:spacing w:line="600" w:lineRule="exact"/>
        <w:ind w:firstLine="840" w:firstLineChars="300"/>
        <w:textAlignment w:val="auto"/>
        <w:rPr>
          <w:rFonts w:hint="eastAsia" w:ascii="仿宋" w:hAnsi="仿宋" w:eastAsia="仿宋" w:cs="仿宋"/>
          <w:sz w:val="28"/>
          <w:szCs w:val="28"/>
          <w:u w:val="single"/>
        </w:rPr>
      </w:pPr>
      <w:r>
        <w:rPr>
          <w:rFonts w:hint="eastAsia" w:ascii="仿宋" w:hAnsi="仿宋" w:eastAsia="仿宋" w:cs="仿宋"/>
          <w:sz w:val="28"/>
          <w:szCs w:val="28"/>
        </w:rPr>
        <w:t>3.项目联系方式</w:t>
      </w:r>
      <w:bookmarkEnd w:id="31"/>
      <w:bookmarkEnd w:id="32"/>
    </w:p>
    <w:p>
      <w:pPr>
        <w:pStyle w:val="7"/>
        <w:pageBreakBefore w:val="0"/>
        <w:kinsoku/>
        <w:wordWrap/>
        <w:overflowPunct/>
        <w:topLinePunct w:val="0"/>
        <w:bidi w:val="0"/>
        <w:snapToGrid/>
        <w:spacing w:line="600" w:lineRule="exact"/>
        <w:ind w:firstLine="840" w:firstLineChars="300"/>
        <w:textAlignment w:val="auto"/>
        <w:rPr>
          <w:rFonts w:hint="eastAsia" w:ascii="仿宋" w:hAnsi="仿宋" w:eastAsia="仿宋" w:cs="仿宋"/>
          <w:i w:val="0"/>
          <w:iCs/>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i w:val="0"/>
          <w:iCs/>
          <w:sz w:val="28"/>
          <w:szCs w:val="28"/>
          <w:u w:val="single"/>
          <w:lang w:val="en-US" w:eastAsia="zh-CN"/>
        </w:rPr>
        <w:t>王菊香</w:t>
      </w:r>
    </w:p>
    <w:p>
      <w:pPr>
        <w:ind w:firstLine="840" w:firstLineChars="300"/>
      </w:pPr>
      <w:r>
        <w:rPr>
          <w:rFonts w:hint="eastAsia" w:ascii="仿宋" w:hAnsi="仿宋" w:eastAsia="仿宋" w:cs="仿宋"/>
          <w:sz w:val="28"/>
          <w:szCs w:val="28"/>
        </w:rPr>
        <w:t>电　话：</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13899421911</w:t>
      </w:r>
      <w:r>
        <w:rPr>
          <w:rFonts w:hint="eastAsia" w:ascii="仿宋" w:hAnsi="仿宋" w:eastAsia="仿宋" w:cs="仿宋"/>
          <w:sz w:val="28"/>
          <w:szCs w:val="28"/>
          <w:u w:val="singl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upperLetter"/>
      <w:pStyle w:val="6"/>
      <w:lvlText w:val="%1."/>
      <w:lvlJc w:val="left"/>
      <w:pPr>
        <w:tabs>
          <w:tab w:val="left" w:pos="330"/>
        </w:tabs>
        <w:ind w:left="540" w:hanging="3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10CAA"/>
    <w:rsid w:val="229E1B97"/>
    <w:rsid w:val="267E0CAB"/>
    <w:rsid w:val="2B710DDE"/>
    <w:rsid w:val="52D82F2C"/>
    <w:rsid w:val="57441DFB"/>
    <w:rsid w:val="5C182A2D"/>
    <w:rsid w:val="64B26F04"/>
    <w:rsid w:val="66EC6F90"/>
    <w:rsid w:val="67BE3A94"/>
    <w:rsid w:val="69C45FA2"/>
    <w:rsid w:val="71FA5912"/>
    <w:rsid w:val="73AE219E"/>
    <w:rsid w:val="75F3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numPr>
        <w:ilvl w:val="0"/>
        <w:numId w:val="1"/>
      </w:numPr>
      <w:tabs>
        <w:tab w:val="left" w:pos="420"/>
        <w:tab w:val="clear" w:pos="330"/>
      </w:tabs>
      <w:spacing w:line="360" w:lineRule="auto"/>
      <w:outlineLvl w:val="1"/>
    </w:pPr>
    <w:rPr>
      <w:b/>
      <w:sz w:val="24"/>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spacing w:after="120"/>
      <w:ind w:left="420" w:leftChars="200"/>
    </w:pPr>
    <w:rPr>
      <w:sz w:val="24"/>
    </w:rPr>
  </w:style>
  <w:style w:type="paragraph" w:styleId="4">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11">
    <w:name w:val="List Paragraph"/>
    <w:basedOn w:val="1"/>
    <w:qFormat/>
    <w:uiPriority w:val="34"/>
    <w:pPr>
      <w:ind w:firstLine="420" w:firstLineChars="200"/>
    </w:pPr>
  </w:style>
  <w:style w:type="character" w:customStyle="1" w:styleId="12">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快乐宝贝</cp:lastModifiedBy>
  <dcterms:modified xsi:type="dcterms:W3CDTF">2022-01-18T03:06:49Z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8058448EB8F44C02BE4569FB77010744</vt:lpwstr>
  </property>
</Properties>
</file>