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p>
    <w:p>
      <w:pPr>
        <w:pStyle w:val="5"/>
        <w:jc w:val="center"/>
        <w:rPr>
          <w:color w:val="auto"/>
        </w:rPr>
      </w:pPr>
      <w:bookmarkStart w:id="0" w:name="_Toc73974707"/>
      <w:bookmarkStart w:id="1" w:name="_Toc37090957"/>
      <w:bookmarkStart w:id="2" w:name="_Toc8714"/>
      <w:r>
        <w:rPr>
          <w:rStyle w:val="11"/>
          <w:rFonts w:hint="eastAsia" w:ascii="宋体" w:hAnsi="宋体" w:eastAsia="宋体" w:cs="宋体"/>
          <w:color w:val="auto"/>
        </w:rPr>
        <w:t>第一章  招标公告</w:t>
      </w:r>
      <w:bookmarkEnd w:id="0"/>
      <w:bookmarkEnd w:id="1"/>
      <w:bookmarkEnd w:id="2"/>
    </w:p>
    <w:p>
      <w:pPr>
        <w:widowControl/>
        <w:spacing w:line="440" w:lineRule="exact"/>
        <w:ind w:firstLine="482" w:firstLineChars="200"/>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一、项目基本情况</w:t>
      </w:r>
    </w:p>
    <w:p>
      <w:pPr>
        <w:widowControl/>
        <w:spacing w:line="440" w:lineRule="exact"/>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项目编号：</w:t>
      </w:r>
      <w:r>
        <w:rPr>
          <w:rFonts w:hint="eastAsia" w:ascii="宋体" w:hAnsi="宋体" w:eastAsia="宋体" w:cs="宋体"/>
          <w:color w:val="auto"/>
          <w:kern w:val="0"/>
          <w:sz w:val="24"/>
          <w:szCs w:val="24"/>
          <w:highlight w:val="none"/>
          <w:lang w:val="en-US" w:eastAsia="zh-CN"/>
        </w:rPr>
        <w:t>ZFCGA-JTSZZB2022-47</w:t>
      </w:r>
    </w:p>
    <w:p>
      <w:pPr>
        <w:widowControl/>
        <w:spacing w:line="440" w:lineRule="exact"/>
        <w:ind w:firstLine="480" w:firstLineChars="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项目名称：阿勒泰市医共体基层医疗机构设备更新采购项目（一标段）</w:t>
      </w:r>
    </w:p>
    <w:p>
      <w:pPr>
        <w:widowControl/>
        <w:spacing w:line="440" w:lineRule="exact"/>
        <w:ind w:firstLine="480" w:firstLineChars="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采购方式：公开招标</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采购需求：采购16台彩色多普勒B超台式等仪器设备。</w:t>
      </w:r>
      <w:r>
        <w:rPr>
          <w:rFonts w:hint="eastAsia" w:ascii="宋体" w:hAnsi="宋体" w:cs="宋体"/>
          <w:color w:val="auto"/>
          <w:szCs w:val="24"/>
          <w:highlight w:val="none"/>
          <w:lang w:eastAsia="zh-CN"/>
        </w:rPr>
        <w:t>（详见招标文件）</w:t>
      </w:r>
    </w:p>
    <w:tbl>
      <w:tblPr>
        <w:tblStyle w:val="7"/>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920"/>
        <w:gridCol w:w="1444"/>
        <w:gridCol w:w="1420"/>
        <w:gridCol w:w="1997"/>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784"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标项名称</w:t>
            </w:r>
          </w:p>
        </w:tc>
        <w:tc>
          <w:tcPr>
            <w:tcW w:w="920"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数量</w:t>
            </w:r>
          </w:p>
        </w:tc>
        <w:tc>
          <w:tcPr>
            <w:tcW w:w="1444"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（万元）</w:t>
            </w:r>
          </w:p>
        </w:tc>
        <w:tc>
          <w:tcPr>
            <w:tcW w:w="1420"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最高限价</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（万元）</w:t>
            </w:r>
          </w:p>
        </w:tc>
        <w:tc>
          <w:tcPr>
            <w:tcW w:w="199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w:t>
            </w:r>
          </w:p>
        </w:tc>
        <w:tc>
          <w:tcPr>
            <w:tcW w:w="1013"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1784"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highlight w:val="none"/>
                <w:lang w:val="en-US" w:eastAsia="zh-CN"/>
              </w:rPr>
            </w:pPr>
            <w:r>
              <w:rPr>
                <w:rFonts w:hint="default" w:ascii="宋体" w:hAnsi="宋体" w:eastAsia="宋体" w:cs="宋体"/>
                <w:color w:val="auto"/>
                <w:kern w:val="0"/>
                <w:highlight w:val="none"/>
                <w:lang w:val="en-US" w:eastAsia="zh-CN"/>
              </w:rPr>
              <w:br w:type="textWrapping"/>
            </w:r>
            <w:r>
              <w:rPr>
                <w:rFonts w:hint="default" w:ascii="宋体" w:hAnsi="宋体" w:eastAsia="宋体" w:cs="宋体"/>
                <w:color w:val="auto"/>
                <w:kern w:val="0"/>
                <w:highlight w:val="none"/>
                <w:lang w:val="en-US" w:eastAsia="zh-CN"/>
              </w:rPr>
              <w:t>阿勒泰市医共体基层医疗机构设备更新采购项目（一标段）</w:t>
            </w:r>
          </w:p>
        </w:tc>
        <w:tc>
          <w:tcPr>
            <w:tcW w:w="92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top"/>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16台</w:t>
            </w:r>
          </w:p>
        </w:tc>
        <w:tc>
          <w:tcPr>
            <w:tcW w:w="144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928</w:t>
            </w:r>
          </w:p>
        </w:tc>
        <w:tc>
          <w:tcPr>
            <w:tcW w:w="142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top"/>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928</w:t>
            </w:r>
          </w:p>
        </w:tc>
        <w:tc>
          <w:tcPr>
            <w:tcW w:w="1997"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sz w:val="24"/>
                <w:szCs w:val="24"/>
              </w:rPr>
              <w:t>采购16台彩色多普勒B超台式等仪器设备。</w:t>
            </w:r>
            <w:r>
              <w:rPr>
                <w:rFonts w:hint="eastAsia" w:ascii="宋体" w:hAnsi="宋体" w:cs="宋体"/>
                <w:color w:val="auto"/>
                <w:szCs w:val="24"/>
                <w:highlight w:val="none"/>
                <w:lang w:eastAsia="zh-CN"/>
              </w:rPr>
              <w:t>（详见招标文件）</w:t>
            </w:r>
          </w:p>
        </w:tc>
        <w:tc>
          <w:tcPr>
            <w:tcW w:w="1013" w:type="dxa"/>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default" w:ascii="宋体" w:hAnsi="宋体" w:eastAsia="宋体" w:cs="宋体"/>
                <w:color w:val="auto"/>
                <w:kern w:val="0"/>
                <w:highlight w:val="none"/>
                <w:lang w:val="en-US" w:eastAsia="zh-CN"/>
              </w:rPr>
            </w:pPr>
          </w:p>
        </w:tc>
      </w:tr>
    </w:tbl>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合同履约期限：自签订合同起至质保期结束为止。</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本项目不接受联合体投标</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二、申请人的资格要求：</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1.满足《中华人民共和国政府采购法》第二十二条规定；</w:t>
      </w:r>
    </w:p>
    <w:p>
      <w:pPr>
        <w:widowControl/>
        <w:shd w:val="clear" w:color="auto" w:fill="FFFFFF"/>
        <w:jc w:val="left"/>
        <w:rPr>
          <w:rFonts w:hint="eastAsia" w:ascii="宋体" w:hAnsi="宋体" w:cs="Calibri"/>
          <w:kern w:val="0"/>
          <w:szCs w:val="21"/>
          <w:highlight w:val="none"/>
        </w:rPr>
      </w:pPr>
      <w:bookmarkStart w:id="3" w:name="_Toc7993"/>
      <w:bookmarkStart w:id="4" w:name="_Toc20813"/>
      <w:r>
        <w:rPr>
          <w:rFonts w:hint="eastAsia" w:ascii="宋体" w:hAnsi="宋体" w:eastAsia="宋体" w:cs="宋体"/>
          <w:color w:val="auto"/>
          <w:kern w:val="0"/>
          <w:sz w:val="24"/>
          <w:szCs w:val="24"/>
          <w:highlight w:val="none"/>
        </w:rPr>
        <w:t>2.落实政府采购政策需满足的资格要求：</w:t>
      </w:r>
      <w:bookmarkEnd w:id="3"/>
      <w:bookmarkEnd w:id="4"/>
      <w:r>
        <w:rPr>
          <w:rFonts w:hint="eastAsia" w:ascii="宋体" w:hAnsi="宋体" w:cs="Calibri"/>
          <w:kern w:val="0"/>
          <w:szCs w:val="21"/>
          <w:highlight w:val="none"/>
        </w:rPr>
        <w:t>2.落实政府采购政策需满足的资格要求：标项1：供应商为中小企业,（1）、《政府采购促进中小企业发展管理办法》（财库﹝2020﹞46 号）；（2）、《财政部、SF部关于政府采购支持JY企业发展有关问题的通知》（财库〔2014〕68号）；（3）、《财政部民政部中国残疾人联合会关于促进残疾人就业政府采购政策的通知》财库〔2017〕141号； （注：1、以上政策不重复享受；2、如属于上述企业需按招标文件要求提供相关资料）。  </w:t>
      </w:r>
    </w:p>
    <w:p>
      <w:pPr>
        <w:widowControl/>
        <w:shd w:val="clear" w:color="auto" w:fill="FFFFFF"/>
        <w:jc w:val="left"/>
        <w:rPr>
          <w:rFonts w:hint="eastAsia" w:ascii="宋体" w:hAnsi="宋体" w:cs="Calibri"/>
          <w:kern w:val="0"/>
          <w:szCs w:val="21"/>
          <w:highlight w:val="none"/>
        </w:rPr>
      </w:pPr>
      <w:r>
        <w:rPr>
          <w:rFonts w:hint="eastAsia" w:ascii="宋体" w:hAnsi="宋体" w:cs="Calibri"/>
          <w:kern w:val="0"/>
          <w:szCs w:val="21"/>
          <w:highlight w:val="none"/>
        </w:rPr>
        <w:t>3.供应商应具有有效的营业执照，能合法提供与采购内容相符的服务，无不良行为记录；</w:t>
      </w:r>
    </w:p>
    <w:p>
      <w:pPr>
        <w:widowControl/>
        <w:shd w:val="clear" w:color="auto" w:fill="FFFFFF"/>
        <w:spacing w:line="38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.本项目的特定资格要求：</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.1 供应商须具有有效的营业执照；</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.2 供应商须具有有效的医疗器械经营许可证（或按照国家食品药品监督管理部门规定实行备案管理的，具有备案证明文件）；若供应商为货物制造商须具备医疗器械生产许可证</w:t>
      </w:r>
      <w:r>
        <w:rPr>
          <w:rFonts w:hint="eastAsia"/>
          <w:color w:val="auto"/>
          <w:sz w:val="24"/>
          <w:szCs w:val="24"/>
        </w:rPr>
        <w:t>；</w:t>
      </w:r>
    </w:p>
    <w:p>
      <w:pPr>
        <w:widowControl/>
        <w:spacing w:line="440" w:lineRule="exact"/>
        <w:ind w:firstLine="480" w:firstLineChars="200"/>
        <w:jc w:val="left"/>
        <w:rPr>
          <w:rFonts w:hint="eastAsia"/>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.3 供应商所投医疗产品须具备医疗器械注册证（含登记表）（或按照国家食品药品监督管理部门规定实行备案管理的，出具备案证明文件）；</w:t>
      </w:r>
    </w:p>
    <w:p>
      <w:pPr>
        <w:widowControl/>
        <w:spacing w:line="440" w:lineRule="exact"/>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三、获取招标文件</w:t>
      </w:r>
    </w:p>
    <w:p>
      <w:pPr>
        <w:pStyle w:val="6"/>
        <w:numPr>
          <w:ilvl w:val="0"/>
          <w:numId w:val="0"/>
        </w:numPr>
        <w:rPr>
          <w:rFonts w:hint="eastAsia" w:ascii="宋体" w:hAnsi="宋体" w:eastAsia="宋体" w:cs="宋体"/>
          <w:b w:val="0"/>
          <w:bCs/>
          <w:color w:val="auto"/>
          <w:kern w:val="0"/>
          <w:sz w:val="24"/>
          <w:szCs w:val="24"/>
          <w:highlight w:val="none"/>
          <w:lang w:val="en-US" w:eastAsia="zh-CN"/>
        </w:rPr>
      </w:pPr>
      <w:r>
        <w:rPr>
          <w:rFonts w:hint="eastAsia" w:ascii="宋体" w:hAnsi="宋体" w:cs="Calibri"/>
          <w:kern w:val="0"/>
          <w:szCs w:val="21"/>
          <w:highlight w:val="none"/>
          <w:lang w:val="en-US" w:eastAsia="zh-CN"/>
        </w:rPr>
        <w:t>获取</w:t>
      </w:r>
      <w:r>
        <w:rPr>
          <w:rFonts w:hint="eastAsia" w:ascii="宋体" w:hAnsi="宋体" w:cs="Calibri"/>
          <w:kern w:val="0"/>
          <w:szCs w:val="21"/>
          <w:highlight w:val="none"/>
        </w:rPr>
        <w:t>方式：线上获取或线下获取，线下获取需携带法人或委托人身份证原件至</w:t>
      </w:r>
      <w:r>
        <w:rPr>
          <w:rFonts w:hint="eastAsia" w:ascii="宋体" w:hAnsi="宋体" w:eastAsia="宋体" w:cs="宋体"/>
          <w:b w:val="0"/>
          <w:bCs/>
          <w:color w:val="auto"/>
          <w:kern w:val="0"/>
          <w:sz w:val="24"/>
          <w:szCs w:val="24"/>
          <w:highlight w:val="none"/>
          <w:lang w:val="en-US" w:eastAsia="zh-CN" w:bidi="ar-SA"/>
        </w:rPr>
        <w:t>时间：2022年12月15日至2022年12月21日每天上午10:00至14：00，下午16：00至19:30（北京时间，法定节假日除外）</w:t>
      </w:r>
      <w:r>
        <w:rPr>
          <w:rFonts w:hint="eastAsia" w:ascii="宋体" w:hAnsi="宋体" w:eastAsia="宋体" w:cs="宋体"/>
          <w:b w:val="0"/>
          <w:bCs/>
          <w:color w:val="auto"/>
          <w:kern w:val="0"/>
          <w:sz w:val="24"/>
          <w:szCs w:val="24"/>
          <w:highlight w:val="none"/>
          <w:lang w:val="en-US" w:eastAsia="zh-CN"/>
        </w:rPr>
        <w:t>（所有资料必须在有效期内）</w:t>
      </w:r>
    </w:p>
    <w:p>
      <w:pPr>
        <w:widowControl/>
        <w:numPr>
          <w:ilvl w:val="0"/>
          <w:numId w:val="2"/>
        </w:numPr>
        <w:spacing w:line="440" w:lineRule="exact"/>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提交投标文件截止时间、开标时间和地点</w:t>
      </w:r>
    </w:p>
    <w:p>
      <w:pPr>
        <w:pStyle w:val="6"/>
        <w:numPr>
          <w:ilvl w:val="0"/>
          <w:numId w:val="0"/>
        </w:numP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地点：新疆金泰首致项目管理咨询有限公司（阿勒泰地区阿勒泰市迎宾路公安局北佰颂广场亦岚酒店6楼）</w:t>
      </w:r>
    </w:p>
    <w:p>
      <w:pPr>
        <w:pStyle w:val="6"/>
        <w:numPr>
          <w:ilvl w:val="0"/>
          <w:numId w:val="0"/>
        </w:numP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截止时间：2023年01月04日下午16：30时（北京时间）</w:t>
      </w:r>
    </w:p>
    <w:p>
      <w:pPr>
        <w:pStyle w:val="6"/>
        <w:numPr>
          <w:ilvl w:val="0"/>
          <w:numId w:val="0"/>
        </w:numPr>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地点：新疆金泰首致项目管理咨询有限公司（阿勒泰地区阿勒泰市迎宾路公安局北佰颂广场亦岚酒店6楼）</w:t>
      </w:r>
      <w:bookmarkStart w:id="5" w:name="_GoBack"/>
      <w:bookmarkEnd w:id="5"/>
    </w:p>
    <w:p>
      <w:pPr>
        <w:widowControl/>
        <w:spacing w:line="440" w:lineRule="exact"/>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五、公告期限</w:t>
      </w:r>
    </w:p>
    <w:p>
      <w:pPr>
        <w:widowControl/>
        <w:spacing w:line="44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widowControl/>
        <w:spacing w:line="440" w:lineRule="exact"/>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六、其他补充事宜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 xml:space="preserve"> 根据《关于在政府采购活动中查询及使用信用记录有关问题的通知》(财库[2016]125号)的规定，对被列入“失信被执行人”、“重大税收违法案件当事人名单”、“政府采购严重违法失信行为记录名单”的供应商，拒绝参与本项目政府采购活动【查询渠道：“信用中国”网站（www.creditchina.gov.cn）、“中国政府采购网”（</w:t>
      </w: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HYPERLINK "http://www.ccgp.gov.cn）】" </w:instrText>
      </w:r>
      <w:r>
        <w:rPr>
          <w:rFonts w:hint="eastAsia" w:ascii="宋体" w:hAnsi="宋体" w:cs="宋体"/>
          <w:color w:val="auto"/>
          <w:kern w:val="0"/>
          <w:sz w:val="24"/>
        </w:rPr>
        <w:fldChar w:fldCharType="separate"/>
      </w:r>
      <w:r>
        <w:rPr>
          <w:rFonts w:hint="eastAsia" w:ascii="宋体" w:hAnsi="宋体" w:cs="宋体"/>
          <w:color w:val="auto"/>
          <w:kern w:val="0"/>
          <w:sz w:val="24"/>
        </w:rPr>
        <w:t>www.ccgp.gov.cn）】</w:t>
      </w:r>
      <w:r>
        <w:rPr>
          <w:rFonts w:hint="eastAsia" w:ascii="宋体" w:hAnsi="宋体" w:cs="宋体"/>
          <w:color w:val="auto"/>
          <w:kern w:val="0"/>
          <w:sz w:val="24"/>
        </w:rPr>
        <w:fldChar w:fldCharType="end"/>
      </w:r>
      <w:r>
        <w:rPr>
          <w:rFonts w:hint="eastAsia" w:ascii="宋体" w:hAnsi="宋体" w:cs="宋体"/>
          <w:color w:val="auto"/>
          <w:kern w:val="0"/>
          <w:sz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供应商不得存在下列情形之一：</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与采购人、采购代理机构存在隶属关系或者其他利害关系</w:t>
      </w:r>
      <w:r>
        <w:rPr>
          <w:rFonts w:hint="eastAsia" w:ascii="宋体" w:hAnsi="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与其他供应商的</w:t>
      </w:r>
      <w:r>
        <w:rPr>
          <w:rFonts w:hint="eastAsia" w:ascii="宋体" w:hAnsi="宋体" w:eastAsia="宋体" w:cs="宋体"/>
          <w:color w:val="auto"/>
          <w:kern w:val="0"/>
          <w:sz w:val="24"/>
          <w:szCs w:val="24"/>
          <w:lang w:eastAsia="zh-CN"/>
        </w:rPr>
        <w:t>法定代表人</w:t>
      </w:r>
      <w:r>
        <w:rPr>
          <w:rFonts w:hint="eastAsia" w:ascii="宋体" w:hAnsi="宋体" w:eastAsia="宋体" w:cs="宋体"/>
          <w:color w:val="auto"/>
          <w:kern w:val="0"/>
          <w:sz w:val="24"/>
          <w:szCs w:val="24"/>
        </w:rPr>
        <w:t>（或者负责人）为同一人；或者与其他供应商存在控股、关联关系；为采购项目提供整体审计、规范编制或者项目管理、监理、检测等服务的供应商，不得再参加本项目的采购活动</w:t>
      </w:r>
      <w:r>
        <w:rPr>
          <w:rFonts w:hint="eastAsia" w:ascii="宋体" w:hAnsi="宋体" w:cs="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lang w:val="en-US" w:eastAsia="zh-CN"/>
        </w:rPr>
        <w:t>4.</w:t>
      </w:r>
      <w:r>
        <w:rPr>
          <w:rFonts w:hint="eastAsia" w:ascii="宋体" w:hAnsi="宋体" w:eastAsia="宋体" w:cs="宋体"/>
          <w:color w:val="auto"/>
          <w:kern w:val="0"/>
          <w:sz w:val="24"/>
          <w:szCs w:val="24"/>
          <w:lang w:val="en-US" w:eastAsia="zh-CN"/>
        </w:rPr>
        <w:t>本项目为国产设备招标，不允许进口产品投标</w:t>
      </w:r>
      <w:r>
        <w:rPr>
          <w:rFonts w:hint="eastAsia" w:ascii="宋体" w:hAnsi="宋体" w:cs="宋体"/>
          <w:color w:val="auto"/>
          <w:kern w:val="0"/>
          <w:sz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lang w:val="en-US" w:eastAsia="zh-CN"/>
        </w:rPr>
        <w:t>5.潜在供应商领取文件须提前完成注册，并在开标前成为政采云正式供应商。</w:t>
      </w:r>
    </w:p>
    <w:p>
      <w:pPr>
        <w:widowControl/>
        <w:spacing w:line="440" w:lineRule="exact"/>
        <w:ind w:firstLine="482" w:firstLineChars="200"/>
        <w:jc w:val="left"/>
        <w:rPr>
          <w:rFonts w:hint="eastAsia" w:ascii="宋体" w:hAnsi="宋体" w:cs="宋体"/>
          <w:b/>
          <w:bCs w:val="0"/>
          <w:color w:val="auto"/>
          <w:kern w:val="0"/>
          <w:sz w:val="24"/>
        </w:rPr>
      </w:pPr>
      <w:r>
        <w:rPr>
          <w:rFonts w:hint="eastAsia" w:ascii="宋体" w:hAnsi="宋体" w:eastAsia="宋体" w:cs="宋体"/>
          <w:b/>
          <w:bCs w:val="0"/>
          <w:color w:val="auto"/>
          <w:kern w:val="0"/>
          <w:sz w:val="24"/>
          <w:szCs w:val="24"/>
        </w:rPr>
        <w:t>七、对本次采购提出询问，请按以下方式联系</w:t>
      </w:r>
    </w:p>
    <w:p>
      <w:pPr>
        <w:snapToGrid w:val="0"/>
        <w:spacing w:line="360" w:lineRule="auto"/>
        <w:ind w:left="480" w:leftChars="200"/>
        <w:rPr>
          <w:rFonts w:ascii="宋体" w:hAnsi="宋体" w:cs="宋体"/>
          <w:color w:val="auto"/>
          <w:szCs w:val="24"/>
          <w:highlight w:val="none"/>
        </w:rPr>
      </w:pPr>
      <w:r>
        <w:rPr>
          <w:rFonts w:hint="eastAsia" w:ascii="宋体" w:hAnsi="宋体" w:cs="宋体"/>
          <w:color w:val="auto"/>
          <w:szCs w:val="24"/>
          <w:highlight w:val="none"/>
        </w:rPr>
        <w:t>1.采购人信息</w:t>
      </w:r>
    </w:p>
    <w:p>
      <w:pPr>
        <w:snapToGrid w:val="0"/>
        <w:spacing w:line="360" w:lineRule="auto"/>
        <w:ind w:left="480" w:leftChars="200"/>
        <w:rPr>
          <w:rFonts w:ascii="宋体" w:hAnsi="宋体" w:cs="宋体"/>
          <w:color w:val="auto"/>
          <w:szCs w:val="24"/>
          <w:highlight w:val="none"/>
        </w:rPr>
      </w:pPr>
      <w:r>
        <w:rPr>
          <w:rFonts w:hint="eastAsia" w:ascii="宋体" w:hAnsi="宋体" w:cs="宋体"/>
          <w:color w:val="auto"/>
          <w:szCs w:val="24"/>
          <w:highlight w:val="none"/>
        </w:rPr>
        <w:t xml:space="preserve">名称： </w:t>
      </w:r>
      <w:r>
        <w:rPr>
          <w:rFonts w:hint="eastAsia" w:ascii="宋体" w:hAnsi="宋体" w:cs="宋体"/>
          <w:color w:val="auto"/>
          <w:szCs w:val="24"/>
          <w:highlight w:val="none"/>
          <w:lang w:val="en-US" w:eastAsia="zh-CN"/>
        </w:rPr>
        <w:t>阿勒泰市人民医院</w:t>
      </w:r>
    </w:p>
    <w:p>
      <w:pPr>
        <w:snapToGrid w:val="0"/>
        <w:spacing w:line="360" w:lineRule="auto"/>
        <w:ind w:firstLine="499" w:firstLineChars="208"/>
        <w:rPr>
          <w:rFonts w:ascii="宋体" w:hAnsi="宋体" w:eastAsia="宋体" w:cs="宋体"/>
          <w:sz w:val="24"/>
          <w:szCs w:val="24"/>
        </w:rPr>
      </w:pPr>
      <w:r>
        <w:rPr>
          <w:rFonts w:ascii="宋体" w:hAnsi="宋体" w:eastAsia="宋体" w:cs="宋体"/>
          <w:sz w:val="24"/>
          <w:szCs w:val="24"/>
        </w:rPr>
        <w:t>联 系 人：</w:t>
      </w:r>
      <w:r>
        <w:rPr>
          <w:rFonts w:hint="eastAsia" w:ascii="宋体" w:hAnsi="宋体" w:eastAsia="宋体" w:cs="宋体"/>
          <w:sz w:val="24"/>
          <w:szCs w:val="24"/>
          <w:lang w:eastAsia="zh-CN"/>
        </w:rPr>
        <w:t>贾飞虎</w:t>
      </w:r>
      <w:r>
        <w:rPr>
          <w:rFonts w:ascii="宋体" w:hAnsi="宋体" w:eastAsia="宋体" w:cs="宋体"/>
          <w:sz w:val="24"/>
          <w:szCs w:val="24"/>
        </w:rPr>
        <w:t> </w:t>
      </w:r>
    </w:p>
    <w:p>
      <w:pPr>
        <w:snapToGrid w:val="0"/>
        <w:spacing w:line="360" w:lineRule="auto"/>
        <w:ind w:firstLine="499" w:firstLineChars="208"/>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rPr>
        <w:t>联系方式：</w:t>
      </w:r>
      <w:r>
        <w:rPr>
          <w:rFonts w:ascii="宋体" w:hAnsi="宋体" w:eastAsia="宋体" w:cs="宋体"/>
          <w:sz w:val="24"/>
          <w:szCs w:val="24"/>
        </w:rPr>
        <w:t>18</w:t>
      </w:r>
      <w:r>
        <w:rPr>
          <w:rFonts w:hint="eastAsia" w:ascii="宋体" w:hAnsi="宋体" w:eastAsia="宋体" w:cs="宋体"/>
          <w:sz w:val="24"/>
          <w:szCs w:val="24"/>
          <w:lang w:val="en-US" w:eastAsia="zh-CN"/>
        </w:rPr>
        <w:t>199621678</w:t>
      </w:r>
    </w:p>
    <w:p>
      <w:pPr>
        <w:snapToGrid w:val="0"/>
        <w:spacing w:line="360" w:lineRule="auto"/>
        <w:ind w:firstLine="499" w:firstLineChars="208"/>
        <w:rPr>
          <w:rFonts w:ascii="宋体" w:hAnsi="宋体" w:cs="宋体"/>
          <w:color w:val="auto"/>
          <w:szCs w:val="24"/>
          <w:highlight w:val="none"/>
        </w:rPr>
      </w:pPr>
      <w:r>
        <w:rPr>
          <w:rFonts w:hint="eastAsia" w:ascii="宋体" w:hAnsi="宋体" w:cs="宋体"/>
          <w:color w:val="auto"/>
          <w:szCs w:val="24"/>
          <w:highlight w:val="none"/>
        </w:rPr>
        <w:t>2.采购代理机构信息</w:t>
      </w:r>
    </w:p>
    <w:p>
      <w:pPr>
        <w:snapToGrid w:val="0"/>
        <w:spacing w:line="360" w:lineRule="auto"/>
        <w:ind w:firstLine="499" w:firstLineChars="208"/>
        <w:rPr>
          <w:rFonts w:ascii="宋体" w:hAnsi="宋体" w:cs="宋体"/>
          <w:color w:val="auto"/>
          <w:szCs w:val="24"/>
          <w:highlight w:val="none"/>
        </w:rPr>
      </w:pPr>
      <w:r>
        <w:rPr>
          <w:rFonts w:hint="eastAsia" w:ascii="宋体" w:hAnsi="宋体" w:cs="宋体"/>
          <w:color w:val="auto"/>
          <w:szCs w:val="24"/>
          <w:highlight w:val="none"/>
        </w:rPr>
        <w:t>名    称：新疆</w:t>
      </w:r>
      <w:r>
        <w:rPr>
          <w:rFonts w:hint="eastAsia" w:ascii="宋体" w:hAnsi="宋体" w:cs="宋体"/>
          <w:color w:val="auto"/>
          <w:szCs w:val="24"/>
          <w:highlight w:val="none"/>
          <w:lang w:eastAsia="zh-CN"/>
        </w:rPr>
        <w:t>金泰首致</w:t>
      </w:r>
      <w:r>
        <w:rPr>
          <w:rFonts w:hint="eastAsia" w:ascii="宋体" w:hAnsi="宋体" w:cs="宋体"/>
          <w:color w:val="auto"/>
          <w:szCs w:val="24"/>
          <w:highlight w:val="none"/>
        </w:rPr>
        <w:t>项目管理咨询有限公司</w:t>
      </w:r>
    </w:p>
    <w:p>
      <w:pPr>
        <w:snapToGrid w:val="0"/>
        <w:spacing w:line="360" w:lineRule="auto"/>
        <w:ind w:firstLine="499" w:firstLineChars="208"/>
        <w:rPr>
          <w:rFonts w:ascii="宋体" w:hAnsi="宋体" w:cs="宋体"/>
          <w:color w:val="auto"/>
          <w:szCs w:val="24"/>
          <w:highlight w:val="none"/>
        </w:rPr>
      </w:pPr>
      <w:r>
        <w:rPr>
          <w:rFonts w:hint="eastAsia" w:ascii="宋体" w:hAnsi="宋体" w:cs="宋体"/>
          <w:color w:val="auto"/>
          <w:szCs w:val="24"/>
          <w:highlight w:val="none"/>
        </w:rPr>
        <w:t>联 系 人：</w:t>
      </w:r>
      <w:r>
        <w:rPr>
          <w:rFonts w:hint="eastAsia" w:ascii="宋体" w:hAnsi="宋体" w:cs="宋体"/>
          <w:color w:val="auto"/>
          <w:szCs w:val="24"/>
          <w:highlight w:val="none"/>
          <w:lang w:eastAsia="zh-CN"/>
        </w:rPr>
        <w:t>贾梦华</w:t>
      </w:r>
      <w:r>
        <w:rPr>
          <w:rFonts w:hint="eastAsia" w:ascii="宋体" w:hAnsi="宋体" w:cs="宋体"/>
          <w:color w:val="auto"/>
          <w:szCs w:val="24"/>
          <w:highlight w:val="none"/>
        </w:rPr>
        <w:t>　　　　　　   　　</w:t>
      </w:r>
    </w:p>
    <w:p>
      <w:pPr>
        <w:ind w:firstLine="480" w:firstLineChars="200"/>
        <w:rPr>
          <w:rFonts w:hint="default" w:eastAsia="宋体"/>
          <w:color w:val="auto"/>
          <w:highlight w:val="none"/>
          <w:lang w:val="en-US" w:eastAsia="zh-CN"/>
        </w:rPr>
      </w:pPr>
      <w:r>
        <w:rPr>
          <w:rFonts w:hint="eastAsia" w:ascii="宋体" w:hAnsi="宋体" w:cs="宋体"/>
          <w:color w:val="auto"/>
          <w:szCs w:val="24"/>
          <w:highlight w:val="none"/>
        </w:rPr>
        <w:t>联系方式：1</w:t>
      </w:r>
      <w:r>
        <w:rPr>
          <w:rFonts w:hint="eastAsia" w:ascii="宋体" w:hAnsi="宋体" w:cs="宋体"/>
          <w:color w:val="auto"/>
          <w:szCs w:val="24"/>
          <w:highlight w:val="none"/>
          <w:lang w:val="en-US" w:eastAsia="zh-CN"/>
        </w:rPr>
        <w:t>3669957007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3FA95849"/>
    <w:multiLevelType w:val="singleLevel"/>
    <w:tmpl w:val="3FA9584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NzE5MGYwZmVjMTM1YTNkOTUxZDBkZjYzZTAwZDcifQ=="/>
  </w:docVars>
  <w:rsids>
    <w:rsidRoot w:val="64B50152"/>
    <w:rsid w:val="02D52278"/>
    <w:rsid w:val="07C21DA0"/>
    <w:rsid w:val="0E9E4764"/>
    <w:rsid w:val="0FF56606"/>
    <w:rsid w:val="116F23E8"/>
    <w:rsid w:val="35AB1391"/>
    <w:rsid w:val="371D39EC"/>
    <w:rsid w:val="3AA840F1"/>
    <w:rsid w:val="3AD44EE6"/>
    <w:rsid w:val="4368098E"/>
    <w:rsid w:val="460C7125"/>
    <w:rsid w:val="49B34AE2"/>
    <w:rsid w:val="4C7958ED"/>
    <w:rsid w:val="4EF92D15"/>
    <w:rsid w:val="538953A3"/>
    <w:rsid w:val="59814033"/>
    <w:rsid w:val="5B726329"/>
    <w:rsid w:val="61532759"/>
    <w:rsid w:val="615E6DCD"/>
    <w:rsid w:val="63D04E71"/>
    <w:rsid w:val="644011CB"/>
    <w:rsid w:val="64B50152"/>
    <w:rsid w:val="68223515"/>
    <w:rsid w:val="6A837C0B"/>
    <w:rsid w:val="70DD217D"/>
    <w:rsid w:val="72404633"/>
    <w:rsid w:val="75FA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Times New Roman" w:cs="Times New Roman"/>
      <w:sz w:val="24"/>
      <w:szCs w:val="24"/>
      <w:lang w:val="en-US" w:eastAsia="zh-CN" w:bidi="ar-SA"/>
    </w:rPr>
  </w:style>
  <w:style w:type="paragraph" w:styleId="2">
    <w:name w:val="heading 2"/>
    <w:basedOn w:val="1"/>
    <w:next w:val="1"/>
    <w:link w:val="1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itle"/>
    <w:basedOn w:val="1"/>
    <w:next w:val="1"/>
    <w:qFormat/>
    <w:uiPriority w:val="0"/>
  </w:style>
  <w:style w:type="paragraph" w:styleId="6">
    <w:name w:val="Body Text First Indent"/>
    <w:basedOn w:val="3"/>
    <w:qFormat/>
    <w:uiPriority w:val="0"/>
    <w:pPr>
      <w:ind w:firstLine="420"/>
    </w:pPr>
  </w:style>
  <w:style w:type="paragraph" w:customStyle="1" w:styleId="9">
    <w:name w:val="标题 5（有编号）（绿盟科技）"/>
    <w:basedOn w:val="1"/>
    <w:next w:val="10"/>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1">
    <w:name w:val="标题 2 字符"/>
    <w:link w:val="2"/>
    <w:qFormat/>
    <w:uiPriority w:val="0"/>
    <w:rPr>
      <w:rFonts w:ascii="Arial" w:hAnsi="Arial" w:eastAsia="黑体"/>
      <w:b/>
      <w:sz w:val="32"/>
    </w:rPr>
  </w:style>
  <w:style w:type="paragraph" w:customStyle="1" w:styleId="12">
    <w:name w:val="Header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3">
    <w:name w:val="Char"/>
    <w:basedOn w:val="1"/>
    <w:qFormat/>
    <w:uiPriority w:val="0"/>
    <w:pPr>
      <w:widowControl w:val="0"/>
      <w:tabs>
        <w:tab w:val="left" w:pos="360"/>
      </w:tabs>
      <w:spacing w:line="360" w:lineRule="auto"/>
      <w:ind w:left="482" w:firstLine="200" w:firstLineChars="200"/>
      <w:jc w:val="both"/>
    </w:pPr>
    <w:rPr>
      <w:rFonts w:ascii="Times New Roman" w:hAnsi="Times New Roman" w:cs="Times New Roman"/>
      <w:kern w:val="2"/>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1544</Words>
  <Characters>1698</Characters>
  <Lines>0</Lines>
  <Paragraphs>0</Paragraphs>
  <TotalTime>0</TotalTime>
  <ScaleCrop>false</ScaleCrop>
  <LinksUpToDate>false</LinksUpToDate>
  <CharactersWithSpaces>1732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2022-12-12T10:57:00Z</dcterms:created>
  <dc:creator>Administrator</dc:creator>
  <cp:lastModifiedBy>Administrator</cp:lastModifiedBy>
  <dcterms:modified xsi:type="dcterms:W3CDTF">2022-12-14T02:55:53Z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1BCA7FB462994FBE9D67901B1436BE34</vt:lpwstr>
  </property>
</Properties>
</file>